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A3BAE8" w14:textId="77777777" w:rsidR="009A0EB3" w:rsidRDefault="009A0EB3" w:rsidP="00816E4C">
      <w:pPr>
        <w:pStyle w:val="Heading4"/>
      </w:pPr>
    </w:p>
    <w:p w14:paraId="5B461D50" w14:textId="77777777" w:rsidR="003E1929" w:rsidRDefault="003E1929" w:rsidP="003E1929">
      <w:pPr>
        <w:rPr>
          <w:lang w:val="en-IN" w:eastAsia="en-IN"/>
        </w:rPr>
      </w:pPr>
    </w:p>
    <w:p w14:paraId="2BDF6765" w14:textId="77777777" w:rsidR="003E1929" w:rsidRDefault="003E1929" w:rsidP="003E1929">
      <w:pPr>
        <w:rPr>
          <w:lang w:val="en-IN" w:eastAsia="en-IN"/>
        </w:rPr>
      </w:pPr>
    </w:p>
    <w:p w14:paraId="348E65A9" w14:textId="77777777" w:rsidR="003E1929" w:rsidRDefault="003E1929" w:rsidP="003E1929">
      <w:pPr>
        <w:rPr>
          <w:lang w:val="en-IN" w:eastAsia="en-IN"/>
        </w:rPr>
      </w:pPr>
    </w:p>
    <w:p w14:paraId="55DEC14F" w14:textId="77777777" w:rsidR="003E1929" w:rsidRPr="003E1929" w:rsidRDefault="003E1929" w:rsidP="003E1929">
      <w:pPr>
        <w:rPr>
          <w:lang w:val="en-IN" w:eastAsia="en-IN"/>
        </w:rPr>
      </w:pPr>
    </w:p>
    <w:p w14:paraId="5DAAE763" w14:textId="77777777"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14:paraId="007BAC31" w14:textId="77777777"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14:paraId="23898482" w14:textId="77777777" w:rsidR="002C3645" w:rsidRPr="009A0EB3" w:rsidRDefault="002C3645" w:rsidP="002C3645">
      <w:pPr>
        <w:spacing w:line="20" w:lineRule="atLeast"/>
        <w:jc w:val="center"/>
        <w:rPr>
          <w:rFonts w:ascii="Palatino Linotype" w:hAnsi="Palatino Linotype"/>
          <w:b/>
          <w:color w:val="000080"/>
          <w:sz w:val="22"/>
          <w:szCs w:val="22"/>
        </w:rPr>
      </w:pPr>
    </w:p>
    <w:p w14:paraId="6DAD2540" w14:textId="77777777" w:rsidR="002C3645" w:rsidRPr="009A0EB3" w:rsidRDefault="002C3645" w:rsidP="002C3645">
      <w:pPr>
        <w:spacing w:line="20" w:lineRule="atLeast"/>
        <w:jc w:val="center"/>
        <w:rPr>
          <w:rFonts w:ascii="Palatino Linotype" w:hAnsi="Palatino Linotype"/>
          <w:b/>
          <w:color w:val="000080"/>
          <w:sz w:val="22"/>
          <w:szCs w:val="22"/>
        </w:rPr>
      </w:pPr>
    </w:p>
    <w:p w14:paraId="267AEC2B" w14:textId="77777777" w:rsidR="002C3645" w:rsidRPr="009A0EB3" w:rsidRDefault="0060602C"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JU</w:t>
      </w:r>
      <w:r w:rsidR="00D33F7C">
        <w:rPr>
          <w:rFonts w:ascii="Palatino Linotype" w:hAnsi="Palatino Linotype"/>
          <w:b/>
          <w:color w:val="000080"/>
          <w:sz w:val="22"/>
          <w:szCs w:val="22"/>
        </w:rPr>
        <w:t>LY</w:t>
      </w:r>
      <w:r w:rsidR="001D4399">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sidR="00D33F7C">
        <w:rPr>
          <w:rFonts w:ascii="Palatino Linotype" w:hAnsi="Palatino Linotype"/>
          <w:b/>
          <w:color w:val="FF0000"/>
          <w:sz w:val="22"/>
          <w:szCs w:val="22"/>
        </w:rPr>
        <w:t>7</w:t>
      </w:r>
    </w:p>
    <w:p w14:paraId="54C2FCAB" w14:textId="77777777" w:rsidR="002C3645" w:rsidRPr="009A0EB3" w:rsidRDefault="002C3645" w:rsidP="002C3645">
      <w:pPr>
        <w:spacing w:line="20" w:lineRule="atLeast"/>
        <w:jc w:val="center"/>
        <w:rPr>
          <w:rFonts w:ascii="Palatino Linotype" w:hAnsi="Palatino Linotype"/>
          <w:b/>
          <w:color w:val="000080"/>
          <w:sz w:val="22"/>
          <w:szCs w:val="22"/>
        </w:rPr>
      </w:pPr>
    </w:p>
    <w:p w14:paraId="57641E29" w14:textId="77777777" w:rsidR="002C3645" w:rsidRPr="009A0EB3" w:rsidRDefault="002C3645" w:rsidP="002C3645">
      <w:pPr>
        <w:spacing w:line="20" w:lineRule="atLeast"/>
        <w:jc w:val="center"/>
        <w:rPr>
          <w:rFonts w:ascii="Palatino Linotype" w:hAnsi="Palatino Linotype"/>
          <w:b/>
          <w:color w:val="000080"/>
          <w:sz w:val="22"/>
          <w:szCs w:val="22"/>
        </w:rPr>
      </w:pPr>
    </w:p>
    <w:p w14:paraId="36E5F645" w14:textId="77777777" w:rsidR="002C3645" w:rsidRPr="009A0EB3" w:rsidRDefault="002C3645" w:rsidP="002C3645">
      <w:pPr>
        <w:spacing w:line="20" w:lineRule="atLeast"/>
        <w:jc w:val="center"/>
        <w:rPr>
          <w:rFonts w:ascii="Palatino Linotype" w:hAnsi="Palatino Linotype"/>
          <w:b/>
          <w:color w:val="000080"/>
          <w:sz w:val="22"/>
          <w:szCs w:val="22"/>
        </w:rPr>
      </w:pPr>
    </w:p>
    <w:p w14:paraId="2F2573B5" w14:textId="77777777" w:rsidR="002C3645" w:rsidRPr="009A0EB3" w:rsidRDefault="002C3645" w:rsidP="002C3645">
      <w:pPr>
        <w:spacing w:line="20" w:lineRule="atLeast"/>
        <w:jc w:val="center"/>
        <w:rPr>
          <w:rFonts w:ascii="Palatino Linotype" w:hAnsi="Palatino Linotype"/>
          <w:b/>
          <w:color w:val="000080"/>
          <w:sz w:val="22"/>
          <w:szCs w:val="22"/>
        </w:rPr>
      </w:pPr>
    </w:p>
    <w:p w14:paraId="4AD4BAE6" w14:textId="77777777" w:rsidR="002C3645" w:rsidRPr="009A0EB3" w:rsidRDefault="002C3645" w:rsidP="002C3645">
      <w:pPr>
        <w:spacing w:line="20" w:lineRule="atLeast"/>
        <w:jc w:val="center"/>
        <w:rPr>
          <w:rFonts w:ascii="Palatino Linotype" w:hAnsi="Palatino Linotype"/>
          <w:b/>
          <w:color w:val="000080"/>
          <w:sz w:val="22"/>
          <w:szCs w:val="22"/>
        </w:rPr>
      </w:pPr>
    </w:p>
    <w:p w14:paraId="5E12E2B8" w14:textId="77777777" w:rsidR="002C3645" w:rsidRPr="009A0EB3" w:rsidRDefault="002C3645" w:rsidP="002C3645">
      <w:pPr>
        <w:spacing w:line="20" w:lineRule="atLeast"/>
        <w:jc w:val="center"/>
        <w:rPr>
          <w:rFonts w:ascii="Palatino Linotype" w:hAnsi="Palatino Linotype"/>
          <w:b/>
          <w:color w:val="000080"/>
          <w:sz w:val="22"/>
          <w:szCs w:val="22"/>
        </w:rPr>
      </w:pPr>
    </w:p>
    <w:p w14:paraId="15908C88" w14:textId="77777777" w:rsidR="002C3645" w:rsidRPr="009A0EB3" w:rsidRDefault="002C3645" w:rsidP="002C3645">
      <w:pPr>
        <w:spacing w:line="20" w:lineRule="atLeast"/>
        <w:jc w:val="center"/>
        <w:rPr>
          <w:rFonts w:ascii="Palatino Linotype" w:hAnsi="Palatino Linotype"/>
          <w:b/>
          <w:color w:val="000080"/>
          <w:sz w:val="22"/>
          <w:szCs w:val="22"/>
        </w:rPr>
      </w:pPr>
    </w:p>
    <w:p w14:paraId="656BEF28" w14:textId="77777777"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14:paraId="78C2C2BF" w14:textId="77777777" w:rsidR="0018049A" w:rsidRPr="009A0EB3" w:rsidRDefault="0018049A" w:rsidP="00B25DA6">
      <w:pPr>
        <w:jc w:val="center"/>
        <w:outlineLvl w:val="0"/>
        <w:rPr>
          <w:rFonts w:ascii="Palatino Linotype" w:hAnsi="Palatino Linotype" w:cs="Helvetica"/>
          <w:b/>
          <w:color w:val="000099"/>
          <w:sz w:val="22"/>
          <w:szCs w:val="22"/>
        </w:rPr>
      </w:pPr>
    </w:p>
    <w:p w14:paraId="62B604D5" w14:textId="77777777" w:rsidR="002C3645" w:rsidRPr="009A0EB3" w:rsidRDefault="002C3645" w:rsidP="00B25DA6">
      <w:pPr>
        <w:jc w:val="center"/>
        <w:outlineLvl w:val="0"/>
        <w:rPr>
          <w:rFonts w:ascii="Palatino Linotype" w:hAnsi="Palatino Linotype" w:cs="Helvetica"/>
          <w:b/>
          <w:color w:val="000099"/>
          <w:sz w:val="22"/>
          <w:szCs w:val="22"/>
        </w:rPr>
      </w:pPr>
    </w:p>
    <w:p w14:paraId="7BE44B7F" w14:textId="77777777" w:rsidR="002C3645" w:rsidRPr="009A0EB3" w:rsidRDefault="002C3645" w:rsidP="00B25DA6">
      <w:pPr>
        <w:jc w:val="center"/>
        <w:outlineLvl w:val="0"/>
        <w:rPr>
          <w:rFonts w:ascii="Palatino Linotype" w:hAnsi="Palatino Linotype" w:cs="Helvetica"/>
          <w:b/>
          <w:color w:val="000099"/>
          <w:sz w:val="22"/>
          <w:szCs w:val="22"/>
        </w:rPr>
      </w:pPr>
    </w:p>
    <w:p w14:paraId="00314B77" w14:textId="77777777" w:rsidR="002C3645" w:rsidRPr="009A0EB3" w:rsidRDefault="002C3645" w:rsidP="00B25DA6">
      <w:pPr>
        <w:jc w:val="center"/>
        <w:outlineLvl w:val="0"/>
        <w:rPr>
          <w:rFonts w:ascii="Palatino Linotype" w:hAnsi="Palatino Linotype" w:cs="Helvetica"/>
          <w:b/>
          <w:color w:val="000099"/>
          <w:sz w:val="22"/>
          <w:szCs w:val="22"/>
        </w:rPr>
      </w:pPr>
    </w:p>
    <w:p w14:paraId="7E28BF50" w14:textId="77777777" w:rsidR="002C3645" w:rsidRPr="009A0EB3" w:rsidRDefault="002C3645" w:rsidP="00B25DA6">
      <w:pPr>
        <w:jc w:val="center"/>
        <w:outlineLvl w:val="0"/>
        <w:rPr>
          <w:rFonts w:ascii="Palatino Linotype" w:hAnsi="Palatino Linotype" w:cs="Helvetica"/>
          <w:b/>
          <w:color w:val="000099"/>
          <w:sz w:val="22"/>
          <w:szCs w:val="22"/>
        </w:rPr>
      </w:pPr>
    </w:p>
    <w:p w14:paraId="7C404AE9" w14:textId="77777777" w:rsidR="002C3645" w:rsidRPr="009A0EB3" w:rsidRDefault="002C3645" w:rsidP="00B25DA6">
      <w:pPr>
        <w:jc w:val="center"/>
        <w:outlineLvl w:val="0"/>
        <w:rPr>
          <w:rFonts w:ascii="Palatino Linotype" w:hAnsi="Palatino Linotype" w:cs="Helvetica"/>
          <w:b/>
          <w:color w:val="000099"/>
          <w:sz w:val="22"/>
          <w:szCs w:val="22"/>
        </w:rPr>
      </w:pPr>
    </w:p>
    <w:p w14:paraId="4986B59E" w14:textId="77777777" w:rsidR="002C3645" w:rsidRPr="009A0EB3" w:rsidRDefault="002C3645" w:rsidP="00B25DA6">
      <w:pPr>
        <w:jc w:val="center"/>
        <w:outlineLvl w:val="0"/>
        <w:rPr>
          <w:rFonts w:ascii="Palatino Linotype" w:hAnsi="Palatino Linotype" w:cs="Helvetica"/>
          <w:b/>
          <w:color w:val="000099"/>
          <w:sz w:val="22"/>
          <w:szCs w:val="22"/>
        </w:rPr>
      </w:pPr>
    </w:p>
    <w:p w14:paraId="4FF25AAB" w14:textId="77777777" w:rsidR="002C3645" w:rsidRPr="009A0EB3" w:rsidRDefault="002C3645" w:rsidP="00B25DA6">
      <w:pPr>
        <w:jc w:val="center"/>
        <w:outlineLvl w:val="0"/>
        <w:rPr>
          <w:rFonts w:ascii="Palatino Linotype" w:hAnsi="Palatino Linotype" w:cs="Helvetica"/>
          <w:b/>
          <w:color w:val="000099"/>
          <w:sz w:val="22"/>
          <w:szCs w:val="22"/>
        </w:rPr>
      </w:pPr>
    </w:p>
    <w:p w14:paraId="1F8D3E05" w14:textId="77777777" w:rsidR="002C3645" w:rsidRPr="009A0EB3" w:rsidRDefault="002C3645" w:rsidP="00B25DA6">
      <w:pPr>
        <w:jc w:val="center"/>
        <w:outlineLvl w:val="0"/>
        <w:rPr>
          <w:rFonts w:ascii="Palatino Linotype" w:hAnsi="Palatino Linotype" w:cs="Helvetica"/>
          <w:b/>
          <w:color w:val="000099"/>
          <w:sz w:val="22"/>
          <w:szCs w:val="22"/>
        </w:rPr>
      </w:pPr>
    </w:p>
    <w:p w14:paraId="08910EE0" w14:textId="77777777" w:rsidR="002C3645" w:rsidRPr="009A0EB3" w:rsidRDefault="002C3645" w:rsidP="00B25DA6">
      <w:pPr>
        <w:jc w:val="center"/>
        <w:outlineLvl w:val="0"/>
        <w:rPr>
          <w:rFonts w:ascii="Palatino Linotype" w:hAnsi="Palatino Linotype" w:cs="Helvetica"/>
          <w:b/>
          <w:color w:val="000099"/>
          <w:sz w:val="22"/>
          <w:szCs w:val="22"/>
        </w:rPr>
      </w:pPr>
    </w:p>
    <w:p w14:paraId="3FF45EAC" w14:textId="77777777" w:rsidR="002C3645" w:rsidRPr="009A0EB3" w:rsidRDefault="002C3645" w:rsidP="00B25DA6">
      <w:pPr>
        <w:jc w:val="center"/>
        <w:outlineLvl w:val="0"/>
        <w:rPr>
          <w:rFonts w:ascii="Palatino Linotype" w:hAnsi="Palatino Linotype" w:cs="Helvetica"/>
          <w:b/>
          <w:color w:val="000099"/>
          <w:sz w:val="22"/>
          <w:szCs w:val="22"/>
        </w:rPr>
      </w:pPr>
    </w:p>
    <w:p w14:paraId="1CE0C846" w14:textId="77777777" w:rsidR="002C3645" w:rsidRPr="009A0EB3" w:rsidRDefault="002C3645" w:rsidP="00B25DA6">
      <w:pPr>
        <w:jc w:val="center"/>
        <w:outlineLvl w:val="0"/>
        <w:rPr>
          <w:rFonts w:ascii="Palatino Linotype" w:hAnsi="Palatino Linotype" w:cs="Helvetica"/>
          <w:b/>
          <w:color w:val="000099"/>
          <w:sz w:val="22"/>
          <w:szCs w:val="22"/>
        </w:rPr>
      </w:pPr>
    </w:p>
    <w:p w14:paraId="766FEC75" w14:textId="77777777" w:rsidR="002C3645" w:rsidRPr="009A0EB3" w:rsidRDefault="002C3645" w:rsidP="00B25DA6">
      <w:pPr>
        <w:jc w:val="center"/>
        <w:outlineLvl w:val="0"/>
        <w:rPr>
          <w:rFonts w:ascii="Palatino Linotype" w:hAnsi="Palatino Linotype" w:cs="Helvetica"/>
          <w:b/>
          <w:color w:val="000099"/>
          <w:sz w:val="22"/>
          <w:szCs w:val="22"/>
        </w:rPr>
      </w:pPr>
    </w:p>
    <w:p w14:paraId="3ECF4C33" w14:textId="77777777" w:rsidR="002C3645" w:rsidRPr="009A0EB3" w:rsidRDefault="002C3645" w:rsidP="00B25DA6">
      <w:pPr>
        <w:jc w:val="center"/>
        <w:outlineLvl w:val="0"/>
        <w:rPr>
          <w:rFonts w:ascii="Palatino Linotype" w:hAnsi="Palatino Linotype" w:cs="Helvetica"/>
          <w:b/>
          <w:color w:val="000099"/>
          <w:sz w:val="22"/>
          <w:szCs w:val="22"/>
        </w:rPr>
      </w:pPr>
    </w:p>
    <w:p w14:paraId="31AB1892" w14:textId="77777777" w:rsidR="002C3645" w:rsidRPr="009A0EB3" w:rsidRDefault="002C3645" w:rsidP="00B25DA6">
      <w:pPr>
        <w:jc w:val="center"/>
        <w:outlineLvl w:val="0"/>
        <w:rPr>
          <w:rFonts w:ascii="Palatino Linotype" w:hAnsi="Palatino Linotype" w:cs="Helvetica"/>
          <w:b/>
          <w:color w:val="000099"/>
          <w:sz w:val="22"/>
          <w:szCs w:val="22"/>
        </w:rPr>
      </w:pPr>
    </w:p>
    <w:p w14:paraId="0BDA5CED" w14:textId="77777777" w:rsidR="002C3645" w:rsidRPr="009A0EB3" w:rsidRDefault="002C3645" w:rsidP="00B25DA6">
      <w:pPr>
        <w:jc w:val="center"/>
        <w:outlineLvl w:val="0"/>
        <w:rPr>
          <w:rFonts w:ascii="Palatino Linotype" w:hAnsi="Palatino Linotype" w:cs="Helvetica"/>
          <w:b/>
          <w:color w:val="000099"/>
          <w:sz w:val="22"/>
          <w:szCs w:val="22"/>
        </w:rPr>
      </w:pPr>
    </w:p>
    <w:p w14:paraId="532BB94D" w14:textId="77777777" w:rsidR="002C3645" w:rsidRDefault="002C3645" w:rsidP="00B25DA6">
      <w:pPr>
        <w:jc w:val="center"/>
        <w:outlineLvl w:val="0"/>
        <w:rPr>
          <w:rFonts w:ascii="Palatino Linotype" w:hAnsi="Palatino Linotype" w:cs="Helvetica"/>
          <w:b/>
          <w:color w:val="000099"/>
          <w:sz w:val="22"/>
          <w:szCs w:val="22"/>
        </w:rPr>
      </w:pPr>
    </w:p>
    <w:p w14:paraId="4F70AA92" w14:textId="77777777" w:rsidR="002E18B1" w:rsidRDefault="002E18B1" w:rsidP="00B25DA6">
      <w:pPr>
        <w:jc w:val="center"/>
        <w:outlineLvl w:val="0"/>
        <w:rPr>
          <w:rFonts w:ascii="Palatino Linotype" w:hAnsi="Palatino Linotype" w:cs="Helvetica"/>
          <w:b/>
          <w:color w:val="000099"/>
          <w:sz w:val="22"/>
          <w:szCs w:val="22"/>
        </w:rPr>
      </w:pPr>
    </w:p>
    <w:p w14:paraId="304C7696" w14:textId="77777777" w:rsidR="002E18B1" w:rsidRDefault="002E18B1" w:rsidP="00B25DA6">
      <w:pPr>
        <w:jc w:val="center"/>
        <w:outlineLvl w:val="0"/>
        <w:rPr>
          <w:rFonts w:ascii="Palatino Linotype" w:hAnsi="Palatino Linotype" w:cs="Helvetica"/>
          <w:b/>
          <w:color w:val="000099"/>
          <w:sz w:val="22"/>
          <w:szCs w:val="22"/>
        </w:rPr>
      </w:pPr>
    </w:p>
    <w:p w14:paraId="006E2047" w14:textId="77777777" w:rsidR="002E18B1" w:rsidRPr="009A0EB3" w:rsidRDefault="002E18B1" w:rsidP="00B25DA6">
      <w:pPr>
        <w:jc w:val="center"/>
        <w:outlineLvl w:val="0"/>
        <w:rPr>
          <w:rFonts w:ascii="Palatino Linotype" w:hAnsi="Palatino Linotype" w:cs="Helvetica"/>
          <w:b/>
          <w:color w:val="000099"/>
          <w:sz w:val="22"/>
          <w:szCs w:val="22"/>
        </w:rPr>
      </w:pPr>
    </w:p>
    <w:p w14:paraId="1BD8F7B9" w14:textId="77777777" w:rsidR="002C3645" w:rsidRDefault="002C3645" w:rsidP="00B25DA6">
      <w:pPr>
        <w:jc w:val="center"/>
        <w:outlineLvl w:val="0"/>
        <w:rPr>
          <w:rFonts w:ascii="Palatino Linotype" w:hAnsi="Palatino Linotype" w:cs="Helvetica"/>
          <w:b/>
          <w:color w:val="000099"/>
          <w:sz w:val="22"/>
          <w:szCs w:val="22"/>
        </w:rPr>
      </w:pPr>
    </w:p>
    <w:p w14:paraId="6DA422F6" w14:textId="77777777" w:rsidR="00434487" w:rsidRPr="009A0EB3" w:rsidRDefault="00434487" w:rsidP="00B25DA6">
      <w:pPr>
        <w:jc w:val="center"/>
        <w:outlineLvl w:val="0"/>
        <w:rPr>
          <w:rFonts w:ascii="Palatino Linotype" w:hAnsi="Palatino Linotype" w:cs="Helvetica"/>
          <w:b/>
          <w:color w:val="000099"/>
          <w:sz w:val="22"/>
          <w:szCs w:val="22"/>
        </w:rPr>
      </w:pPr>
    </w:p>
    <w:p w14:paraId="4CDE29E5" w14:textId="77777777" w:rsidR="002C3645" w:rsidRPr="009A0EB3" w:rsidRDefault="002C3645" w:rsidP="00B25DA6">
      <w:pPr>
        <w:jc w:val="center"/>
        <w:outlineLvl w:val="0"/>
        <w:rPr>
          <w:rFonts w:ascii="Palatino Linotype" w:hAnsi="Palatino Linotype" w:cs="Helvetica"/>
          <w:b/>
          <w:color w:val="000099"/>
          <w:sz w:val="22"/>
          <w:szCs w:val="22"/>
        </w:rPr>
      </w:pPr>
    </w:p>
    <w:p w14:paraId="01FA156E" w14:textId="77777777" w:rsidR="002C3645" w:rsidRDefault="002C3645" w:rsidP="00B25DA6">
      <w:pPr>
        <w:jc w:val="center"/>
        <w:outlineLvl w:val="0"/>
        <w:rPr>
          <w:rFonts w:ascii="Palatino Linotype" w:hAnsi="Palatino Linotype" w:cs="Helvetica"/>
          <w:b/>
          <w:color w:val="000099"/>
          <w:sz w:val="22"/>
          <w:szCs w:val="22"/>
        </w:rPr>
      </w:pPr>
    </w:p>
    <w:p w14:paraId="7214CB44" w14:textId="77777777" w:rsidR="008E4467" w:rsidRPr="009A0EB3" w:rsidRDefault="008E4467" w:rsidP="00B25DA6">
      <w:pPr>
        <w:jc w:val="center"/>
        <w:outlineLvl w:val="0"/>
        <w:rPr>
          <w:rFonts w:ascii="Palatino Linotype" w:hAnsi="Palatino Linotype" w:cs="Helvetica"/>
          <w:b/>
          <w:color w:val="000099"/>
          <w:sz w:val="22"/>
          <w:szCs w:val="22"/>
        </w:rPr>
      </w:pPr>
    </w:p>
    <w:p w14:paraId="22C6D34A" w14:textId="77777777" w:rsidR="002C3645" w:rsidRPr="009A0EB3" w:rsidRDefault="002C3645" w:rsidP="00B25DA6">
      <w:pPr>
        <w:jc w:val="center"/>
        <w:outlineLvl w:val="0"/>
        <w:rPr>
          <w:rFonts w:ascii="Palatino Linotype" w:hAnsi="Palatino Linotype" w:cs="Helvetica"/>
          <w:b/>
          <w:color w:val="000099"/>
          <w:sz w:val="22"/>
          <w:szCs w:val="22"/>
        </w:rPr>
      </w:pPr>
    </w:p>
    <w:p w14:paraId="40A4715C" w14:textId="77777777" w:rsidR="002C3645" w:rsidRPr="009A0EB3" w:rsidRDefault="002C3645" w:rsidP="00B25DA6">
      <w:pPr>
        <w:jc w:val="center"/>
        <w:outlineLvl w:val="0"/>
        <w:rPr>
          <w:rFonts w:ascii="Palatino Linotype" w:hAnsi="Palatino Linotype" w:cs="Helvetica"/>
          <w:b/>
          <w:color w:val="000099"/>
          <w:sz w:val="22"/>
          <w:szCs w:val="22"/>
        </w:rPr>
      </w:pPr>
    </w:p>
    <w:p w14:paraId="7F9DA817" w14:textId="77777777"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14:paraId="5E467A1B" w14:textId="77777777" w:rsidR="002C3645" w:rsidRPr="009A0EB3" w:rsidRDefault="002C3645" w:rsidP="002C3645">
      <w:pPr>
        <w:spacing w:line="20" w:lineRule="atLeast"/>
        <w:jc w:val="both"/>
        <w:rPr>
          <w:rFonts w:ascii="Palatino Linotype" w:hAnsi="Palatino Linotype"/>
          <w:color w:val="FF0000"/>
          <w:sz w:val="22"/>
          <w:szCs w:val="22"/>
        </w:rPr>
      </w:pPr>
    </w:p>
    <w:p w14:paraId="50C75279" w14:textId="77777777" w:rsidR="009A0EB3" w:rsidRPr="009A0EB3" w:rsidRDefault="009A0EB3" w:rsidP="002C3645">
      <w:pPr>
        <w:spacing w:line="20" w:lineRule="atLeast"/>
        <w:rPr>
          <w:rFonts w:ascii="Palatino Linotype" w:hAnsi="Palatino Linotype"/>
          <w:b/>
          <w:sz w:val="22"/>
          <w:szCs w:val="22"/>
        </w:rPr>
      </w:pPr>
    </w:p>
    <w:p w14:paraId="09B3BEAE" w14:textId="77777777"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14:paraId="4FA6E111" w14:textId="77777777"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14:paraId="50152A6F" w14:textId="77777777"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14:paraId="5709B552" w14:textId="77777777"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14:paraId="2A7DF231" w14:textId="77777777"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14:paraId="3CC10EC1" w14:textId="77777777"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14:paraId="555FCA7E" w14:textId="77777777"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14:paraId="56E82F72" w14:textId="77777777"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14:paraId="247102EE" w14:textId="77777777" w:rsidR="002C3645" w:rsidRPr="009A0EB3" w:rsidRDefault="002C3645" w:rsidP="002C3645">
      <w:pPr>
        <w:spacing w:line="20" w:lineRule="atLeast"/>
        <w:jc w:val="both"/>
        <w:outlineLvl w:val="0"/>
        <w:rPr>
          <w:rFonts w:ascii="Palatino Linotype" w:hAnsi="Palatino Linotype"/>
          <w:b/>
          <w:sz w:val="22"/>
          <w:szCs w:val="22"/>
        </w:rPr>
      </w:pPr>
    </w:p>
    <w:p w14:paraId="1E8A2820" w14:textId="77777777" w:rsidR="002C3645" w:rsidRPr="009A0EB3" w:rsidRDefault="002C3645" w:rsidP="002C3645">
      <w:pPr>
        <w:spacing w:line="20" w:lineRule="atLeast"/>
        <w:jc w:val="both"/>
        <w:rPr>
          <w:rFonts w:ascii="Palatino Linotype" w:hAnsi="Palatino Linotype"/>
          <w:sz w:val="22"/>
          <w:szCs w:val="22"/>
        </w:rPr>
      </w:pPr>
    </w:p>
    <w:p w14:paraId="353207ED" w14:textId="77777777"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14:paraId="5B66E0B1" w14:textId="77777777" w:rsidR="002C3645" w:rsidRPr="009A0EB3" w:rsidRDefault="002C3645" w:rsidP="00B25DA6">
      <w:pPr>
        <w:jc w:val="center"/>
        <w:outlineLvl w:val="0"/>
        <w:rPr>
          <w:rFonts w:ascii="Palatino Linotype" w:hAnsi="Palatino Linotype" w:cs="Helvetica"/>
          <w:b/>
          <w:color w:val="000099"/>
          <w:sz w:val="22"/>
          <w:szCs w:val="22"/>
        </w:rPr>
      </w:pPr>
    </w:p>
    <w:p w14:paraId="14C6DF17" w14:textId="77777777" w:rsidR="002C3645" w:rsidRPr="009A0EB3" w:rsidRDefault="002C3645" w:rsidP="00B25DA6">
      <w:pPr>
        <w:jc w:val="center"/>
        <w:outlineLvl w:val="0"/>
        <w:rPr>
          <w:rFonts w:ascii="Palatino Linotype" w:hAnsi="Palatino Linotype" w:cs="Helvetica"/>
          <w:b/>
          <w:color w:val="000099"/>
          <w:sz w:val="22"/>
          <w:szCs w:val="22"/>
        </w:rPr>
      </w:pPr>
    </w:p>
    <w:p w14:paraId="2C692157" w14:textId="77777777" w:rsidR="002C3645" w:rsidRPr="009A0EB3" w:rsidRDefault="002C3645" w:rsidP="00B25DA6">
      <w:pPr>
        <w:jc w:val="center"/>
        <w:outlineLvl w:val="0"/>
        <w:rPr>
          <w:rFonts w:ascii="Palatino Linotype" w:hAnsi="Palatino Linotype" w:cs="Helvetica"/>
          <w:b/>
          <w:color w:val="000099"/>
          <w:sz w:val="22"/>
          <w:szCs w:val="22"/>
        </w:rPr>
      </w:pPr>
    </w:p>
    <w:p w14:paraId="5830D1FB" w14:textId="77777777" w:rsidR="002C3645" w:rsidRPr="009A0EB3" w:rsidRDefault="002C3645" w:rsidP="00B25DA6">
      <w:pPr>
        <w:jc w:val="center"/>
        <w:outlineLvl w:val="0"/>
        <w:rPr>
          <w:rFonts w:ascii="Palatino Linotype" w:hAnsi="Palatino Linotype" w:cs="Helvetica"/>
          <w:b/>
          <w:color w:val="000099"/>
          <w:sz w:val="22"/>
          <w:szCs w:val="22"/>
        </w:rPr>
      </w:pPr>
    </w:p>
    <w:p w14:paraId="63F4800B" w14:textId="77777777" w:rsidR="002C3645" w:rsidRPr="009A0EB3" w:rsidRDefault="002C3645" w:rsidP="00B25DA6">
      <w:pPr>
        <w:jc w:val="center"/>
        <w:outlineLvl w:val="0"/>
        <w:rPr>
          <w:rFonts w:ascii="Palatino Linotype" w:hAnsi="Palatino Linotype" w:cs="Helvetica"/>
          <w:b/>
          <w:color w:val="000099"/>
          <w:sz w:val="22"/>
          <w:szCs w:val="22"/>
        </w:rPr>
      </w:pPr>
    </w:p>
    <w:p w14:paraId="35E11B7C" w14:textId="77777777" w:rsidR="002C3645" w:rsidRPr="009A0EB3" w:rsidRDefault="002C3645" w:rsidP="00B25DA6">
      <w:pPr>
        <w:jc w:val="center"/>
        <w:outlineLvl w:val="0"/>
        <w:rPr>
          <w:rFonts w:ascii="Palatino Linotype" w:hAnsi="Palatino Linotype" w:cs="Helvetica"/>
          <w:b/>
          <w:color w:val="000099"/>
          <w:sz w:val="22"/>
          <w:szCs w:val="22"/>
        </w:rPr>
      </w:pPr>
    </w:p>
    <w:p w14:paraId="17E836B2" w14:textId="77777777" w:rsidR="002C3645" w:rsidRPr="009A0EB3" w:rsidRDefault="002C3645" w:rsidP="00B25DA6">
      <w:pPr>
        <w:jc w:val="center"/>
        <w:outlineLvl w:val="0"/>
        <w:rPr>
          <w:rFonts w:ascii="Palatino Linotype" w:hAnsi="Palatino Linotype" w:cs="Helvetica"/>
          <w:b/>
          <w:color w:val="000099"/>
          <w:sz w:val="22"/>
          <w:szCs w:val="22"/>
        </w:rPr>
      </w:pPr>
    </w:p>
    <w:p w14:paraId="42870B8D" w14:textId="77777777" w:rsidR="002C3645" w:rsidRPr="009A0EB3" w:rsidRDefault="002C3645" w:rsidP="00B25DA6">
      <w:pPr>
        <w:jc w:val="center"/>
        <w:outlineLvl w:val="0"/>
        <w:rPr>
          <w:rFonts w:ascii="Palatino Linotype" w:hAnsi="Palatino Linotype" w:cs="Helvetica"/>
          <w:b/>
          <w:color w:val="000099"/>
          <w:sz w:val="22"/>
          <w:szCs w:val="22"/>
        </w:rPr>
      </w:pPr>
    </w:p>
    <w:p w14:paraId="51D3059A" w14:textId="77777777" w:rsidR="002C3645" w:rsidRPr="009A0EB3" w:rsidRDefault="002C3645" w:rsidP="00B25DA6">
      <w:pPr>
        <w:jc w:val="center"/>
        <w:outlineLvl w:val="0"/>
        <w:rPr>
          <w:rFonts w:ascii="Palatino Linotype" w:hAnsi="Palatino Linotype" w:cs="Helvetica"/>
          <w:b/>
          <w:color w:val="000099"/>
          <w:sz w:val="22"/>
          <w:szCs w:val="22"/>
        </w:rPr>
      </w:pPr>
    </w:p>
    <w:p w14:paraId="278AB592" w14:textId="77777777" w:rsidR="002C3645" w:rsidRPr="009A0EB3" w:rsidRDefault="002C3645" w:rsidP="00B25DA6">
      <w:pPr>
        <w:jc w:val="center"/>
        <w:outlineLvl w:val="0"/>
        <w:rPr>
          <w:rFonts w:ascii="Palatino Linotype" w:hAnsi="Palatino Linotype" w:cs="Helvetica"/>
          <w:b/>
          <w:color w:val="000099"/>
          <w:sz w:val="22"/>
          <w:szCs w:val="22"/>
        </w:rPr>
      </w:pPr>
    </w:p>
    <w:p w14:paraId="0F64669A" w14:textId="77777777" w:rsidR="002C3645" w:rsidRPr="009A0EB3" w:rsidRDefault="002C3645" w:rsidP="00B25DA6">
      <w:pPr>
        <w:jc w:val="center"/>
        <w:outlineLvl w:val="0"/>
        <w:rPr>
          <w:rFonts w:ascii="Palatino Linotype" w:hAnsi="Palatino Linotype" w:cs="Helvetica"/>
          <w:b/>
          <w:color w:val="000099"/>
          <w:sz w:val="22"/>
          <w:szCs w:val="22"/>
        </w:rPr>
      </w:pPr>
    </w:p>
    <w:p w14:paraId="19C0DD24" w14:textId="77777777" w:rsidR="002C3645" w:rsidRPr="009A0EB3" w:rsidRDefault="002C3645" w:rsidP="00B25DA6">
      <w:pPr>
        <w:jc w:val="center"/>
        <w:outlineLvl w:val="0"/>
        <w:rPr>
          <w:rFonts w:ascii="Palatino Linotype" w:hAnsi="Palatino Linotype" w:cs="Helvetica"/>
          <w:b/>
          <w:color w:val="000099"/>
          <w:sz w:val="22"/>
          <w:szCs w:val="22"/>
        </w:rPr>
      </w:pPr>
    </w:p>
    <w:p w14:paraId="16F07497" w14:textId="77777777" w:rsidR="002C3645" w:rsidRPr="009A0EB3" w:rsidRDefault="002C3645" w:rsidP="00B25DA6">
      <w:pPr>
        <w:jc w:val="center"/>
        <w:outlineLvl w:val="0"/>
        <w:rPr>
          <w:rFonts w:ascii="Palatino Linotype" w:hAnsi="Palatino Linotype" w:cs="Helvetica"/>
          <w:b/>
          <w:color w:val="000099"/>
          <w:sz w:val="22"/>
          <w:szCs w:val="22"/>
        </w:rPr>
      </w:pPr>
    </w:p>
    <w:p w14:paraId="21B57569" w14:textId="77777777" w:rsidR="002C3645" w:rsidRPr="009A0EB3" w:rsidRDefault="002C3645" w:rsidP="00B25DA6">
      <w:pPr>
        <w:jc w:val="center"/>
        <w:outlineLvl w:val="0"/>
        <w:rPr>
          <w:rFonts w:ascii="Palatino Linotype" w:hAnsi="Palatino Linotype" w:cs="Helvetica"/>
          <w:b/>
          <w:color w:val="000099"/>
          <w:sz w:val="22"/>
          <w:szCs w:val="22"/>
        </w:rPr>
      </w:pPr>
    </w:p>
    <w:p w14:paraId="49660B98" w14:textId="77777777" w:rsidR="002C3645" w:rsidRPr="009A0EB3" w:rsidRDefault="002C3645" w:rsidP="00B25DA6">
      <w:pPr>
        <w:jc w:val="center"/>
        <w:outlineLvl w:val="0"/>
        <w:rPr>
          <w:rFonts w:ascii="Palatino Linotype" w:hAnsi="Palatino Linotype" w:cs="Helvetica"/>
          <w:b/>
          <w:color w:val="000099"/>
          <w:sz w:val="22"/>
          <w:szCs w:val="22"/>
        </w:rPr>
      </w:pPr>
    </w:p>
    <w:p w14:paraId="6AD7A6E0" w14:textId="77777777" w:rsidR="002C3645" w:rsidRDefault="002C3645" w:rsidP="00B25DA6">
      <w:pPr>
        <w:jc w:val="center"/>
        <w:outlineLvl w:val="0"/>
        <w:rPr>
          <w:rFonts w:ascii="Palatino Linotype" w:hAnsi="Palatino Linotype" w:cs="Helvetica"/>
          <w:b/>
          <w:color w:val="000099"/>
          <w:sz w:val="22"/>
          <w:szCs w:val="22"/>
        </w:rPr>
      </w:pPr>
    </w:p>
    <w:p w14:paraId="6E29C55A" w14:textId="77777777" w:rsidR="000254CD" w:rsidRDefault="000254CD" w:rsidP="00B25DA6">
      <w:pPr>
        <w:jc w:val="center"/>
        <w:outlineLvl w:val="0"/>
        <w:rPr>
          <w:rFonts w:ascii="Palatino Linotype" w:hAnsi="Palatino Linotype" w:cs="Helvetica"/>
          <w:b/>
          <w:color w:val="000099"/>
          <w:sz w:val="22"/>
          <w:szCs w:val="22"/>
        </w:rPr>
      </w:pPr>
    </w:p>
    <w:p w14:paraId="5384EFC7" w14:textId="77777777" w:rsidR="000254CD" w:rsidRDefault="000254CD" w:rsidP="00B25DA6">
      <w:pPr>
        <w:jc w:val="center"/>
        <w:outlineLvl w:val="0"/>
        <w:rPr>
          <w:rFonts w:ascii="Palatino Linotype" w:hAnsi="Palatino Linotype" w:cs="Helvetica"/>
          <w:b/>
          <w:color w:val="000099"/>
          <w:sz w:val="22"/>
          <w:szCs w:val="22"/>
        </w:rPr>
      </w:pPr>
    </w:p>
    <w:p w14:paraId="2DEF764B" w14:textId="77777777" w:rsidR="000254CD" w:rsidRDefault="000254CD" w:rsidP="00B25DA6">
      <w:pPr>
        <w:jc w:val="center"/>
        <w:outlineLvl w:val="0"/>
        <w:rPr>
          <w:rFonts w:ascii="Palatino Linotype" w:hAnsi="Palatino Linotype" w:cs="Helvetica"/>
          <w:b/>
          <w:color w:val="000099"/>
          <w:sz w:val="22"/>
          <w:szCs w:val="22"/>
        </w:rPr>
      </w:pPr>
    </w:p>
    <w:p w14:paraId="5699DC48" w14:textId="77777777" w:rsidR="000254CD" w:rsidRDefault="000254CD" w:rsidP="00B25DA6">
      <w:pPr>
        <w:jc w:val="center"/>
        <w:outlineLvl w:val="0"/>
        <w:rPr>
          <w:rFonts w:ascii="Palatino Linotype" w:hAnsi="Palatino Linotype" w:cs="Helvetica"/>
          <w:b/>
          <w:color w:val="000099"/>
          <w:sz w:val="22"/>
          <w:szCs w:val="22"/>
        </w:rPr>
      </w:pPr>
    </w:p>
    <w:p w14:paraId="67A4A978" w14:textId="77777777" w:rsidR="000254CD" w:rsidRDefault="000254CD" w:rsidP="00B25DA6">
      <w:pPr>
        <w:jc w:val="center"/>
        <w:outlineLvl w:val="0"/>
        <w:rPr>
          <w:rFonts w:ascii="Palatino Linotype" w:hAnsi="Palatino Linotype" w:cs="Helvetica"/>
          <w:b/>
          <w:color w:val="000099"/>
          <w:sz w:val="22"/>
          <w:szCs w:val="22"/>
        </w:rPr>
      </w:pPr>
    </w:p>
    <w:p w14:paraId="33064F57" w14:textId="77777777" w:rsidR="000254CD" w:rsidRPr="009A0EB3" w:rsidRDefault="000254CD" w:rsidP="00B25DA6">
      <w:pPr>
        <w:jc w:val="center"/>
        <w:outlineLvl w:val="0"/>
        <w:rPr>
          <w:rFonts w:ascii="Palatino Linotype" w:hAnsi="Palatino Linotype" w:cs="Helvetica"/>
          <w:b/>
          <w:color w:val="000099"/>
          <w:sz w:val="22"/>
          <w:szCs w:val="22"/>
        </w:rPr>
      </w:pPr>
    </w:p>
    <w:p w14:paraId="141E81EB" w14:textId="77777777" w:rsidR="002C3645" w:rsidRDefault="002C3645" w:rsidP="00B25DA6">
      <w:pPr>
        <w:jc w:val="center"/>
        <w:outlineLvl w:val="0"/>
        <w:rPr>
          <w:rFonts w:ascii="Palatino Linotype" w:hAnsi="Palatino Linotype" w:cs="Helvetica"/>
          <w:b/>
          <w:color w:val="000099"/>
          <w:sz w:val="22"/>
          <w:szCs w:val="22"/>
        </w:rPr>
      </w:pPr>
    </w:p>
    <w:p w14:paraId="716AC885" w14:textId="77777777" w:rsidR="00EB52C5" w:rsidRDefault="00EB52C5" w:rsidP="00B25DA6">
      <w:pPr>
        <w:jc w:val="center"/>
        <w:outlineLvl w:val="0"/>
        <w:rPr>
          <w:rFonts w:ascii="Palatino Linotype" w:hAnsi="Palatino Linotype" w:cs="Helvetica"/>
          <w:b/>
          <w:color w:val="000099"/>
          <w:sz w:val="22"/>
          <w:szCs w:val="22"/>
        </w:rPr>
      </w:pPr>
    </w:p>
    <w:p w14:paraId="289B8057" w14:textId="77777777" w:rsidR="00EB52C5" w:rsidRPr="009A0EB3" w:rsidRDefault="00EB52C5" w:rsidP="00B25DA6">
      <w:pPr>
        <w:jc w:val="center"/>
        <w:outlineLvl w:val="0"/>
        <w:rPr>
          <w:rFonts w:ascii="Palatino Linotype" w:hAnsi="Palatino Linotype" w:cs="Helvetica"/>
          <w:b/>
          <w:color w:val="000099"/>
          <w:sz w:val="22"/>
          <w:szCs w:val="22"/>
        </w:rPr>
      </w:pPr>
    </w:p>
    <w:p w14:paraId="70976457" w14:textId="77777777" w:rsidR="002C3645" w:rsidRPr="009A0EB3" w:rsidRDefault="002C3645" w:rsidP="00B25DA6">
      <w:pPr>
        <w:jc w:val="center"/>
        <w:outlineLvl w:val="0"/>
        <w:rPr>
          <w:rFonts w:ascii="Palatino Linotype" w:hAnsi="Palatino Linotype" w:cs="Helvetica"/>
          <w:b/>
          <w:color w:val="000099"/>
          <w:sz w:val="22"/>
          <w:szCs w:val="22"/>
        </w:rPr>
      </w:pPr>
    </w:p>
    <w:p w14:paraId="7AF15C88" w14:textId="77777777"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14:paraId="1877C239" w14:textId="77777777" w:rsidR="002C3645" w:rsidRPr="009A0EB3" w:rsidRDefault="002C3645" w:rsidP="002C3645">
      <w:pPr>
        <w:spacing w:line="20" w:lineRule="atLeast"/>
        <w:jc w:val="both"/>
        <w:rPr>
          <w:rFonts w:ascii="Palatino Linotype" w:hAnsi="Palatino Linotype"/>
          <w:b/>
          <w:color w:val="0000FF"/>
          <w:sz w:val="22"/>
          <w:szCs w:val="22"/>
        </w:rPr>
      </w:pPr>
    </w:p>
    <w:p w14:paraId="4562BF13" w14:textId="77777777" w:rsidR="002C3645" w:rsidRPr="009A0EB3" w:rsidRDefault="002C3645" w:rsidP="002C3645">
      <w:pPr>
        <w:spacing w:line="20" w:lineRule="atLeast"/>
        <w:jc w:val="both"/>
        <w:rPr>
          <w:rFonts w:ascii="Palatino Linotype" w:hAnsi="Palatino Linotype"/>
          <w:b/>
          <w:color w:val="0000FF"/>
          <w:sz w:val="22"/>
          <w:szCs w:val="22"/>
        </w:rPr>
      </w:pPr>
    </w:p>
    <w:p w14:paraId="784928D8" w14:textId="77777777" w:rsidR="002C1136" w:rsidRDefault="002C1136" w:rsidP="00A36146">
      <w:pPr>
        <w:spacing w:line="20" w:lineRule="atLeast"/>
        <w:jc w:val="both"/>
        <w:rPr>
          <w:rFonts w:ascii="Palatino Linotype" w:hAnsi="Palatino Linotype"/>
          <w:b/>
          <w:color w:val="0000FF"/>
          <w:sz w:val="22"/>
          <w:szCs w:val="22"/>
        </w:rPr>
      </w:pPr>
    </w:p>
    <w:p w14:paraId="29B0EAB8" w14:textId="77777777"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14:paraId="03295F40" w14:textId="77777777" w:rsidR="002C3645" w:rsidRPr="009A0EB3" w:rsidRDefault="002C3645" w:rsidP="002C3645">
      <w:pPr>
        <w:spacing w:line="20" w:lineRule="atLeast"/>
        <w:jc w:val="both"/>
        <w:rPr>
          <w:rFonts w:ascii="Palatino Linotype" w:hAnsi="Palatino Linotype"/>
          <w:b/>
          <w:color w:val="0000FF"/>
          <w:sz w:val="22"/>
          <w:szCs w:val="22"/>
        </w:rPr>
      </w:pPr>
    </w:p>
    <w:p w14:paraId="6537DBE3"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14:paraId="2AFB71CE" w14:textId="77777777" w:rsidR="002C3645" w:rsidRPr="009A0EB3" w:rsidRDefault="002C3645" w:rsidP="002C3645">
      <w:pPr>
        <w:spacing w:line="20" w:lineRule="atLeast"/>
        <w:jc w:val="both"/>
        <w:rPr>
          <w:rFonts w:ascii="Palatino Linotype" w:hAnsi="Palatino Linotype"/>
          <w:b/>
          <w:color w:val="0000FF"/>
          <w:sz w:val="22"/>
          <w:szCs w:val="22"/>
        </w:rPr>
      </w:pPr>
    </w:p>
    <w:p w14:paraId="0B49AA41"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14:paraId="24153EDB" w14:textId="77777777" w:rsidR="002C3645" w:rsidRPr="009A0EB3" w:rsidRDefault="002C3645" w:rsidP="002C3645">
      <w:pPr>
        <w:spacing w:line="20" w:lineRule="atLeast"/>
        <w:jc w:val="both"/>
        <w:rPr>
          <w:rFonts w:ascii="Palatino Linotype" w:hAnsi="Palatino Linotype"/>
          <w:b/>
          <w:color w:val="0000FF"/>
          <w:sz w:val="22"/>
          <w:szCs w:val="22"/>
        </w:rPr>
      </w:pPr>
    </w:p>
    <w:p w14:paraId="5E1916B9"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14:paraId="038995C5" w14:textId="77777777" w:rsidR="002C3645" w:rsidRPr="009A0EB3" w:rsidRDefault="002C3645" w:rsidP="002C3645">
      <w:pPr>
        <w:spacing w:line="20" w:lineRule="atLeast"/>
        <w:jc w:val="both"/>
        <w:rPr>
          <w:rFonts w:ascii="Palatino Linotype" w:hAnsi="Palatino Linotype"/>
          <w:b/>
          <w:color w:val="0000FF"/>
          <w:sz w:val="22"/>
          <w:szCs w:val="22"/>
        </w:rPr>
      </w:pPr>
    </w:p>
    <w:p w14:paraId="504362E2"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14:paraId="44355A68" w14:textId="77777777" w:rsidR="002C3645" w:rsidRPr="009A0EB3" w:rsidRDefault="002C3645" w:rsidP="002C3645">
      <w:pPr>
        <w:spacing w:line="20" w:lineRule="atLeast"/>
        <w:jc w:val="both"/>
        <w:rPr>
          <w:rFonts w:ascii="Palatino Linotype" w:hAnsi="Palatino Linotype"/>
          <w:b/>
          <w:color w:val="0000FF"/>
          <w:sz w:val="22"/>
          <w:szCs w:val="22"/>
        </w:rPr>
      </w:pPr>
    </w:p>
    <w:p w14:paraId="4DDA2D9C"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14:paraId="46148DBE" w14:textId="77777777" w:rsidR="002C3645" w:rsidRPr="009A0EB3" w:rsidRDefault="002C3645" w:rsidP="002C3645">
      <w:pPr>
        <w:spacing w:line="20" w:lineRule="atLeast"/>
        <w:jc w:val="both"/>
        <w:rPr>
          <w:rFonts w:ascii="Palatino Linotype" w:hAnsi="Palatino Linotype"/>
          <w:b/>
          <w:color w:val="0000FF"/>
          <w:sz w:val="22"/>
          <w:szCs w:val="22"/>
        </w:rPr>
      </w:pPr>
    </w:p>
    <w:p w14:paraId="1D8E8439" w14:textId="77777777"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14:paraId="7F733C25" w14:textId="77777777" w:rsidR="002C3645" w:rsidRDefault="002C3645" w:rsidP="00B25DA6">
      <w:pPr>
        <w:jc w:val="center"/>
        <w:outlineLvl w:val="0"/>
        <w:rPr>
          <w:rFonts w:ascii="Palatino Linotype" w:hAnsi="Palatino Linotype" w:cs="Helvetica"/>
          <w:b/>
          <w:color w:val="000099"/>
          <w:sz w:val="22"/>
          <w:szCs w:val="22"/>
        </w:rPr>
      </w:pPr>
    </w:p>
    <w:p w14:paraId="02D7558D" w14:textId="77777777" w:rsidR="009E322F" w:rsidRDefault="009E322F" w:rsidP="00B25DA6">
      <w:pPr>
        <w:jc w:val="center"/>
        <w:outlineLvl w:val="0"/>
        <w:rPr>
          <w:rFonts w:ascii="Palatino Linotype" w:hAnsi="Palatino Linotype" w:cs="Helvetica"/>
          <w:b/>
          <w:color w:val="000099"/>
          <w:sz w:val="22"/>
          <w:szCs w:val="22"/>
        </w:rPr>
      </w:pPr>
    </w:p>
    <w:p w14:paraId="19F9AA50" w14:textId="77777777" w:rsidR="009E322F" w:rsidRDefault="009E322F" w:rsidP="00B25DA6">
      <w:pPr>
        <w:jc w:val="center"/>
        <w:outlineLvl w:val="0"/>
        <w:rPr>
          <w:rFonts w:ascii="Palatino Linotype" w:hAnsi="Palatino Linotype" w:cs="Helvetica"/>
          <w:b/>
          <w:color w:val="000099"/>
          <w:sz w:val="22"/>
          <w:szCs w:val="22"/>
        </w:rPr>
      </w:pPr>
    </w:p>
    <w:p w14:paraId="1A07795D" w14:textId="77777777" w:rsidR="009E322F" w:rsidRDefault="009E322F" w:rsidP="00B25DA6">
      <w:pPr>
        <w:jc w:val="center"/>
        <w:outlineLvl w:val="0"/>
        <w:rPr>
          <w:rFonts w:ascii="Palatino Linotype" w:hAnsi="Palatino Linotype" w:cs="Helvetica"/>
          <w:b/>
          <w:color w:val="000099"/>
          <w:sz w:val="22"/>
          <w:szCs w:val="22"/>
        </w:rPr>
      </w:pPr>
    </w:p>
    <w:p w14:paraId="2BC7950A" w14:textId="77777777" w:rsidR="009E322F" w:rsidRDefault="009E322F" w:rsidP="00B25DA6">
      <w:pPr>
        <w:jc w:val="center"/>
        <w:outlineLvl w:val="0"/>
        <w:rPr>
          <w:rFonts w:ascii="Palatino Linotype" w:hAnsi="Palatino Linotype" w:cs="Helvetica"/>
          <w:b/>
          <w:color w:val="000099"/>
          <w:sz w:val="22"/>
          <w:szCs w:val="22"/>
        </w:rPr>
      </w:pPr>
    </w:p>
    <w:p w14:paraId="22AD7993" w14:textId="77777777" w:rsidR="009E322F" w:rsidRDefault="009E322F" w:rsidP="00B25DA6">
      <w:pPr>
        <w:jc w:val="center"/>
        <w:outlineLvl w:val="0"/>
        <w:rPr>
          <w:rFonts w:ascii="Palatino Linotype" w:hAnsi="Palatino Linotype" w:cs="Helvetica"/>
          <w:b/>
          <w:color w:val="000099"/>
          <w:sz w:val="22"/>
          <w:szCs w:val="22"/>
        </w:rPr>
      </w:pPr>
    </w:p>
    <w:p w14:paraId="741DC72E" w14:textId="77777777" w:rsidR="009E322F" w:rsidRDefault="009E322F" w:rsidP="00B25DA6">
      <w:pPr>
        <w:jc w:val="center"/>
        <w:outlineLvl w:val="0"/>
        <w:rPr>
          <w:rFonts w:ascii="Palatino Linotype" w:hAnsi="Palatino Linotype" w:cs="Helvetica"/>
          <w:b/>
          <w:color w:val="000099"/>
          <w:sz w:val="22"/>
          <w:szCs w:val="22"/>
        </w:rPr>
      </w:pPr>
    </w:p>
    <w:p w14:paraId="356F1431" w14:textId="77777777" w:rsidR="009E322F" w:rsidRDefault="009E322F" w:rsidP="00B25DA6">
      <w:pPr>
        <w:jc w:val="center"/>
        <w:outlineLvl w:val="0"/>
        <w:rPr>
          <w:rFonts w:ascii="Palatino Linotype" w:hAnsi="Palatino Linotype" w:cs="Helvetica"/>
          <w:b/>
          <w:color w:val="000099"/>
          <w:sz w:val="22"/>
          <w:szCs w:val="22"/>
        </w:rPr>
      </w:pPr>
    </w:p>
    <w:p w14:paraId="0166659C" w14:textId="77777777" w:rsidR="009E322F" w:rsidRDefault="009E322F" w:rsidP="00B25DA6">
      <w:pPr>
        <w:jc w:val="center"/>
        <w:outlineLvl w:val="0"/>
        <w:rPr>
          <w:rFonts w:ascii="Palatino Linotype" w:hAnsi="Palatino Linotype" w:cs="Helvetica"/>
          <w:b/>
          <w:color w:val="000099"/>
          <w:sz w:val="22"/>
          <w:szCs w:val="22"/>
        </w:rPr>
      </w:pPr>
    </w:p>
    <w:p w14:paraId="5054C1ED" w14:textId="77777777" w:rsidR="009E322F" w:rsidRDefault="009E322F" w:rsidP="00B25DA6">
      <w:pPr>
        <w:jc w:val="center"/>
        <w:outlineLvl w:val="0"/>
        <w:rPr>
          <w:rFonts w:ascii="Palatino Linotype" w:hAnsi="Palatino Linotype" w:cs="Helvetica"/>
          <w:b/>
          <w:color w:val="000099"/>
          <w:sz w:val="22"/>
          <w:szCs w:val="22"/>
        </w:rPr>
      </w:pPr>
    </w:p>
    <w:p w14:paraId="5EA07A0A" w14:textId="77777777" w:rsidR="009E322F" w:rsidRDefault="009E322F" w:rsidP="00B25DA6">
      <w:pPr>
        <w:jc w:val="center"/>
        <w:outlineLvl w:val="0"/>
        <w:rPr>
          <w:rFonts w:ascii="Palatino Linotype" w:hAnsi="Palatino Linotype" w:cs="Helvetica"/>
          <w:b/>
          <w:color w:val="000099"/>
          <w:sz w:val="22"/>
          <w:szCs w:val="22"/>
        </w:rPr>
      </w:pPr>
    </w:p>
    <w:p w14:paraId="4D76A7E0" w14:textId="77777777" w:rsidR="009E322F" w:rsidRDefault="009E322F" w:rsidP="00B25DA6">
      <w:pPr>
        <w:jc w:val="center"/>
        <w:outlineLvl w:val="0"/>
        <w:rPr>
          <w:rFonts w:ascii="Palatino Linotype" w:hAnsi="Palatino Linotype" w:cs="Helvetica"/>
          <w:b/>
          <w:color w:val="000099"/>
          <w:sz w:val="22"/>
          <w:szCs w:val="22"/>
        </w:rPr>
      </w:pPr>
    </w:p>
    <w:p w14:paraId="5C1318D6" w14:textId="77777777" w:rsidR="009E322F" w:rsidRDefault="009E322F" w:rsidP="00B25DA6">
      <w:pPr>
        <w:jc w:val="center"/>
        <w:outlineLvl w:val="0"/>
        <w:rPr>
          <w:rFonts w:ascii="Palatino Linotype" w:hAnsi="Palatino Linotype" w:cs="Helvetica"/>
          <w:b/>
          <w:color w:val="000099"/>
          <w:sz w:val="22"/>
          <w:szCs w:val="22"/>
        </w:rPr>
      </w:pPr>
    </w:p>
    <w:p w14:paraId="63ACA920" w14:textId="77777777" w:rsidR="009E322F" w:rsidRDefault="009E322F" w:rsidP="00B25DA6">
      <w:pPr>
        <w:jc w:val="center"/>
        <w:outlineLvl w:val="0"/>
        <w:rPr>
          <w:rFonts w:ascii="Palatino Linotype" w:hAnsi="Palatino Linotype" w:cs="Helvetica"/>
          <w:b/>
          <w:color w:val="000099"/>
          <w:sz w:val="22"/>
          <w:szCs w:val="22"/>
        </w:rPr>
      </w:pPr>
    </w:p>
    <w:p w14:paraId="71E1133A" w14:textId="77777777" w:rsidR="009E322F" w:rsidRDefault="009E322F" w:rsidP="00B25DA6">
      <w:pPr>
        <w:jc w:val="center"/>
        <w:outlineLvl w:val="0"/>
        <w:rPr>
          <w:rFonts w:ascii="Palatino Linotype" w:hAnsi="Palatino Linotype" w:cs="Helvetica"/>
          <w:b/>
          <w:color w:val="000099"/>
          <w:sz w:val="22"/>
          <w:szCs w:val="22"/>
        </w:rPr>
      </w:pPr>
    </w:p>
    <w:p w14:paraId="62AB99C5" w14:textId="77777777" w:rsidR="009E322F" w:rsidRDefault="009E322F" w:rsidP="00B25DA6">
      <w:pPr>
        <w:jc w:val="center"/>
        <w:outlineLvl w:val="0"/>
        <w:rPr>
          <w:rFonts w:ascii="Palatino Linotype" w:hAnsi="Palatino Linotype" w:cs="Helvetica"/>
          <w:b/>
          <w:color w:val="000099"/>
          <w:sz w:val="22"/>
          <w:szCs w:val="22"/>
        </w:rPr>
      </w:pPr>
    </w:p>
    <w:p w14:paraId="6C370496" w14:textId="77777777" w:rsidR="009E322F" w:rsidRDefault="009E322F" w:rsidP="00B25DA6">
      <w:pPr>
        <w:jc w:val="center"/>
        <w:outlineLvl w:val="0"/>
        <w:rPr>
          <w:rFonts w:ascii="Palatino Linotype" w:hAnsi="Palatino Linotype" w:cs="Helvetica"/>
          <w:b/>
          <w:color w:val="000099"/>
          <w:sz w:val="22"/>
          <w:szCs w:val="22"/>
        </w:rPr>
      </w:pPr>
    </w:p>
    <w:p w14:paraId="15B7EF86" w14:textId="77777777" w:rsidR="009E322F" w:rsidRDefault="009E322F" w:rsidP="00B25DA6">
      <w:pPr>
        <w:jc w:val="center"/>
        <w:outlineLvl w:val="0"/>
        <w:rPr>
          <w:rFonts w:ascii="Palatino Linotype" w:hAnsi="Palatino Linotype" w:cs="Helvetica"/>
          <w:b/>
          <w:color w:val="000099"/>
          <w:sz w:val="22"/>
          <w:szCs w:val="22"/>
        </w:rPr>
      </w:pPr>
    </w:p>
    <w:p w14:paraId="4C6C9310" w14:textId="77777777" w:rsidR="009E322F" w:rsidRDefault="009E322F" w:rsidP="00B25DA6">
      <w:pPr>
        <w:jc w:val="center"/>
        <w:outlineLvl w:val="0"/>
        <w:rPr>
          <w:rFonts w:ascii="Palatino Linotype" w:hAnsi="Palatino Linotype" w:cs="Helvetica"/>
          <w:b/>
          <w:color w:val="000099"/>
          <w:sz w:val="22"/>
          <w:szCs w:val="22"/>
        </w:rPr>
      </w:pPr>
    </w:p>
    <w:p w14:paraId="7C52AD2B" w14:textId="77777777" w:rsidR="006A566F" w:rsidRDefault="006A566F" w:rsidP="00B25DA6">
      <w:pPr>
        <w:jc w:val="center"/>
        <w:outlineLvl w:val="0"/>
        <w:rPr>
          <w:rFonts w:ascii="Palatino Linotype" w:hAnsi="Palatino Linotype" w:cs="Helvetica"/>
          <w:b/>
          <w:color w:val="000099"/>
          <w:sz w:val="22"/>
          <w:szCs w:val="22"/>
        </w:rPr>
      </w:pPr>
    </w:p>
    <w:p w14:paraId="0ACA3B18" w14:textId="77777777" w:rsidR="006A566F" w:rsidRDefault="006A566F" w:rsidP="00B25DA6">
      <w:pPr>
        <w:jc w:val="center"/>
        <w:outlineLvl w:val="0"/>
        <w:rPr>
          <w:rFonts w:ascii="Palatino Linotype" w:hAnsi="Palatino Linotype" w:cs="Helvetica"/>
          <w:b/>
          <w:color w:val="000099"/>
          <w:sz w:val="22"/>
          <w:szCs w:val="22"/>
        </w:rPr>
      </w:pPr>
    </w:p>
    <w:p w14:paraId="0B49AD90" w14:textId="77777777" w:rsidR="006A566F" w:rsidRDefault="006A566F" w:rsidP="00B25DA6">
      <w:pPr>
        <w:jc w:val="center"/>
        <w:outlineLvl w:val="0"/>
        <w:rPr>
          <w:rFonts w:ascii="Palatino Linotype" w:hAnsi="Palatino Linotype" w:cs="Helvetica"/>
          <w:b/>
          <w:color w:val="000099"/>
          <w:sz w:val="22"/>
          <w:szCs w:val="22"/>
        </w:rPr>
      </w:pPr>
    </w:p>
    <w:p w14:paraId="24941660" w14:textId="77777777" w:rsidR="006A566F" w:rsidRDefault="006A566F" w:rsidP="00B25DA6">
      <w:pPr>
        <w:jc w:val="center"/>
        <w:outlineLvl w:val="0"/>
        <w:rPr>
          <w:rFonts w:ascii="Palatino Linotype" w:hAnsi="Palatino Linotype" w:cs="Helvetica"/>
          <w:b/>
          <w:color w:val="000099"/>
          <w:sz w:val="22"/>
          <w:szCs w:val="22"/>
        </w:rPr>
      </w:pPr>
    </w:p>
    <w:p w14:paraId="602B2908" w14:textId="77777777" w:rsidR="006A566F" w:rsidRDefault="006A566F" w:rsidP="00B25DA6">
      <w:pPr>
        <w:jc w:val="center"/>
        <w:outlineLvl w:val="0"/>
        <w:rPr>
          <w:rFonts w:ascii="Palatino Linotype" w:hAnsi="Palatino Linotype" w:cs="Helvetica"/>
          <w:b/>
          <w:color w:val="000099"/>
          <w:sz w:val="22"/>
          <w:szCs w:val="22"/>
        </w:rPr>
      </w:pPr>
    </w:p>
    <w:p w14:paraId="72D1EEAC" w14:textId="77777777" w:rsidR="006A566F" w:rsidRDefault="006A566F" w:rsidP="00B25DA6">
      <w:pPr>
        <w:jc w:val="center"/>
        <w:outlineLvl w:val="0"/>
        <w:rPr>
          <w:rFonts w:ascii="Palatino Linotype" w:hAnsi="Palatino Linotype" w:cs="Helvetica"/>
          <w:b/>
          <w:color w:val="000099"/>
          <w:sz w:val="22"/>
          <w:szCs w:val="22"/>
        </w:rPr>
      </w:pPr>
    </w:p>
    <w:p w14:paraId="7ABE235C" w14:textId="77777777" w:rsidR="006A566F" w:rsidRDefault="006A566F" w:rsidP="00B25DA6">
      <w:pPr>
        <w:jc w:val="center"/>
        <w:outlineLvl w:val="0"/>
        <w:rPr>
          <w:rFonts w:ascii="Palatino Linotype" w:hAnsi="Palatino Linotype" w:cs="Helvetica"/>
          <w:b/>
          <w:color w:val="000099"/>
          <w:sz w:val="22"/>
          <w:szCs w:val="22"/>
        </w:rPr>
      </w:pPr>
    </w:p>
    <w:p w14:paraId="6B5F6965" w14:textId="77777777" w:rsidR="001A7518" w:rsidRDefault="001A7518" w:rsidP="00B43812">
      <w:pPr>
        <w:jc w:val="both"/>
        <w:outlineLvl w:val="0"/>
        <w:rPr>
          <w:rFonts w:ascii="Palatino Linotype" w:hAnsi="Palatino Linotype" w:cs="Helvetica"/>
          <w:b/>
          <w:color w:val="000099"/>
          <w:sz w:val="28"/>
          <w:szCs w:val="28"/>
        </w:rPr>
      </w:pPr>
    </w:p>
    <w:p w14:paraId="465B33F6" w14:textId="77777777" w:rsidR="001A7518" w:rsidRDefault="001A7518" w:rsidP="00B43812">
      <w:pPr>
        <w:jc w:val="both"/>
        <w:outlineLvl w:val="0"/>
        <w:rPr>
          <w:rFonts w:ascii="Palatino Linotype" w:hAnsi="Palatino Linotype" w:cs="Helvetica"/>
          <w:b/>
          <w:color w:val="000099"/>
          <w:sz w:val="28"/>
          <w:szCs w:val="28"/>
        </w:rPr>
      </w:pPr>
    </w:p>
    <w:p w14:paraId="33E55057" w14:textId="77777777" w:rsidR="001A7518" w:rsidRDefault="001A7518" w:rsidP="00B43812">
      <w:pPr>
        <w:jc w:val="both"/>
        <w:outlineLvl w:val="0"/>
        <w:rPr>
          <w:rFonts w:ascii="Palatino Linotype" w:hAnsi="Palatino Linotype" w:cs="Helvetica"/>
          <w:b/>
          <w:color w:val="000099"/>
          <w:sz w:val="28"/>
          <w:szCs w:val="28"/>
        </w:rPr>
      </w:pPr>
    </w:p>
    <w:p w14:paraId="7F47E9A0" w14:textId="77777777"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14:paraId="04DA9F08" w14:textId="77777777" w:rsidR="007547DA" w:rsidRPr="009A0EB3" w:rsidRDefault="007547DA" w:rsidP="007547DA">
      <w:pPr>
        <w:jc w:val="center"/>
        <w:outlineLvl w:val="0"/>
        <w:rPr>
          <w:rFonts w:ascii="Palatino Linotype" w:hAnsi="Palatino Linotype" w:cs="Helvetica"/>
          <w:b/>
          <w:color w:val="000099"/>
          <w:sz w:val="22"/>
          <w:szCs w:val="22"/>
        </w:rPr>
      </w:pPr>
    </w:p>
    <w:p w14:paraId="5213ABC7" w14:textId="77777777" w:rsidR="003B1F08" w:rsidRDefault="003B1F08" w:rsidP="003F4581">
      <w:pPr>
        <w:widowControl w:val="0"/>
        <w:ind w:left="-284"/>
        <w:jc w:val="both"/>
        <w:rPr>
          <w:rFonts w:ascii="Palatino Linotype" w:hAnsi="Palatino Linotype"/>
          <w:b/>
          <w:color w:val="0F0684"/>
        </w:rPr>
      </w:pPr>
    </w:p>
    <w:p w14:paraId="57B1E222" w14:textId="77777777" w:rsidR="00D33F7C" w:rsidRPr="00D33F7C" w:rsidRDefault="00D33F7C" w:rsidP="00D33F7C">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 xml:space="preserve">Trends in Resource Mobilisation by Corporates  </w:t>
      </w:r>
    </w:p>
    <w:p w14:paraId="5E3D2152" w14:textId="77777777" w:rsidR="00D33F7C" w:rsidRPr="00D33F7C" w:rsidRDefault="00D33F7C" w:rsidP="00D33F7C">
      <w:pPr>
        <w:widowControl w:val="0"/>
        <w:spacing w:line="276" w:lineRule="auto"/>
        <w:jc w:val="both"/>
        <w:rPr>
          <w:rFonts w:ascii="Palatino Linotype" w:eastAsia="Palatino Linotype" w:hAnsi="Palatino Linotype" w:cs="Palatino Linotype"/>
          <w:b/>
          <w:color w:val="2E74B5"/>
          <w:sz w:val="22"/>
          <w:szCs w:val="22"/>
          <w:highlight w:val="yellow"/>
        </w:rPr>
      </w:pPr>
    </w:p>
    <w:p w14:paraId="6A342100" w14:textId="77777777" w:rsidR="00D33F7C" w:rsidRPr="00D33F7C" w:rsidRDefault="00D33F7C" w:rsidP="00D33F7C">
      <w:pPr>
        <w:widowControl w:val="0"/>
        <w:spacing w:line="276" w:lineRule="auto"/>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Table 1: Fund Mobilisation by Corporates (</w:t>
      </w:r>
      <w:r w:rsidRPr="00D33F7C">
        <w:rPr>
          <w:rFonts w:ascii="Times New Roman" w:eastAsia="Tahoma" w:hAnsi="Times New Roman"/>
          <w:b/>
          <w:sz w:val="22"/>
          <w:szCs w:val="22"/>
        </w:rPr>
        <w:t xml:space="preserve">₹ </w:t>
      </w:r>
      <w:r w:rsidRPr="00D33F7C">
        <w:rPr>
          <w:rFonts w:ascii="Palatino Linotype" w:eastAsia="Palatino Linotype" w:hAnsi="Palatino Linotype" w:cs="Palatino Linotype"/>
          <w:b/>
          <w:sz w:val="22"/>
          <w:szCs w:val="22"/>
        </w:rPr>
        <w:t xml:space="preserve">crore) </w:t>
      </w:r>
    </w:p>
    <w:tbl>
      <w:tblPr>
        <w:tblW w:w="7968" w:type="dxa"/>
        <w:tblLook w:val="04A0" w:firstRow="1" w:lastRow="0" w:firstColumn="1" w:lastColumn="0" w:noHBand="0" w:noVBand="1"/>
      </w:tblPr>
      <w:tblGrid>
        <w:gridCol w:w="5580"/>
        <w:gridCol w:w="1194"/>
        <w:gridCol w:w="1194"/>
      </w:tblGrid>
      <w:tr w:rsidR="00D33F7C" w:rsidRPr="00D33F7C" w14:paraId="6BCDADB9" w14:textId="77777777" w:rsidTr="00E213CE">
        <w:trPr>
          <w:trHeight w:val="251"/>
        </w:trPr>
        <w:tc>
          <w:tcPr>
            <w:tcW w:w="5580"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14:paraId="6CE2F183" w14:textId="77777777" w:rsidR="00D33F7C" w:rsidRPr="00D33F7C" w:rsidRDefault="00D33F7C" w:rsidP="00D33F7C">
            <w:pPr>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Particulars</w:t>
            </w:r>
          </w:p>
        </w:tc>
        <w:tc>
          <w:tcPr>
            <w:tcW w:w="1194" w:type="dxa"/>
            <w:tcBorders>
              <w:top w:val="single" w:sz="4" w:space="0" w:color="000000"/>
              <w:left w:val="nil"/>
              <w:bottom w:val="single" w:sz="4" w:space="0" w:color="000000"/>
              <w:right w:val="single" w:sz="4" w:space="0" w:color="000000"/>
            </w:tcBorders>
            <w:shd w:val="clear" w:color="A9D08E" w:fill="A9D08E"/>
            <w:noWrap/>
            <w:vAlign w:val="center"/>
            <w:hideMark/>
          </w:tcPr>
          <w:p w14:paraId="595819BC"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May-21</w:t>
            </w:r>
          </w:p>
        </w:tc>
        <w:tc>
          <w:tcPr>
            <w:tcW w:w="1194" w:type="dxa"/>
            <w:tcBorders>
              <w:top w:val="single" w:sz="4" w:space="0" w:color="000000"/>
              <w:left w:val="nil"/>
              <w:bottom w:val="single" w:sz="4" w:space="0" w:color="000000"/>
              <w:right w:val="single" w:sz="4" w:space="0" w:color="000000"/>
            </w:tcBorders>
            <w:shd w:val="clear" w:color="A9D08E" w:fill="A9D08E"/>
            <w:noWrap/>
            <w:vAlign w:val="center"/>
            <w:hideMark/>
          </w:tcPr>
          <w:p w14:paraId="23E037E9"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Jun-21</w:t>
            </w:r>
          </w:p>
        </w:tc>
      </w:tr>
      <w:tr w:rsidR="00D33F7C" w:rsidRPr="00D33F7C" w14:paraId="04378E60" w14:textId="77777777" w:rsidTr="00E213CE">
        <w:trPr>
          <w:trHeight w:val="251"/>
        </w:trPr>
        <w:tc>
          <w:tcPr>
            <w:tcW w:w="5580" w:type="dxa"/>
            <w:tcBorders>
              <w:top w:val="nil"/>
              <w:left w:val="single" w:sz="4" w:space="0" w:color="000000"/>
              <w:bottom w:val="single" w:sz="4" w:space="0" w:color="000000"/>
              <w:right w:val="nil"/>
            </w:tcBorders>
            <w:shd w:val="clear" w:color="auto" w:fill="auto"/>
            <w:vAlign w:val="center"/>
            <w:hideMark/>
          </w:tcPr>
          <w:p w14:paraId="4C8E885E" w14:textId="77777777" w:rsidR="00D33F7C" w:rsidRPr="00D33F7C" w:rsidRDefault="00D33F7C" w:rsidP="00D33F7C">
            <w:pPr>
              <w:rPr>
                <w:rFonts w:ascii="Garamond" w:eastAsia="Times New Roman" w:hAnsi="Garamond"/>
                <w:b/>
                <w:bCs/>
                <w:i/>
                <w:iCs/>
                <w:color w:val="000000"/>
                <w:sz w:val="22"/>
                <w:szCs w:val="22"/>
                <w:lang w:val="en-IN" w:eastAsia="en-IN" w:bidi="hi-IN"/>
              </w:rPr>
            </w:pPr>
            <w:r w:rsidRPr="00D33F7C">
              <w:rPr>
                <w:rFonts w:ascii="Garamond" w:eastAsia="Times New Roman" w:hAnsi="Garamond"/>
                <w:b/>
                <w:bCs/>
                <w:i/>
                <w:iCs/>
                <w:color w:val="000000"/>
                <w:sz w:val="22"/>
                <w:szCs w:val="22"/>
                <w:lang w:val="en-IN" w:eastAsia="en-IN" w:bidi="hi-IN"/>
              </w:rPr>
              <w:t>I. Equity Issue</w:t>
            </w:r>
          </w:p>
        </w:tc>
        <w:tc>
          <w:tcPr>
            <w:tcW w:w="1194" w:type="dxa"/>
            <w:tcBorders>
              <w:top w:val="nil"/>
              <w:left w:val="single" w:sz="4" w:space="0" w:color="000000"/>
              <w:bottom w:val="single" w:sz="4" w:space="0" w:color="000000"/>
              <w:right w:val="single" w:sz="4" w:space="0" w:color="000000"/>
            </w:tcBorders>
            <w:shd w:val="clear" w:color="auto" w:fill="auto"/>
            <w:noWrap/>
            <w:vAlign w:val="center"/>
            <w:hideMark/>
          </w:tcPr>
          <w:p w14:paraId="13126939"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9,470</w:t>
            </w:r>
          </w:p>
        </w:tc>
        <w:tc>
          <w:tcPr>
            <w:tcW w:w="1194" w:type="dxa"/>
            <w:tcBorders>
              <w:top w:val="nil"/>
              <w:left w:val="nil"/>
              <w:bottom w:val="single" w:sz="4" w:space="0" w:color="000000"/>
              <w:right w:val="single" w:sz="4" w:space="0" w:color="000000"/>
            </w:tcBorders>
            <w:shd w:val="clear" w:color="auto" w:fill="auto"/>
            <w:noWrap/>
            <w:vAlign w:val="center"/>
            <w:hideMark/>
          </w:tcPr>
          <w:p w14:paraId="445B78D6"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24,652</w:t>
            </w:r>
          </w:p>
        </w:tc>
      </w:tr>
      <w:tr w:rsidR="00D33F7C" w:rsidRPr="00D33F7C" w14:paraId="5730D37A"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625DAA2D" w14:textId="77777777" w:rsidR="00D33F7C" w:rsidRPr="00D33F7C" w:rsidRDefault="00D33F7C" w:rsidP="00D33F7C">
            <w:pPr>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a. IPOs (i+ii)</w:t>
            </w:r>
          </w:p>
        </w:tc>
        <w:tc>
          <w:tcPr>
            <w:tcW w:w="1194" w:type="dxa"/>
            <w:tcBorders>
              <w:top w:val="nil"/>
              <w:left w:val="nil"/>
              <w:bottom w:val="single" w:sz="4" w:space="0" w:color="000000"/>
              <w:right w:val="single" w:sz="4" w:space="0" w:color="000000"/>
            </w:tcBorders>
            <w:shd w:val="clear" w:color="auto" w:fill="auto"/>
            <w:noWrap/>
            <w:vAlign w:val="center"/>
            <w:hideMark/>
          </w:tcPr>
          <w:p w14:paraId="3E566E1E"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1</w:t>
            </w:r>
          </w:p>
        </w:tc>
        <w:tc>
          <w:tcPr>
            <w:tcW w:w="1194" w:type="dxa"/>
            <w:tcBorders>
              <w:top w:val="nil"/>
              <w:left w:val="nil"/>
              <w:bottom w:val="single" w:sz="4" w:space="0" w:color="000000"/>
              <w:right w:val="single" w:sz="4" w:space="0" w:color="000000"/>
            </w:tcBorders>
            <w:shd w:val="clear" w:color="auto" w:fill="auto"/>
            <w:noWrap/>
            <w:vAlign w:val="center"/>
            <w:hideMark/>
          </w:tcPr>
          <w:p w14:paraId="14CB52B6"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9,146</w:t>
            </w:r>
          </w:p>
        </w:tc>
      </w:tr>
      <w:tr w:rsidR="00D33F7C" w:rsidRPr="00D33F7C" w14:paraId="6A088004"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072DD47A" w14:textId="77777777" w:rsidR="00D33F7C" w:rsidRPr="00D33F7C" w:rsidRDefault="00D33F7C" w:rsidP="00D33F7C">
            <w:pPr>
              <w:rPr>
                <w:rFonts w:ascii="Garamond" w:eastAsia="Times New Roman" w:hAnsi="Garamond"/>
                <w:i/>
                <w:iCs/>
                <w:color w:val="000000"/>
                <w:sz w:val="22"/>
                <w:szCs w:val="22"/>
                <w:lang w:val="en-IN" w:eastAsia="en-IN" w:bidi="hi-IN"/>
              </w:rPr>
            </w:pPr>
            <w:r w:rsidRPr="00D33F7C">
              <w:rPr>
                <w:rFonts w:ascii="Garamond" w:eastAsia="Times New Roman" w:hAnsi="Garamond"/>
                <w:i/>
                <w:iCs/>
                <w:color w:val="000000"/>
                <w:sz w:val="22"/>
                <w:szCs w:val="22"/>
                <w:lang w:val="en-IN" w:eastAsia="en-IN" w:bidi="hi-IN"/>
              </w:rPr>
              <w:t xml:space="preserve">    i. Main Board</w:t>
            </w:r>
          </w:p>
        </w:tc>
        <w:tc>
          <w:tcPr>
            <w:tcW w:w="1194" w:type="dxa"/>
            <w:tcBorders>
              <w:top w:val="nil"/>
              <w:left w:val="nil"/>
              <w:bottom w:val="single" w:sz="4" w:space="0" w:color="000000"/>
              <w:right w:val="single" w:sz="4" w:space="0" w:color="000000"/>
            </w:tcBorders>
            <w:shd w:val="clear" w:color="auto" w:fill="auto"/>
            <w:noWrap/>
            <w:vAlign w:val="center"/>
            <w:hideMark/>
          </w:tcPr>
          <w:p w14:paraId="043D080B"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0</w:t>
            </w:r>
          </w:p>
        </w:tc>
        <w:tc>
          <w:tcPr>
            <w:tcW w:w="1194" w:type="dxa"/>
            <w:tcBorders>
              <w:top w:val="nil"/>
              <w:left w:val="nil"/>
              <w:bottom w:val="single" w:sz="4" w:space="0" w:color="000000"/>
              <w:right w:val="single" w:sz="4" w:space="0" w:color="000000"/>
            </w:tcBorders>
            <w:shd w:val="clear" w:color="auto" w:fill="auto"/>
            <w:noWrap/>
            <w:vAlign w:val="center"/>
            <w:hideMark/>
          </w:tcPr>
          <w:p w14:paraId="346A388E"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9,122</w:t>
            </w:r>
          </w:p>
        </w:tc>
      </w:tr>
      <w:tr w:rsidR="00D33F7C" w:rsidRPr="00D33F7C" w14:paraId="7D845427"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632410E3" w14:textId="77777777" w:rsidR="00D33F7C" w:rsidRPr="00D33F7C" w:rsidRDefault="00D33F7C" w:rsidP="00D33F7C">
            <w:pPr>
              <w:rPr>
                <w:rFonts w:ascii="Garamond" w:eastAsia="Times New Roman" w:hAnsi="Garamond"/>
                <w:i/>
                <w:iCs/>
                <w:color w:val="000000"/>
                <w:sz w:val="22"/>
                <w:szCs w:val="22"/>
                <w:lang w:val="en-IN" w:eastAsia="en-IN" w:bidi="hi-IN"/>
              </w:rPr>
            </w:pPr>
            <w:r w:rsidRPr="00D33F7C">
              <w:rPr>
                <w:rFonts w:ascii="Garamond" w:eastAsia="Times New Roman" w:hAnsi="Garamond"/>
                <w:i/>
                <w:iCs/>
                <w:color w:val="000000"/>
                <w:sz w:val="22"/>
                <w:szCs w:val="22"/>
                <w:lang w:val="en-IN" w:eastAsia="en-IN" w:bidi="hi-IN"/>
              </w:rPr>
              <w:t xml:space="preserve">    ii. SME Platform</w:t>
            </w:r>
          </w:p>
        </w:tc>
        <w:tc>
          <w:tcPr>
            <w:tcW w:w="1194" w:type="dxa"/>
            <w:tcBorders>
              <w:top w:val="nil"/>
              <w:left w:val="nil"/>
              <w:bottom w:val="single" w:sz="4" w:space="0" w:color="000000"/>
              <w:right w:val="single" w:sz="4" w:space="0" w:color="000000"/>
            </w:tcBorders>
            <w:shd w:val="clear" w:color="auto" w:fill="auto"/>
            <w:noWrap/>
            <w:vAlign w:val="center"/>
            <w:hideMark/>
          </w:tcPr>
          <w:p w14:paraId="79A8C2D5"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1</w:t>
            </w:r>
          </w:p>
        </w:tc>
        <w:tc>
          <w:tcPr>
            <w:tcW w:w="1194" w:type="dxa"/>
            <w:tcBorders>
              <w:top w:val="nil"/>
              <w:left w:val="nil"/>
              <w:bottom w:val="single" w:sz="4" w:space="0" w:color="000000"/>
              <w:right w:val="single" w:sz="4" w:space="0" w:color="000000"/>
            </w:tcBorders>
            <w:shd w:val="clear" w:color="auto" w:fill="auto"/>
            <w:noWrap/>
            <w:vAlign w:val="center"/>
            <w:hideMark/>
          </w:tcPr>
          <w:p w14:paraId="5A475492"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24</w:t>
            </w:r>
          </w:p>
        </w:tc>
      </w:tr>
      <w:tr w:rsidR="00D33F7C" w:rsidRPr="00D33F7C" w14:paraId="6A33EBF7"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589D6AAE" w14:textId="77777777" w:rsidR="00D33F7C" w:rsidRPr="00D33F7C" w:rsidRDefault="00D33F7C" w:rsidP="00D33F7C">
            <w:pPr>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b. FPOs</w:t>
            </w:r>
          </w:p>
        </w:tc>
        <w:tc>
          <w:tcPr>
            <w:tcW w:w="1194" w:type="dxa"/>
            <w:tcBorders>
              <w:top w:val="nil"/>
              <w:left w:val="nil"/>
              <w:bottom w:val="single" w:sz="4" w:space="0" w:color="000000"/>
              <w:right w:val="single" w:sz="4" w:space="0" w:color="000000"/>
            </w:tcBorders>
            <w:shd w:val="clear" w:color="auto" w:fill="auto"/>
            <w:noWrap/>
            <w:vAlign w:val="center"/>
            <w:hideMark/>
          </w:tcPr>
          <w:p w14:paraId="2A1281A2"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0</w:t>
            </w:r>
          </w:p>
        </w:tc>
        <w:tc>
          <w:tcPr>
            <w:tcW w:w="1194" w:type="dxa"/>
            <w:tcBorders>
              <w:top w:val="nil"/>
              <w:left w:val="nil"/>
              <w:bottom w:val="single" w:sz="4" w:space="0" w:color="000000"/>
              <w:right w:val="single" w:sz="4" w:space="0" w:color="000000"/>
            </w:tcBorders>
            <w:shd w:val="clear" w:color="auto" w:fill="auto"/>
            <w:noWrap/>
            <w:vAlign w:val="center"/>
            <w:hideMark/>
          </w:tcPr>
          <w:p w14:paraId="2303F753"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0</w:t>
            </w:r>
          </w:p>
        </w:tc>
      </w:tr>
      <w:tr w:rsidR="00D33F7C" w:rsidRPr="00D33F7C" w14:paraId="0BB596F9"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64F04123" w14:textId="77777777" w:rsidR="00D33F7C" w:rsidRPr="00D33F7C" w:rsidRDefault="00D33F7C" w:rsidP="00D33F7C">
            <w:pPr>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c. Equity Rights Issue</w:t>
            </w:r>
          </w:p>
        </w:tc>
        <w:tc>
          <w:tcPr>
            <w:tcW w:w="1194" w:type="dxa"/>
            <w:tcBorders>
              <w:top w:val="nil"/>
              <w:left w:val="nil"/>
              <w:bottom w:val="single" w:sz="4" w:space="0" w:color="000000"/>
              <w:right w:val="single" w:sz="4" w:space="0" w:color="000000"/>
            </w:tcBorders>
            <w:shd w:val="clear" w:color="auto" w:fill="auto"/>
            <w:noWrap/>
            <w:vAlign w:val="center"/>
            <w:hideMark/>
          </w:tcPr>
          <w:p w14:paraId="6FFFD6D2"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25</w:t>
            </w:r>
          </w:p>
        </w:tc>
        <w:tc>
          <w:tcPr>
            <w:tcW w:w="1194" w:type="dxa"/>
            <w:tcBorders>
              <w:top w:val="nil"/>
              <w:left w:val="nil"/>
              <w:bottom w:val="single" w:sz="4" w:space="0" w:color="000000"/>
              <w:right w:val="single" w:sz="4" w:space="0" w:color="000000"/>
            </w:tcBorders>
            <w:shd w:val="clear" w:color="auto" w:fill="auto"/>
            <w:noWrap/>
            <w:vAlign w:val="center"/>
            <w:hideMark/>
          </w:tcPr>
          <w:p w14:paraId="44E120D6"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404</w:t>
            </w:r>
          </w:p>
        </w:tc>
      </w:tr>
      <w:tr w:rsidR="00D33F7C" w:rsidRPr="00D33F7C" w14:paraId="5F54166E"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506D9124" w14:textId="77777777" w:rsidR="00D33F7C" w:rsidRPr="00D33F7C" w:rsidRDefault="00D33F7C" w:rsidP="00D33F7C">
            <w:pPr>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d. QIP/IPP</w:t>
            </w:r>
          </w:p>
        </w:tc>
        <w:tc>
          <w:tcPr>
            <w:tcW w:w="1194" w:type="dxa"/>
            <w:tcBorders>
              <w:top w:val="nil"/>
              <w:left w:val="nil"/>
              <w:bottom w:val="single" w:sz="4" w:space="0" w:color="000000"/>
              <w:right w:val="single" w:sz="4" w:space="0" w:color="000000"/>
            </w:tcBorders>
            <w:shd w:val="clear" w:color="auto" w:fill="auto"/>
            <w:noWrap/>
            <w:vAlign w:val="center"/>
            <w:hideMark/>
          </w:tcPr>
          <w:p w14:paraId="1666053F"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3,847</w:t>
            </w:r>
          </w:p>
        </w:tc>
        <w:tc>
          <w:tcPr>
            <w:tcW w:w="1194" w:type="dxa"/>
            <w:tcBorders>
              <w:top w:val="nil"/>
              <w:left w:val="nil"/>
              <w:bottom w:val="single" w:sz="4" w:space="0" w:color="000000"/>
              <w:right w:val="single" w:sz="4" w:space="0" w:color="000000"/>
            </w:tcBorders>
            <w:shd w:val="clear" w:color="auto" w:fill="auto"/>
            <w:noWrap/>
            <w:vAlign w:val="center"/>
            <w:hideMark/>
          </w:tcPr>
          <w:p w14:paraId="62E3FC54"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4,450</w:t>
            </w:r>
          </w:p>
        </w:tc>
      </w:tr>
      <w:tr w:rsidR="00D33F7C" w:rsidRPr="00D33F7C" w14:paraId="01F2B668"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37ED53BA" w14:textId="77777777" w:rsidR="00D33F7C" w:rsidRPr="00D33F7C" w:rsidRDefault="00D33F7C" w:rsidP="00D33F7C">
            <w:pPr>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e. Preferential Allotment</w:t>
            </w:r>
          </w:p>
        </w:tc>
        <w:tc>
          <w:tcPr>
            <w:tcW w:w="1194" w:type="dxa"/>
            <w:tcBorders>
              <w:top w:val="nil"/>
              <w:left w:val="nil"/>
              <w:bottom w:val="single" w:sz="4" w:space="0" w:color="000000"/>
              <w:right w:val="single" w:sz="4" w:space="0" w:color="000000"/>
            </w:tcBorders>
            <w:shd w:val="clear" w:color="auto" w:fill="auto"/>
            <w:noWrap/>
            <w:vAlign w:val="center"/>
            <w:hideMark/>
          </w:tcPr>
          <w:p w14:paraId="26B1D147"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5,596</w:t>
            </w:r>
          </w:p>
        </w:tc>
        <w:tc>
          <w:tcPr>
            <w:tcW w:w="1194" w:type="dxa"/>
            <w:tcBorders>
              <w:top w:val="nil"/>
              <w:left w:val="nil"/>
              <w:bottom w:val="single" w:sz="4" w:space="0" w:color="000000"/>
              <w:right w:val="single" w:sz="4" w:space="0" w:color="000000"/>
            </w:tcBorders>
            <w:shd w:val="clear" w:color="auto" w:fill="auto"/>
            <w:noWrap/>
            <w:vAlign w:val="center"/>
            <w:hideMark/>
          </w:tcPr>
          <w:p w14:paraId="0EB647F2"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10,652</w:t>
            </w:r>
          </w:p>
        </w:tc>
      </w:tr>
      <w:tr w:rsidR="00D33F7C" w:rsidRPr="00D33F7C" w14:paraId="21271B99" w14:textId="77777777" w:rsidTr="00E213CE">
        <w:trPr>
          <w:trHeight w:val="251"/>
        </w:trPr>
        <w:tc>
          <w:tcPr>
            <w:tcW w:w="5580" w:type="dxa"/>
            <w:tcBorders>
              <w:top w:val="nil"/>
              <w:left w:val="single" w:sz="4" w:space="0" w:color="000000"/>
              <w:bottom w:val="single" w:sz="4" w:space="0" w:color="000000"/>
              <w:right w:val="nil"/>
            </w:tcBorders>
            <w:shd w:val="clear" w:color="auto" w:fill="auto"/>
            <w:vAlign w:val="center"/>
            <w:hideMark/>
          </w:tcPr>
          <w:p w14:paraId="574C5CB1" w14:textId="77777777" w:rsidR="00D33F7C" w:rsidRPr="00D33F7C" w:rsidRDefault="00D33F7C" w:rsidP="00D33F7C">
            <w:pPr>
              <w:rPr>
                <w:rFonts w:ascii="Garamond" w:eastAsia="Times New Roman" w:hAnsi="Garamond"/>
                <w:b/>
                <w:bCs/>
                <w:i/>
                <w:iCs/>
                <w:color w:val="000000"/>
                <w:sz w:val="22"/>
                <w:szCs w:val="22"/>
                <w:lang w:val="en-IN" w:eastAsia="en-IN" w:bidi="hi-IN"/>
              </w:rPr>
            </w:pPr>
            <w:r w:rsidRPr="00D33F7C">
              <w:rPr>
                <w:rFonts w:ascii="Garamond" w:eastAsia="Times New Roman" w:hAnsi="Garamond"/>
                <w:b/>
                <w:bCs/>
                <w:i/>
                <w:iCs/>
                <w:color w:val="000000"/>
                <w:sz w:val="22"/>
                <w:szCs w:val="22"/>
                <w:lang w:val="en-IN" w:eastAsia="en-IN" w:bidi="hi-IN"/>
              </w:rPr>
              <w:t xml:space="preserve">II. Debt Issue </w:t>
            </w:r>
          </w:p>
        </w:tc>
        <w:tc>
          <w:tcPr>
            <w:tcW w:w="1194" w:type="dxa"/>
            <w:tcBorders>
              <w:top w:val="nil"/>
              <w:left w:val="single" w:sz="4" w:space="0" w:color="000000"/>
              <w:bottom w:val="single" w:sz="4" w:space="0" w:color="000000"/>
              <w:right w:val="single" w:sz="4" w:space="0" w:color="000000"/>
            </w:tcBorders>
            <w:shd w:val="clear" w:color="auto" w:fill="auto"/>
            <w:noWrap/>
            <w:vAlign w:val="center"/>
            <w:hideMark/>
          </w:tcPr>
          <w:p w14:paraId="278CD2E3"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22,887</w:t>
            </w:r>
          </w:p>
        </w:tc>
        <w:tc>
          <w:tcPr>
            <w:tcW w:w="1194" w:type="dxa"/>
            <w:tcBorders>
              <w:top w:val="nil"/>
              <w:left w:val="nil"/>
              <w:bottom w:val="single" w:sz="4" w:space="0" w:color="000000"/>
              <w:right w:val="single" w:sz="4" w:space="0" w:color="000000"/>
            </w:tcBorders>
            <w:shd w:val="clear" w:color="auto" w:fill="auto"/>
            <w:noWrap/>
            <w:vAlign w:val="center"/>
            <w:hideMark/>
          </w:tcPr>
          <w:p w14:paraId="60831E1D"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55,200</w:t>
            </w:r>
          </w:p>
        </w:tc>
      </w:tr>
      <w:tr w:rsidR="00D33F7C" w:rsidRPr="00D33F7C" w14:paraId="451201F1"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745A86FC" w14:textId="77777777" w:rsidR="00D33F7C" w:rsidRPr="00D33F7C" w:rsidRDefault="00D33F7C" w:rsidP="00D33F7C">
            <w:pPr>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a. Debt Public Issue</w:t>
            </w:r>
          </w:p>
        </w:tc>
        <w:tc>
          <w:tcPr>
            <w:tcW w:w="1194" w:type="dxa"/>
            <w:tcBorders>
              <w:top w:val="nil"/>
              <w:left w:val="nil"/>
              <w:bottom w:val="single" w:sz="4" w:space="0" w:color="000000"/>
              <w:right w:val="single" w:sz="4" w:space="0" w:color="000000"/>
            </w:tcBorders>
            <w:shd w:val="clear" w:color="auto" w:fill="auto"/>
            <w:noWrap/>
            <w:vAlign w:val="center"/>
            <w:hideMark/>
          </w:tcPr>
          <w:p w14:paraId="4FF9598C"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1,265</w:t>
            </w:r>
          </w:p>
        </w:tc>
        <w:tc>
          <w:tcPr>
            <w:tcW w:w="1194" w:type="dxa"/>
            <w:tcBorders>
              <w:top w:val="nil"/>
              <w:left w:val="nil"/>
              <w:bottom w:val="single" w:sz="4" w:space="0" w:color="000000"/>
              <w:right w:val="single" w:sz="4" w:space="0" w:color="000000"/>
            </w:tcBorders>
            <w:shd w:val="clear" w:color="auto" w:fill="auto"/>
            <w:noWrap/>
            <w:vAlign w:val="center"/>
            <w:hideMark/>
          </w:tcPr>
          <w:p w14:paraId="2BED2E32"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0</w:t>
            </w:r>
          </w:p>
        </w:tc>
      </w:tr>
      <w:tr w:rsidR="00D33F7C" w:rsidRPr="00D33F7C" w14:paraId="752CB21B"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5EE142DB" w14:textId="77777777" w:rsidR="00D33F7C" w:rsidRPr="00D33F7C" w:rsidRDefault="00D33F7C" w:rsidP="00D33F7C">
            <w:pPr>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b. Private Placement of Debt</w:t>
            </w:r>
          </w:p>
        </w:tc>
        <w:tc>
          <w:tcPr>
            <w:tcW w:w="1194" w:type="dxa"/>
            <w:tcBorders>
              <w:top w:val="nil"/>
              <w:left w:val="nil"/>
              <w:bottom w:val="single" w:sz="4" w:space="0" w:color="000000"/>
              <w:right w:val="single" w:sz="4" w:space="0" w:color="000000"/>
            </w:tcBorders>
            <w:shd w:val="clear" w:color="auto" w:fill="auto"/>
            <w:noWrap/>
            <w:vAlign w:val="center"/>
            <w:hideMark/>
          </w:tcPr>
          <w:p w14:paraId="02CEB044"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 xml:space="preserve">      21,622 </w:t>
            </w:r>
          </w:p>
        </w:tc>
        <w:tc>
          <w:tcPr>
            <w:tcW w:w="1194" w:type="dxa"/>
            <w:tcBorders>
              <w:top w:val="nil"/>
              <w:left w:val="nil"/>
              <w:bottom w:val="single" w:sz="4" w:space="0" w:color="000000"/>
              <w:right w:val="single" w:sz="4" w:space="0" w:color="000000"/>
            </w:tcBorders>
            <w:shd w:val="clear" w:color="auto" w:fill="auto"/>
            <w:noWrap/>
            <w:vAlign w:val="center"/>
            <w:hideMark/>
          </w:tcPr>
          <w:p w14:paraId="4E4CD8F9" w14:textId="77777777" w:rsidR="00D33F7C" w:rsidRPr="00D33F7C" w:rsidRDefault="00D33F7C" w:rsidP="00D33F7C">
            <w:pPr>
              <w:jc w:val="right"/>
              <w:rPr>
                <w:rFonts w:ascii="Garamond" w:eastAsia="Times New Roman" w:hAnsi="Garamond"/>
                <w:color w:val="000000"/>
                <w:sz w:val="22"/>
                <w:szCs w:val="22"/>
                <w:lang w:val="en-IN" w:eastAsia="en-IN" w:bidi="hi-IN"/>
              </w:rPr>
            </w:pPr>
            <w:r w:rsidRPr="00D33F7C">
              <w:rPr>
                <w:rFonts w:ascii="Garamond" w:eastAsia="Times New Roman" w:hAnsi="Garamond"/>
                <w:color w:val="000000"/>
                <w:sz w:val="22"/>
                <w:szCs w:val="22"/>
                <w:lang w:val="en-IN" w:eastAsia="en-IN" w:bidi="hi-IN"/>
              </w:rPr>
              <w:t xml:space="preserve">      55,200 </w:t>
            </w:r>
          </w:p>
        </w:tc>
      </w:tr>
      <w:tr w:rsidR="00D33F7C" w:rsidRPr="00D33F7C" w14:paraId="39A713DA" w14:textId="77777777" w:rsidTr="00E213CE">
        <w:trPr>
          <w:trHeight w:val="251"/>
        </w:trPr>
        <w:tc>
          <w:tcPr>
            <w:tcW w:w="5580" w:type="dxa"/>
            <w:tcBorders>
              <w:top w:val="nil"/>
              <w:left w:val="single" w:sz="4" w:space="0" w:color="000000"/>
              <w:bottom w:val="single" w:sz="4" w:space="0" w:color="000000"/>
              <w:right w:val="single" w:sz="4" w:space="0" w:color="000000"/>
            </w:tcBorders>
            <w:shd w:val="clear" w:color="auto" w:fill="auto"/>
            <w:noWrap/>
            <w:vAlign w:val="center"/>
            <w:hideMark/>
          </w:tcPr>
          <w:p w14:paraId="4EB9AAFF" w14:textId="77777777" w:rsidR="00D33F7C" w:rsidRPr="00D33F7C" w:rsidRDefault="00D33F7C" w:rsidP="00D33F7C">
            <w:pPr>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Total Funds Mobilised (I+II)</w:t>
            </w:r>
          </w:p>
        </w:tc>
        <w:tc>
          <w:tcPr>
            <w:tcW w:w="1194" w:type="dxa"/>
            <w:tcBorders>
              <w:top w:val="nil"/>
              <w:left w:val="nil"/>
              <w:bottom w:val="single" w:sz="4" w:space="0" w:color="000000"/>
              <w:right w:val="single" w:sz="4" w:space="0" w:color="000000"/>
            </w:tcBorders>
            <w:shd w:val="clear" w:color="auto" w:fill="auto"/>
            <w:noWrap/>
            <w:vAlign w:val="center"/>
            <w:hideMark/>
          </w:tcPr>
          <w:p w14:paraId="43E1D5C6"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32,357</w:t>
            </w:r>
          </w:p>
        </w:tc>
        <w:tc>
          <w:tcPr>
            <w:tcW w:w="1194" w:type="dxa"/>
            <w:tcBorders>
              <w:top w:val="nil"/>
              <w:left w:val="nil"/>
              <w:bottom w:val="single" w:sz="4" w:space="0" w:color="000000"/>
              <w:right w:val="single" w:sz="4" w:space="0" w:color="000000"/>
            </w:tcBorders>
            <w:shd w:val="clear" w:color="auto" w:fill="auto"/>
            <w:noWrap/>
            <w:vAlign w:val="center"/>
            <w:hideMark/>
          </w:tcPr>
          <w:p w14:paraId="49D2DE4D" w14:textId="77777777" w:rsidR="00D33F7C" w:rsidRPr="00D33F7C" w:rsidRDefault="00D33F7C" w:rsidP="00D33F7C">
            <w:pPr>
              <w:jc w:val="right"/>
              <w:rPr>
                <w:rFonts w:ascii="Garamond" w:eastAsia="Times New Roman" w:hAnsi="Garamond"/>
                <w:b/>
                <w:bCs/>
                <w:color w:val="000000"/>
                <w:sz w:val="22"/>
                <w:szCs w:val="22"/>
                <w:lang w:val="en-IN" w:eastAsia="en-IN" w:bidi="hi-IN"/>
              </w:rPr>
            </w:pPr>
            <w:r w:rsidRPr="00D33F7C">
              <w:rPr>
                <w:rFonts w:ascii="Garamond" w:eastAsia="Times New Roman" w:hAnsi="Garamond"/>
                <w:b/>
                <w:bCs/>
                <w:color w:val="000000"/>
                <w:sz w:val="22"/>
                <w:szCs w:val="22"/>
                <w:lang w:val="en-IN" w:eastAsia="en-IN" w:bidi="hi-IN"/>
              </w:rPr>
              <w:t>79,852</w:t>
            </w:r>
          </w:p>
        </w:tc>
      </w:tr>
    </w:tbl>
    <w:p w14:paraId="59B170E7" w14:textId="77777777" w:rsidR="00D33F7C" w:rsidRPr="00D33F7C" w:rsidRDefault="00D33F7C" w:rsidP="00D33F7C">
      <w:pPr>
        <w:widowControl w:val="0"/>
        <w:tabs>
          <w:tab w:val="right" w:pos="9888"/>
        </w:tabs>
        <w:spacing w:line="276" w:lineRule="auto"/>
        <w:jc w:val="both"/>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SEBI, NSE, BSE and MSEI</w:t>
      </w:r>
    </w:p>
    <w:p w14:paraId="07453E8A" w14:textId="77777777" w:rsidR="00D33F7C" w:rsidRPr="00D33F7C" w:rsidRDefault="00D33F7C" w:rsidP="00D33F7C">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14:paraId="067CE7D6" w14:textId="6F720F70"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June 2021, </w:t>
      </w:r>
      <w:r w:rsidR="007912B4">
        <w:rPr>
          <w:rFonts w:ascii="Palatino Linotype" w:eastAsia="Palatino Linotype" w:hAnsi="Palatino Linotype" w:cs="Palatino Linotype"/>
          <w:sz w:val="22"/>
          <w:szCs w:val="22"/>
        </w:rPr>
        <w:t xml:space="preserve">resource </w:t>
      </w:r>
      <w:r w:rsidR="007C2E4F">
        <w:rPr>
          <w:rFonts w:ascii="Palatino Linotype" w:eastAsia="Palatino Linotype" w:hAnsi="Palatino Linotype" w:cs="Palatino Linotype"/>
          <w:sz w:val="22"/>
          <w:szCs w:val="22"/>
        </w:rPr>
        <w:t>mobilisation through</w:t>
      </w:r>
      <w:r w:rsidR="007912B4">
        <w:rPr>
          <w:rFonts w:ascii="Palatino Linotype" w:eastAsia="Palatino Linotype" w:hAnsi="Palatino Linotype" w:cs="Palatino Linotype"/>
          <w:sz w:val="22"/>
          <w:szCs w:val="22"/>
        </w:rPr>
        <w:t xml:space="preserve"> IPO issuances was </w:t>
      </w:r>
      <w:r w:rsidR="007912B4" w:rsidRPr="00D33F7C">
        <w:rPr>
          <w:rFonts w:ascii="Times New Roman" w:eastAsia="Palatino Linotype" w:hAnsi="Times New Roman"/>
          <w:sz w:val="22"/>
          <w:szCs w:val="22"/>
        </w:rPr>
        <w:t>₹</w:t>
      </w:r>
      <w:r w:rsidR="007912B4">
        <w:rPr>
          <w:rFonts w:ascii="Times New Roman" w:eastAsia="Palatino Linotype" w:hAnsi="Times New Roman"/>
          <w:sz w:val="22"/>
          <w:szCs w:val="22"/>
        </w:rPr>
        <w:t>9,146 crore</w:t>
      </w:r>
      <w:r w:rsidR="007912B4">
        <w:rPr>
          <w:rFonts w:ascii="Palatino Linotype" w:eastAsia="Palatino Linotype" w:hAnsi="Palatino Linotype" w:cs="Palatino Linotype"/>
          <w:sz w:val="22"/>
          <w:szCs w:val="22"/>
        </w:rPr>
        <w:t xml:space="preserve"> </w:t>
      </w:r>
      <w:r w:rsidR="007C2E4F">
        <w:rPr>
          <w:rFonts w:ascii="Palatino Linotype" w:eastAsia="Palatino Linotype" w:hAnsi="Palatino Linotype" w:cs="Palatino Linotype"/>
          <w:sz w:val="22"/>
          <w:szCs w:val="22"/>
        </w:rPr>
        <w:t xml:space="preserve">through </w:t>
      </w:r>
      <w:r w:rsidR="007912B4">
        <w:rPr>
          <w:rFonts w:ascii="Palatino Linotype" w:eastAsia="Palatino Linotype" w:hAnsi="Palatino Linotype" w:cs="Palatino Linotype"/>
          <w:sz w:val="22"/>
          <w:szCs w:val="22"/>
        </w:rPr>
        <w:t xml:space="preserve">four main board </w:t>
      </w:r>
      <w:r w:rsidRPr="00D33F7C">
        <w:rPr>
          <w:rFonts w:ascii="Palatino Linotype" w:eastAsia="Palatino Linotype" w:hAnsi="Palatino Linotype" w:cs="Palatino Linotype"/>
          <w:sz w:val="22"/>
          <w:szCs w:val="22"/>
        </w:rPr>
        <w:t xml:space="preserve">IPO issues </w:t>
      </w:r>
      <w:r w:rsidR="00F45282">
        <w:rPr>
          <w:rFonts w:ascii="Palatino Linotype" w:eastAsia="Palatino Linotype" w:hAnsi="Palatino Linotype" w:cs="Palatino Linotype"/>
          <w:sz w:val="22"/>
          <w:szCs w:val="22"/>
        </w:rPr>
        <w:t>(</w:t>
      </w:r>
      <w:r w:rsidRPr="00D33F7C">
        <w:rPr>
          <w:rFonts w:ascii="Tahoma" w:eastAsia="Palatino Linotype" w:hAnsi="Tahoma" w:cs="Tahoma"/>
          <w:sz w:val="22"/>
          <w:szCs w:val="22"/>
        </w:rPr>
        <w:t xml:space="preserve">₹ </w:t>
      </w:r>
      <w:r w:rsidRPr="00D33F7C">
        <w:rPr>
          <w:rFonts w:ascii="Palatino Linotype" w:eastAsia="Palatino Linotype" w:hAnsi="Palatino Linotype" w:cs="Palatino Linotype"/>
          <w:sz w:val="22"/>
          <w:szCs w:val="22"/>
        </w:rPr>
        <w:t>9</w:t>
      </w:r>
      <w:r w:rsidR="007C2E4F">
        <w:rPr>
          <w:rFonts w:ascii="Palatino Linotype" w:eastAsia="Palatino Linotype" w:hAnsi="Palatino Linotype" w:cs="Palatino Linotype"/>
          <w:sz w:val="22"/>
          <w:szCs w:val="22"/>
        </w:rPr>
        <w:t>,</w:t>
      </w:r>
      <w:r w:rsidRPr="00D33F7C">
        <w:rPr>
          <w:rFonts w:ascii="Palatino Linotype" w:eastAsia="Palatino Linotype" w:hAnsi="Palatino Linotype" w:cs="Palatino Linotype"/>
          <w:sz w:val="22"/>
          <w:szCs w:val="22"/>
        </w:rPr>
        <w:t>122 crore</w:t>
      </w:r>
      <w:r w:rsidR="00F45282">
        <w:rPr>
          <w:rFonts w:ascii="Palatino Linotype" w:eastAsia="Palatino Linotype" w:hAnsi="Palatino Linotype" w:cs="Palatino Linotype"/>
          <w:sz w:val="22"/>
          <w:szCs w:val="22"/>
        </w:rPr>
        <w:t>)</w:t>
      </w:r>
      <w:r w:rsidRPr="00D33F7C">
        <w:rPr>
          <w:rFonts w:ascii="Palatino Linotype" w:eastAsia="Palatino Linotype" w:hAnsi="Palatino Linotype" w:cs="Palatino Linotype"/>
          <w:sz w:val="22"/>
          <w:szCs w:val="22"/>
        </w:rPr>
        <w:t xml:space="preserve"> and four SME IPO issues </w:t>
      </w:r>
      <w:r w:rsidR="00F45282">
        <w:rPr>
          <w:rFonts w:ascii="Palatino Linotype" w:eastAsia="Palatino Linotype" w:hAnsi="Palatino Linotype" w:cs="Palatino Linotype"/>
          <w:sz w:val="22"/>
          <w:szCs w:val="22"/>
        </w:rPr>
        <w:t>(</w:t>
      </w:r>
      <w:r w:rsidR="00F45282" w:rsidRPr="00D33F7C">
        <w:rPr>
          <w:rFonts w:ascii="Palatino Linotype" w:eastAsia="Palatino Linotype" w:hAnsi="Palatino Linotype" w:cs="Palatino Linotype"/>
          <w:sz w:val="22"/>
          <w:szCs w:val="22"/>
        </w:rPr>
        <w:t xml:space="preserve"> </w:t>
      </w:r>
      <w:r w:rsidRPr="00D33F7C">
        <w:rPr>
          <w:rFonts w:ascii="Times New Roman" w:eastAsia="Palatino Linotype" w:hAnsi="Times New Roman"/>
          <w:sz w:val="22"/>
          <w:szCs w:val="22"/>
        </w:rPr>
        <w:t>₹</w:t>
      </w:r>
      <w:r w:rsidRPr="007C2E4F">
        <w:rPr>
          <w:rFonts w:ascii="Palatino Linotype" w:eastAsia="Palatino Linotype" w:hAnsi="Palatino Linotype" w:cs="Palatino Linotype"/>
          <w:sz w:val="22"/>
          <w:szCs w:val="22"/>
        </w:rPr>
        <w:t>23</w:t>
      </w:r>
      <w:r w:rsidRPr="00D33F7C">
        <w:rPr>
          <w:rFonts w:ascii="Garamond" w:hAnsi="Garamond"/>
          <w:color w:val="000000"/>
          <w:sz w:val="22"/>
          <w:szCs w:val="22"/>
        </w:rPr>
        <w:t xml:space="preserve"> </w:t>
      </w:r>
      <w:r w:rsidRPr="00D33F7C">
        <w:rPr>
          <w:rFonts w:ascii="Palatino Linotype" w:eastAsia="Palatino Linotype" w:hAnsi="Palatino Linotype" w:cs="Palatino Linotype"/>
          <w:sz w:val="22"/>
          <w:szCs w:val="22"/>
        </w:rPr>
        <w:t>crore</w:t>
      </w:r>
      <w:r w:rsidR="00F45282">
        <w:rPr>
          <w:rFonts w:ascii="Palatino Linotype" w:eastAsia="Palatino Linotype" w:hAnsi="Palatino Linotype" w:cs="Palatino Linotype"/>
          <w:sz w:val="22"/>
          <w:szCs w:val="22"/>
        </w:rPr>
        <w:t xml:space="preserve">) </w:t>
      </w:r>
      <w:r w:rsidRPr="00D33F7C">
        <w:rPr>
          <w:rFonts w:ascii="Palatino Linotype" w:eastAsia="Palatino Linotype" w:hAnsi="Palatino Linotype" w:cs="Palatino Linotype"/>
          <w:sz w:val="22"/>
          <w:szCs w:val="22"/>
        </w:rPr>
        <w:t xml:space="preserve">,compared </w:t>
      </w:r>
      <w:r w:rsidR="007C2E4F">
        <w:rPr>
          <w:rFonts w:ascii="Palatino Linotype" w:eastAsia="Palatino Linotype" w:hAnsi="Palatino Linotype" w:cs="Palatino Linotype"/>
          <w:sz w:val="22"/>
          <w:szCs w:val="22"/>
        </w:rPr>
        <w:t xml:space="preserve">to </w:t>
      </w:r>
      <w:r w:rsidR="00E213CE">
        <w:rPr>
          <w:rFonts w:ascii="Palatino Linotype" w:eastAsia="Palatino Linotype" w:hAnsi="Palatino Linotype" w:cs="Palatino Linotype"/>
          <w:sz w:val="22"/>
          <w:szCs w:val="22"/>
        </w:rPr>
        <w:t>a s</w:t>
      </w:r>
      <w:r w:rsidR="007C2E4F">
        <w:rPr>
          <w:rFonts w:ascii="Palatino Linotype" w:eastAsia="Palatino Linotype" w:hAnsi="Palatino Linotype" w:cs="Palatino Linotype"/>
          <w:sz w:val="22"/>
          <w:szCs w:val="22"/>
        </w:rPr>
        <w:t xml:space="preserve">ingle </w:t>
      </w:r>
      <w:r w:rsidRPr="00D33F7C">
        <w:rPr>
          <w:rFonts w:ascii="Palatino Linotype" w:eastAsia="Palatino Linotype" w:hAnsi="Palatino Linotype" w:cs="Palatino Linotype"/>
          <w:sz w:val="22"/>
          <w:szCs w:val="22"/>
        </w:rPr>
        <w:t xml:space="preserve">SME IPO issue </w:t>
      </w:r>
      <w:r w:rsidR="00F45282">
        <w:rPr>
          <w:rFonts w:ascii="Palatino Linotype" w:eastAsia="Palatino Linotype" w:hAnsi="Palatino Linotype" w:cs="Palatino Linotype"/>
          <w:sz w:val="22"/>
          <w:szCs w:val="22"/>
        </w:rPr>
        <w:t>which raised</w:t>
      </w:r>
      <w:r w:rsidR="00F45282" w:rsidRPr="00D33F7C">
        <w:rPr>
          <w:rFonts w:ascii="Palatino Linotype" w:eastAsia="Palatino Linotype" w:hAnsi="Palatino Linotype" w:cs="Palatino Linotype"/>
          <w:sz w:val="22"/>
          <w:szCs w:val="22"/>
        </w:rPr>
        <w:t xml:space="preserve"> </w:t>
      </w:r>
      <w:r w:rsidRPr="00D33F7C">
        <w:rPr>
          <w:rFonts w:ascii="Tahoma" w:eastAsia="Palatino Linotype" w:hAnsi="Tahoma" w:cs="Tahoma"/>
          <w:sz w:val="22"/>
          <w:szCs w:val="22"/>
        </w:rPr>
        <w:t>₹</w:t>
      </w:r>
      <w:r w:rsidR="00E213CE">
        <w:rPr>
          <w:rFonts w:ascii="Palatino Linotype" w:eastAsia="Palatino Linotype" w:hAnsi="Palatino Linotype" w:cs="Palatino Linotype"/>
          <w:sz w:val="22"/>
          <w:szCs w:val="22"/>
        </w:rPr>
        <w:t>one</w:t>
      </w:r>
      <w:r w:rsidRPr="007C2E4F">
        <w:rPr>
          <w:rFonts w:ascii="Palatino Linotype" w:eastAsia="Palatino Linotype" w:hAnsi="Palatino Linotype" w:cs="Palatino Linotype"/>
          <w:sz w:val="22"/>
          <w:szCs w:val="22"/>
        </w:rPr>
        <w:t xml:space="preserve"> </w:t>
      </w:r>
      <w:r w:rsidRPr="00D33F7C">
        <w:rPr>
          <w:rFonts w:ascii="Palatino Linotype" w:eastAsia="Palatino Linotype" w:hAnsi="Palatino Linotype" w:cs="Palatino Linotype"/>
          <w:sz w:val="22"/>
          <w:szCs w:val="22"/>
        </w:rPr>
        <w:t xml:space="preserve">crore in May 2021.  </w:t>
      </w:r>
    </w:p>
    <w:p w14:paraId="00D6BCF6" w14:textId="1B3A591D" w:rsidR="00D33F7C" w:rsidRPr="00D33F7C" w:rsidRDefault="00F45282"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T</w:t>
      </w:r>
      <w:r w:rsidR="00D33F7C" w:rsidRPr="00D33F7C">
        <w:rPr>
          <w:rFonts w:ascii="Palatino Linotype" w:eastAsia="Palatino Linotype" w:hAnsi="Palatino Linotype" w:cs="Palatino Linotype"/>
          <w:sz w:val="22"/>
          <w:szCs w:val="22"/>
        </w:rPr>
        <w:t xml:space="preserve">wo rights issues </w:t>
      </w:r>
      <w:r w:rsidR="0067060D">
        <w:rPr>
          <w:rFonts w:ascii="Palatino Linotype" w:eastAsia="Palatino Linotype" w:hAnsi="Palatino Linotype" w:cs="Palatino Linotype"/>
          <w:sz w:val="22"/>
          <w:szCs w:val="22"/>
        </w:rPr>
        <w:t xml:space="preserve">garnered </w:t>
      </w:r>
      <w:r w:rsidR="0067060D" w:rsidRPr="00D33F7C">
        <w:rPr>
          <w:rFonts w:ascii="Times New Roman" w:eastAsia="Palatino Linotype" w:hAnsi="Times New Roman"/>
          <w:sz w:val="22"/>
          <w:szCs w:val="22"/>
        </w:rPr>
        <w:t>₹</w:t>
      </w:r>
      <w:r w:rsidR="00D33F7C" w:rsidRPr="00D33F7C">
        <w:rPr>
          <w:rFonts w:ascii="Palatino Linotype" w:eastAsia="Palatino Linotype" w:hAnsi="Palatino Linotype" w:cs="Palatino Linotype"/>
          <w:sz w:val="22"/>
          <w:szCs w:val="22"/>
        </w:rPr>
        <w:t xml:space="preserve">404 crore </w:t>
      </w:r>
      <w:r>
        <w:rPr>
          <w:rFonts w:ascii="Palatino Linotype" w:eastAsia="Palatino Linotype" w:hAnsi="Palatino Linotype" w:cs="Palatino Linotype"/>
          <w:sz w:val="22"/>
          <w:szCs w:val="22"/>
        </w:rPr>
        <w:t xml:space="preserve">in June 2021 </w:t>
      </w:r>
      <w:r w:rsidR="00D33F7C" w:rsidRPr="00D33F7C">
        <w:rPr>
          <w:rFonts w:ascii="Palatino Linotype" w:eastAsia="Palatino Linotype" w:hAnsi="Palatino Linotype" w:cs="Palatino Linotype"/>
          <w:sz w:val="22"/>
          <w:szCs w:val="22"/>
        </w:rPr>
        <w:t xml:space="preserve">compared to one rights issue </w:t>
      </w:r>
      <w:r w:rsidR="0067060D">
        <w:rPr>
          <w:rFonts w:ascii="Palatino Linotype" w:eastAsia="Palatino Linotype" w:hAnsi="Palatino Linotype" w:cs="Palatino Linotype"/>
          <w:sz w:val="22"/>
          <w:szCs w:val="22"/>
        </w:rPr>
        <w:t xml:space="preserve">which mobilised </w:t>
      </w:r>
      <w:r w:rsidR="00D33F7C" w:rsidRPr="00D33F7C">
        <w:rPr>
          <w:rFonts w:ascii="Tahoma" w:eastAsia="Palatino Linotype" w:hAnsi="Tahoma" w:cs="Tahoma"/>
          <w:b/>
          <w:sz w:val="20"/>
          <w:szCs w:val="22"/>
        </w:rPr>
        <w:t>₹</w:t>
      </w:r>
      <w:r w:rsidR="00D33F7C" w:rsidRPr="00D33F7C">
        <w:rPr>
          <w:rFonts w:ascii="Palatino Linotype" w:eastAsia="Palatino Linotype" w:hAnsi="Palatino Linotype" w:cs="Palatino Linotype"/>
          <w:sz w:val="22"/>
          <w:szCs w:val="22"/>
        </w:rPr>
        <w:t>25 crore in May 2021.</w:t>
      </w:r>
    </w:p>
    <w:p w14:paraId="491BD008" w14:textId="416B7F5C" w:rsidR="00D33F7C" w:rsidRPr="00D33F7C" w:rsidRDefault="00E213CE"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P</w:t>
      </w:r>
      <w:r w:rsidR="00D33F7C" w:rsidRPr="00D33F7C">
        <w:rPr>
          <w:rFonts w:ascii="Palatino Linotype" w:eastAsia="Palatino Linotype" w:hAnsi="Palatino Linotype" w:cs="Palatino Linotype"/>
          <w:sz w:val="22"/>
          <w:szCs w:val="22"/>
        </w:rPr>
        <w:t xml:space="preserve">ublic issues of corporate bonds </w:t>
      </w:r>
      <w:r>
        <w:rPr>
          <w:rFonts w:ascii="Palatino Linotype" w:eastAsia="Palatino Linotype" w:hAnsi="Palatino Linotype" w:cs="Palatino Linotype"/>
          <w:sz w:val="22"/>
          <w:szCs w:val="22"/>
        </w:rPr>
        <w:t>were nil during the month.</w:t>
      </w:r>
    </w:p>
    <w:p w14:paraId="4B089242" w14:textId="2879679B"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An amount of </w:t>
      </w:r>
      <w:r w:rsidRPr="00D33F7C">
        <w:rPr>
          <w:rFonts w:ascii="Times New Roman" w:eastAsia="Palatino Linotype" w:hAnsi="Times New Roman"/>
          <w:sz w:val="22"/>
          <w:szCs w:val="22"/>
        </w:rPr>
        <w:t>₹15</w:t>
      </w:r>
      <w:r w:rsidRPr="00D33F7C">
        <w:rPr>
          <w:rFonts w:ascii="Palatino Linotype" w:eastAsia="Palatino Linotype" w:hAnsi="Palatino Linotype" w:cs="Palatino Linotype"/>
          <w:sz w:val="22"/>
          <w:szCs w:val="22"/>
        </w:rPr>
        <w:t xml:space="preserve">,102 crore </w:t>
      </w:r>
      <w:r w:rsidR="0067060D">
        <w:rPr>
          <w:rFonts w:ascii="Palatino Linotype" w:eastAsia="Palatino Linotype" w:hAnsi="Palatino Linotype" w:cs="Palatino Linotype"/>
          <w:sz w:val="22"/>
          <w:szCs w:val="22"/>
        </w:rPr>
        <w:t>was</w:t>
      </w:r>
      <w:r w:rsidRPr="00D33F7C">
        <w:rPr>
          <w:rFonts w:ascii="Palatino Linotype" w:eastAsia="Palatino Linotype" w:hAnsi="Palatino Linotype" w:cs="Palatino Linotype"/>
          <w:sz w:val="22"/>
          <w:szCs w:val="22"/>
        </w:rPr>
        <w:t xml:space="preserve"> raised through private placement of equity (i.e., preferential allotment and QIPs)</w:t>
      </w:r>
      <w:r w:rsidR="0067060D">
        <w:rPr>
          <w:rFonts w:ascii="Palatino Linotype" w:eastAsia="Palatino Linotype" w:hAnsi="Palatino Linotype" w:cs="Palatino Linotype"/>
          <w:sz w:val="22"/>
          <w:szCs w:val="22"/>
        </w:rPr>
        <w:t xml:space="preserve"> in June 2021</w:t>
      </w:r>
      <w:r w:rsidRPr="00D33F7C">
        <w:rPr>
          <w:rFonts w:ascii="Palatino Linotype" w:eastAsia="Palatino Linotype" w:hAnsi="Palatino Linotype" w:cs="Palatino Linotype"/>
          <w:sz w:val="22"/>
          <w:szCs w:val="22"/>
        </w:rPr>
        <w:t xml:space="preserve">, </w:t>
      </w:r>
      <w:r w:rsidR="0067060D">
        <w:rPr>
          <w:rFonts w:ascii="Palatino Linotype" w:eastAsia="Palatino Linotype" w:hAnsi="Palatino Linotype" w:cs="Palatino Linotype"/>
          <w:sz w:val="22"/>
          <w:szCs w:val="22"/>
        </w:rPr>
        <w:t xml:space="preserve">as </w:t>
      </w:r>
      <w:r w:rsidRPr="00D33F7C">
        <w:rPr>
          <w:rFonts w:ascii="Palatino Linotype" w:eastAsia="Palatino Linotype" w:hAnsi="Palatino Linotype" w:cs="Palatino Linotype"/>
          <w:sz w:val="22"/>
          <w:szCs w:val="22"/>
        </w:rPr>
        <w:t xml:space="preserve">against </w:t>
      </w:r>
      <w:r w:rsidRPr="00D33F7C">
        <w:rPr>
          <w:rFonts w:ascii="Tahoma" w:eastAsia="Palatino Linotype" w:hAnsi="Tahoma" w:cs="Tahoma"/>
          <w:sz w:val="22"/>
          <w:szCs w:val="22"/>
        </w:rPr>
        <w:t>₹</w:t>
      </w:r>
      <w:r w:rsidRPr="00D33F7C">
        <w:rPr>
          <w:rFonts w:ascii="Palatino Linotype" w:eastAsia="Palatino Linotype" w:hAnsi="Palatino Linotype" w:cs="Palatino Linotype"/>
          <w:sz w:val="22"/>
          <w:szCs w:val="22"/>
        </w:rPr>
        <w:t xml:space="preserve">9,444 crore raised during May 2021. </w:t>
      </w:r>
    </w:p>
    <w:p w14:paraId="22DFBAA1" w14:textId="329EBF9F"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Private placement of corporate debt reported on exchanges stood at </w:t>
      </w:r>
      <w:r w:rsidRPr="007912B4">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55,200 crore</w:t>
      </w:r>
      <w:r w:rsidR="0067060D">
        <w:rPr>
          <w:rFonts w:ascii="Palatino Linotype" w:eastAsia="Palatino Linotype" w:hAnsi="Palatino Linotype" w:cs="Palatino Linotype"/>
          <w:sz w:val="22"/>
          <w:szCs w:val="22"/>
        </w:rPr>
        <w:t xml:space="preserve"> in June 2021</w:t>
      </w:r>
      <w:r w:rsidRPr="00D33F7C">
        <w:rPr>
          <w:rFonts w:ascii="Palatino Linotype" w:eastAsia="Palatino Linotype" w:hAnsi="Palatino Linotype" w:cs="Palatino Linotype"/>
          <w:sz w:val="22"/>
          <w:szCs w:val="22"/>
        </w:rPr>
        <w:t xml:space="preserve">, compared to </w:t>
      </w:r>
      <w:r w:rsidRPr="007C2E4F">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21,622 crore during May 20</w:t>
      </w:r>
      <w:r w:rsidR="0067060D">
        <w:rPr>
          <w:rFonts w:ascii="Palatino Linotype" w:eastAsia="Palatino Linotype" w:hAnsi="Palatino Linotype" w:cs="Palatino Linotype"/>
          <w:sz w:val="22"/>
          <w:szCs w:val="22"/>
        </w:rPr>
        <w:t>21, an increase of 155 per cent.</w:t>
      </w:r>
    </w:p>
    <w:p w14:paraId="7C07855B" w14:textId="77777777" w:rsidR="00D33F7C" w:rsidRPr="00D33F7C" w:rsidRDefault="00D33F7C" w:rsidP="00D33F7C">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14:paraId="4793F037" w14:textId="77777777" w:rsidR="00D33F7C" w:rsidRPr="00D33F7C" w:rsidRDefault="00D33F7C" w:rsidP="00D33F7C">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Trends in the Secondary Market</w:t>
      </w:r>
    </w:p>
    <w:p w14:paraId="11734713" w14:textId="77777777" w:rsidR="00D33F7C" w:rsidRPr="00D33F7C" w:rsidRDefault="00D33F7C" w:rsidP="00D33F7C">
      <w:pPr>
        <w:widowControl w:val="0"/>
        <w:tabs>
          <w:tab w:val="left" w:pos="3915"/>
        </w:tabs>
        <w:spacing w:line="276" w:lineRule="auto"/>
        <w:jc w:val="both"/>
        <w:rPr>
          <w:rFonts w:ascii="Palatino Linotype" w:eastAsia="Palatino Linotype" w:hAnsi="Palatino Linotype" w:cs="Palatino Linotype"/>
          <w:b/>
          <w:sz w:val="22"/>
          <w:szCs w:val="22"/>
        </w:rPr>
      </w:pPr>
    </w:p>
    <w:p w14:paraId="0E7A5642"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At the end of June 2021, Nifty 50 closed at 15,722 registering an increase of 0.9 per cent as compared to the closing value of 15,583 at the end of May 2021.</w:t>
      </w:r>
    </w:p>
    <w:p w14:paraId="064BD7DB"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S&amp;P BSE Sensex closed at 52,483 at the end of June 2021, indicating an increase of 1.0 per cent as compared to the closing value of 51,937 at the end of May 2021.</w:t>
      </w:r>
    </w:p>
    <w:p w14:paraId="26A490AD"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Nifty 50 and S&amp;P BSE Sensex reached their intraday high for the month at 15,916 and 53,127 respectively, on June 28, 2021 and their intraday low for the month at 15,451 and 51,451 respectively, on June 02, 2021.</w:t>
      </w:r>
    </w:p>
    <w:p w14:paraId="124F0575"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The P/E ratios of S&amp;P BSE Sensex and Nifty 50 were </w:t>
      </w:r>
      <w:r w:rsidRPr="00D33F7C">
        <w:rPr>
          <w:rFonts w:ascii="Palatino Linotype" w:eastAsia="Palatino Linotype" w:hAnsi="Palatino Linotype" w:cs="Palatino Linotype"/>
          <w:color w:val="000000" w:themeColor="text1"/>
          <w:sz w:val="22"/>
          <w:szCs w:val="22"/>
        </w:rPr>
        <w:t xml:space="preserve">32.0 and 28.3, </w:t>
      </w:r>
      <w:r w:rsidRPr="00D33F7C">
        <w:rPr>
          <w:rFonts w:ascii="Palatino Linotype" w:eastAsia="Palatino Linotype" w:hAnsi="Palatino Linotype" w:cs="Palatino Linotype"/>
          <w:sz w:val="22"/>
          <w:szCs w:val="22"/>
        </w:rPr>
        <w:t xml:space="preserve">respectively, at the end of June 2021 compared to </w:t>
      </w:r>
      <w:r w:rsidRPr="00D33F7C">
        <w:rPr>
          <w:rFonts w:ascii="Palatino Linotype" w:eastAsia="Palatino Linotype" w:hAnsi="Palatino Linotype" w:cs="Palatino Linotype"/>
          <w:color w:val="000000" w:themeColor="text1"/>
          <w:sz w:val="22"/>
          <w:szCs w:val="22"/>
        </w:rPr>
        <w:t>31.3 and 29.2</w:t>
      </w:r>
      <w:r w:rsidRPr="00D33F7C">
        <w:rPr>
          <w:rFonts w:ascii="Palatino Linotype" w:eastAsia="Palatino Linotype" w:hAnsi="Palatino Linotype" w:cs="Palatino Linotype"/>
          <w:sz w:val="22"/>
          <w:szCs w:val="22"/>
        </w:rPr>
        <w:t>, respectively, at the end of May 2021.</w:t>
      </w:r>
    </w:p>
    <w:p w14:paraId="7C910D5A" w14:textId="77777777" w:rsid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14:paraId="05C721BE" w14:textId="77777777" w:rsidR="007C2E4F" w:rsidRPr="00D33F7C" w:rsidRDefault="007C2E4F"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14:paraId="63BA2A35" w14:textId="77777777" w:rsidR="00D33F7C" w:rsidRPr="00D33F7C" w:rsidRDefault="00D33F7C" w:rsidP="00D33F7C">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14:paraId="77F21E79" w14:textId="77777777" w:rsidR="00D33F7C" w:rsidRPr="00D33F7C" w:rsidRDefault="00D33F7C" w:rsidP="00D33F7C">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lastRenderedPageBreak/>
        <w:t xml:space="preserve">Table 2: Snapshot of Indian Capital Market </w:t>
      </w:r>
    </w:p>
    <w:tbl>
      <w:tblPr>
        <w:tblW w:w="8208" w:type="dxa"/>
        <w:tblLook w:val="04A0" w:firstRow="1" w:lastRow="0" w:firstColumn="1" w:lastColumn="0" w:noHBand="0" w:noVBand="1"/>
      </w:tblPr>
      <w:tblGrid>
        <w:gridCol w:w="2987"/>
        <w:gridCol w:w="1687"/>
        <w:gridCol w:w="1688"/>
        <w:gridCol w:w="1846"/>
      </w:tblGrid>
      <w:tr w:rsidR="00D33F7C" w:rsidRPr="00D33F7C" w14:paraId="4BA4F6EC" w14:textId="77777777" w:rsidTr="00E213CE">
        <w:trPr>
          <w:trHeight w:val="687"/>
        </w:trPr>
        <w:tc>
          <w:tcPr>
            <w:tcW w:w="2987"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14:paraId="1E880564"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Description</w:t>
            </w:r>
          </w:p>
        </w:tc>
        <w:tc>
          <w:tcPr>
            <w:tcW w:w="1687" w:type="dxa"/>
            <w:tcBorders>
              <w:top w:val="single" w:sz="4" w:space="0" w:color="000000"/>
              <w:left w:val="nil"/>
              <w:bottom w:val="single" w:sz="4" w:space="0" w:color="000000"/>
              <w:right w:val="single" w:sz="4" w:space="0" w:color="000000"/>
            </w:tcBorders>
            <w:shd w:val="clear" w:color="92CDDC" w:fill="92CDDC"/>
            <w:noWrap/>
            <w:vAlign w:val="center"/>
            <w:hideMark/>
          </w:tcPr>
          <w:p w14:paraId="63438380" w14:textId="77777777" w:rsidR="00D33F7C" w:rsidRPr="00D33F7C" w:rsidRDefault="00D33F7C" w:rsidP="00D33F7C">
            <w:pPr>
              <w:jc w:val="cente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May-21</w:t>
            </w:r>
          </w:p>
        </w:tc>
        <w:tc>
          <w:tcPr>
            <w:tcW w:w="1687" w:type="dxa"/>
            <w:tcBorders>
              <w:top w:val="single" w:sz="4" w:space="0" w:color="000000"/>
              <w:left w:val="nil"/>
              <w:bottom w:val="single" w:sz="4" w:space="0" w:color="000000"/>
              <w:right w:val="single" w:sz="4" w:space="0" w:color="000000"/>
            </w:tcBorders>
            <w:shd w:val="clear" w:color="92CDDC" w:fill="92CDDC"/>
            <w:noWrap/>
            <w:vAlign w:val="center"/>
            <w:hideMark/>
          </w:tcPr>
          <w:p w14:paraId="3018ABDA" w14:textId="77777777" w:rsidR="00D33F7C" w:rsidRPr="00D33F7C" w:rsidRDefault="00D33F7C" w:rsidP="00D33F7C">
            <w:pPr>
              <w:jc w:val="cente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Jun-21</w:t>
            </w:r>
          </w:p>
        </w:tc>
        <w:tc>
          <w:tcPr>
            <w:tcW w:w="1846" w:type="dxa"/>
            <w:tcBorders>
              <w:top w:val="single" w:sz="4" w:space="0" w:color="000000"/>
              <w:left w:val="nil"/>
              <w:bottom w:val="single" w:sz="4" w:space="0" w:color="000000"/>
              <w:right w:val="single" w:sz="4" w:space="0" w:color="000000"/>
            </w:tcBorders>
            <w:shd w:val="clear" w:color="92CDDC" w:fill="92CDDC"/>
            <w:vAlign w:val="center"/>
            <w:hideMark/>
          </w:tcPr>
          <w:p w14:paraId="3D85A8AE" w14:textId="77777777" w:rsidR="00D33F7C" w:rsidRPr="00D33F7C" w:rsidRDefault="00D33F7C" w:rsidP="00D33F7C">
            <w:pPr>
              <w:jc w:val="cente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Change during the Month</w:t>
            </w:r>
          </w:p>
        </w:tc>
      </w:tr>
      <w:tr w:rsidR="00D33F7C" w:rsidRPr="00D33F7C" w14:paraId="76DAE6B3" w14:textId="77777777" w:rsidTr="00E213CE">
        <w:trPr>
          <w:trHeight w:val="277"/>
        </w:trPr>
        <w:tc>
          <w:tcPr>
            <w:tcW w:w="2987" w:type="dxa"/>
            <w:tcBorders>
              <w:top w:val="nil"/>
              <w:left w:val="single" w:sz="4" w:space="0" w:color="000000"/>
              <w:bottom w:val="single" w:sz="4" w:space="0" w:color="000000"/>
              <w:right w:val="nil"/>
            </w:tcBorders>
            <w:shd w:val="clear" w:color="C6E0B4" w:fill="C6E0B4"/>
            <w:noWrap/>
            <w:vAlign w:val="center"/>
            <w:hideMark/>
          </w:tcPr>
          <w:p w14:paraId="12A1A22A"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Index in Equity Market</w:t>
            </w:r>
          </w:p>
        </w:tc>
        <w:tc>
          <w:tcPr>
            <w:tcW w:w="1687" w:type="dxa"/>
            <w:tcBorders>
              <w:top w:val="nil"/>
              <w:left w:val="nil"/>
              <w:bottom w:val="single" w:sz="4" w:space="0" w:color="000000"/>
              <w:right w:val="nil"/>
            </w:tcBorders>
            <w:shd w:val="clear" w:color="C6E0B4" w:fill="C6E0B4"/>
            <w:noWrap/>
            <w:vAlign w:val="center"/>
            <w:hideMark/>
          </w:tcPr>
          <w:p w14:paraId="5DD6E459"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687" w:type="dxa"/>
            <w:tcBorders>
              <w:top w:val="nil"/>
              <w:left w:val="nil"/>
              <w:bottom w:val="single" w:sz="4" w:space="0" w:color="000000"/>
              <w:right w:val="nil"/>
            </w:tcBorders>
            <w:shd w:val="clear" w:color="C6E0B4" w:fill="C6E0B4"/>
            <w:noWrap/>
            <w:vAlign w:val="center"/>
            <w:hideMark/>
          </w:tcPr>
          <w:p w14:paraId="180301ED"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846" w:type="dxa"/>
            <w:tcBorders>
              <w:top w:val="nil"/>
              <w:left w:val="nil"/>
              <w:bottom w:val="single" w:sz="4" w:space="0" w:color="000000"/>
              <w:right w:val="single" w:sz="4" w:space="0" w:color="000000"/>
            </w:tcBorders>
            <w:shd w:val="clear" w:color="C6E0B4" w:fill="C6E0B4"/>
            <w:noWrap/>
            <w:vAlign w:val="center"/>
            <w:hideMark/>
          </w:tcPr>
          <w:p w14:paraId="466DA189"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1D3B75BB"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46D14A60"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Nifty 50</w:t>
            </w:r>
          </w:p>
        </w:tc>
        <w:tc>
          <w:tcPr>
            <w:tcW w:w="1687" w:type="dxa"/>
            <w:tcBorders>
              <w:top w:val="nil"/>
              <w:left w:val="nil"/>
              <w:bottom w:val="single" w:sz="4" w:space="0" w:color="000000"/>
              <w:right w:val="single" w:sz="4" w:space="0" w:color="000000"/>
            </w:tcBorders>
            <w:shd w:val="clear" w:color="auto" w:fill="auto"/>
            <w:noWrap/>
            <w:vAlign w:val="bottom"/>
            <w:hideMark/>
          </w:tcPr>
          <w:p w14:paraId="661F2DB3"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15,583 </w:t>
            </w:r>
          </w:p>
        </w:tc>
        <w:tc>
          <w:tcPr>
            <w:tcW w:w="1687" w:type="dxa"/>
            <w:tcBorders>
              <w:top w:val="nil"/>
              <w:left w:val="nil"/>
              <w:bottom w:val="single" w:sz="4" w:space="0" w:color="000000"/>
              <w:right w:val="single" w:sz="4" w:space="0" w:color="000000"/>
            </w:tcBorders>
            <w:shd w:val="clear" w:color="auto" w:fill="auto"/>
            <w:noWrap/>
            <w:vAlign w:val="bottom"/>
            <w:hideMark/>
          </w:tcPr>
          <w:p w14:paraId="55290A49"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15,722 </w:t>
            </w:r>
          </w:p>
        </w:tc>
        <w:tc>
          <w:tcPr>
            <w:tcW w:w="1846" w:type="dxa"/>
            <w:tcBorders>
              <w:top w:val="nil"/>
              <w:left w:val="nil"/>
              <w:bottom w:val="single" w:sz="4" w:space="0" w:color="000000"/>
              <w:right w:val="single" w:sz="4" w:space="0" w:color="000000"/>
            </w:tcBorders>
            <w:shd w:val="clear" w:color="auto" w:fill="auto"/>
            <w:noWrap/>
            <w:vAlign w:val="bottom"/>
            <w:hideMark/>
          </w:tcPr>
          <w:p w14:paraId="227C7FB1"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0.9</w:t>
            </w:r>
          </w:p>
        </w:tc>
      </w:tr>
      <w:tr w:rsidR="00D33F7C" w:rsidRPr="00D33F7C" w14:paraId="48BA0514"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0D2044E7"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Sensex</w:t>
            </w:r>
          </w:p>
        </w:tc>
        <w:tc>
          <w:tcPr>
            <w:tcW w:w="1687" w:type="dxa"/>
            <w:tcBorders>
              <w:top w:val="nil"/>
              <w:left w:val="nil"/>
              <w:bottom w:val="single" w:sz="4" w:space="0" w:color="000000"/>
              <w:right w:val="single" w:sz="4" w:space="0" w:color="000000"/>
            </w:tcBorders>
            <w:shd w:val="clear" w:color="auto" w:fill="auto"/>
            <w:noWrap/>
            <w:vAlign w:val="bottom"/>
            <w:hideMark/>
          </w:tcPr>
          <w:p w14:paraId="2A000DB6"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51,937 </w:t>
            </w:r>
          </w:p>
        </w:tc>
        <w:tc>
          <w:tcPr>
            <w:tcW w:w="1687" w:type="dxa"/>
            <w:tcBorders>
              <w:top w:val="nil"/>
              <w:left w:val="nil"/>
              <w:bottom w:val="single" w:sz="4" w:space="0" w:color="000000"/>
              <w:right w:val="single" w:sz="4" w:space="0" w:color="000000"/>
            </w:tcBorders>
            <w:shd w:val="clear" w:color="auto" w:fill="auto"/>
            <w:noWrap/>
            <w:vAlign w:val="bottom"/>
            <w:hideMark/>
          </w:tcPr>
          <w:p w14:paraId="5F1AD702"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52,483 </w:t>
            </w:r>
          </w:p>
        </w:tc>
        <w:tc>
          <w:tcPr>
            <w:tcW w:w="1846" w:type="dxa"/>
            <w:tcBorders>
              <w:top w:val="nil"/>
              <w:left w:val="nil"/>
              <w:bottom w:val="single" w:sz="4" w:space="0" w:color="000000"/>
              <w:right w:val="single" w:sz="4" w:space="0" w:color="000000"/>
            </w:tcBorders>
            <w:shd w:val="clear" w:color="auto" w:fill="auto"/>
            <w:noWrap/>
            <w:vAlign w:val="bottom"/>
            <w:hideMark/>
          </w:tcPr>
          <w:p w14:paraId="23B7440A"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1.0</w:t>
            </w:r>
          </w:p>
        </w:tc>
      </w:tr>
      <w:tr w:rsidR="00D33F7C" w:rsidRPr="00D33F7C" w14:paraId="08000495"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2361BB1E"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Nifty Midcap 50</w:t>
            </w:r>
          </w:p>
        </w:tc>
        <w:tc>
          <w:tcPr>
            <w:tcW w:w="1687" w:type="dxa"/>
            <w:tcBorders>
              <w:top w:val="nil"/>
              <w:left w:val="nil"/>
              <w:bottom w:val="single" w:sz="4" w:space="0" w:color="000000"/>
              <w:right w:val="single" w:sz="4" w:space="0" w:color="000000"/>
            </w:tcBorders>
            <w:shd w:val="clear" w:color="auto" w:fill="auto"/>
            <w:noWrap/>
            <w:vAlign w:val="bottom"/>
            <w:hideMark/>
          </w:tcPr>
          <w:p w14:paraId="7754221F"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7,206 </w:t>
            </w:r>
          </w:p>
        </w:tc>
        <w:tc>
          <w:tcPr>
            <w:tcW w:w="1687" w:type="dxa"/>
            <w:tcBorders>
              <w:top w:val="nil"/>
              <w:left w:val="nil"/>
              <w:bottom w:val="single" w:sz="4" w:space="0" w:color="000000"/>
              <w:right w:val="single" w:sz="4" w:space="0" w:color="000000"/>
            </w:tcBorders>
            <w:shd w:val="clear" w:color="auto" w:fill="auto"/>
            <w:noWrap/>
            <w:vAlign w:val="bottom"/>
            <w:hideMark/>
          </w:tcPr>
          <w:p w14:paraId="71ADF040"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7,475 </w:t>
            </w:r>
          </w:p>
        </w:tc>
        <w:tc>
          <w:tcPr>
            <w:tcW w:w="1846" w:type="dxa"/>
            <w:tcBorders>
              <w:top w:val="nil"/>
              <w:left w:val="nil"/>
              <w:bottom w:val="single" w:sz="4" w:space="0" w:color="000000"/>
              <w:right w:val="single" w:sz="4" w:space="0" w:color="000000"/>
            </w:tcBorders>
            <w:shd w:val="clear" w:color="auto" w:fill="auto"/>
            <w:noWrap/>
            <w:vAlign w:val="bottom"/>
            <w:hideMark/>
          </w:tcPr>
          <w:p w14:paraId="38E6C428"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3.7</w:t>
            </w:r>
          </w:p>
        </w:tc>
      </w:tr>
      <w:tr w:rsidR="00D33F7C" w:rsidRPr="00D33F7C" w14:paraId="6C83FEAE"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03BC77A3"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Nifty Smallcap 100</w:t>
            </w:r>
          </w:p>
        </w:tc>
        <w:tc>
          <w:tcPr>
            <w:tcW w:w="1687" w:type="dxa"/>
            <w:tcBorders>
              <w:top w:val="nil"/>
              <w:left w:val="nil"/>
              <w:bottom w:val="single" w:sz="4" w:space="0" w:color="000000"/>
              <w:right w:val="single" w:sz="4" w:space="0" w:color="000000"/>
            </w:tcBorders>
            <w:shd w:val="clear" w:color="auto" w:fill="auto"/>
            <w:noWrap/>
            <w:vAlign w:val="bottom"/>
            <w:hideMark/>
          </w:tcPr>
          <w:p w14:paraId="704661D5"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9,267 </w:t>
            </w:r>
          </w:p>
        </w:tc>
        <w:tc>
          <w:tcPr>
            <w:tcW w:w="1687" w:type="dxa"/>
            <w:tcBorders>
              <w:top w:val="nil"/>
              <w:left w:val="nil"/>
              <w:bottom w:val="single" w:sz="4" w:space="0" w:color="000000"/>
              <w:right w:val="single" w:sz="4" w:space="0" w:color="000000"/>
            </w:tcBorders>
            <w:shd w:val="clear" w:color="auto" w:fill="auto"/>
            <w:noWrap/>
            <w:vAlign w:val="bottom"/>
            <w:hideMark/>
          </w:tcPr>
          <w:p w14:paraId="57241C5E"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9,734 </w:t>
            </w:r>
          </w:p>
        </w:tc>
        <w:tc>
          <w:tcPr>
            <w:tcW w:w="1846" w:type="dxa"/>
            <w:tcBorders>
              <w:top w:val="nil"/>
              <w:left w:val="nil"/>
              <w:bottom w:val="single" w:sz="4" w:space="0" w:color="000000"/>
              <w:right w:val="single" w:sz="4" w:space="0" w:color="000000"/>
            </w:tcBorders>
            <w:shd w:val="clear" w:color="auto" w:fill="auto"/>
            <w:noWrap/>
            <w:vAlign w:val="bottom"/>
            <w:hideMark/>
          </w:tcPr>
          <w:p w14:paraId="1F6122E2"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5.0</w:t>
            </w:r>
          </w:p>
        </w:tc>
      </w:tr>
      <w:tr w:rsidR="00D33F7C" w:rsidRPr="00D33F7C" w14:paraId="083EB25F"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1ECE5D76"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BSE Midcap</w:t>
            </w:r>
          </w:p>
        </w:tc>
        <w:tc>
          <w:tcPr>
            <w:tcW w:w="1687" w:type="dxa"/>
            <w:tcBorders>
              <w:top w:val="nil"/>
              <w:left w:val="nil"/>
              <w:bottom w:val="single" w:sz="4" w:space="0" w:color="000000"/>
              <w:right w:val="single" w:sz="4" w:space="0" w:color="000000"/>
            </w:tcBorders>
            <w:shd w:val="clear" w:color="auto" w:fill="auto"/>
            <w:noWrap/>
            <w:vAlign w:val="bottom"/>
            <w:hideMark/>
          </w:tcPr>
          <w:p w14:paraId="6DE44245"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21,758 </w:t>
            </w:r>
          </w:p>
        </w:tc>
        <w:tc>
          <w:tcPr>
            <w:tcW w:w="1687" w:type="dxa"/>
            <w:tcBorders>
              <w:top w:val="nil"/>
              <w:left w:val="nil"/>
              <w:bottom w:val="single" w:sz="4" w:space="0" w:color="000000"/>
              <w:right w:val="single" w:sz="4" w:space="0" w:color="000000"/>
            </w:tcBorders>
            <w:shd w:val="clear" w:color="auto" w:fill="auto"/>
            <w:noWrap/>
            <w:vAlign w:val="bottom"/>
            <w:hideMark/>
          </w:tcPr>
          <w:p w14:paraId="68CF3911"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22,536 </w:t>
            </w:r>
          </w:p>
        </w:tc>
        <w:tc>
          <w:tcPr>
            <w:tcW w:w="1846" w:type="dxa"/>
            <w:tcBorders>
              <w:top w:val="nil"/>
              <w:left w:val="nil"/>
              <w:bottom w:val="single" w:sz="4" w:space="0" w:color="000000"/>
              <w:right w:val="single" w:sz="4" w:space="0" w:color="000000"/>
            </w:tcBorders>
            <w:shd w:val="clear" w:color="auto" w:fill="auto"/>
            <w:noWrap/>
            <w:vAlign w:val="bottom"/>
            <w:hideMark/>
          </w:tcPr>
          <w:p w14:paraId="70CD1F82"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3.6</w:t>
            </w:r>
          </w:p>
        </w:tc>
      </w:tr>
      <w:tr w:rsidR="00D33F7C" w:rsidRPr="00D33F7C" w14:paraId="7500AF1A"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684D889A"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BSE Smallcap</w:t>
            </w:r>
          </w:p>
        </w:tc>
        <w:tc>
          <w:tcPr>
            <w:tcW w:w="1687" w:type="dxa"/>
            <w:tcBorders>
              <w:top w:val="nil"/>
              <w:left w:val="nil"/>
              <w:bottom w:val="single" w:sz="4" w:space="0" w:color="000000"/>
              <w:right w:val="single" w:sz="4" w:space="0" w:color="000000"/>
            </w:tcBorders>
            <w:shd w:val="clear" w:color="auto" w:fill="auto"/>
            <w:noWrap/>
            <w:vAlign w:val="bottom"/>
            <w:hideMark/>
          </w:tcPr>
          <w:p w14:paraId="017E6E97"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23,596 </w:t>
            </w:r>
          </w:p>
        </w:tc>
        <w:tc>
          <w:tcPr>
            <w:tcW w:w="1687" w:type="dxa"/>
            <w:tcBorders>
              <w:top w:val="nil"/>
              <w:left w:val="nil"/>
              <w:bottom w:val="single" w:sz="4" w:space="0" w:color="000000"/>
              <w:right w:val="single" w:sz="4" w:space="0" w:color="000000"/>
            </w:tcBorders>
            <w:shd w:val="clear" w:color="auto" w:fill="auto"/>
            <w:noWrap/>
            <w:vAlign w:val="bottom"/>
            <w:hideMark/>
          </w:tcPr>
          <w:p w14:paraId="6A6546E2"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25,232 </w:t>
            </w:r>
          </w:p>
        </w:tc>
        <w:tc>
          <w:tcPr>
            <w:tcW w:w="1846" w:type="dxa"/>
            <w:tcBorders>
              <w:top w:val="nil"/>
              <w:left w:val="nil"/>
              <w:bottom w:val="single" w:sz="4" w:space="0" w:color="000000"/>
              <w:right w:val="single" w:sz="4" w:space="0" w:color="000000"/>
            </w:tcBorders>
            <w:shd w:val="clear" w:color="auto" w:fill="auto"/>
            <w:noWrap/>
            <w:vAlign w:val="bottom"/>
            <w:hideMark/>
          </w:tcPr>
          <w:p w14:paraId="4A5D3680"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6.9</w:t>
            </w:r>
          </w:p>
        </w:tc>
      </w:tr>
      <w:tr w:rsidR="00D33F7C" w:rsidRPr="00D33F7C" w14:paraId="7CF1F4C9" w14:textId="77777777" w:rsidTr="00E213CE">
        <w:trPr>
          <w:trHeight w:val="277"/>
        </w:trPr>
        <w:tc>
          <w:tcPr>
            <w:tcW w:w="4674"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14:paraId="364A7A26"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Market Capitalisation (</w:t>
            </w:r>
            <w:r w:rsidRPr="00D33F7C">
              <w:rPr>
                <w:rFonts w:ascii="Tahoma" w:eastAsia="Times New Roman" w:hAnsi="Tahoma" w:cs="Tahoma"/>
                <w:b/>
                <w:bCs/>
                <w:sz w:val="20"/>
                <w:szCs w:val="20"/>
                <w:lang w:val="en-IN" w:eastAsia="en-IN" w:bidi="hi-IN"/>
              </w:rPr>
              <w:t>₹</w:t>
            </w:r>
            <w:r w:rsidRPr="00D33F7C">
              <w:rPr>
                <w:rFonts w:ascii="Palatino Linotype" w:eastAsia="Times New Roman" w:hAnsi="Palatino Linotype"/>
                <w:b/>
                <w:bCs/>
                <w:sz w:val="20"/>
                <w:szCs w:val="20"/>
                <w:lang w:val="en-IN" w:eastAsia="en-IN" w:bidi="hi-IN"/>
              </w:rPr>
              <w:t xml:space="preserve"> crore)</w:t>
            </w:r>
          </w:p>
        </w:tc>
        <w:tc>
          <w:tcPr>
            <w:tcW w:w="1687" w:type="dxa"/>
            <w:tcBorders>
              <w:top w:val="nil"/>
              <w:left w:val="nil"/>
              <w:bottom w:val="single" w:sz="4" w:space="0" w:color="000000"/>
              <w:right w:val="nil"/>
            </w:tcBorders>
            <w:shd w:val="clear" w:color="C6E0B4" w:fill="C6E0B4"/>
            <w:noWrap/>
            <w:vAlign w:val="center"/>
            <w:hideMark/>
          </w:tcPr>
          <w:p w14:paraId="623CC777"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846" w:type="dxa"/>
            <w:tcBorders>
              <w:top w:val="nil"/>
              <w:left w:val="nil"/>
              <w:bottom w:val="single" w:sz="4" w:space="0" w:color="000000"/>
              <w:right w:val="single" w:sz="4" w:space="0" w:color="000000"/>
            </w:tcBorders>
            <w:shd w:val="clear" w:color="C6E0B4" w:fill="C6E0B4"/>
            <w:noWrap/>
            <w:vAlign w:val="center"/>
            <w:hideMark/>
          </w:tcPr>
          <w:p w14:paraId="50BCFAE5"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26B455B4"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6948BBCD"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BSE </w:t>
            </w:r>
          </w:p>
        </w:tc>
        <w:tc>
          <w:tcPr>
            <w:tcW w:w="1687" w:type="dxa"/>
            <w:tcBorders>
              <w:top w:val="nil"/>
              <w:left w:val="nil"/>
              <w:bottom w:val="single" w:sz="4" w:space="0" w:color="000000"/>
              <w:right w:val="single" w:sz="4" w:space="0" w:color="000000"/>
            </w:tcBorders>
            <w:shd w:val="clear" w:color="auto" w:fill="auto"/>
            <w:noWrap/>
            <w:vAlign w:val="bottom"/>
            <w:hideMark/>
          </w:tcPr>
          <w:p w14:paraId="2659A02F"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2,22,99,810 </w:t>
            </w:r>
          </w:p>
        </w:tc>
        <w:tc>
          <w:tcPr>
            <w:tcW w:w="1687" w:type="dxa"/>
            <w:tcBorders>
              <w:top w:val="nil"/>
              <w:left w:val="nil"/>
              <w:bottom w:val="single" w:sz="4" w:space="0" w:color="000000"/>
              <w:right w:val="single" w:sz="4" w:space="0" w:color="000000"/>
            </w:tcBorders>
            <w:shd w:val="clear" w:color="auto" w:fill="auto"/>
            <w:noWrap/>
            <w:vAlign w:val="bottom"/>
            <w:hideMark/>
          </w:tcPr>
          <w:p w14:paraId="5762F673"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2,29,77,769 </w:t>
            </w:r>
          </w:p>
        </w:tc>
        <w:tc>
          <w:tcPr>
            <w:tcW w:w="1846" w:type="dxa"/>
            <w:tcBorders>
              <w:top w:val="nil"/>
              <w:left w:val="nil"/>
              <w:bottom w:val="single" w:sz="4" w:space="0" w:color="000000"/>
              <w:right w:val="single" w:sz="4" w:space="0" w:color="000000"/>
            </w:tcBorders>
            <w:shd w:val="clear" w:color="auto" w:fill="auto"/>
            <w:noWrap/>
            <w:vAlign w:val="bottom"/>
            <w:hideMark/>
          </w:tcPr>
          <w:p w14:paraId="0A958FA5"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3.0</w:t>
            </w:r>
          </w:p>
        </w:tc>
      </w:tr>
      <w:tr w:rsidR="00D33F7C" w:rsidRPr="00D33F7C" w14:paraId="484F4039"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6F48AD09"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NSE</w:t>
            </w:r>
          </w:p>
        </w:tc>
        <w:tc>
          <w:tcPr>
            <w:tcW w:w="1687" w:type="dxa"/>
            <w:tcBorders>
              <w:top w:val="nil"/>
              <w:left w:val="nil"/>
              <w:bottom w:val="single" w:sz="4" w:space="0" w:color="000000"/>
              <w:right w:val="single" w:sz="4" w:space="0" w:color="000000"/>
            </w:tcBorders>
            <w:shd w:val="clear" w:color="auto" w:fill="auto"/>
            <w:noWrap/>
            <w:vAlign w:val="bottom"/>
            <w:hideMark/>
          </w:tcPr>
          <w:p w14:paraId="52231985"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2,21,51,945 </w:t>
            </w:r>
          </w:p>
        </w:tc>
        <w:tc>
          <w:tcPr>
            <w:tcW w:w="1687" w:type="dxa"/>
            <w:tcBorders>
              <w:top w:val="nil"/>
              <w:left w:val="nil"/>
              <w:bottom w:val="single" w:sz="4" w:space="0" w:color="000000"/>
              <w:right w:val="single" w:sz="4" w:space="0" w:color="000000"/>
            </w:tcBorders>
            <w:shd w:val="clear" w:color="auto" w:fill="auto"/>
            <w:noWrap/>
            <w:vAlign w:val="bottom"/>
            <w:hideMark/>
          </w:tcPr>
          <w:p w14:paraId="2796E8D9"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2,28,14,761 </w:t>
            </w:r>
          </w:p>
        </w:tc>
        <w:tc>
          <w:tcPr>
            <w:tcW w:w="1846" w:type="dxa"/>
            <w:tcBorders>
              <w:top w:val="nil"/>
              <w:left w:val="nil"/>
              <w:bottom w:val="single" w:sz="4" w:space="0" w:color="000000"/>
              <w:right w:val="single" w:sz="4" w:space="0" w:color="000000"/>
            </w:tcBorders>
            <w:shd w:val="clear" w:color="auto" w:fill="auto"/>
            <w:noWrap/>
            <w:vAlign w:val="bottom"/>
            <w:hideMark/>
          </w:tcPr>
          <w:p w14:paraId="636F8507"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3.0</w:t>
            </w:r>
          </w:p>
        </w:tc>
      </w:tr>
      <w:tr w:rsidR="00D33F7C" w:rsidRPr="00D33F7C" w14:paraId="611D09B1" w14:textId="77777777" w:rsidTr="00E213CE">
        <w:trPr>
          <w:trHeight w:val="277"/>
        </w:trPr>
        <w:tc>
          <w:tcPr>
            <w:tcW w:w="2987" w:type="dxa"/>
            <w:tcBorders>
              <w:top w:val="nil"/>
              <w:left w:val="single" w:sz="4" w:space="0" w:color="000000"/>
              <w:bottom w:val="single" w:sz="4" w:space="0" w:color="000000"/>
              <w:right w:val="nil"/>
            </w:tcBorders>
            <w:shd w:val="clear" w:color="C6E0B4" w:fill="C6E0B4"/>
            <w:noWrap/>
            <w:vAlign w:val="center"/>
            <w:hideMark/>
          </w:tcPr>
          <w:p w14:paraId="235FAD04"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P/E Ratio</w:t>
            </w:r>
          </w:p>
        </w:tc>
        <w:tc>
          <w:tcPr>
            <w:tcW w:w="1687" w:type="dxa"/>
            <w:tcBorders>
              <w:top w:val="nil"/>
              <w:left w:val="nil"/>
              <w:bottom w:val="single" w:sz="4" w:space="0" w:color="000000"/>
              <w:right w:val="nil"/>
            </w:tcBorders>
            <w:shd w:val="clear" w:color="C6E0B4" w:fill="C6E0B4"/>
            <w:noWrap/>
            <w:vAlign w:val="center"/>
            <w:hideMark/>
          </w:tcPr>
          <w:p w14:paraId="287D31EB"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687" w:type="dxa"/>
            <w:tcBorders>
              <w:top w:val="nil"/>
              <w:left w:val="nil"/>
              <w:bottom w:val="single" w:sz="4" w:space="0" w:color="000000"/>
              <w:right w:val="nil"/>
            </w:tcBorders>
            <w:shd w:val="clear" w:color="C6E0B4" w:fill="C6E0B4"/>
            <w:noWrap/>
            <w:vAlign w:val="center"/>
            <w:hideMark/>
          </w:tcPr>
          <w:p w14:paraId="65F0D870"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846" w:type="dxa"/>
            <w:tcBorders>
              <w:top w:val="nil"/>
              <w:left w:val="nil"/>
              <w:bottom w:val="single" w:sz="4" w:space="0" w:color="000000"/>
              <w:right w:val="single" w:sz="4" w:space="0" w:color="000000"/>
            </w:tcBorders>
            <w:shd w:val="clear" w:color="C6E0B4" w:fill="C6E0B4"/>
            <w:noWrap/>
            <w:vAlign w:val="center"/>
            <w:hideMark/>
          </w:tcPr>
          <w:p w14:paraId="63AC393F"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388E0EC2"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3209A30B"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Sensex</w:t>
            </w:r>
          </w:p>
        </w:tc>
        <w:tc>
          <w:tcPr>
            <w:tcW w:w="1687" w:type="dxa"/>
            <w:tcBorders>
              <w:top w:val="nil"/>
              <w:left w:val="nil"/>
              <w:bottom w:val="single" w:sz="4" w:space="0" w:color="000000"/>
              <w:right w:val="single" w:sz="4" w:space="0" w:color="000000"/>
            </w:tcBorders>
            <w:shd w:val="clear" w:color="auto" w:fill="auto"/>
            <w:noWrap/>
            <w:vAlign w:val="bottom"/>
            <w:hideMark/>
          </w:tcPr>
          <w:p w14:paraId="36C0AB5F"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31.3</w:t>
            </w:r>
          </w:p>
        </w:tc>
        <w:tc>
          <w:tcPr>
            <w:tcW w:w="1687" w:type="dxa"/>
            <w:tcBorders>
              <w:top w:val="nil"/>
              <w:left w:val="nil"/>
              <w:bottom w:val="single" w:sz="4" w:space="0" w:color="000000"/>
              <w:right w:val="single" w:sz="4" w:space="0" w:color="000000"/>
            </w:tcBorders>
            <w:shd w:val="clear" w:color="auto" w:fill="auto"/>
            <w:noWrap/>
            <w:vAlign w:val="bottom"/>
            <w:hideMark/>
          </w:tcPr>
          <w:p w14:paraId="187B3534"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32.0</w:t>
            </w:r>
          </w:p>
        </w:tc>
        <w:tc>
          <w:tcPr>
            <w:tcW w:w="1846" w:type="dxa"/>
            <w:tcBorders>
              <w:top w:val="nil"/>
              <w:left w:val="nil"/>
              <w:bottom w:val="single" w:sz="4" w:space="0" w:color="000000"/>
              <w:right w:val="single" w:sz="4" w:space="0" w:color="000000"/>
            </w:tcBorders>
            <w:shd w:val="clear" w:color="auto" w:fill="auto"/>
            <w:noWrap/>
            <w:vAlign w:val="bottom"/>
            <w:hideMark/>
          </w:tcPr>
          <w:p w14:paraId="49B4CFA0"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2.0</w:t>
            </w:r>
          </w:p>
        </w:tc>
      </w:tr>
      <w:tr w:rsidR="00D33F7C" w:rsidRPr="00D33F7C" w14:paraId="6262F9F1"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3CD8F5F4"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Nifty 50</w:t>
            </w:r>
          </w:p>
        </w:tc>
        <w:tc>
          <w:tcPr>
            <w:tcW w:w="1687" w:type="dxa"/>
            <w:tcBorders>
              <w:top w:val="nil"/>
              <w:left w:val="nil"/>
              <w:bottom w:val="single" w:sz="4" w:space="0" w:color="000000"/>
              <w:right w:val="single" w:sz="4" w:space="0" w:color="000000"/>
            </w:tcBorders>
            <w:shd w:val="clear" w:color="auto" w:fill="auto"/>
            <w:noWrap/>
            <w:vAlign w:val="bottom"/>
            <w:hideMark/>
          </w:tcPr>
          <w:p w14:paraId="6A60646F"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29.2</w:t>
            </w:r>
          </w:p>
        </w:tc>
        <w:tc>
          <w:tcPr>
            <w:tcW w:w="1687" w:type="dxa"/>
            <w:tcBorders>
              <w:top w:val="nil"/>
              <w:left w:val="nil"/>
              <w:bottom w:val="single" w:sz="4" w:space="0" w:color="000000"/>
              <w:right w:val="single" w:sz="4" w:space="0" w:color="000000"/>
            </w:tcBorders>
            <w:shd w:val="clear" w:color="auto" w:fill="auto"/>
            <w:noWrap/>
            <w:vAlign w:val="bottom"/>
            <w:hideMark/>
          </w:tcPr>
          <w:p w14:paraId="0EF9EB84"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28.3</w:t>
            </w:r>
          </w:p>
        </w:tc>
        <w:tc>
          <w:tcPr>
            <w:tcW w:w="1846" w:type="dxa"/>
            <w:tcBorders>
              <w:top w:val="nil"/>
              <w:left w:val="nil"/>
              <w:bottom w:val="single" w:sz="4" w:space="0" w:color="000000"/>
              <w:right w:val="single" w:sz="4" w:space="0" w:color="000000"/>
            </w:tcBorders>
            <w:shd w:val="clear" w:color="auto" w:fill="auto"/>
            <w:noWrap/>
            <w:vAlign w:val="bottom"/>
            <w:hideMark/>
          </w:tcPr>
          <w:p w14:paraId="24CCDDBA"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-3.0</w:t>
            </w:r>
          </w:p>
        </w:tc>
      </w:tr>
      <w:tr w:rsidR="00D33F7C" w:rsidRPr="00D33F7C" w14:paraId="0004C3CA" w14:textId="77777777" w:rsidTr="00E213CE">
        <w:trPr>
          <w:trHeight w:val="277"/>
        </w:trPr>
        <w:tc>
          <w:tcPr>
            <w:tcW w:w="2987" w:type="dxa"/>
            <w:tcBorders>
              <w:top w:val="nil"/>
              <w:left w:val="single" w:sz="4" w:space="0" w:color="000000"/>
              <w:bottom w:val="single" w:sz="4" w:space="0" w:color="000000"/>
              <w:right w:val="nil"/>
            </w:tcBorders>
            <w:shd w:val="clear" w:color="C6E0B4" w:fill="C6E0B4"/>
            <w:noWrap/>
            <w:vAlign w:val="center"/>
            <w:hideMark/>
          </w:tcPr>
          <w:p w14:paraId="0A1B766F"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No of Listed Companies</w:t>
            </w:r>
          </w:p>
        </w:tc>
        <w:tc>
          <w:tcPr>
            <w:tcW w:w="1687" w:type="dxa"/>
            <w:tcBorders>
              <w:top w:val="nil"/>
              <w:left w:val="nil"/>
              <w:bottom w:val="single" w:sz="4" w:space="0" w:color="000000"/>
              <w:right w:val="nil"/>
            </w:tcBorders>
            <w:shd w:val="clear" w:color="C6E0B4" w:fill="C6E0B4"/>
            <w:noWrap/>
            <w:vAlign w:val="center"/>
            <w:hideMark/>
          </w:tcPr>
          <w:p w14:paraId="5A9B38AB"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687" w:type="dxa"/>
            <w:tcBorders>
              <w:top w:val="nil"/>
              <w:left w:val="nil"/>
              <w:bottom w:val="single" w:sz="4" w:space="0" w:color="000000"/>
              <w:right w:val="nil"/>
            </w:tcBorders>
            <w:shd w:val="clear" w:color="C6E0B4" w:fill="C6E0B4"/>
            <w:noWrap/>
            <w:vAlign w:val="center"/>
            <w:hideMark/>
          </w:tcPr>
          <w:p w14:paraId="0FD9E8BE"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846" w:type="dxa"/>
            <w:tcBorders>
              <w:top w:val="nil"/>
              <w:left w:val="nil"/>
              <w:bottom w:val="single" w:sz="4" w:space="0" w:color="000000"/>
              <w:right w:val="single" w:sz="4" w:space="0" w:color="000000"/>
            </w:tcBorders>
            <w:shd w:val="clear" w:color="C6E0B4" w:fill="C6E0B4"/>
            <w:noWrap/>
            <w:vAlign w:val="center"/>
            <w:hideMark/>
          </w:tcPr>
          <w:p w14:paraId="35C274BA"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13192EFC"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51D7C30C"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BSE </w:t>
            </w:r>
          </w:p>
        </w:tc>
        <w:tc>
          <w:tcPr>
            <w:tcW w:w="1687" w:type="dxa"/>
            <w:tcBorders>
              <w:top w:val="nil"/>
              <w:left w:val="nil"/>
              <w:bottom w:val="single" w:sz="4" w:space="0" w:color="000000"/>
              <w:right w:val="single" w:sz="4" w:space="0" w:color="000000"/>
            </w:tcBorders>
            <w:shd w:val="clear" w:color="auto" w:fill="auto"/>
            <w:noWrap/>
            <w:vAlign w:val="bottom"/>
            <w:hideMark/>
          </w:tcPr>
          <w:p w14:paraId="5D6272B5"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5,489 </w:t>
            </w:r>
          </w:p>
        </w:tc>
        <w:tc>
          <w:tcPr>
            <w:tcW w:w="1687" w:type="dxa"/>
            <w:tcBorders>
              <w:top w:val="nil"/>
              <w:left w:val="nil"/>
              <w:bottom w:val="single" w:sz="4" w:space="0" w:color="000000"/>
              <w:right w:val="single" w:sz="4" w:space="0" w:color="000000"/>
            </w:tcBorders>
            <w:shd w:val="clear" w:color="auto" w:fill="auto"/>
            <w:noWrap/>
            <w:vAlign w:val="bottom"/>
            <w:hideMark/>
          </w:tcPr>
          <w:p w14:paraId="24D77F2B"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5,494 </w:t>
            </w:r>
          </w:p>
        </w:tc>
        <w:tc>
          <w:tcPr>
            <w:tcW w:w="1846" w:type="dxa"/>
            <w:tcBorders>
              <w:top w:val="nil"/>
              <w:left w:val="nil"/>
              <w:bottom w:val="single" w:sz="4" w:space="0" w:color="000000"/>
              <w:right w:val="single" w:sz="4" w:space="0" w:color="000000"/>
            </w:tcBorders>
            <w:shd w:val="clear" w:color="auto" w:fill="auto"/>
            <w:noWrap/>
            <w:vAlign w:val="bottom"/>
            <w:hideMark/>
          </w:tcPr>
          <w:p w14:paraId="7A36604C"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0.1</w:t>
            </w:r>
          </w:p>
        </w:tc>
      </w:tr>
      <w:tr w:rsidR="00D33F7C" w:rsidRPr="00D33F7C" w14:paraId="6880AC18"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482C3843"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NSE</w:t>
            </w:r>
          </w:p>
        </w:tc>
        <w:tc>
          <w:tcPr>
            <w:tcW w:w="1687" w:type="dxa"/>
            <w:tcBorders>
              <w:top w:val="nil"/>
              <w:left w:val="nil"/>
              <w:bottom w:val="single" w:sz="4" w:space="0" w:color="000000"/>
              <w:right w:val="single" w:sz="4" w:space="0" w:color="000000"/>
            </w:tcBorders>
            <w:shd w:val="clear" w:color="auto" w:fill="auto"/>
            <w:noWrap/>
            <w:vAlign w:val="bottom"/>
            <w:hideMark/>
          </w:tcPr>
          <w:p w14:paraId="63773D73"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1,973 </w:t>
            </w:r>
          </w:p>
        </w:tc>
        <w:tc>
          <w:tcPr>
            <w:tcW w:w="1687" w:type="dxa"/>
            <w:tcBorders>
              <w:top w:val="nil"/>
              <w:left w:val="nil"/>
              <w:bottom w:val="single" w:sz="4" w:space="0" w:color="000000"/>
              <w:right w:val="single" w:sz="4" w:space="0" w:color="000000"/>
            </w:tcBorders>
            <w:shd w:val="clear" w:color="auto" w:fill="auto"/>
            <w:noWrap/>
            <w:vAlign w:val="bottom"/>
            <w:hideMark/>
          </w:tcPr>
          <w:p w14:paraId="707D602E"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1,981 </w:t>
            </w:r>
          </w:p>
        </w:tc>
        <w:tc>
          <w:tcPr>
            <w:tcW w:w="1846" w:type="dxa"/>
            <w:tcBorders>
              <w:top w:val="nil"/>
              <w:left w:val="nil"/>
              <w:bottom w:val="single" w:sz="4" w:space="0" w:color="000000"/>
              <w:right w:val="single" w:sz="4" w:space="0" w:color="000000"/>
            </w:tcBorders>
            <w:shd w:val="clear" w:color="auto" w:fill="auto"/>
            <w:noWrap/>
            <w:vAlign w:val="bottom"/>
            <w:hideMark/>
          </w:tcPr>
          <w:p w14:paraId="14DFCB23"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0.4</w:t>
            </w:r>
          </w:p>
        </w:tc>
      </w:tr>
      <w:tr w:rsidR="00D33F7C" w:rsidRPr="00D33F7C" w14:paraId="4C96799C" w14:textId="77777777" w:rsidTr="00E213CE">
        <w:trPr>
          <w:trHeight w:val="277"/>
        </w:trPr>
        <w:tc>
          <w:tcPr>
            <w:tcW w:w="4674"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14:paraId="2B56FF45"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Gross Turnover in Equity Segment (</w:t>
            </w:r>
            <w:r w:rsidRPr="00D33F7C">
              <w:rPr>
                <w:rFonts w:ascii="Tahoma" w:eastAsia="Times New Roman" w:hAnsi="Tahoma" w:cs="Tahoma"/>
                <w:b/>
                <w:bCs/>
                <w:sz w:val="20"/>
                <w:szCs w:val="20"/>
                <w:lang w:val="en-IN" w:eastAsia="en-IN" w:bidi="hi-IN"/>
              </w:rPr>
              <w:t>₹</w:t>
            </w:r>
            <w:r w:rsidRPr="00D33F7C">
              <w:rPr>
                <w:rFonts w:ascii="Palatino Linotype" w:eastAsia="Times New Roman" w:hAnsi="Palatino Linotype"/>
                <w:b/>
                <w:bCs/>
                <w:sz w:val="20"/>
                <w:szCs w:val="20"/>
                <w:lang w:val="en-IN" w:eastAsia="en-IN" w:bidi="hi-IN"/>
              </w:rPr>
              <w:t xml:space="preserve"> crore)</w:t>
            </w:r>
          </w:p>
        </w:tc>
        <w:tc>
          <w:tcPr>
            <w:tcW w:w="1687" w:type="dxa"/>
            <w:tcBorders>
              <w:top w:val="nil"/>
              <w:left w:val="nil"/>
              <w:bottom w:val="single" w:sz="4" w:space="0" w:color="000000"/>
              <w:right w:val="nil"/>
            </w:tcBorders>
            <w:shd w:val="clear" w:color="C6E0B4" w:fill="C6E0B4"/>
            <w:noWrap/>
            <w:vAlign w:val="center"/>
            <w:hideMark/>
          </w:tcPr>
          <w:p w14:paraId="438BB8C8"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c>
          <w:tcPr>
            <w:tcW w:w="1846" w:type="dxa"/>
            <w:tcBorders>
              <w:top w:val="nil"/>
              <w:left w:val="nil"/>
              <w:bottom w:val="single" w:sz="4" w:space="0" w:color="000000"/>
              <w:right w:val="single" w:sz="4" w:space="0" w:color="000000"/>
            </w:tcBorders>
            <w:shd w:val="clear" w:color="C6E0B4" w:fill="C6E0B4"/>
            <w:noWrap/>
            <w:vAlign w:val="center"/>
            <w:hideMark/>
          </w:tcPr>
          <w:p w14:paraId="623CABC4"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02A2A147"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43C435BB"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BSE </w:t>
            </w:r>
          </w:p>
        </w:tc>
        <w:tc>
          <w:tcPr>
            <w:tcW w:w="1687" w:type="dxa"/>
            <w:tcBorders>
              <w:top w:val="nil"/>
              <w:left w:val="nil"/>
              <w:bottom w:val="single" w:sz="4" w:space="0" w:color="000000"/>
              <w:right w:val="single" w:sz="4" w:space="0" w:color="000000"/>
            </w:tcBorders>
            <w:shd w:val="clear" w:color="auto" w:fill="auto"/>
            <w:noWrap/>
            <w:vAlign w:val="bottom"/>
            <w:hideMark/>
          </w:tcPr>
          <w:p w14:paraId="594E1B87"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1,12,501 </w:t>
            </w:r>
          </w:p>
        </w:tc>
        <w:tc>
          <w:tcPr>
            <w:tcW w:w="1687" w:type="dxa"/>
            <w:tcBorders>
              <w:top w:val="nil"/>
              <w:left w:val="nil"/>
              <w:bottom w:val="single" w:sz="4" w:space="0" w:color="000000"/>
              <w:right w:val="single" w:sz="4" w:space="0" w:color="000000"/>
            </w:tcBorders>
            <w:shd w:val="clear" w:color="auto" w:fill="auto"/>
            <w:noWrap/>
            <w:vAlign w:val="bottom"/>
            <w:hideMark/>
          </w:tcPr>
          <w:p w14:paraId="2482E6A8"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1,49,946 </w:t>
            </w:r>
          </w:p>
        </w:tc>
        <w:tc>
          <w:tcPr>
            <w:tcW w:w="1846" w:type="dxa"/>
            <w:tcBorders>
              <w:top w:val="nil"/>
              <w:left w:val="nil"/>
              <w:bottom w:val="single" w:sz="4" w:space="0" w:color="000000"/>
              <w:right w:val="single" w:sz="4" w:space="0" w:color="000000"/>
            </w:tcBorders>
            <w:shd w:val="clear" w:color="auto" w:fill="auto"/>
            <w:noWrap/>
            <w:vAlign w:val="bottom"/>
            <w:hideMark/>
          </w:tcPr>
          <w:p w14:paraId="4CD781FD"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33.3</w:t>
            </w:r>
          </w:p>
        </w:tc>
      </w:tr>
      <w:tr w:rsidR="00D33F7C" w:rsidRPr="00D33F7C" w14:paraId="77B49788"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3411D685"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NSE</w:t>
            </w:r>
          </w:p>
        </w:tc>
        <w:tc>
          <w:tcPr>
            <w:tcW w:w="1687" w:type="dxa"/>
            <w:tcBorders>
              <w:top w:val="nil"/>
              <w:left w:val="nil"/>
              <w:bottom w:val="single" w:sz="4" w:space="0" w:color="000000"/>
              <w:right w:val="single" w:sz="4" w:space="0" w:color="000000"/>
            </w:tcBorders>
            <w:shd w:val="clear" w:color="auto" w:fill="auto"/>
            <w:noWrap/>
            <w:vAlign w:val="bottom"/>
            <w:hideMark/>
          </w:tcPr>
          <w:p w14:paraId="2B5F68DD"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15,67,915 </w:t>
            </w:r>
          </w:p>
        </w:tc>
        <w:tc>
          <w:tcPr>
            <w:tcW w:w="1687" w:type="dxa"/>
            <w:tcBorders>
              <w:top w:val="nil"/>
              <w:left w:val="nil"/>
              <w:bottom w:val="single" w:sz="4" w:space="0" w:color="000000"/>
              <w:right w:val="single" w:sz="4" w:space="0" w:color="000000"/>
            </w:tcBorders>
            <w:shd w:val="clear" w:color="auto" w:fill="auto"/>
            <w:noWrap/>
            <w:vAlign w:val="bottom"/>
            <w:hideMark/>
          </w:tcPr>
          <w:p w14:paraId="0646A7C7"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15,54,694 </w:t>
            </w:r>
          </w:p>
        </w:tc>
        <w:tc>
          <w:tcPr>
            <w:tcW w:w="1846" w:type="dxa"/>
            <w:tcBorders>
              <w:top w:val="nil"/>
              <w:left w:val="nil"/>
              <w:bottom w:val="single" w:sz="4" w:space="0" w:color="000000"/>
              <w:right w:val="single" w:sz="4" w:space="0" w:color="000000"/>
            </w:tcBorders>
            <w:shd w:val="clear" w:color="auto" w:fill="auto"/>
            <w:noWrap/>
            <w:vAlign w:val="bottom"/>
            <w:hideMark/>
          </w:tcPr>
          <w:p w14:paraId="5F9F2753"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-0.8</w:t>
            </w:r>
          </w:p>
        </w:tc>
      </w:tr>
      <w:tr w:rsidR="00D33F7C" w:rsidRPr="00D33F7C" w14:paraId="6DE341E8" w14:textId="77777777" w:rsidTr="00E213CE">
        <w:trPr>
          <w:trHeight w:val="277"/>
        </w:trPr>
        <w:tc>
          <w:tcPr>
            <w:tcW w:w="6362"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14:paraId="66262A53"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Gross Turnover in Equity Derivatives Segment (</w:t>
            </w:r>
            <w:r w:rsidRPr="00D33F7C">
              <w:rPr>
                <w:rFonts w:ascii="Tahoma" w:eastAsia="Times New Roman" w:hAnsi="Tahoma" w:cs="Tahoma"/>
                <w:b/>
                <w:bCs/>
                <w:sz w:val="20"/>
                <w:szCs w:val="20"/>
                <w:lang w:val="en-IN" w:eastAsia="en-IN" w:bidi="hi-IN"/>
              </w:rPr>
              <w:t>₹</w:t>
            </w:r>
            <w:r w:rsidRPr="00D33F7C">
              <w:rPr>
                <w:rFonts w:ascii="Palatino Linotype" w:eastAsia="Times New Roman" w:hAnsi="Palatino Linotype"/>
                <w:b/>
                <w:bCs/>
                <w:sz w:val="20"/>
                <w:szCs w:val="20"/>
                <w:lang w:val="en-IN" w:eastAsia="en-IN" w:bidi="hi-IN"/>
              </w:rPr>
              <w:t xml:space="preserve"> crore)</w:t>
            </w:r>
          </w:p>
        </w:tc>
        <w:tc>
          <w:tcPr>
            <w:tcW w:w="1846" w:type="dxa"/>
            <w:tcBorders>
              <w:top w:val="nil"/>
              <w:left w:val="nil"/>
              <w:bottom w:val="single" w:sz="4" w:space="0" w:color="000000"/>
              <w:right w:val="single" w:sz="4" w:space="0" w:color="000000"/>
            </w:tcBorders>
            <w:shd w:val="clear" w:color="C6E0B4" w:fill="C6E0B4"/>
            <w:noWrap/>
            <w:vAlign w:val="center"/>
            <w:hideMark/>
          </w:tcPr>
          <w:p w14:paraId="61329DF9"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45378953"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42644310"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BSE </w:t>
            </w:r>
          </w:p>
        </w:tc>
        <w:tc>
          <w:tcPr>
            <w:tcW w:w="1687" w:type="dxa"/>
            <w:tcBorders>
              <w:top w:val="nil"/>
              <w:left w:val="nil"/>
              <w:bottom w:val="single" w:sz="4" w:space="0" w:color="000000"/>
              <w:right w:val="single" w:sz="4" w:space="0" w:color="000000"/>
            </w:tcBorders>
            <w:shd w:val="clear" w:color="auto" w:fill="auto"/>
            <w:noWrap/>
            <w:vAlign w:val="bottom"/>
            <w:hideMark/>
          </w:tcPr>
          <w:p w14:paraId="1B6D984D"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64,79,644 </w:t>
            </w:r>
          </w:p>
        </w:tc>
        <w:tc>
          <w:tcPr>
            <w:tcW w:w="1687" w:type="dxa"/>
            <w:tcBorders>
              <w:top w:val="nil"/>
              <w:left w:val="nil"/>
              <w:bottom w:val="single" w:sz="4" w:space="0" w:color="000000"/>
              <w:right w:val="single" w:sz="4" w:space="0" w:color="000000"/>
            </w:tcBorders>
            <w:shd w:val="clear" w:color="auto" w:fill="auto"/>
            <w:noWrap/>
            <w:vAlign w:val="bottom"/>
            <w:hideMark/>
          </w:tcPr>
          <w:p w14:paraId="5678937E"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66,71,387 </w:t>
            </w:r>
          </w:p>
        </w:tc>
        <w:tc>
          <w:tcPr>
            <w:tcW w:w="1846" w:type="dxa"/>
            <w:tcBorders>
              <w:top w:val="nil"/>
              <w:left w:val="nil"/>
              <w:bottom w:val="single" w:sz="4" w:space="0" w:color="000000"/>
              <w:right w:val="single" w:sz="4" w:space="0" w:color="000000"/>
            </w:tcBorders>
            <w:shd w:val="clear" w:color="auto" w:fill="auto"/>
            <w:noWrap/>
            <w:vAlign w:val="bottom"/>
            <w:hideMark/>
          </w:tcPr>
          <w:p w14:paraId="6ABF3A96"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3.0</w:t>
            </w:r>
          </w:p>
        </w:tc>
      </w:tr>
      <w:tr w:rsidR="00D33F7C" w:rsidRPr="00D33F7C" w14:paraId="561E2B01"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7E9C0027"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NSE</w:t>
            </w:r>
          </w:p>
        </w:tc>
        <w:tc>
          <w:tcPr>
            <w:tcW w:w="1687" w:type="dxa"/>
            <w:tcBorders>
              <w:top w:val="nil"/>
              <w:left w:val="nil"/>
              <w:bottom w:val="single" w:sz="4" w:space="0" w:color="000000"/>
              <w:right w:val="single" w:sz="4" w:space="0" w:color="000000"/>
            </w:tcBorders>
            <w:shd w:val="clear" w:color="auto" w:fill="auto"/>
            <w:noWrap/>
            <w:vAlign w:val="bottom"/>
            <w:hideMark/>
          </w:tcPr>
          <w:p w14:paraId="41BED18D"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8,66,52,832 </w:t>
            </w:r>
          </w:p>
        </w:tc>
        <w:tc>
          <w:tcPr>
            <w:tcW w:w="1687" w:type="dxa"/>
            <w:tcBorders>
              <w:top w:val="nil"/>
              <w:left w:val="nil"/>
              <w:bottom w:val="single" w:sz="4" w:space="0" w:color="000000"/>
              <w:right w:val="single" w:sz="4" w:space="0" w:color="000000"/>
            </w:tcBorders>
            <w:shd w:val="clear" w:color="auto" w:fill="auto"/>
            <w:noWrap/>
            <w:vAlign w:val="bottom"/>
            <w:hideMark/>
          </w:tcPr>
          <w:p w14:paraId="5079F1F4"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10,13,91,908 </w:t>
            </w:r>
          </w:p>
        </w:tc>
        <w:tc>
          <w:tcPr>
            <w:tcW w:w="1846" w:type="dxa"/>
            <w:tcBorders>
              <w:top w:val="nil"/>
              <w:left w:val="nil"/>
              <w:bottom w:val="single" w:sz="4" w:space="0" w:color="000000"/>
              <w:right w:val="single" w:sz="4" w:space="0" w:color="000000"/>
            </w:tcBorders>
            <w:shd w:val="clear" w:color="auto" w:fill="auto"/>
            <w:noWrap/>
            <w:vAlign w:val="bottom"/>
            <w:hideMark/>
          </w:tcPr>
          <w:p w14:paraId="7143EE69"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17.0</w:t>
            </w:r>
          </w:p>
        </w:tc>
      </w:tr>
      <w:tr w:rsidR="00D33F7C" w:rsidRPr="00D33F7C" w14:paraId="7284755B" w14:textId="77777777" w:rsidTr="00E213CE">
        <w:trPr>
          <w:trHeight w:val="277"/>
        </w:trPr>
        <w:tc>
          <w:tcPr>
            <w:tcW w:w="6362"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14:paraId="5E649EC0"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Gross Turnover in Currency Derivatives Segment (</w:t>
            </w:r>
            <w:r w:rsidRPr="00D33F7C">
              <w:rPr>
                <w:rFonts w:ascii="Tahoma" w:eastAsia="Times New Roman" w:hAnsi="Tahoma" w:cs="Tahoma"/>
                <w:b/>
                <w:bCs/>
                <w:sz w:val="20"/>
                <w:szCs w:val="20"/>
                <w:lang w:val="en-IN" w:eastAsia="en-IN" w:bidi="hi-IN"/>
              </w:rPr>
              <w:t>₹</w:t>
            </w:r>
            <w:r w:rsidRPr="00D33F7C">
              <w:rPr>
                <w:rFonts w:ascii="Palatino Linotype" w:eastAsia="Times New Roman" w:hAnsi="Palatino Linotype"/>
                <w:b/>
                <w:bCs/>
                <w:sz w:val="20"/>
                <w:szCs w:val="20"/>
                <w:lang w:val="en-IN" w:eastAsia="en-IN" w:bidi="hi-IN"/>
              </w:rPr>
              <w:t xml:space="preserve"> crore)</w:t>
            </w:r>
          </w:p>
        </w:tc>
        <w:tc>
          <w:tcPr>
            <w:tcW w:w="1846" w:type="dxa"/>
            <w:tcBorders>
              <w:top w:val="nil"/>
              <w:left w:val="nil"/>
              <w:bottom w:val="single" w:sz="4" w:space="0" w:color="000000"/>
              <w:right w:val="single" w:sz="4" w:space="0" w:color="000000"/>
            </w:tcBorders>
            <w:shd w:val="clear" w:color="C6E0B4" w:fill="C6E0B4"/>
            <w:noWrap/>
            <w:vAlign w:val="center"/>
            <w:hideMark/>
          </w:tcPr>
          <w:p w14:paraId="552B2056"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578CDB8A"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5E971666"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BSE </w:t>
            </w:r>
          </w:p>
        </w:tc>
        <w:tc>
          <w:tcPr>
            <w:tcW w:w="1687" w:type="dxa"/>
            <w:tcBorders>
              <w:top w:val="nil"/>
              <w:left w:val="nil"/>
              <w:bottom w:val="single" w:sz="4" w:space="0" w:color="000000"/>
              <w:right w:val="single" w:sz="4" w:space="0" w:color="000000"/>
            </w:tcBorders>
            <w:shd w:val="clear" w:color="auto" w:fill="auto"/>
            <w:noWrap/>
            <w:vAlign w:val="bottom"/>
            <w:hideMark/>
          </w:tcPr>
          <w:p w14:paraId="65432816"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4,17,946 </w:t>
            </w:r>
          </w:p>
        </w:tc>
        <w:tc>
          <w:tcPr>
            <w:tcW w:w="1687" w:type="dxa"/>
            <w:tcBorders>
              <w:top w:val="nil"/>
              <w:left w:val="nil"/>
              <w:bottom w:val="single" w:sz="4" w:space="0" w:color="000000"/>
              <w:right w:val="single" w:sz="4" w:space="0" w:color="000000"/>
            </w:tcBorders>
            <w:shd w:val="clear" w:color="auto" w:fill="auto"/>
            <w:noWrap/>
            <w:vAlign w:val="bottom"/>
            <w:hideMark/>
          </w:tcPr>
          <w:p w14:paraId="5C65B672"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5,03,266 </w:t>
            </w:r>
          </w:p>
        </w:tc>
        <w:tc>
          <w:tcPr>
            <w:tcW w:w="1846" w:type="dxa"/>
            <w:tcBorders>
              <w:top w:val="nil"/>
              <w:left w:val="nil"/>
              <w:bottom w:val="single" w:sz="4" w:space="0" w:color="000000"/>
              <w:right w:val="single" w:sz="4" w:space="0" w:color="000000"/>
            </w:tcBorders>
            <w:shd w:val="clear" w:color="auto" w:fill="auto"/>
            <w:noWrap/>
            <w:vAlign w:val="bottom"/>
            <w:hideMark/>
          </w:tcPr>
          <w:p w14:paraId="4515272E"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20.4</w:t>
            </w:r>
          </w:p>
        </w:tc>
      </w:tr>
      <w:tr w:rsidR="00D33F7C" w:rsidRPr="00D33F7C" w14:paraId="0E76D90A"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51CF1014"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NSE</w:t>
            </w:r>
          </w:p>
        </w:tc>
        <w:tc>
          <w:tcPr>
            <w:tcW w:w="1687" w:type="dxa"/>
            <w:tcBorders>
              <w:top w:val="nil"/>
              <w:left w:val="nil"/>
              <w:bottom w:val="single" w:sz="4" w:space="0" w:color="000000"/>
              <w:right w:val="single" w:sz="4" w:space="0" w:color="000000"/>
            </w:tcBorders>
            <w:shd w:val="clear" w:color="auto" w:fill="auto"/>
            <w:noWrap/>
            <w:vAlign w:val="bottom"/>
            <w:hideMark/>
          </w:tcPr>
          <w:p w14:paraId="0FA8AC08"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11,05,378 </w:t>
            </w:r>
          </w:p>
        </w:tc>
        <w:tc>
          <w:tcPr>
            <w:tcW w:w="1687" w:type="dxa"/>
            <w:tcBorders>
              <w:top w:val="nil"/>
              <w:left w:val="nil"/>
              <w:bottom w:val="single" w:sz="4" w:space="0" w:color="000000"/>
              <w:right w:val="single" w:sz="4" w:space="0" w:color="000000"/>
            </w:tcBorders>
            <w:shd w:val="clear" w:color="auto" w:fill="auto"/>
            <w:noWrap/>
            <w:vAlign w:val="bottom"/>
            <w:hideMark/>
          </w:tcPr>
          <w:p w14:paraId="54DC5D70"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13,78,694 </w:t>
            </w:r>
          </w:p>
        </w:tc>
        <w:tc>
          <w:tcPr>
            <w:tcW w:w="1846" w:type="dxa"/>
            <w:tcBorders>
              <w:top w:val="nil"/>
              <w:left w:val="nil"/>
              <w:bottom w:val="single" w:sz="4" w:space="0" w:color="000000"/>
              <w:right w:val="single" w:sz="4" w:space="0" w:color="000000"/>
            </w:tcBorders>
            <w:shd w:val="clear" w:color="auto" w:fill="auto"/>
            <w:noWrap/>
            <w:vAlign w:val="bottom"/>
            <w:hideMark/>
          </w:tcPr>
          <w:p w14:paraId="24F963D0"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24.7</w:t>
            </w:r>
          </w:p>
        </w:tc>
      </w:tr>
      <w:tr w:rsidR="00D33F7C" w:rsidRPr="00D33F7C" w14:paraId="5D0F24B4"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00710A23"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MSEI</w:t>
            </w:r>
          </w:p>
        </w:tc>
        <w:tc>
          <w:tcPr>
            <w:tcW w:w="1687" w:type="dxa"/>
            <w:tcBorders>
              <w:top w:val="nil"/>
              <w:left w:val="nil"/>
              <w:bottom w:val="single" w:sz="4" w:space="0" w:color="000000"/>
              <w:right w:val="single" w:sz="4" w:space="0" w:color="000000"/>
            </w:tcBorders>
            <w:shd w:val="clear" w:color="auto" w:fill="auto"/>
            <w:noWrap/>
            <w:vAlign w:val="bottom"/>
            <w:hideMark/>
          </w:tcPr>
          <w:p w14:paraId="0B9E885B"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12,608 </w:t>
            </w:r>
          </w:p>
        </w:tc>
        <w:tc>
          <w:tcPr>
            <w:tcW w:w="1687" w:type="dxa"/>
            <w:tcBorders>
              <w:top w:val="nil"/>
              <w:left w:val="nil"/>
              <w:bottom w:val="single" w:sz="4" w:space="0" w:color="000000"/>
              <w:right w:val="single" w:sz="4" w:space="0" w:color="000000"/>
            </w:tcBorders>
            <w:shd w:val="clear" w:color="auto" w:fill="auto"/>
            <w:noWrap/>
            <w:vAlign w:val="bottom"/>
            <w:hideMark/>
          </w:tcPr>
          <w:p w14:paraId="5BE1C1E8"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14,465 </w:t>
            </w:r>
          </w:p>
        </w:tc>
        <w:tc>
          <w:tcPr>
            <w:tcW w:w="1846" w:type="dxa"/>
            <w:tcBorders>
              <w:top w:val="nil"/>
              <w:left w:val="nil"/>
              <w:bottom w:val="single" w:sz="4" w:space="0" w:color="000000"/>
              <w:right w:val="single" w:sz="4" w:space="0" w:color="000000"/>
            </w:tcBorders>
            <w:shd w:val="clear" w:color="auto" w:fill="auto"/>
            <w:noWrap/>
            <w:vAlign w:val="bottom"/>
            <w:hideMark/>
          </w:tcPr>
          <w:p w14:paraId="7ED8C51F"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14.7</w:t>
            </w:r>
          </w:p>
        </w:tc>
      </w:tr>
      <w:tr w:rsidR="00D33F7C" w:rsidRPr="00D33F7C" w14:paraId="5101D7A6" w14:textId="77777777" w:rsidTr="00E213CE">
        <w:trPr>
          <w:trHeight w:val="277"/>
        </w:trPr>
        <w:tc>
          <w:tcPr>
            <w:tcW w:w="6362"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14:paraId="290003B4"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Gross Turnover in Interest Rate Derivatives Segment (</w:t>
            </w:r>
            <w:r w:rsidRPr="00D33F7C">
              <w:rPr>
                <w:rFonts w:ascii="Tahoma" w:eastAsia="Times New Roman" w:hAnsi="Tahoma" w:cs="Tahoma"/>
                <w:b/>
                <w:bCs/>
                <w:sz w:val="20"/>
                <w:szCs w:val="20"/>
                <w:lang w:val="en-IN" w:eastAsia="en-IN" w:bidi="hi-IN"/>
              </w:rPr>
              <w:t>₹</w:t>
            </w:r>
            <w:r w:rsidRPr="00D33F7C">
              <w:rPr>
                <w:rFonts w:ascii="Palatino Linotype" w:eastAsia="Times New Roman" w:hAnsi="Palatino Linotype"/>
                <w:b/>
                <w:bCs/>
                <w:sz w:val="20"/>
                <w:szCs w:val="20"/>
                <w:lang w:val="en-IN" w:eastAsia="en-IN" w:bidi="hi-IN"/>
              </w:rPr>
              <w:t xml:space="preserve"> crore)</w:t>
            </w:r>
          </w:p>
        </w:tc>
        <w:tc>
          <w:tcPr>
            <w:tcW w:w="1846" w:type="dxa"/>
            <w:tcBorders>
              <w:top w:val="nil"/>
              <w:left w:val="nil"/>
              <w:bottom w:val="single" w:sz="4" w:space="0" w:color="000000"/>
              <w:right w:val="single" w:sz="4" w:space="0" w:color="000000"/>
            </w:tcBorders>
            <w:shd w:val="clear" w:color="C6E0B4" w:fill="C6E0B4"/>
            <w:noWrap/>
            <w:vAlign w:val="center"/>
            <w:hideMark/>
          </w:tcPr>
          <w:p w14:paraId="009AE2F7" w14:textId="77777777" w:rsidR="00D33F7C" w:rsidRPr="00D33F7C" w:rsidRDefault="00D33F7C" w:rsidP="00D33F7C">
            <w:pPr>
              <w:rPr>
                <w:rFonts w:ascii="Palatino Linotype" w:eastAsia="Times New Roman" w:hAnsi="Palatino Linotype"/>
                <w:b/>
                <w:bCs/>
                <w:sz w:val="20"/>
                <w:szCs w:val="20"/>
                <w:lang w:val="en-IN" w:eastAsia="en-IN" w:bidi="hi-IN"/>
              </w:rPr>
            </w:pPr>
            <w:r w:rsidRPr="00D33F7C">
              <w:rPr>
                <w:rFonts w:ascii="Palatino Linotype" w:eastAsia="Times New Roman" w:hAnsi="Palatino Linotype"/>
                <w:b/>
                <w:bCs/>
                <w:sz w:val="20"/>
                <w:szCs w:val="20"/>
                <w:lang w:val="en-IN" w:eastAsia="en-IN" w:bidi="hi-IN"/>
              </w:rPr>
              <w:t> </w:t>
            </w:r>
          </w:p>
        </w:tc>
      </w:tr>
      <w:tr w:rsidR="00D33F7C" w:rsidRPr="00D33F7C" w14:paraId="23ACD7EC"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4EBAE4CE"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BSE </w:t>
            </w:r>
          </w:p>
        </w:tc>
        <w:tc>
          <w:tcPr>
            <w:tcW w:w="1687" w:type="dxa"/>
            <w:tcBorders>
              <w:top w:val="nil"/>
              <w:left w:val="nil"/>
              <w:bottom w:val="single" w:sz="4" w:space="0" w:color="000000"/>
              <w:right w:val="single" w:sz="4" w:space="0" w:color="000000"/>
            </w:tcBorders>
            <w:shd w:val="clear" w:color="auto" w:fill="auto"/>
            <w:noWrap/>
            <w:vAlign w:val="bottom"/>
            <w:hideMark/>
          </w:tcPr>
          <w:p w14:paraId="72E88E8C"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2,276 </w:t>
            </w:r>
          </w:p>
        </w:tc>
        <w:tc>
          <w:tcPr>
            <w:tcW w:w="1687" w:type="dxa"/>
            <w:tcBorders>
              <w:top w:val="nil"/>
              <w:left w:val="nil"/>
              <w:bottom w:val="single" w:sz="4" w:space="0" w:color="000000"/>
              <w:right w:val="single" w:sz="4" w:space="0" w:color="000000"/>
            </w:tcBorders>
            <w:shd w:val="clear" w:color="auto" w:fill="auto"/>
            <w:noWrap/>
            <w:vAlign w:val="bottom"/>
            <w:hideMark/>
          </w:tcPr>
          <w:p w14:paraId="5EB17749"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3,124 </w:t>
            </w:r>
          </w:p>
        </w:tc>
        <w:tc>
          <w:tcPr>
            <w:tcW w:w="1846" w:type="dxa"/>
            <w:tcBorders>
              <w:top w:val="nil"/>
              <w:left w:val="nil"/>
              <w:bottom w:val="single" w:sz="4" w:space="0" w:color="000000"/>
              <w:right w:val="single" w:sz="4" w:space="0" w:color="000000"/>
            </w:tcBorders>
            <w:shd w:val="clear" w:color="auto" w:fill="auto"/>
            <w:noWrap/>
            <w:vAlign w:val="bottom"/>
            <w:hideMark/>
          </w:tcPr>
          <w:p w14:paraId="593A110C"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37.3</w:t>
            </w:r>
          </w:p>
        </w:tc>
      </w:tr>
      <w:tr w:rsidR="00D33F7C" w:rsidRPr="00D33F7C" w14:paraId="20496654" w14:textId="77777777" w:rsidTr="00E213CE">
        <w:trPr>
          <w:trHeight w:val="277"/>
        </w:trPr>
        <w:tc>
          <w:tcPr>
            <w:tcW w:w="2987" w:type="dxa"/>
            <w:tcBorders>
              <w:top w:val="nil"/>
              <w:left w:val="single" w:sz="4" w:space="0" w:color="000000"/>
              <w:bottom w:val="single" w:sz="4" w:space="0" w:color="000000"/>
              <w:right w:val="single" w:sz="4" w:space="0" w:color="000000"/>
            </w:tcBorders>
            <w:shd w:val="clear" w:color="auto" w:fill="auto"/>
            <w:noWrap/>
            <w:vAlign w:val="bottom"/>
            <w:hideMark/>
          </w:tcPr>
          <w:p w14:paraId="38E4350D"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NSE</w:t>
            </w:r>
          </w:p>
        </w:tc>
        <w:tc>
          <w:tcPr>
            <w:tcW w:w="1687" w:type="dxa"/>
            <w:tcBorders>
              <w:top w:val="nil"/>
              <w:left w:val="nil"/>
              <w:bottom w:val="single" w:sz="4" w:space="0" w:color="000000"/>
              <w:right w:val="single" w:sz="4" w:space="0" w:color="000000"/>
            </w:tcBorders>
            <w:shd w:val="clear" w:color="auto" w:fill="auto"/>
            <w:noWrap/>
            <w:vAlign w:val="bottom"/>
            <w:hideMark/>
          </w:tcPr>
          <w:p w14:paraId="25D41608"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2,811 </w:t>
            </w:r>
          </w:p>
        </w:tc>
        <w:tc>
          <w:tcPr>
            <w:tcW w:w="1687" w:type="dxa"/>
            <w:tcBorders>
              <w:top w:val="nil"/>
              <w:left w:val="nil"/>
              <w:bottom w:val="single" w:sz="4" w:space="0" w:color="000000"/>
              <w:right w:val="single" w:sz="4" w:space="0" w:color="000000"/>
            </w:tcBorders>
            <w:shd w:val="clear" w:color="auto" w:fill="auto"/>
            <w:noWrap/>
            <w:vAlign w:val="bottom"/>
            <w:hideMark/>
          </w:tcPr>
          <w:p w14:paraId="545DF05F" w14:textId="77777777" w:rsidR="00D33F7C" w:rsidRPr="00D33F7C" w:rsidRDefault="00D33F7C" w:rsidP="00D33F7C">
            <w:pPr>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 xml:space="preserve">                    1,966 </w:t>
            </w:r>
          </w:p>
        </w:tc>
        <w:tc>
          <w:tcPr>
            <w:tcW w:w="1846" w:type="dxa"/>
            <w:tcBorders>
              <w:top w:val="nil"/>
              <w:left w:val="nil"/>
              <w:bottom w:val="single" w:sz="4" w:space="0" w:color="000000"/>
              <w:right w:val="single" w:sz="4" w:space="0" w:color="000000"/>
            </w:tcBorders>
            <w:shd w:val="clear" w:color="auto" w:fill="auto"/>
            <w:noWrap/>
            <w:vAlign w:val="bottom"/>
            <w:hideMark/>
          </w:tcPr>
          <w:p w14:paraId="32DB4095" w14:textId="77777777" w:rsidR="00D33F7C" w:rsidRPr="00D33F7C" w:rsidRDefault="00D33F7C" w:rsidP="00D33F7C">
            <w:pPr>
              <w:jc w:val="right"/>
              <w:rPr>
                <w:rFonts w:ascii="Palatino Linotype" w:eastAsia="Times New Roman" w:hAnsi="Palatino Linotype"/>
                <w:sz w:val="20"/>
                <w:szCs w:val="20"/>
                <w:lang w:val="en-IN" w:eastAsia="en-IN" w:bidi="hi-IN"/>
              </w:rPr>
            </w:pPr>
            <w:r w:rsidRPr="00D33F7C">
              <w:rPr>
                <w:rFonts w:ascii="Palatino Linotype" w:eastAsia="Times New Roman" w:hAnsi="Palatino Linotype"/>
                <w:sz w:val="20"/>
                <w:szCs w:val="20"/>
                <w:lang w:val="en-IN" w:eastAsia="en-IN" w:bidi="hi-IN"/>
              </w:rPr>
              <w:t>-30.1</w:t>
            </w:r>
          </w:p>
        </w:tc>
      </w:tr>
    </w:tbl>
    <w:p w14:paraId="3AE761F5" w14:textId="64DB16FA"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Note: #NSE change</w:t>
      </w:r>
      <w:r w:rsidR="00B84302">
        <w:rPr>
          <w:rFonts w:ascii="Palatino Linotype" w:eastAsia="Palatino Linotype" w:hAnsi="Palatino Linotype" w:cs="Palatino Linotype"/>
          <w:b/>
          <w:sz w:val="18"/>
          <w:szCs w:val="18"/>
        </w:rPr>
        <w:t>d</w:t>
      </w:r>
      <w:r w:rsidRPr="00D33F7C">
        <w:rPr>
          <w:rFonts w:ascii="Palatino Linotype" w:eastAsia="Palatino Linotype" w:hAnsi="Palatino Linotype" w:cs="Palatino Linotype"/>
          <w:b/>
          <w:sz w:val="18"/>
          <w:szCs w:val="18"/>
        </w:rPr>
        <w:t xml:space="preserve"> the PE methodology </w:t>
      </w:r>
      <w:r w:rsidR="007C2581">
        <w:rPr>
          <w:rFonts w:ascii="Palatino Linotype" w:eastAsia="Palatino Linotype" w:hAnsi="Palatino Linotype" w:cs="Palatino Linotype"/>
          <w:b/>
          <w:sz w:val="18"/>
          <w:szCs w:val="18"/>
        </w:rPr>
        <w:t xml:space="preserve">incorporating </w:t>
      </w:r>
      <w:r w:rsidRPr="00D33F7C">
        <w:rPr>
          <w:rFonts w:ascii="Palatino Linotype" w:eastAsia="Palatino Linotype" w:hAnsi="Palatino Linotype" w:cs="Palatino Linotype"/>
          <w:b/>
          <w:sz w:val="18"/>
          <w:szCs w:val="18"/>
        </w:rPr>
        <w:t>consolidated earning</w:t>
      </w:r>
      <w:r w:rsidR="007C2581">
        <w:rPr>
          <w:rFonts w:ascii="Palatino Linotype" w:eastAsia="Palatino Linotype" w:hAnsi="Palatino Linotype" w:cs="Palatino Linotype"/>
          <w:b/>
          <w:sz w:val="18"/>
          <w:szCs w:val="18"/>
        </w:rPr>
        <w:t>s</w:t>
      </w:r>
      <w:r w:rsidRPr="00D33F7C">
        <w:rPr>
          <w:rFonts w:ascii="Palatino Linotype" w:eastAsia="Palatino Linotype" w:hAnsi="Palatino Linotype" w:cs="Palatino Linotype"/>
          <w:b/>
          <w:sz w:val="18"/>
          <w:szCs w:val="18"/>
        </w:rPr>
        <w:t xml:space="preserve"> w.e.f. March 31, 2021</w:t>
      </w:r>
    </w:p>
    <w:p w14:paraId="59A5CBBE"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Source: BSE, NSE and MSEI</w:t>
      </w:r>
      <w:r w:rsidRPr="00D33F7C">
        <w:rPr>
          <w:rFonts w:ascii="Palatino Linotype" w:eastAsia="Palatino Linotype" w:hAnsi="Palatino Linotype" w:cs="Palatino Linotype"/>
          <w:b/>
          <w:sz w:val="18"/>
          <w:szCs w:val="18"/>
        </w:rPr>
        <w:br w:type="page"/>
      </w:r>
    </w:p>
    <w:p w14:paraId="48862CC3"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lastRenderedPageBreak/>
        <w:t>Figure 1: Movement of S&amp;P BSE Sensex and Nifty 50 during June 2021</w:t>
      </w:r>
    </w:p>
    <w:p w14:paraId="5E700E87" w14:textId="77777777" w:rsidR="00D33F7C" w:rsidRPr="00D33F7C" w:rsidRDefault="00D33F7C" w:rsidP="00D33F7C">
      <w:pPr>
        <w:spacing w:line="276" w:lineRule="auto"/>
        <w:rPr>
          <w:rFonts w:ascii="Palatino Linotype" w:eastAsia="Palatino Linotype" w:hAnsi="Palatino Linotype" w:cs="Palatino Linotype"/>
          <w:bCs/>
          <w:sz w:val="22"/>
          <w:szCs w:val="22"/>
          <w:highlight w:val="yellow"/>
        </w:rPr>
      </w:pPr>
      <w:r w:rsidRPr="00D33F7C">
        <w:rPr>
          <w:noProof/>
          <w:lang w:val="en-IN" w:eastAsia="en-IN" w:bidi="hi-IN"/>
        </w:rPr>
        <w:drawing>
          <wp:inline distT="0" distB="0" distL="0" distR="0" wp14:anchorId="21B6906C" wp14:editId="73CF4DFB">
            <wp:extent cx="5876926" cy="2628900"/>
            <wp:effectExtent l="0" t="0" r="9525" b="0"/>
            <wp:docPr id="3" name="Chart 3">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BEA3B25" w14:textId="77777777" w:rsidR="00D33F7C" w:rsidRPr="00D33F7C" w:rsidRDefault="00D33F7C" w:rsidP="00D33F7C">
      <w:pPr>
        <w:spacing w:line="276" w:lineRule="auto"/>
        <w:rPr>
          <w:rFonts w:ascii="Palatino Linotype" w:eastAsia="Palatino Linotype" w:hAnsi="Palatino Linotype" w:cs="Palatino Linotype"/>
          <w:b/>
          <w:i/>
          <w:iCs/>
          <w:sz w:val="18"/>
          <w:szCs w:val="18"/>
        </w:rPr>
      </w:pPr>
      <w:r w:rsidRPr="00D33F7C">
        <w:rPr>
          <w:rFonts w:ascii="Palatino Linotype" w:eastAsia="Palatino Linotype" w:hAnsi="Palatino Linotype" w:cs="Palatino Linotype"/>
          <w:b/>
          <w:i/>
          <w:iCs/>
          <w:sz w:val="18"/>
          <w:szCs w:val="18"/>
        </w:rPr>
        <w:t xml:space="preserve">Note: The closing values of Nifty 50 and Sensex have been rebased with respective closing values of last day of the previous month. </w:t>
      </w:r>
    </w:p>
    <w:p w14:paraId="33EBB5B6"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BSE and NSE</w:t>
      </w:r>
    </w:p>
    <w:p w14:paraId="74A6D497" w14:textId="77777777" w:rsidR="00D33F7C" w:rsidRPr="00D33F7C" w:rsidRDefault="00D33F7C" w:rsidP="00D33F7C">
      <w:pPr>
        <w:spacing w:line="276" w:lineRule="auto"/>
        <w:rPr>
          <w:rFonts w:ascii="Palatino Linotype" w:eastAsia="Palatino Linotype" w:hAnsi="Palatino Linotype" w:cs="Palatino Linotype"/>
          <w:b/>
          <w:sz w:val="22"/>
          <w:szCs w:val="22"/>
        </w:rPr>
      </w:pPr>
    </w:p>
    <w:p w14:paraId="3F369E04" w14:textId="440D5900"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At the end of June 2021, the market capitalisation of both BSE and NSE increased by 3.0 per cent each over the level as at the end of previous month.  </w:t>
      </w:r>
    </w:p>
    <w:p w14:paraId="2D58CE5B"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14:paraId="42F136CD"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D33F7C">
        <w:rPr>
          <w:rFonts w:ascii="Palatino Linotype" w:eastAsia="Palatino Linotype" w:hAnsi="Palatino Linotype" w:cs="Palatino Linotype"/>
          <w:b/>
          <w:sz w:val="22"/>
          <w:szCs w:val="22"/>
        </w:rPr>
        <w:t xml:space="preserve">Figure 2: Trends in Average Daily Values of Nifty 50 and Average Daily Turnover of NSE Equity Cash Segment </w:t>
      </w:r>
    </w:p>
    <w:p w14:paraId="3AD023B9"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D33F7C">
        <w:rPr>
          <w:noProof/>
          <w:lang w:val="en-IN" w:eastAsia="en-IN" w:bidi="hi-IN"/>
        </w:rPr>
        <w:drawing>
          <wp:inline distT="0" distB="0" distL="0" distR="0" wp14:anchorId="72EF92B6" wp14:editId="6BDC4C1F">
            <wp:extent cx="4572000" cy="2743200"/>
            <wp:effectExtent l="0" t="0" r="0" b="0"/>
            <wp:docPr id="6" name="Chart 6">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DF75476"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Note: ADV implies Average Daily Values and ADT implies Average Daily Turnover</w:t>
      </w:r>
    </w:p>
    <w:p w14:paraId="74700E0D"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NSE  </w:t>
      </w:r>
      <w:r w:rsidRPr="00D33F7C">
        <w:rPr>
          <w:rFonts w:ascii="Palatino Linotype" w:eastAsia="Palatino Linotype" w:hAnsi="Palatino Linotype" w:cs="Palatino Linotype"/>
          <w:b/>
          <w:sz w:val="18"/>
          <w:szCs w:val="18"/>
        </w:rPr>
        <w:br w:type="page"/>
      </w:r>
    </w:p>
    <w:p w14:paraId="09D80B1A" w14:textId="77777777" w:rsidR="00D33F7C" w:rsidRPr="00D33F7C" w:rsidRDefault="00D33F7C" w:rsidP="00D33F7C">
      <w:pPr>
        <w:pBdr>
          <w:top w:val="nil"/>
          <w:left w:val="nil"/>
          <w:bottom w:val="nil"/>
          <w:right w:val="nil"/>
          <w:between w:val="nil"/>
        </w:pBdr>
        <w:spacing w:line="276" w:lineRule="auto"/>
        <w:jc w:val="center"/>
        <w:rPr>
          <w:noProof/>
          <w:lang w:val="en-IN" w:eastAsia="en-IN" w:bidi="hi-IN"/>
        </w:rPr>
      </w:pPr>
      <w:r w:rsidRPr="00D33F7C">
        <w:rPr>
          <w:rFonts w:ascii="Palatino Linotype" w:eastAsia="Palatino Linotype" w:hAnsi="Palatino Linotype" w:cs="Palatino Linotype"/>
          <w:b/>
          <w:sz w:val="22"/>
          <w:szCs w:val="22"/>
        </w:rPr>
        <w:lastRenderedPageBreak/>
        <w:t xml:space="preserve">Figure 3: Trends in Average Daily Values of Sensex and Average Daily Turnover of BSE Equity Cash Segment </w:t>
      </w:r>
    </w:p>
    <w:p w14:paraId="402E9A05" w14:textId="77777777" w:rsidR="00D33F7C" w:rsidRPr="00D33F7C" w:rsidRDefault="00D33F7C" w:rsidP="00D33F7C">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D33F7C">
        <w:rPr>
          <w:noProof/>
          <w:lang w:val="en-IN" w:eastAsia="en-IN" w:bidi="hi-IN"/>
        </w:rPr>
        <w:drawing>
          <wp:inline distT="0" distB="0" distL="0" distR="0" wp14:anchorId="7D6132C6" wp14:editId="14E5DD54">
            <wp:extent cx="4848225" cy="2762250"/>
            <wp:effectExtent l="0" t="0" r="9525" b="0"/>
            <wp:docPr id="7" name="Chart 7">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6D786C9"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Note: ADV implies Average Daily Values and ADT implies Average Daily Turnover</w:t>
      </w:r>
    </w:p>
    <w:p w14:paraId="255AA61C"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BSE  </w:t>
      </w:r>
    </w:p>
    <w:p w14:paraId="21A358E4" w14:textId="77777777" w:rsidR="00D33F7C" w:rsidRPr="00D33F7C" w:rsidRDefault="00D33F7C" w:rsidP="00D33F7C">
      <w:pPr>
        <w:spacing w:line="276" w:lineRule="auto"/>
        <w:jc w:val="both"/>
        <w:rPr>
          <w:rFonts w:ascii="Palatino Linotype" w:eastAsia="Palatino Linotype" w:hAnsi="Palatino Linotype" w:cs="Palatino Linotype"/>
          <w:color w:val="2E74B5"/>
          <w:sz w:val="22"/>
          <w:szCs w:val="22"/>
        </w:rPr>
      </w:pPr>
    </w:p>
    <w:p w14:paraId="1295D8B4"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June 2021, the gross turnover in the equity cash segments, increased at BSE by 33.3 per cent while it declined by 0.8 percent at NSE, respectively over previous month. </w:t>
      </w:r>
    </w:p>
    <w:p w14:paraId="19A73BDF" w14:textId="77777777" w:rsidR="00D33F7C" w:rsidRP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14:paraId="3FB0A29E" w14:textId="4F1C2938"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During June 2021, the selected BSE sectoral indices, referred to in Figure 4, witnessed mixed trends.  Amongst these, S&amp;P BSE Teck increased by 7.9 per cent, followed by S&amp;P BSE Consumer Durables (6.5 per cent), S&amp;P BSE Realty (2.3 per cent), S&amp;P BSE PSU (2.2 per cent), S&amp;P BSE Consumer Goods (2.0 per cent), S&amp;P BSE Auto (1.0 per cent). S&amp;P BSE Bank declined by 2.5 per cent followed by S&amp;P Power (2.2 per cent), S&amp;P BSE Oil (1.8 per cent) and BSE Metal (1.1 per cent) over the previous month. The average daily volatility and monthly returns for these select BSE indices for June 2021 are illustrated in Figure 4.</w:t>
      </w:r>
    </w:p>
    <w:p w14:paraId="765B619C" w14:textId="77777777" w:rsidR="00D33F7C" w:rsidRPr="00D33F7C" w:rsidRDefault="00D33F7C" w:rsidP="00D33F7C">
      <w:pPr>
        <w:spacing w:line="276" w:lineRule="auto"/>
        <w:jc w:val="both"/>
        <w:rPr>
          <w:rFonts w:ascii="Palatino Linotype" w:eastAsia="Palatino Linotype" w:hAnsi="Palatino Linotype" w:cs="Palatino Linotype"/>
          <w:b/>
          <w:sz w:val="22"/>
          <w:szCs w:val="22"/>
        </w:rPr>
      </w:pPr>
    </w:p>
    <w:p w14:paraId="2ABC9230" w14:textId="77777777" w:rsidR="00D33F7C" w:rsidRPr="00D33F7C" w:rsidRDefault="00D33F7C" w:rsidP="00D33F7C">
      <w:pPr>
        <w:spacing w:line="276" w:lineRule="auto"/>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Figure 4: Trends of BSE Sectoral Indices during June 2021 (per cent)</w:t>
      </w:r>
    </w:p>
    <w:p w14:paraId="1F41004D" w14:textId="77777777" w:rsidR="00D33F7C" w:rsidRPr="00D33F7C" w:rsidRDefault="00D33F7C" w:rsidP="00D33F7C">
      <w:pPr>
        <w:spacing w:line="276" w:lineRule="auto"/>
        <w:jc w:val="center"/>
        <w:rPr>
          <w:rFonts w:ascii="Palatino Linotype" w:eastAsia="Palatino Linotype" w:hAnsi="Palatino Linotype" w:cs="Palatino Linotype"/>
          <w:b/>
          <w:color w:val="2E74B5"/>
          <w:sz w:val="22"/>
          <w:szCs w:val="22"/>
          <w:highlight w:val="yellow"/>
        </w:rPr>
      </w:pPr>
      <w:r w:rsidRPr="00D33F7C">
        <w:rPr>
          <w:noProof/>
          <w:lang w:val="en-IN" w:eastAsia="en-IN" w:bidi="hi-IN"/>
        </w:rPr>
        <w:drawing>
          <wp:inline distT="0" distB="0" distL="0" distR="0" wp14:anchorId="51689BAF" wp14:editId="35295CF2">
            <wp:extent cx="4495800" cy="2495550"/>
            <wp:effectExtent l="0" t="0" r="0" b="0"/>
            <wp:docPr id="8" name="Chart 8">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BB53AAE"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w:t>
      </w:r>
      <w:r w:rsidRPr="00D33F7C">
        <w:rPr>
          <w:rFonts w:ascii="Palatino Linotype" w:eastAsia="Palatino Linotype" w:hAnsi="Palatino Linotype" w:cs="Palatino Linotype"/>
          <w:b/>
          <w:sz w:val="18"/>
          <w:szCs w:val="18"/>
        </w:rPr>
        <w:tab/>
      </w:r>
      <w:r w:rsidRPr="00D33F7C">
        <w:rPr>
          <w:rFonts w:ascii="Palatino Linotype" w:eastAsia="Palatino Linotype" w:hAnsi="Palatino Linotype" w:cs="Palatino Linotype"/>
          <w:b/>
          <w:sz w:val="18"/>
          <w:szCs w:val="18"/>
        </w:rPr>
        <w:tab/>
        <w:t>Source: BSE</w:t>
      </w:r>
    </w:p>
    <w:p w14:paraId="1298DB3D" w14:textId="77777777" w:rsidR="00D33F7C" w:rsidRPr="00D33F7C" w:rsidRDefault="00D33F7C" w:rsidP="00D33F7C">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14:paraId="0D1F6537"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lastRenderedPageBreak/>
        <w:t>Similarly, during June 2021, among the select sectoral indices of the NSE, Nifty IT increased by 7.6 per cent, followed by Nifty PSU (3.8 per cent), Nifty PSE (2.6 per cent), Nifty FMCG (2.4 per cent), Nifty Reality (2.3 per cent), Nifty Pharma (1.8 per cent), Nifty Services (1.3 per cent) and Nifty Infrastructure (0.3 per cent). Nifty Bank declined by 2.1 per cent followed by Nifty Energy (0.4 per cent). The average daily volatility and monthly returns of these select NSE indices for June 2021 are illustrated in Figure 5.</w:t>
      </w:r>
    </w:p>
    <w:p w14:paraId="087AAF59" w14:textId="77777777" w:rsidR="00D33F7C" w:rsidRPr="00D33F7C" w:rsidRDefault="00D33F7C" w:rsidP="00D33F7C">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14:paraId="65A59DEE" w14:textId="77777777" w:rsidR="00D33F7C" w:rsidRPr="00D33F7C" w:rsidRDefault="00D33F7C" w:rsidP="00D33F7C">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Figure 5: Trends of NSE Sectoral Indices during June 2021 (per cent)</w:t>
      </w:r>
    </w:p>
    <w:p w14:paraId="1DA8A0EF" w14:textId="77777777" w:rsidR="00D33F7C" w:rsidRPr="00D33F7C" w:rsidRDefault="00D33F7C" w:rsidP="00D33F7C">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D33F7C">
        <w:rPr>
          <w:noProof/>
          <w:lang w:val="en-IN" w:eastAsia="en-IN" w:bidi="hi-IN"/>
        </w:rPr>
        <w:drawing>
          <wp:inline distT="0" distB="0" distL="0" distR="0" wp14:anchorId="0EDF77A0" wp14:editId="2DFCE215">
            <wp:extent cx="4572000" cy="2743200"/>
            <wp:effectExtent l="0" t="0" r="0" b="0"/>
            <wp:docPr id="21" name="Chart 2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932B2C2"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NSE</w:t>
      </w:r>
    </w:p>
    <w:p w14:paraId="5900B6AF" w14:textId="77777777" w:rsidR="00D33F7C" w:rsidRPr="00D33F7C" w:rsidRDefault="00D33F7C" w:rsidP="00D33F7C">
      <w:pPr>
        <w:pBdr>
          <w:top w:val="nil"/>
          <w:left w:val="nil"/>
          <w:bottom w:val="nil"/>
          <w:right w:val="nil"/>
          <w:between w:val="nil"/>
        </w:pBdr>
        <w:spacing w:line="276" w:lineRule="auto"/>
        <w:rPr>
          <w:rFonts w:ascii="Palatino Linotype" w:eastAsia="Palatino Linotype" w:hAnsi="Palatino Linotype" w:cs="Palatino Linotype"/>
          <w:b/>
          <w:sz w:val="22"/>
          <w:szCs w:val="22"/>
        </w:rPr>
      </w:pPr>
    </w:p>
    <w:p w14:paraId="0B6D3B3B" w14:textId="77777777" w:rsidR="00D33F7C" w:rsidRPr="00D33F7C" w:rsidRDefault="00D33F7C" w:rsidP="00D33F7C">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 xml:space="preserve">Trends in Depository Accounts </w:t>
      </w:r>
    </w:p>
    <w:p w14:paraId="7886103C"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As at the end of June 2021, there were 225 lakh demat accounts at NSDL and 397 lakh demat accounts at CDSL. Further, till the end of June 2021, 5,711 listed companies were signed up with NSDL and 5,783 listed companies were signed up with CDSL to make their equity holdings available in dematerialised form.</w:t>
      </w:r>
    </w:p>
    <w:p w14:paraId="4A29CAC7"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40550D3C"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19E98194"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2E1CC8E2"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21534FD5"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142A6E08"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3ACBDF9B"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3A4E07B7"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5E8AB91E"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0AEC923D"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30B2D593"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57B830B5"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50317475"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144D8B24"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14:paraId="7DDFA75C" w14:textId="77777777" w:rsidR="00D33F7C" w:rsidRPr="00D33F7C" w:rsidRDefault="00D33F7C" w:rsidP="00D33F7C">
      <w:pPr>
        <w:spacing w:line="276" w:lineRule="auto"/>
        <w:rPr>
          <w:rFonts w:ascii="Palatino Linotype" w:eastAsia="Palatino Linotype" w:hAnsi="Palatino Linotype" w:cs="Palatino Linotype"/>
          <w:b/>
          <w:color w:val="2E74B5"/>
          <w:sz w:val="22"/>
          <w:szCs w:val="22"/>
          <w:highlight w:val="yellow"/>
        </w:rPr>
      </w:pPr>
    </w:p>
    <w:p w14:paraId="082478F9" w14:textId="77777777" w:rsidR="00D33F7C" w:rsidRPr="00D33F7C" w:rsidRDefault="00D33F7C" w:rsidP="00D33F7C">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lastRenderedPageBreak/>
        <w:t>Trends in Derivatives Segment</w:t>
      </w:r>
      <w:r w:rsidRPr="00D33F7C">
        <w:rPr>
          <w:rFonts w:ascii="Palatino Linotype" w:eastAsia="Palatino Linotype" w:hAnsi="Palatino Linotype" w:cs="Palatino Linotype"/>
          <w:b/>
          <w:sz w:val="22"/>
          <w:szCs w:val="22"/>
        </w:rPr>
        <w:tab/>
      </w:r>
    </w:p>
    <w:p w14:paraId="7A41A85E" w14:textId="77777777" w:rsidR="00D33F7C" w:rsidRPr="00D33F7C" w:rsidRDefault="00D33F7C" w:rsidP="00D33F7C">
      <w:pPr>
        <w:widowControl w:val="0"/>
        <w:spacing w:line="276" w:lineRule="auto"/>
        <w:jc w:val="both"/>
        <w:rPr>
          <w:rFonts w:ascii="Palatino Linotype" w:eastAsia="Palatino Linotype" w:hAnsi="Palatino Linotype" w:cs="Palatino Linotype"/>
          <w:sz w:val="22"/>
          <w:szCs w:val="22"/>
        </w:rPr>
      </w:pPr>
    </w:p>
    <w:p w14:paraId="43E51C07" w14:textId="77777777" w:rsidR="00D33F7C" w:rsidRPr="00D33F7C" w:rsidRDefault="00D33F7C" w:rsidP="00D33F7C">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Equity Derivatives</w:t>
      </w:r>
    </w:p>
    <w:p w14:paraId="47711860" w14:textId="77777777" w:rsidR="00D33F7C" w:rsidRPr="00D33F7C" w:rsidRDefault="00D33F7C" w:rsidP="00D33F7C">
      <w:pPr>
        <w:tabs>
          <w:tab w:val="left" w:pos="3135"/>
        </w:tabs>
        <w:spacing w:line="276" w:lineRule="auto"/>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Table 3: Trends in Equity Derivatives Market</w:t>
      </w:r>
    </w:p>
    <w:tbl>
      <w:tblPr>
        <w:tblW w:w="9800" w:type="dxa"/>
        <w:tblLook w:val="04A0" w:firstRow="1" w:lastRow="0" w:firstColumn="1" w:lastColumn="0" w:noHBand="0" w:noVBand="1"/>
      </w:tblPr>
      <w:tblGrid>
        <w:gridCol w:w="1960"/>
        <w:gridCol w:w="1216"/>
        <w:gridCol w:w="1281"/>
        <w:gridCol w:w="1245"/>
        <w:gridCol w:w="1340"/>
        <w:gridCol w:w="1340"/>
        <w:gridCol w:w="1480"/>
      </w:tblGrid>
      <w:tr w:rsidR="00D33F7C" w:rsidRPr="00D33F7C" w14:paraId="318D0C3A" w14:textId="77777777" w:rsidTr="00E213CE">
        <w:trPr>
          <w:trHeight w:val="255"/>
        </w:trPr>
        <w:tc>
          <w:tcPr>
            <w:tcW w:w="1960"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14:paraId="58C100ED"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Description</w:t>
            </w:r>
          </w:p>
        </w:tc>
        <w:tc>
          <w:tcPr>
            <w:tcW w:w="3680" w:type="dxa"/>
            <w:gridSpan w:val="3"/>
            <w:tcBorders>
              <w:top w:val="single" w:sz="4" w:space="0" w:color="auto"/>
              <w:left w:val="nil"/>
              <w:bottom w:val="single" w:sz="4" w:space="0" w:color="auto"/>
              <w:right w:val="single" w:sz="4" w:space="0" w:color="auto"/>
            </w:tcBorders>
            <w:shd w:val="clear" w:color="8DB3E2" w:fill="8DB3E2"/>
            <w:noWrap/>
            <w:vAlign w:val="center"/>
            <w:hideMark/>
          </w:tcPr>
          <w:p w14:paraId="7F4D6D12"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NSE</w:t>
            </w:r>
          </w:p>
        </w:tc>
        <w:tc>
          <w:tcPr>
            <w:tcW w:w="4160" w:type="dxa"/>
            <w:gridSpan w:val="3"/>
            <w:tcBorders>
              <w:top w:val="single" w:sz="4" w:space="0" w:color="auto"/>
              <w:left w:val="nil"/>
              <w:bottom w:val="single" w:sz="4" w:space="0" w:color="auto"/>
              <w:right w:val="single" w:sz="4" w:space="0" w:color="auto"/>
            </w:tcBorders>
            <w:shd w:val="clear" w:color="8DB3E2" w:fill="8DB3E2"/>
            <w:noWrap/>
            <w:vAlign w:val="center"/>
            <w:hideMark/>
          </w:tcPr>
          <w:p w14:paraId="585E37BC"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BSE</w:t>
            </w:r>
          </w:p>
        </w:tc>
      </w:tr>
      <w:tr w:rsidR="00D33F7C" w:rsidRPr="00D33F7C" w14:paraId="4BDA2DB8" w14:textId="77777777" w:rsidTr="00E213CE">
        <w:trPr>
          <w:trHeight w:val="255"/>
        </w:trPr>
        <w:tc>
          <w:tcPr>
            <w:tcW w:w="1960" w:type="dxa"/>
            <w:vMerge/>
            <w:tcBorders>
              <w:top w:val="single" w:sz="4" w:space="0" w:color="auto"/>
              <w:left w:val="single" w:sz="4" w:space="0" w:color="auto"/>
              <w:bottom w:val="single" w:sz="4" w:space="0" w:color="auto"/>
              <w:right w:val="single" w:sz="4" w:space="0" w:color="auto"/>
            </w:tcBorders>
            <w:vAlign w:val="center"/>
            <w:hideMark/>
          </w:tcPr>
          <w:p w14:paraId="0B1ADA40" w14:textId="77777777" w:rsidR="00D33F7C" w:rsidRPr="00D33F7C" w:rsidRDefault="00D33F7C" w:rsidP="00D33F7C">
            <w:pPr>
              <w:rPr>
                <w:rFonts w:ascii="Garamond" w:eastAsia="Times New Roman" w:hAnsi="Garamond"/>
                <w:b/>
                <w:bCs/>
                <w:sz w:val="20"/>
                <w:szCs w:val="20"/>
                <w:lang w:val="en-IN" w:eastAsia="en-IN" w:bidi="hi-IN"/>
              </w:rPr>
            </w:pPr>
          </w:p>
        </w:tc>
        <w:tc>
          <w:tcPr>
            <w:tcW w:w="1180" w:type="dxa"/>
            <w:tcBorders>
              <w:top w:val="nil"/>
              <w:left w:val="nil"/>
              <w:bottom w:val="single" w:sz="4" w:space="0" w:color="auto"/>
              <w:right w:val="single" w:sz="4" w:space="0" w:color="auto"/>
            </w:tcBorders>
            <w:shd w:val="clear" w:color="8DB3E2" w:fill="8DB3E2"/>
            <w:noWrap/>
            <w:vAlign w:val="center"/>
            <w:hideMark/>
          </w:tcPr>
          <w:p w14:paraId="2033802D"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May-21</w:t>
            </w:r>
          </w:p>
        </w:tc>
        <w:tc>
          <w:tcPr>
            <w:tcW w:w="1255" w:type="dxa"/>
            <w:tcBorders>
              <w:top w:val="nil"/>
              <w:left w:val="nil"/>
              <w:bottom w:val="single" w:sz="4" w:space="0" w:color="auto"/>
              <w:right w:val="single" w:sz="4" w:space="0" w:color="auto"/>
            </w:tcBorders>
            <w:shd w:val="clear" w:color="8DB3E2" w:fill="8DB3E2"/>
            <w:noWrap/>
            <w:vAlign w:val="center"/>
            <w:hideMark/>
          </w:tcPr>
          <w:p w14:paraId="72C8F74A"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Jun-21</w:t>
            </w:r>
          </w:p>
        </w:tc>
        <w:tc>
          <w:tcPr>
            <w:tcW w:w="1245" w:type="dxa"/>
            <w:tcBorders>
              <w:top w:val="nil"/>
              <w:left w:val="nil"/>
              <w:bottom w:val="single" w:sz="4" w:space="0" w:color="auto"/>
              <w:right w:val="single" w:sz="4" w:space="0" w:color="auto"/>
            </w:tcBorders>
            <w:shd w:val="clear" w:color="8DB3E2" w:fill="8DB3E2"/>
            <w:vAlign w:val="center"/>
            <w:hideMark/>
          </w:tcPr>
          <w:p w14:paraId="22C3D3E3"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Percentage Change Over Month</w:t>
            </w:r>
          </w:p>
        </w:tc>
        <w:tc>
          <w:tcPr>
            <w:tcW w:w="1340" w:type="dxa"/>
            <w:tcBorders>
              <w:top w:val="nil"/>
              <w:left w:val="nil"/>
              <w:bottom w:val="single" w:sz="4" w:space="0" w:color="auto"/>
              <w:right w:val="single" w:sz="4" w:space="0" w:color="auto"/>
            </w:tcBorders>
            <w:shd w:val="clear" w:color="8DB3E2" w:fill="8DB3E2"/>
            <w:noWrap/>
            <w:vAlign w:val="center"/>
            <w:hideMark/>
          </w:tcPr>
          <w:p w14:paraId="4DA464A2"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May-21</w:t>
            </w:r>
          </w:p>
        </w:tc>
        <w:tc>
          <w:tcPr>
            <w:tcW w:w="1340" w:type="dxa"/>
            <w:tcBorders>
              <w:top w:val="nil"/>
              <w:left w:val="nil"/>
              <w:bottom w:val="single" w:sz="4" w:space="0" w:color="auto"/>
              <w:right w:val="single" w:sz="4" w:space="0" w:color="auto"/>
            </w:tcBorders>
            <w:shd w:val="clear" w:color="8DB3E2" w:fill="8DB3E2"/>
            <w:noWrap/>
            <w:vAlign w:val="center"/>
            <w:hideMark/>
          </w:tcPr>
          <w:p w14:paraId="36B58B65"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Jun-21</w:t>
            </w:r>
          </w:p>
        </w:tc>
        <w:tc>
          <w:tcPr>
            <w:tcW w:w="1480" w:type="dxa"/>
            <w:tcBorders>
              <w:top w:val="nil"/>
              <w:left w:val="nil"/>
              <w:bottom w:val="single" w:sz="4" w:space="0" w:color="auto"/>
              <w:right w:val="single" w:sz="4" w:space="0" w:color="auto"/>
            </w:tcBorders>
            <w:shd w:val="clear" w:color="8DB3E2" w:fill="8DB3E2"/>
            <w:vAlign w:val="center"/>
            <w:hideMark/>
          </w:tcPr>
          <w:p w14:paraId="6DB174C9" w14:textId="77777777" w:rsidR="00D33F7C" w:rsidRPr="00D33F7C" w:rsidRDefault="00D33F7C" w:rsidP="00D33F7C">
            <w:pPr>
              <w:jc w:val="cente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Percentage Change Over Month</w:t>
            </w:r>
          </w:p>
        </w:tc>
      </w:tr>
      <w:tr w:rsidR="00D33F7C" w:rsidRPr="00D33F7C" w14:paraId="2B6AB302" w14:textId="77777777" w:rsidTr="00E213CE">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0C18B880"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 xml:space="preserve">A. Turnover  </w:t>
            </w:r>
            <w:r w:rsidRPr="00D33F7C">
              <w:rPr>
                <w:rFonts w:ascii="Rupee" w:eastAsia="Times New Roman" w:hAnsi="Rupee"/>
                <w:b/>
                <w:bCs/>
                <w:sz w:val="20"/>
                <w:szCs w:val="20"/>
                <w:lang w:val="en-IN" w:eastAsia="en-IN" w:bidi="hi-IN"/>
              </w:rPr>
              <w:t>(</w:t>
            </w:r>
            <w:r w:rsidRPr="00D33F7C">
              <w:rPr>
                <w:rFonts w:ascii="Rupee Foradian" w:eastAsia="Times New Roman" w:hAnsi="Rupee Foradian"/>
                <w:b/>
                <w:bCs/>
                <w:sz w:val="20"/>
                <w:szCs w:val="20"/>
                <w:lang w:val="en-IN" w:eastAsia="en-IN" w:bidi="hi-IN"/>
              </w:rPr>
              <w:t>`</w:t>
            </w:r>
            <w:r w:rsidRPr="00D33F7C">
              <w:rPr>
                <w:rFonts w:ascii="Rupee" w:eastAsia="Times New Roman" w:hAnsi="Rupee"/>
                <w:b/>
                <w:bCs/>
                <w:sz w:val="20"/>
                <w:szCs w:val="20"/>
                <w:lang w:val="en-IN" w:eastAsia="en-IN" w:bidi="hi-IN"/>
              </w:rPr>
              <w:t xml:space="preserve"> </w:t>
            </w:r>
            <w:r w:rsidRPr="00D33F7C">
              <w:rPr>
                <w:rFonts w:ascii="Garamond" w:eastAsia="Times New Roman" w:hAnsi="Garamond"/>
                <w:b/>
                <w:bCs/>
                <w:sz w:val="20"/>
                <w:szCs w:val="20"/>
                <w:lang w:val="en-IN" w:eastAsia="en-IN" w:bidi="hi-IN"/>
              </w:rPr>
              <w:t>crore)</w:t>
            </w:r>
          </w:p>
        </w:tc>
      </w:tr>
      <w:tr w:rsidR="00D33F7C" w:rsidRPr="00D33F7C" w14:paraId="5D3F2F74"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37622985"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 Index  Futures</w:t>
            </w:r>
          </w:p>
        </w:tc>
        <w:tc>
          <w:tcPr>
            <w:tcW w:w="1180" w:type="dxa"/>
            <w:tcBorders>
              <w:top w:val="nil"/>
              <w:left w:val="nil"/>
              <w:bottom w:val="single" w:sz="4" w:space="0" w:color="auto"/>
              <w:right w:val="single" w:sz="4" w:space="0" w:color="auto"/>
            </w:tcBorders>
            <w:shd w:val="clear" w:color="auto" w:fill="auto"/>
            <w:noWrap/>
            <w:vAlign w:val="center"/>
            <w:hideMark/>
          </w:tcPr>
          <w:p w14:paraId="4BDFAC5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6,12,520</w:t>
            </w:r>
          </w:p>
        </w:tc>
        <w:tc>
          <w:tcPr>
            <w:tcW w:w="1255" w:type="dxa"/>
            <w:tcBorders>
              <w:top w:val="nil"/>
              <w:left w:val="nil"/>
              <w:bottom w:val="single" w:sz="4" w:space="0" w:color="auto"/>
              <w:right w:val="single" w:sz="4" w:space="0" w:color="auto"/>
            </w:tcBorders>
            <w:shd w:val="clear" w:color="auto" w:fill="auto"/>
            <w:noWrap/>
            <w:vAlign w:val="center"/>
            <w:hideMark/>
          </w:tcPr>
          <w:p w14:paraId="5EE30AA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5,71,272</w:t>
            </w:r>
          </w:p>
        </w:tc>
        <w:tc>
          <w:tcPr>
            <w:tcW w:w="1245" w:type="dxa"/>
            <w:tcBorders>
              <w:top w:val="nil"/>
              <w:left w:val="nil"/>
              <w:bottom w:val="single" w:sz="4" w:space="0" w:color="auto"/>
              <w:right w:val="single" w:sz="4" w:space="0" w:color="auto"/>
            </w:tcBorders>
            <w:shd w:val="clear" w:color="auto" w:fill="auto"/>
            <w:noWrap/>
            <w:vAlign w:val="center"/>
            <w:hideMark/>
          </w:tcPr>
          <w:p w14:paraId="471B7C7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-6.7</w:t>
            </w:r>
          </w:p>
        </w:tc>
        <w:tc>
          <w:tcPr>
            <w:tcW w:w="1340" w:type="dxa"/>
            <w:tcBorders>
              <w:top w:val="nil"/>
              <w:left w:val="nil"/>
              <w:bottom w:val="single" w:sz="4" w:space="0" w:color="auto"/>
              <w:right w:val="single" w:sz="4" w:space="0" w:color="auto"/>
            </w:tcBorders>
            <w:shd w:val="clear" w:color="auto" w:fill="auto"/>
            <w:vAlign w:val="center"/>
            <w:hideMark/>
          </w:tcPr>
          <w:p w14:paraId="04836B28" w14:textId="77777777" w:rsidR="00D33F7C" w:rsidRPr="00D33F7C" w:rsidRDefault="00D33F7C" w:rsidP="00D33F7C">
            <w:pPr>
              <w:jc w:val="right"/>
              <w:rPr>
                <w:rFonts w:ascii="Garamond" w:eastAsia="Times New Roman" w:hAnsi="Garamond"/>
                <w:color w:val="000000"/>
                <w:sz w:val="20"/>
                <w:szCs w:val="20"/>
                <w:lang w:val="en-IN" w:eastAsia="en-IN" w:bidi="hi-IN"/>
              </w:rPr>
            </w:pPr>
            <w:r w:rsidRPr="00D33F7C">
              <w:rPr>
                <w:rFonts w:ascii="Garamond" w:eastAsia="Times New Roman" w:hAnsi="Garamond"/>
                <w:color w:val="000000"/>
                <w:sz w:val="20"/>
                <w:szCs w:val="20"/>
                <w:lang w:val="en-IN" w:eastAsia="en-IN" w:bidi="hi-IN"/>
              </w:rPr>
              <w:t>193.4</w:t>
            </w:r>
          </w:p>
        </w:tc>
        <w:tc>
          <w:tcPr>
            <w:tcW w:w="1340" w:type="dxa"/>
            <w:tcBorders>
              <w:top w:val="nil"/>
              <w:left w:val="nil"/>
              <w:bottom w:val="single" w:sz="4" w:space="0" w:color="auto"/>
              <w:right w:val="single" w:sz="4" w:space="0" w:color="auto"/>
            </w:tcBorders>
            <w:shd w:val="clear" w:color="auto" w:fill="auto"/>
            <w:vAlign w:val="center"/>
            <w:hideMark/>
          </w:tcPr>
          <w:p w14:paraId="40B2834C" w14:textId="77777777" w:rsidR="00D33F7C" w:rsidRPr="00D33F7C" w:rsidRDefault="00D33F7C" w:rsidP="00D33F7C">
            <w:pPr>
              <w:jc w:val="right"/>
              <w:rPr>
                <w:rFonts w:ascii="Garamond" w:eastAsia="Times New Roman" w:hAnsi="Garamond"/>
                <w:color w:val="000000"/>
                <w:sz w:val="20"/>
                <w:szCs w:val="20"/>
                <w:lang w:val="en-IN" w:eastAsia="en-IN" w:bidi="hi-IN"/>
              </w:rPr>
            </w:pPr>
            <w:r w:rsidRPr="00D33F7C">
              <w:rPr>
                <w:rFonts w:ascii="Garamond" w:eastAsia="Times New Roman" w:hAnsi="Garamond"/>
                <w:color w:val="000000"/>
                <w:sz w:val="20"/>
                <w:szCs w:val="20"/>
                <w:lang w:val="en-IN" w:eastAsia="en-IN" w:bidi="hi-IN"/>
              </w:rPr>
              <w:t>67.5</w:t>
            </w:r>
          </w:p>
        </w:tc>
        <w:tc>
          <w:tcPr>
            <w:tcW w:w="1480" w:type="dxa"/>
            <w:tcBorders>
              <w:top w:val="nil"/>
              <w:left w:val="nil"/>
              <w:bottom w:val="single" w:sz="4" w:space="0" w:color="auto"/>
              <w:right w:val="single" w:sz="4" w:space="0" w:color="auto"/>
            </w:tcBorders>
            <w:shd w:val="clear" w:color="auto" w:fill="auto"/>
            <w:noWrap/>
            <w:vAlign w:val="center"/>
            <w:hideMark/>
          </w:tcPr>
          <w:p w14:paraId="1B63C31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-65</w:t>
            </w:r>
          </w:p>
        </w:tc>
      </w:tr>
      <w:tr w:rsidR="00D33F7C" w:rsidRPr="00D33F7C" w14:paraId="67010A88"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5C0C4B88"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 Options on Index</w:t>
            </w:r>
          </w:p>
        </w:tc>
        <w:tc>
          <w:tcPr>
            <w:tcW w:w="1180" w:type="dxa"/>
            <w:tcBorders>
              <w:top w:val="nil"/>
              <w:left w:val="nil"/>
              <w:bottom w:val="single" w:sz="4" w:space="0" w:color="auto"/>
              <w:right w:val="single" w:sz="4" w:space="0" w:color="auto"/>
            </w:tcBorders>
            <w:shd w:val="clear" w:color="auto" w:fill="auto"/>
            <w:noWrap/>
            <w:vAlign w:val="center"/>
            <w:hideMark/>
          </w:tcPr>
          <w:p w14:paraId="5EBA8AC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356BD7FA"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0549752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6E2113A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05FB61A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17DF27A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53251CF9"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2DFDED95"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01902F5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3,78,00,824</w:t>
            </w:r>
          </w:p>
        </w:tc>
        <w:tc>
          <w:tcPr>
            <w:tcW w:w="1255" w:type="dxa"/>
            <w:tcBorders>
              <w:top w:val="nil"/>
              <w:left w:val="nil"/>
              <w:bottom w:val="single" w:sz="4" w:space="0" w:color="auto"/>
              <w:right w:val="single" w:sz="4" w:space="0" w:color="auto"/>
            </w:tcBorders>
            <w:shd w:val="clear" w:color="auto" w:fill="auto"/>
            <w:noWrap/>
            <w:vAlign w:val="center"/>
            <w:hideMark/>
          </w:tcPr>
          <w:p w14:paraId="1375F28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4,51,14,987</w:t>
            </w:r>
          </w:p>
        </w:tc>
        <w:tc>
          <w:tcPr>
            <w:tcW w:w="1245" w:type="dxa"/>
            <w:tcBorders>
              <w:top w:val="nil"/>
              <w:left w:val="nil"/>
              <w:bottom w:val="single" w:sz="4" w:space="0" w:color="auto"/>
              <w:right w:val="single" w:sz="4" w:space="0" w:color="auto"/>
            </w:tcBorders>
            <w:shd w:val="clear" w:color="auto" w:fill="auto"/>
            <w:noWrap/>
            <w:vAlign w:val="center"/>
            <w:hideMark/>
          </w:tcPr>
          <w:p w14:paraId="2EE5120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19.3</w:t>
            </w:r>
          </w:p>
        </w:tc>
        <w:tc>
          <w:tcPr>
            <w:tcW w:w="1340" w:type="dxa"/>
            <w:tcBorders>
              <w:top w:val="nil"/>
              <w:left w:val="nil"/>
              <w:bottom w:val="single" w:sz="4" w:space="0" w:color="auto"/>
              <w:right w:val="single" w:sz="4" w:space="0" w:color="auto"/>
            </w:tcBorders>
            <w:shd w:val="clear" w:color="auto" w:fill="auto"/>
            <w:noWrap/>
            <w:vAlign w:val="center"/>
            <w:hideMark/>
          </w:tcPr>
          <w:p w14:paraId="24F1BA1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19,59,640</w:t>
            </w:r>
          </w:p>
        </w:tc>
        <w:tc>
          <w:tcPr>
            <w:tcW w:w="1340" w:type="dxa"/>
            <w:tcBorders>
              <w:top w:val="nil"/>
              <w:left w:val="nil"/>
              <w:bottom w:val="single" w:sz="4" w:space="0" w:color="auto"/>
              <w:right w:val="single" w:sz="4" w:space="0" w:color="auto"/>
            </w:tcBorders>
            <w:shd w:val="clear" w:color="auto" w:fill="auto"/>
            <w:noWrap/>
            <w:vAlign w:val="center"/>
            <w:hideMark/>
          </w:tcPr>
          <w:p w14:paraId="687C421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24,40,367</w:t>
            </w:r>
          </w:p>
        </w:tc>
        <w:tc>
          <w:tcPr>
            <w:tcW w:w="1480" w:type="dxa"/>
            <w:tcBorders>
              <w:top w:val="nil"/>
              <w:left w:val="nil"/>
              <w:bottom w:val="single" w:sz="4" w:space="0" w:color="auto"/>
              <w:right w:val="single" w:sz="4" w:space="0" w:color="auto"/>
            </w:tcBorders>
            <w:shd w:val="clear" w:color="auto" w:fill="auto"/>
            <w:noWrap/>
            <w:vAlign w:val="center"/>
            <w:hideMark/>
          </w:tcPr>
          <w:p w14:paraId="01FFF34A"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24.5</w:t>
            </w:r>
          </w:p>
        </w:tc>
      </w:tr>
      <w:tr w:rsidR="00D33F7C" w:rsidRPr="00D33F7C" w14:paraId="63A076D9"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51D5540D"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00064E2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4,28,58,735</w:t>
            </w:r>
          </w:p>
        </w:tc>
        <w:tc>
          <w:tcPr>
            <w:tcW w:w="1255" w:type="dxa"/>
            <w:tcBorders>
              <w:top w:val="nil"/>
              <w:left w:val="nil"/>
              <w:bottom w:val="single" w:sz="4" w:space="0" w:color="auto"/>
              <w:right w:val="single" w:sz="4" w:space="0" w:color="auto"/>
            </w:tcBorders>
            <w:shd w:val="clear" w:color="auto" w:fill="auto"/>
            <w:noWrap/>
            <w:vAlign w:val="center"/>
            <w:hideMark/>
          </w:tcPr>
          <w:p w14:paraId="0CF17A2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4,94,68,889</w:t>
            </w:r>
          </w:p>
        </w:tc>
        <w:tc>
          <w:tcPr>
            <w:tcW w:w="1245" w:type="dxa"/>
            <w:tcBorders>
              <w:top w:val="nil"/>
              <w:left w:val="nil"/>
              <w:bottom w:val="single" w:sz="4" w:space="0" w:color="auto"/>
              <w:right w:val="single" w:sz="4" w:space="0" w:color="auto"/>
            </w:tcBorders>
            <w:shd w:val="clear" w:color="auto" w:fill="auto"/>
            <w:noWrap/>
            <w:vAlign w:val="center"/>
            <w:hideMark/>
          </w:tcPr>
          <w:p w14:paraId="26E6E17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15.4</w:t>
            </w:r>
          </w:p>
        </w:tc>
        <w:tc>
          <w:tcPr>
            <w:tcW w:w="1340" w:type="dxa"/>
            <w:tcBorders>
              <w:top w:val="nil"/>
              <w:left w:val="nil"/>
              <w:bottom w:val="single" w:sz="4" w:space="0" w:color="auto"/>
              <w:right w:val="single" w:sz="4" w:space="0" w:color="auto"/>
            </w:tcBorders>
            <w:shd w:val="clear" w:color="auto" w:fill="auto"/>
            <w:noWrap/>
            <w:vAlign w:val="center"/>
            <w:hideMark/>
          </w:tcPr>
          <w:p w14:paraId="0263559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45,19,811</w:t>
            </w:r>
          </w:p>
        </w:tc>
        <w:tc>
          <w:tcPr>
            <w:tcW w:w="1340" w:type="dxa"/>
            <w:tcBorders>
              <w:top w:val="nil"/>
              <w:left w:val="nil"/>
              <w:bottom w:val="single" w:sz="4" w:space="0" w:color="auto"/>
              <w:right w:val="single" w:sz="4" w:space="0" w:color="auto"/>
            </w:tcBorders>
            <w:shd w:val="clear" w:color="auto" w:fill="auto"/>
            <w:noWrap/>
            <w:vAlign w:val="center"/>
            <w:hideMark/>
          </w:tcPr>
          <w:p w14:paraId="37D6F8DD"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42,30,952</w:t>
            </w:r>
          </w:p>
        </w:tc>
        <w:tc>
          <w:tcPr>
            <w:tcW w:w="1480" w:type="dxa"/>
            <w:tcBorders>
              <w:top w:val="nil"/>
              <w:left w:val="nil"/>
              <w:bottom w:val="single" w:sz="4" w:space="0" w:color="auto"/>
              <w:right w:val="single" w:sz="4" w:space="0" w:color="auto"/>
            </w:tcBorders>
            <w:shd w:val="clear" w:color="auto" w:fill="auto"/>
            <w:noWrap/>
            <w:vAlign w:val="center"/>
            <w:hideMark/>
          </w:tcPr>
          <w:p w14:paraId="4D1617E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-6.4</w:t>
            </w:r>
          </w:p>
        </w:tc>
      </w:tr>
      <w:tr w:rsidR="00D33F7C" w:rsidRPr="00D33F7C" w14:paraId="2ACB886B"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1DFC52ED"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(iii) Stock Futures</w:t>
            </w:r>
          </w:p>
        </w:tc>
        <w:tc>
          <w:tcPr>
            <w:tcW w:w="1180" w:type="dxa"/>
            <w:tcBorders>
              <w:top w:val="nil"/>
              <w:left w:val="nil"/>
              <w:bottom w:val="single" w:sz="4" w:space="0" w:color="auto"/>
              <w:right w:val="single" w:sz="4" w:space="0" w:color="auto"/>
            </w:tcBorders>
            <w:shd w:val="clear" w:color="auto" w:fill="auto"/>
            <w:noWrap/>
            <w:vAlign w:val="center"/>
            <w:hideMark/>
          </w:tcPr>
          <w:p w14:paraId="74061DB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17,33,905</w:t>
            </w:r>
          </w:p>
        </w:tc>
        <w:tc>
          <w:tcPr>
            <w:tcW w:w="1255" w:type="dxa"/>
            <w:tcBorders>
              <w:top w:val="nil"/>
              <w:left w:val="nil"/>
              <w:bottom w:val="single" w:sz="4" w:space="0" w:color="auto"/>
              <w:right w:val="single" w:sz="4" w:space="0" w:color="auto"/>
            </w:tcBorders>
            <w:shd w:val="clear" w:color="auto" w:fill="auto"/>
            <w:noWrap/>
            <w:vAlign w:val="center"/>
            <w:hideMark/>
          </w:tcPr>
          <w:p w14:paraId="29B0057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17,67,538</w:t>
            </w:r>
          </w:p>
        </w:tc>
        <w:tc>
          <w:tcPr>
            <w:tcW w:w="1245" w:type="dxa"/>
            <w:tcBorders>
              <w:top w:val="nil"/>
              <w:left w:val="nil"/>
              <w:bottom w:val="single" w:sz="4" w:space="0" w:color="auto"/>
              <w:right w:val="single" w:sz="4" w:space="0" w:color="auto"/>
            </w:tcBorders>
            <w:shd w:val="clear" w:color="auto" w:fill="auto"/>
            <w:noWrap/>
            <w:vAlign w:val="center"/>
            <w:hideMark/>
          </w:tcPr>
          <w:p w14:paraId="60CDD75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1.9</w:t>
            </w:r>
          </w:p>
        </w:tc>
        <w:tc>
          <w:tcPr>
            <w:tcW w:w="1340" w:type="dxa"/>
            <w:tcBorders>
              <w:top w:val="nil"/>
              <w:left w:val="nil"/>
              <w:bottom w:val="single" w:sz="4" w:space="0" w:color="auto"/>
              <w:right w:val="single" w:sz="4" w:space="0" w:color="auto"/>
            </w:tcBorders>
            <w:shd w:val="clear" w:color="auto" w:fill="auto"/>
            <w:noWrap/>
            <w:vAlign w:val="center"/>
            <w:hideMark/>
          </w:tcPr>
          <w:p w14:paraId="53CAA77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vAlign w:val="center"/>
            <w:hideMark/>
          </w:tcPr>
          <w:p w14:paraId="2086E33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14:paraId="71C8435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648EFD71"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5D3D2C70"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(iv) Options on Stock</w:t>
            </w:r>
          </w:p>
        </w:tc>
        <w:tc>
          <w:tcPr>
            <w:tcW w:w="1180" w:type="dxa"/>
            <w:tcBorders>
              <w:top w:val="nil"/>
              <w:left w:val="nil"/>
              <w:bottom w:val="single" w:sz="4" w:space="0" w:color="auto"/>
              <w:right w:val="single" w:sz="4" w:space="0" w:color="auto"/>
            </w:tcBorders>
            <w:shd w:val="clear" w:color="auto" w:fill="auto"/>
            <w:noWrap/>
            <w:vAlign w:val="center"/>
            <w:hideMark/>
          </w:tcPr>
          <w:p w14:paraId="0EDEAE0A"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0FC777F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72514F3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3459A63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6E4A315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2F54D57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4ACFCF44"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5C9DBA81"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2A08DAA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9,91,741</w:t>
            </w:r>
          </w:p>
        </w:tc>
        <w:tc>
          <w:tcPr>
            <w:tcW w:w="1255" w:type="dxa"/>
            <w:tcBorders>
              <w:top w:val="nil"/>
              <w:left w:val="nil"/>
              <w:bottom w:val="single" w:sz="4" w:space="0" w:color="auto"/>
              <w:right w:val="single" w:sz="4" w:space="0" w:color="auto"/>
            </w:tcBorders>
            <w:shd w:val="clear" w:color="auto" w:fill="auto"/>
            <w:noWrap/>
            <w:vAlign w:val="center"/>
            <w:hideMark/>
          </w:tcPr>
          <w:p w14:paraId="30B81E5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11,24,016</w:t>
            </w:r>
          </w:p>
        </w:tc>
        <w:tc>
          <w:tcPr>
            <w:tcW w:w="1245" w:type="dxa"/>
            <w:tcBorders>
              <w:top w:val="nil"/>
              <w:left w:val="nil"/>
              <w:bottom w:val="single" w:sz="4" w:space="0" w:color="auto"/>
              <w:right w:val="single" w:sz="4" w:space="0" w:color="auto"/>
            </w:tcBorders>
            <w:shd w:val="clear" w:color="auto" w:fill="auto"/>
            <w:noWrap/>
            <w:vAlign w:val="center"/>
            <w:hideMark/>
          </w:tcPr>
          <w:p w14:paraId="226FDC6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13.3</w:t>
            </w:r>
          </w:p>
        </w:tc>
        <w:tc>
          <w:tcPr>
            <w:tcW w:w="1340" w:type="dxa"/>
            <w:tcBorders>
              <w:top w:val="nil"/>
              <w:left w:val="nil"/>
              <w:bottom w:val="single" w:sz="4" w:space="0" w:color="auto"/>
              <w:right w:val="single" w:sz="4" w:space="0" w:color="auto"/>
            </w:tcBorders>
            <w:shd w:val="clear" w:color="auto" w:fill="auto"/>
            <w:noWrap/>
            <w:hideMark/>
          </w:tcPr>
          <w:p w14:paraId="3866054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hideMark/>
          </w:tcPr>
          <w:p w14:paraId="3CE5235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14:paraId="3D88F94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59222F83"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214F3F91"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78466BA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26,55,105</w:t>
            </w:r>
          </w:p>
        </w:tc>
        <w:tc>
          <w:tcPr>
            <w:tcW w:w="1255" w:type="dxa"/>
            <w:tcBorders>
              <w:top w:val="nil"/>
              <w:left w:val="nil"/>
              <w:bottom w:val="single" w:sz="4" w:space="0" w:color="auto"/>
              <w:right w:val="single" w:sz="4" w:space="0" w:color="auto"/>
            </w:tcBorders>
            <w:shd w:val="clear" w:color="auto" w:fill="auto"/>
            <w:noWrap/>
            <w:vAlign w:val="center"/>
            <w:hideMark/>
          </w:tcPr>
          <w:p w14:paraId="409DA90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33,45,204</w:t>
            </w:r>
          </w:p>
        </w:tc>
        <w:tc>
          <w:tcPr>
            <w:tcW w:w="1245" w:type="dxa"/>
            <w:tcBorders>
              <w:top w:val="nil"/>
              <w:left w:val="nil"/>
              <w:bottom w:val="single" w:sz="4" w:space="0" w:color="auto"/>
              <w:right w:val="single" w:sz="4" w:space="0" w:color="auto"/>
            </w:tcBorders>
            <w:shd w:val="clear" w:color="auto" w:fill="auto"/>
            <w:noWrap/>
            <w:vAlign w:val="center"/>
            <w:hideMark/>
          </w:tcPr>
          <w:p w14:paraId="7B6B7CC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26.0</w:t>
            </w:r>
          </w:p>
        </w:tc>
        <w:tc>
          <w:tcPr>
            <w:tcW w:w="1340" w:type="dxa"/>
            <w:tcBorders>
              <w:top w:val="nil"/>
              <w:left w:val="nil"/>
              <w:bottom w:val="single" w:sz="4" w:space="0" w:color="auto"/>
              <w:right w:val="single" w:sz="4" w:space="0" w:color="auto"/>
            </w:tcBorders>
            <w:shd w:val="clear" w:color="auto" w:fill="auto"/>
            <w:noWrap/>
            <w:hideMark/>
          </w:tcPr>
          <w:p w14:paraId="659F312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hideMark/>
          </w:tcPr>
          <w:p w14:paraId="272D115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14:paraId="06FDFEB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476647AA"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0F859DCB"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 xml:space="preserve">         Total</w:t>
            </w:r>
          </w:p>
        </w:tc>
        <w:tc>
          <w:tcPr>
            <w:tcW w:w="1180" w:type="dxa"/>
            <w:tcBorders>
              <w:top w:val="nil"/>
              <w:left w:val="nil"/>
              <w:bottom w:val="single" w:sz="4" w:space="0" w:color="auto"/>
              <w:right w:val="single" w:sz="4" w:space="0" w:color="auto"/>
            </w:tcBorders>
            <w:shd w:val="clear" w:color="C6D9F0" w:fill="C6D9F0"/>
            <w:noWrap/>
            <w:vAlign w:val="center"/>
            <w:hideMark/>
          </w:tcPr>
          <w:p w14:paraId="14032920"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8,66,52,832</w:t>
            </w:r>
          </w:p>
        </w:tc>
        <w:tc>
          <w:tcPr>
            <w:tcW w:w="1255" w:type="dxa"/>
            <w:tcBorders>
              <w:top w:val="nil"/>
              <w:left w:val="nil"/>
              <w:bottom w:val="single" w:sz="4" w:space="0" w:color="auto"/>
              <w:right w:val="single" w:sz="4" w:space="0" w:color="auto"/>
            </w:tcBorders>
            <w:shd w:val="clear" w:color="C6D9F0" w:fill="C6D9F0"/>
            <w:noWrap/>
            <w:vAlign w:val="center"/>
            <w:hideMark/>
          </w:tcPr>
          <w:p w14:paraId="584D62D3"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10,13,91,906</w:t>
            </w:r>
          </w:p>
        </w:tc>
        <w:tc>
          <w:tcPr>
            <w:tcW w:w="1245" w:type="dxa"/>
            <w:tcBorders>
              <w:top w:val="nil"/>
              <w:left w:val="nil"/>
              <w:bottom w:val="single" w:sz="4" w:space="0" w:color="auto"/>
              <w:right w:val="single" w:sz="4" w:space="0" w:color="auto"/>
            </w:tcBorders>
            <w:shd w:val="clear" w:color="C6D9F0" w:fill="C6D9F0"/>
            <w:noWrap/>
            <w:vAlign w:val="center"/>
            <w:hideMark/>
          </w:tcPr>
          <w:p w14:paraId="2BD52D51"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17.0</w:t>
            </w:r>
          </w:p>
        </w:tc>
        <w:tc>
          <w:tcPr>
            <w:tcW w:w="1340" w:type="dxa"/>
            <w:tcBorders>
              <w:top w:val="nil"/>
              <w:left w:val="nil"/>
              <w:bottom w:val="single" w:sz="4" w:space="0" w:color="auto"/>
              <w:right w:val="single" w:sz="4" w:space="0" w:color="auto"/>
            </w:tcBorders>
            <w:shd w:val="clear" w:color="C6D9F0" w:fill="C6D9F0"/>
            <w:noWrap/>
            <w:vAlign w:val="center"/>
            <w:hideMark/>
          </w:tcPr>
          <w:p w14:paraId="2C384F26"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64,79,644</w:t>
            </w:r>
          </w:p>
        </w:tc>
        <w:tc>
          <w:tcPr>
            <w:tcW w:w="1340" w:type="dxa"/>
            <w:tcBorders>
              <w:top w:val="nil"/>
              <w:left w:val="nil"/>
              <w:bottom w:val="single" w:sz="4" w:space="0" w:color="auto"/>
              <w:right w:val="single" w:sz="4" w:space="0" w:color="auto"/>
            </w:tcBorders>
            <w:shd w:val="clear" w:color="C6D9F0" w:fill="C6D9F0"/>
            <w:noWrap/>
            <w:vAlign w:val="center"/>
            <w:hideMark/>
          </w:tcPr>
          <w:p w14:paraId="07412CAA"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66,71,387</w:t>
            </w:r>
          </w:p>
        </w:tc>
        <w:tc>
          <w:tcPr>
            <w:tcW w:w="1480" w:type="dxa"/>
            <w:tcBorders>
              <w:top w:val="nil"/>
              <w:left w:val="nil"/>
              <w:bottom w:val="single" w:sz="4" w:space="0" w:color="auto"/>
              <w:right w:val="single" w:sz="4" w:space="0" w:color="auto"/>
            </w:tcBorders>
            <w:shd w:val="clear" w:color="C6D9F0" w:fill="C6D9F0"/>
            <w:noWrap/>
            <w:vAlign w:val="center"/>
            <w:hideMark/>
          </w:tcPr>
          <w:p w14:paraId="6A5B30A6"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3.0</w:t>
            </w:r>
          </w:p>
        </w:tc>
      </w:tr>
      <w:tr w:rsidR="00D33F7C" w:rsidRPr="00D33F7C" w14:paraId="3522EDD9" w14:textId="77777777" w:rsidTr="00E213CE">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39D82C29"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 xml:space="preserve">B. No. of Contracts </w:t>
            </w:r>
          </w:p>
        </w:tc>
      </w:tr>
      <w:tr w:rsidR="00D33F7C" w:rsidRPr="00D33F7C" w14:paraId="5F1D6986"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180B6637"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 Index  Futures</w:t>
            </w:r>
          </w:p>
        </w:tc>
        <w:tc>
          <w:tcPr>
            <w:tcW w:w="1180" w:type="dxa"/>
            <w:tcBorders>
              <w:top w:val="nil"/>
              <w:left w:val="nil"/>
              <w:bottom w:val="single" w:sz="4" w:space="0" w:color="auto"/>
              <w:right w:val="single" w:sz="4" w:space="0" w:color="auto"/>
            </w:tcBorders>
            <w:shd w:val="clear" w:color="auto" w:fill="auto"/>
            <w:noWrap/>
            <w:vAlign w:val="center"/>
            <w:hideMark/>
          </w:tcPr>
          <w:p w14:paraId="085D114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63,87,640</w:t>
            </w:r>
          </w:p>
        </w:tc>
        <w:tc>
          <w:tcPr>
            <w:tcW w:w="1255" w:type="dxa"/>
            <w:tcBorders>
              <w:top w:val="nil"/>
              <w:left w:val="nil"/>
              <w:bottom w:val="single" w:sz="4" w:space="0" w:color="auto"/>
              <w:right w:val="single" w:sz="4" w:space="0" w:color="auto"/>
            </w:tcBorders>
            <w:shd w:val="clear" w:color="auto" w:fill="auto"/>
            <w:noWrap/>
            <w:vAlign w:val="center"/>
            <w:hideMark/>
          </w:tcPr>
          <w:p w14:paraId="756D1E6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60,12,511</w:t>
            </w:r>
          </w:p>
        </w:tc>
        <w:tc>
          <w:tcPr>
            <w:tcW w:w="1245" w:type="dxa"/>
            <w:tcBorders>
              <w:top w:val="nil"/>
              <w:left w:val="nil"/>
              <w:bottom w:val="single" w:sz="4" w:space="0" w:color="auto"/>
              <w:right w:val="single" w:sz="4" w:space="0" w:color="auto"/>
            </w:tcBorders>
            <w:shd w:val="clear" w:color="auto" w:fill="auto"/>
            <w:noWrap/>
            <w:vAlign w:val="center"/>
            <w:hideMark/>
          </w:tcPr>
          <w:p w14:paraId="7633F2B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-5.9</w:t>
            </w:r>
          </w:p>
        </w:tc>
        <w:tc>
          <w:tcPr>
            <w:tcW w:w="1340" w:type="dxa"/>
            <w:tcBorders>
              <w:top w:val="nil"/>
              <w:left w:val="nil"/>
              <w:bottom w:val="single" w:sz="4" w:space="0" w:color="auto"/>
              <w:right w:val="single" w:sz="4" w:space="0" w:color="auto"/>
            </w:tcBorders>
            <w:shd w:val="clear" w:color="auto" w:fill="auto"/>
            <w:noWrap/>
            <w:vAlign w:val="center"/>
            <w:hideMark/>
          </w:tcPr>
          <w:p w14:paraId="41F33138" w14:textId="77777777" w:rsidR="00D33F7C" w:rsidRPr="00D33F7C" w:rsidRDefault="00D33F7C" w:rsidP="00D33F7C">
            <w:pPr>
              <w:jc w:val="right"/>
              <w:rPr>
                <w:rFonts w:ascii="Garamond" w:eastAsia="Times New Roman" w:hAnsi="Garamond"/>
                <w:color w:val="000000"/>
                <w:sz w:val="20"/>
                <w:szCs w:val="20"/>
                <w:lang w:val="en-IN" w:eastAsia="en-IN" w:bidi="hi-IN"/>
              </w:rPr>
            </w:pPr>
            <w:r w:rsidRPr="00D33F7C">
              <w:rPr>
                <w:rFonts w:ascii="Garamond" w:eastAsia="Times New Roman" w:hAnsi="Garamond"/>
                <w:color w:val="000000"/>
                <w:sz w:val="20"/>
                <w:szCs w:val="20"/>
                <w:lang w:val="en-IN" w:eastAsia="en-IN" w:bidi="hi-IN"/>
              </w:rPr>
              <w:t>1,646</w:t>
            </w:r>
          </w:p>
        </w:tc>
        <w:tc>
          <w:tcPr>
            <w:tcW w:w="1340" w:type="dxa"/>
            <w:tcBorders>
              <w:top w:val="nil"/>
              <w:left w:val="nil"/>
              <w:bottom w:val="single" w:sz="4" w:space="0" w:color="auto"/>
              <w:right w:val="single" w:sz="4" w:space="0" w:color="auto"/>
            </w:tcBorders>
            <w:shd w:val="clear" w:color="auto" w:fill="auto"/>
            <w:noWrap/>
            <w:vAlign w:val="center"/>
            <w:hideMark/>
          </w:tcPr>
          <w:p w14:paraId="29B409FC" w14:textId="77777777" w:rsidR="00D33F7C" w:rsidRPr="00D33F7C" w:rsidRDefault="00D33F7C" w:rsidP="00D33F7C">
            <w:pPr>
              <w:jc w:val="right"/>
              <w:rPr>
                <w:rFonts w:ascii="Garamond" w:eastAsia="Times New Roman" w:hAnsi="Garamond"/>
                <w:color w:val="000000"/>
                <w:sz w:val="20"/>
                <w:szCs w:val="20"/>
                <w:lang w:val="en-IN" w:eastAsia="en-IN" w:bidi="hi-IN"/>
              </w:rPr>
            </w:pPr>
            <w:r w:rsidRPr="00D33F7C">
              <w:rPr>
                <w:rFonts w:ascii="Garamond" w:eastAsia="Times New Roman" w:hAnsi="Garamond"/>
                <w:color w:val="000000"/>
                <w:sz w:val="20"/>
                <w:szCs w:val="20"/>
                <w:lang w:val="en-IN" w:eastAsia="en-IN" w:bidi="hi-IN"/>
              </w:rPr>
              <w:t>607</w:t>
            </w:r>
          </w:p>
        </w:tc>
        <w:tc>
          <w:tcPr>
            <w:tcW w:w="1480" w:type="dxa"/>
            <w:tcBorders>
              <w:top w:val="nil"/>
              <w:left w:val="nil"/>
              <w:bottom w:val="single" w:sz="4" w:space="0" w:color="auto"/>
              <w:right w:val="single" w:sz="4" w:space="0" w:color="auto"/>
            </w:tcBorders>
            <w:shd w:val="clear" w:color="auto" w:fill="auto"/>
            <w:noWrap/>
            <w:vAlign w:val="center"/>
            <w:hideMark/>
          </w:tcPr>
          <w:p w14:paraId="7AEFDDD0" w14:textId="77777777" w:rsidR="00D33F7C" w:rsidRPr="00D33F7C" w:rsidRDefault="00D33F7C" w:rsidP="00D33F7C">
            <w:pPr>
              <w:jc w:val="right"/>
              <w:rPr>
                <w:rFonts w:ascii="Garamond" w:eastAsia="Times New Roman" w:hAnsi="Garamond"/>
                <w:color w:val="000000"/>
                <w:sz w:val="20"/>
                <w:szCs w:val="20"/>
                <w:lang w:val="en-IN" w:eastAsia="en-IN" w:bidi="hi-IN"/>
              </w:rPr>
            </w:pPr>
            <w:r w:rsidRPr="00D33F7C">
              <w:rPr>
                <w:rFonts w:ascii="Garamond" w:eastAsia="Times New Roman" w:hAnsi="Garamond"/>
                <w:color w:val="000000"/>
                <w:sz w:val="20"/>
                <w:szCs w:val="20"/>
                <w:lang w:val="en-IN" w:eastAsia="en-IN" w:bidi="hi-IN"/>
              </w:rPr>
              <w:t>-63.1</w:t>
            </w:r>
          </w:p>
        </w:tc>
      </w:tr>
      <w:tr w:rsidR="00D33F7C" w:rsidRPr="00D33F7C" w14:paraId="72DB9AF0"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0666285A"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 Options on Index</w:t>
            </w:r>
          </w:p>
        </w:tc>
        <w:tc>
          <w:tcPr>
            <w:tcW w:w="1180" w:type="dxa"/>
            <w:tcBorders>
              <w:top w:val="nil"/>
              <w:left w:val="nil"/>
              <w:bottom w:val="single" w:sz="4" w:space="0" w:color="auto"/>
              <w:right w:val="single" w:sz="4" w:space="0" w:color="auto"/>
            </w:tcBorders>
            <w:shd w:val="clear" w:color="auto" w:fill="auto"/>
            <w:noWrap/>
            <w:vAlign w:val="center"/>
            <w:hideMark/>
          </w:tcPr>
          <w:p w14:paraId="1826C30A"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22150EE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1CE99D9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494EA1D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68A45B1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0448AB2D"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75C6EA42"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6DD3CEDD"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71B3E0D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40,78,08,269</w:t>
            </w:r>
          </w:p>
        </w:tc>
        <w:tc>
          <w:tcPr>
            <w:tcW w:w="1255" w:type="dxa"/>
            <w:tcBorders>
              <w:top w:val="nil"/>
              <w:left w:val="nil"/>
              <w:bottom w:val="single" w:sz="4" w:space="0" w:color="auto"/>
              <w:right w:val="single" w:sz="4" w:space="0" w:color="auto"/>
            </w:tcBorders>
            <w:shd w:val="clear" w:color="auto" w:fill="auto"/>
            <w:noWrap/>
            <w:vAlign w:val="center"/>
            <w:hideMark/>
          </w:tcPr>
          <w:p w14:paraId="1CC6130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46,65,60,694</w:t>
            </w:r>
          </w:p>
        </w:tc>
        <w:tc>
          <w:tcPr>
            <w:tcW w:w="1245" w:type="dxa"/>
            <w:tcBorders>
              <w:top w:val="nil"/>
              <w:left w:val="nil"/>
              <w:bottom w:val="single" w:sz="4" w:space="0" w:color="auto"/>
              <w:right w:val="single" w:sz="4" w:space="0" w:color="auto"/>
            </w:tcBorders>
            <w:shd w:val="clear" w:color="auto" w:fill="auto"/>
            <w:noWrap/>
            <w:vAlign w:val="center"/>
            <w:hideMark/>
          </w:tcPr>
          <w:p w14:paraId="75D54C9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14.4</w:t>
            </w:r>
          </w:p>
        </w:tc>
        <w:tc>
          <w:tcPr>
            <w:tcW w:w="1340" w:type="dxa"/>
            <w:tcBorders>
              <w:top w:val="nil"/>
              <w:left w:val="nil"/>
              <w:bottom w:val="single" w:sz="4" w:space="0" w:color="auto"/>
              <w:right w:val="single" w:sz="4" w:space="0" w:color="auto"/>
            </w:tcBorders>
            <w:shd w:val="clear" w:color="auto" w:fill="auto"/>
            <w:noWrap/>
            <w:vAlign w:val="center"/>
            <w:hideMark/>
          </w:tcPr>
          <w:p w14:paraId="12E8DEA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1,84,68,965</w:t>
            </w:r>
          </w:p>
        </w:tc>
        <w:tc>
          <w:tcPr>
            <w:tcW w:w="1340" w:type="dxa"/>
            <w:tcBorders>
              <w:top w:val="nil"/>
              <w:left w:val="nil"/>
              <w:bottom w:val="single" w:sz="4" w:space="0" w:color="auto"/>
              <w:right w:val="single" w:sz="4" w:space="0" w:color="auto"/>
            </w:tcBorders>
            <w:shd w:val="clear" w:color="auto" w:fill="auto"/>
            <w:noWrap/>
            <w:vAlign w:val="center"/>
            <w:hideMark/>
          </w:tcPr>
          <w:p w14:paraId="0AB3832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2,45,83,688</w:t>
            </w:r>
          </w:p>
        </w:tc>
        <w:tc>
          <w:tcPr>
            <w:tcW w:w="1480" w:type="dxa"/>
            <w:tcBorders>
              <w:top w:val="nil"/>
              <w:left w:val="nil"/>
              <w:bottom w:val="single" w:sz="4" w:space="0" w:color="auto"/>
              <w:right w:val="single" w:sz="4" w:space="0" w:color="auto"/>
            </w:tcBorders>
            <w:shd w:val="clear" w:color="auto" w:fill="auto"/>
            <w:noWrap/>
            <w:vAlign w:val="center"/>
            <w:hideMark/>
          </w:tcPr>
          <w:p w14:paraId="23BBC6D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33.1</w:t>
            </w:r>
          </w:p>
        </w:tc>
      </w:tr>
      <w:tr w:rsidR="00D33F7C" w:rsidRPr="00D33F7C" w14:paraId="16578A12"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6B15D7DE"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40073D1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44,84,47,280</w:t>
            </w:r>
          </w:p>
        </w:tc>
        <w:tc>
          <w:tcPr>
            <w:tcW w:w="1255" w:type="dxa"/>
            <w:tcBorders>
              <w:top w:val="nil"/>
              <w:left w:val="nil"/>
              <w:bottom w:val="single" w:sz="4" w:space="0" w:color="auto"/>
              <w:right w:val="single" w:sz="4" w:space="0" w:color="auto"/>
            </w:tcBorders>
            <w:shd w:val="clear" w:color="auto" w:fill="auto"/>
            <w:noWrap/>
            <w:vAlign w:val="center"/>
            <w:hideMark/>
          </w:tcPr>
          <w:p w14:paraId="70BF3BF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49,79,53,231</w:t>
            </w:r>
          </w:p>
        </w:tc>
        <w:tc>
          <w:tcPr>
            <w:tcW w:w="1245" w:type="dxa"/>
            <w:tcBorders>
              <w:top w:val="nil"/>
              <w:left w:val="nil"/>
              <w:bottom w:val="single" w:sz="4" w:space="0" w:color="auto"/>
              <w:right w:val="single" w:sz="4" w:space="0" w:color="auto"/>
            </w:tcBorders>
            <w:shd w:val="clear" w:color="auto" w:fill="auto"/>
            <w:noWrap/>
            <w:vAlign w:val="center"/>
            <w:hideMark/>
          </w:tcPr>
          <w:p w14:paraId="736BB3A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11.0</w:t>
            </w:r>
          </w:p>
        </w:tc>
        <w:tc>
          <w:tcPr>
            <w:tcW w:w="1340" w:type="dxa"/>
            <w:tcBorders>
              <w:top w:val="nil"/>
              <w:left w:val="nil"/>
              <w:bottom w:val="single" w:sz="4" w:space="0" w:color="auto"/>
              <w:right w:val="single" w:sz="4" w:space="0" w:color="auto"/>
            </w:tcBorders>
            <w:shd w:val="clear" w:color="auto" w:fill="auto"/>
            <w:noWrap/>
            <w:vAlign w:val="center"/>
            <w:hideMark/>
          </w:tcPr>
          <w:p w14:paraId="05D776D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3,65,40,390</w:t>
            </w:r>
          </w:p>
        </w:tc>
        <w:tc>
          <w:tcPr>
            <w:tcW w:w="1340" w:type="dxa"/>
            <w:tcBorders>
              <w:top w:val="nil"/>
              <w:left w:val="nil"/>
              <w:bottom w:val="single" w:sz="4" w:space="0" w:color="auto"/>
              <w:right w:val="single" w:sz="4" w:space="0" w:color="auto"/>
            </w:tcBorders>
            <w:shd w:val="clear" w:color="auto" w:fill="auto"/>
            <w:noWrap/>
            <w:vAlign w:val="center"/>
            <w:hideMark/>
          </w:tcPr>
          <w:p w14:paraId="35F5FA7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3,43,85,705</w:t>
            </w:r>
          </w:p>
        </w:tc>
        <w:tc>
          <w:tcPr>
            <w:tcW w:w="1480" w:type="dxa"/>
            <w:tcBorders>
              <w:top w:val="nil"/>
              <w:left w:val="nil"/>
              <w:bottom w:val="single" w:sz="4" w:space="0" w:color="auto"/>
              <w:right w:val="single" w:sz="4" w:space="0" w:color="auto"/>
            </w:tcBorders>
            <w:shd w:val="clear" w:color="auto" w:fill="auto"/>
            <w:noWrap/>
            <w:vAlign w:val="center"/>
            <w:hideMark/>
          </w:tcPr>
          <w:p w14:paraId="3897104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-5.9</w:t>
            </w:r>
          </w:p>
        </w:tc>
      </w:tr>
      <w:tr w:rsidR="00D33F7C" w:rsidRPr="00D33F7C" w14:paraId="35476AFA"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3758A311"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(iii) Stock Futures</w:t>
            </w:r>
          </w:p>
        </w:tc>
        <w:tc>
          <w:tcPr>
            <w:tcW w:w="1180" w:type="dxa"/>
            <w:tcBorders>
              <w:top w:val="nil"/>
              <w:left w:val="nil"/>
              <w:bottom w:val="single" w:sz="4" w:space="0" w:color="auto"/>
              <w:right w:val="single" w:sz="4" w:space="0" w:color="auto"/>
            </w:tcBorders>
            <w:shd w:val="clear" w:color="auto" w:fill="auto"/>
            <w:noWrap/>
            <w:vAlign w:val="center"/>
            <w:hideMark/>
          </w:tcPr>
          <w:p w14:paraId="5E74847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2,23,45,925</w:t>
            </w:r>
          </w:p>
        </w:tc>
        <w:tc>
          <w:tcPr>
            <w:tcW w:w="1255" w:type="dxa"/>
            <w:tcBorders>
              <w:top w:val="nil"/>
              <w:left w:val="nil"/>
              <w:bottom w:val="single" w:sz="4" w:space="0" w:color="auto"/>
              <w:right w:val="single" w:sz="4" w:space="0" w:color="auto"/>
            </w:tcBorders>
            <w:shd w:val="clear" w:color="auto" w:fill="auto"/>
            <w:noWrap/>
            <w:vAlign w:val="center"/>
            <w:hideMark/>
          </w:tcPr>
          <w:p w14:paraId="37099E8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2,17,78,143</w:t>
            </w:r>
          </w:p>
        </w:tc>
        <w:tc>
          <w:tcPr>
            <w:tcW w:w="1245" w:type="dxa"/>
            <w:tcBorders>
              <w:top w:val="nil"/>
              <w:left w:val="nil"/>
              <w:bottom w:val="single" w:sz="4" w:space="0" w:color="auto"/>
              <w:right w:val="single" w:sz="4" w:space="0" w:color="auto"/>
            </w:tcBorders>
            <w:shd w:val="clear" w:color="auto" w:fill="auto"/>
            <w:noWrap/>
            <w:vAlign w:val="center"/>
            <w:hideMark/>
          </w:tcPr>
          <w:p w14:paraId="07141CE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-2.5</w:t>
            </w:r>
          </w:p>
        </w:tc>
        <w:tc>
          <w:tcPr>
            <w:tcW w:w="1340" w:type="dxa"/>
            <w:tcBorders>
              <w:top w:val="nil"/>
              <w:left w:val="nil"/>
              <w:bottom w:val="single" w:sz="4" w:space="0" w:color="auto"/>
              <w:right w:val="single" w:sz="4" w:space="0" w:color="auto"/>
            </w:tcBorders>
            <w:shd w:val="clear" w:color="auto" w:fill="auto"/>
            <w:noWrap/>
            <w:vAlign w:val="center"/>
            <w:hideMark/>
          </w:tcPr>
          <w:p w14:paraId="29A4AA2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2D2129E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6C52886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18E93DE6"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0FDFBC09"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(iv) Options on Stock</w:t>
            </w:r>
          </w:p>
        </w:tc>
        <w:tc>
          <w:tcPr>
            <w:tcW w:w="1180" w:type="dxa"/>
            <w:tcBorders>
              <w:top w:val="nil"/>
              <w:left w:val="nil"/>
              <w:bottom w:val="single" w:sz="4" w:space="0" w:color="auto"/>
              <w:right w:val="single" w:sz="4" w:space="0" w:color="auto"/>
            </w:tcBorders>
            <w:shd w:val="clear" w:color="auto" w:fill="auto"/>
            <w:noWrap/>
            <w:vAlign w:val="center"/>
            <w:hideMark/>
          </w:tcPr>
          <w:p w14:paraId="153D562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6D1DCD9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2B64C3A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53B3386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1D86E97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5BB70FE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058238D8"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46F87081"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4400D76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1,32,41,206</w:t>
            </w:r>
          </w:p>
        </w:tc>
        <w:tc>
          <w:tcPr>
            <w:tcW w:w="1255" w:type="dxa"/>
            <w:tcBorders>
              <w:top w:val="nil"/>
              <w:left w:val="nil"/>
              <w:bottom w:val="single" w:sz="4" w:space="0" w:color="auto"/>
              <w:right w:val="single" w:sz="4" w:space="0" w:color="auto"/>
            </w:tcBorders>
            <w:shd w:val="clear" w:color="auto" w:fill="auto"/>
            <w:noWrap/>
            <w:vAlign w:val="center"/>
            <w:hideMark/>
          </w:tcPr>
          <w:p w14:paraId="6F559D9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1,42,32,131</w:t>
            </w:r>
          </w:p>
        </w:tc>
        <w:tc>
          <w:tcPr>
            <w:tcW w:w="1245" w:type="dxa"/>
            <w:tcBorders>
              <w:top w:val="nil"/>
              <w:left w:val="nil"/>
              <w:bottom w:val="single" w:sz="4" w:space="0" w:color="auto"/>
              <w:right w:val="single" w:sz="4" w:space="0" w:color="auto"/>
            </w:tcBorders>
            <w:shd w:val="clear" w:color="auto" w:fill="auto"/>
            <w:noWrap/>
            <w:vAlign w:val="center"/>
            <w:hideMark/>
          </w:tcPr>
          <w:p w14:paraId="428C2CC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7.5</w:t>
            </w:r>
          </w:p>
        </w:tc>
        <w:tc>
          <w:tcPr>
            <w:tcW w:w="1340" w:type="dxa"/>
            <w:tcBorders>
              <w:top w:val="nil"/>
              <w:left w:val="nil"/>
              <w:bottom w:val="single" w:sz="4" w:space="0" w:color="auto"/>
              <w:right w:val="single" w:sz="4" w:space="0" w:color="auto"/>
            </w:tcBorders>
            <w:shd w:val="clear" w:color="auto" w:fill="auto"/>
            <w:noWrap/>
            <w:vAlign w:val="center"/>
            <w:hideMark/>
          </w:tcPr>
          <w:p w14:paraId="169FD17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0C32F0DD"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194EF7B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190B9E93"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6FCB78A1"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6BDFA13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3,27,64,110</w:t>
            </w:r>
          </w:p>
        </w:tc>
        <w:tc>
          <w:tcPr>
            <w:tcW w:w="1255" w:type="dxa"/>
            <w:tcBorders>
              <w:top w:val="nil"/>
              <w:left w:val="nil"/>
              <w:bottom w:val="single" w:sz="4" w:space="0" w:color="auto"/>
              <w:right w:val="single" w:sz="4" w:space="0" w:color="auto"/>
            </w:tcBorders>
            <w:shd w:val="clear" w:color="auto" w:fill="auto"/>
            <w:noWrap/>
            <w:vAlign w:val="center"/>
            <w:hideMark/>
          </w:tcPr>
          <w:p w14:paraId="7D39789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3,93,45,165</w:t>
            </w:r>
          </w:p>
        </w:tc>
        <w:tc>
          <w:tcPr>
            <w:tcW w:w="1245" w:type="dxa"/>
            <w:tcBorders>
              <w:top w:val="nil"/>
              <w:left w:val="nil"/>
              <w:bottom w:val="single" w:sz="4" w:space="0" w:color="auto"/>
              <w:right w:val="single" w:sz="4" w:space="0" w:color="auto"/>
            </w:tcBorders>
            <w:shd w:val="clear" w:color="auto" w:fill="auto"/>
            <w:noWrap/>
            <w:vAlign w:val="center"/>
            <w:hideMark/>
          </w:tcPr>
          <w:p w14:paraId="20D484E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20.1</w:t>
            </w:r>
          </w:p>
        </w:tc>
        <w:tc>
          <w:tcPr>
            <w:tcW w:w="1340" w:type="dxa"/>
            <w:tcBorders>
              <w:top w:val="nil"/>
              <w:left w:val="nil"/>
              <w:bottom w:val="single" w:sz="4" w:space="0" w:color="auto"/>
              <w:right w:val="single" w:sz="4" w:space="0" w:color="auto"/>
            </w:tcBorders>
            <w:shd w:val="clear" w:color="auto" w:fill="auto"/>
            <w:noWrap/>
            <w:vAlign w:val="center"/>
            <w:hideMark/>
          </w:tcPr>
          <w:p w14:paraId="13FAC35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1623E5E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7A3687F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252137FC"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6DCF2093"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 xml:space="preserve">         Total</w:t>
            </w:r>
          </w:p>
        </w:tc>
        <w:tc>
          <w:tcPr>
            <w:tcW w:w="1180" w:type="dxa"/>
            <w:tcBorders>
              <w:top w:val="nil"/>
              <w:left w:val="nil"/>
              <w:bottom w:val="single" w:sz="4" w:space="0" w:color="auto"/>
              <w:right w:val="single" w:sz="4" w:space="0" w:color="auto"/>
            </w:tcBorders>
            <w:shd w:val="clear" w:color="C6D9F0" w:fill="C6D9F0"/>
            <w:noWrap/>
            <w:vAlign w:val="center"/>
            <w:hideMark/>
          </w:tcPr>
          <w:p w14:paraId="3E21A9EE"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93,09,94,430</w:t>
            </w:r>
          </w:p>
        </w:tc>
        <w:tc>
          <w:tcPr>
            <w:tcW w:w="1255" w:type="dxa"/>
            <w:tcBorders>
              <w:top w:val="nil"/>
              <w:left w:val="nil"/>
              <w:bottom w:val="single" w:sz="4" w:space="0" w:color="auto"/>
              <w:right w:val="single" w:sz="4" w:space="0" w:color="auto"/>
            </w:tcBorders>
            <w:shd w:val="clear" w:color="C6D9F0" w:fill="C6D9F0"/>
            <w:noWrap/>
            <w:vAlign w:val="center"/>
            <w:hideMark/>
          </w:tcPr>
          <w:p w14:paraId="2C80D31F"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104,58,81,875</w:t>
            </w:r>
          </w:p>
        </w:tc>
        <w:tc>
          <w:tcPr>
            <w:tcW w:w="1245" w:type="dxa"/>
            <w:tcBorders>
              <w:top w:val="nil"/>
              <w:left w:val="nil"/>
              <w:bottom w:val="single" w:sz="4" w:space="0" w:color="auto"/>
              <w:right w:val="single" w:sz="4" w:space="0" w:color="auto"/>
            </w:tcBorders>
            <w:shd w:val="clear" w:color="C6D9F0" w:fill="C6D9F0"/>
            <w:noWrap/>
            <w:vAlign w:val="center"/>
            <w:hideMark/>
          </w:tcPr>
          <w:p w14:paraId="653026EC"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12.3</w:t>
            </w:r>
          </w:p>
        </w:tc>
        <w:tc>
          <w:tcPr>
            <w:tcW w:w="1340" w:type="dxa"/>
            <w:tcBorders>
              <w:top w:val="nil"/>
              <w:left w:val="nil"/>
              <w:bottom w:val="single" w:sz="4" w:space="0" w:color="auto"/>
              <w:right w:val="single" w:sz="4" w:space="0" w:color="auto"/>
            </w:tcBorders>
            <w:shd w:val="clear" w:color="C6D9F0" w:fill="C6D9F0"/>
            <w:noWrap/>
            <w:vAlign w:val="center"/>
            <w:hideMark/>
          </w:tcPr>
          <w:p w14:paraId="035223B3"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5,50,11,001</w:t>
            </w:r>
          </w:p>
        </w:tc>
        <w:tc>
          <w:tcPr>
            <w:tcW w:w="1340" w:type="dxa"/>
            <w:tcBorders>
              <w:top w:val="nil"/>
              <w:left w:val="nil"/>
              <w:bottom w:val="single" w:sz="4" w:space="0" w:color="auto"/>
              <w:right w:val="single" w:sz="4" w:space="0" w:color="auto"/>
            </w:tcBorders>
            <w:shd w:val="clear" w:color="C6D9F0" w:fill="C6D9F0"/>
            <w:noWrap/>
            <w:vAlign w:val="center"/>
            <w:hideMark/>
          </w:tcPr>
          <w:p w14:paraId="01303617"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5,89,70,000</w:t>
            </w:r>
          </w:p>
        </w:tc>
        <w:tc>
          <w:tcPr>
            <w:tcW w:w="1480" w:type="dxa"/>
            <w:tcBorders>
              <w:top w:val="nil"/>
              <w:left w:val="nil"/>
              <w:bottom w:val="single" w:sz="4" w:space="0" w:color="auto"/>
              <w:right w:val="single" w:sz="4" w:space="0" w:color="auto"/>
            </w:tcBorders>
            <w:shd w:val="clear" w:color="C6D9F0" w:fill="C6D9F0"/>
            <w:noWrap/>
            <w:vAlign w:val="center"/>
            <w:hideMark/>
          </w:tcPr>
          <w:p w14:paraId="3197BC58"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7.2</w:t>
            </w:r>
          </w:p>
        </w:tc>
      </w:tr>
      <w:tr w:rsidR="00D33F7C" w:rsidRPr="00D33F7C" w14:paraId="2FB4F22D" w14:textId="77777777" w:rsidTr="00E213CE">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066D71D7"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 xml:space="preserve">C.  Open Interest in Terms of Value ( </w:t>
            </w:r>
            <w:r w:rsidRPr="00D33F7C">
              <w:rPr>
                <w:rFonts w:ascii="Rupee Foradian" w:eastAsia="Times New Roman" w:hAnsi="Rupee Foradian"/>
                <w:b/>
                <w:bCs/>
                <w:sz w:val="20"/>
                <w:szCs w:val="20"/>
                <w:lang w:val="en-IN" w:eastAsia="en-IN" w:bidi="hi-IN"/>
              </w:rPr>
              <w:t>`</w:t>
            </w:r>
            <w:r w:rsidRPr="00D33F7C">
              <w:rPr>
                <w:rFonts w:ascii="Garamond" w:eastAsia="Times New Roman" w:hAnsi="Garamond"/>
                <w:b/>
                <w:bCs/>
                <w:sz w:val="20"/>
                <w:szCs w:val="20"/>
                <w:lang w:val="en-IN" w:eastAsia="en-IN" w:bidi="hi-IN"/>
              </w:rPr>
              <w:t xml:space="preserve"> crore)</w:t>
            </w:r>
          </w:p>
        </w:tc>
      </w:tr>
      <w:tr w:rsidR="00D33F7C" w:rsidRPr="00D33F7C" w14:paraId="51E3BD2D"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4BBB78DC"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 Index  Futures</w:t>
            </w:r>
          </w:p>
        </w:tc>
        <w:tc>
          <w:tcPr>
            <w:tcW w:w="1180" w:type="dxa"/>
            <w:tcBorders>
              <w:top w:val="nil"/>
              <w:left w:val="nil"/>
              <w:bottom w:val="single" w:sz="4" w:space="0" w:color="auto"/>
              <w:right w:val="single" w:sz="4" w:space="0" w:color="auto"/>
            </w:tcBorders>
            <w:shd w:val="clear" w:color="auto" w:fill="auto"/>
            <w:noWrap/>
            <w:vAlign w:val="center"/>
            <w:hideMark/>
          </w:tcPr>
          <w:p w14:paraId="72185D3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24,130</w:t>
            </w:r>
          </w:p>
        </w:tc>
        <w:tc>
          <w:tcPr>
            <w:tcW w:w="1255" w:type="dxa"/>
            <w:tcBorders>
              <w:top w:val="nil"/>
              <w:left w:val="nil"/>
              <w:bottom w:val="single" w:sz="4" w:space="0" w:color="auto"/>
              <w:right w:val="single" w:sz="4" w:space="0" w:color="auto"/>
            </w:tcBorders>
            <w:shd w:val="clear" w:color="auto" w:fill="auto"/>
            <w:noWrap/>
            <w:vAlign w:val="center"/>
            <w:hideMark/>
          </w:tcPr>
          <w:p w14:paraId="2BBCB52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23,957</w:t>
            </w:r>
          </w:p>
        </w:tc>
        <w:tc>
          <w:tcPr>
            <w:tcW w:w="1245" w:type="dxa"/>
            <w:tcBorders>
              <w:top w:val="nil"/>
              <w:left w:val="nil"/>
              <w:bottom w:val="single" w:sz="4" w:space="0" w:color="auto"/>
              <w:right w:val="single" w:sz="4" w:space="0" w:color="auto"/>
            </w:tcBorders>
            <w:shd w:val="clear" w:color="auto" w:fill="auto"/>
            <w:noWrap/>
            <w:vAlign w:val="center"/>
            <w:hideMark/>
          </w:tcPr>
          <w:p w14:paraId="017DD55D"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-0.7</w:t>
            </w:r>
          </w:p>
        </w:tc>
        <w:tc>
          <w:tcPr>
            <w:tcW w:w="1340" w:type="dxa"/>
            <w:tcBorders>
              <w:top w:val="nil"/>
              <w:left w:val="nil"/>
              <w:bottom w:val="single" w:sz="4" w:space="0" w:color="auto"/>
              <w:right w:val="single" w:sz="4" w:space="0" w:color="auto"/>
            </w:tcBorders>
            <w:shd w:val="clear" w:color="auto" w:fill="auto"/>
            <w:noWrap/>
            <w:vAlign w:val="center"/>
            <w:hideMark/>
          </w:tcPr>
          <w:p w14:paraId="536EF58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11</w:t>
            </w:r>
          </w:p>
        </w:tc>
        <w:tc>
          <w:tcPr>
            <w:tcW w:w="1340" w:type="dxa"/>
            <w:tcBorders>
              <w:top w:val="nil"/>
              <w:left w:val="nil"/>
              <w:bottom w:val="single" w:sz="4" w:space="0" w:color="auto"/>
              <w:right w:val="single" w:sz="4" w:space="0" w:color="auto"/>
            </w:tcBorders>
            <w:shd w:val="clear" w:color="auto" w:fill="auto"/>
            <w:noWrap/>
            <w:vAlign w:val="center"/>
            <w:hideMark/>
          </w:tcPr>
          <w:p w14:paraId="62CD097D"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w:t>
            </w:r>
          </w:p>
        </w:tc>
        <w:tc>
          <w:tcPr>
            <w:tcW w:w="1480" w:type="dxa"/>
            <w:tcBorders>
              <w:top w:val="nil"/>
              <w:left w:val="nil"/>
              <w:bottom w:val="single" w:sz="4" w:space="0" w:color="auto"/>
              <w:right w:val="single" w:sz="4" w:space="0" w:color="auto"/>
            </w:tcBorders>
            <w:shd w:val="clear" w:color="auto" w:fill="auto"/>
            <w:noWrap/>
            <w:vAlign w:val="center"/>
            <w:hideMark/>
          </w:tcPr>
          <w:p w14:paraId="6EF1EB7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-48.3</w:t>
            </w:r>
          </w:p>
        </w:tc>
      </w:tr>
      <w:tr w:rsidR="00D33F7C" w:rsidRPr="00D33F7C" w14:paraId="7C0B5B02"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28DD4BFA"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 Options on Index</w:t>
            </w:r>
          </w:p>
        </w:tc>
        <w:tc>
          <w:tcPr>
            <w:tcW w:w="1180" w:type="dxa"/>
            <w:tcBorders>
              <w:top w:val="nil"/>
              <w:left w:val="nil"/>
              <w:bottom w:val="single" w:sz="4" w:space="0" w:color="auto"/>
              <w:right w:val="single" w:sz="4" w:space="0" w:color="auto"/>
            </w:tcBorders>
            <w:shd w:val="clear" w:color="auto" w:fill="auto"/>
            <w:noWrap/>
            <w:vAlign w:val="center"/>
            <w:hideMark/>
          </w:tcPr>
          <w:p w14:paraId="4CB88D7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5F18BBD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52EA1EBC"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7AA9FC0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663630F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48017C5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046FEDA6"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5AAF5A47"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14274E0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1,95,046</w:t>
            </w:r>
          </w:p>
        </w:tc>
        <w:tc>
          <w:tcPr>
            <w:tcW w:w="1255" w:type="dxa"/>
            <w:tcBorders>
              <w:top w:val="nil"/>
              <w:left w:val="nil"/>
              <w:bottom w:val="single" w:sz="4" w:space="0" w:color="auto"/>
              <w:right w:val="single" w:sz="4" w:space="0" w:color="auto"/>
            </w:tcBorders>
            <w:shd w:val="clear" w:color="auto" w:fill="auto"/>
            <w:noWrap/>
            <w:vAlign w:val="center"/>
            <w:hideMark/>
          </w:tcPr>
          <w:p w14:paraId="42EA370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1,82,203</w:t>
            </w:r>
          </w:p>
        </w:tc>
        <w:tc>
          <w:tcPr>
            <w:tcW w:w="1245" w:type="dxa"/>
            <w:tcBorders>
              <w:top w:val="nil"/>
              <w:left w:val="nil"/>
              <w:bottom w:val="single" w:sz="4" w:space="0" w:color="auto"/>
              <w:right w:val="single" w:sz="4" w:space="0" w:color="auto"/>
            </w:tcBorders>
            <w:shd w:val="clear" w:color="auto" w:fill="auto"/>
            <w:noWrap/>
            <w:vAlign w:val="center"/>
            <w:hideMark/>
          </w:tcPr>
          <w:p w14:paraId="2E4D7CA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-6.6</w:t>
            </w:r>
          </w:p>
        </w:tc>
        <w:tc>
          <w:tcPr>
            <w:tcW w:w="1340" w:type="dxa"/>
            <w:tcBorders>
              <w:top w:val="nil"/>
              <w:left w:val="nil"/>
              <w:bottom w:val="single" w:sz="4" w:space="0" w:color="auto"/>
              <w:right w:val="single" w:sz="4" w:space="0" w:color="auto"/>
            </w:tcBorders>
            <w:shd w:val="clear" w:color="auto" w:fill="auto"/>
            <w:noWrap/>
            <w:vAlign w:val="center"/>
            <w:hideMark/>
          </w:tcPr>
          <w:p w14:paraId="6DB4EC1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31</w:t>
            </w:r>
          </w:p>
        </w:tc>
        <w:tc>
          <w:tcPr>
            <w:tcW w:w="1340" w:type="dxa"/>
            <w:tcBorders>
              <w:top w:val="nil"/>
              <w:left w:val="nil"/>
              <w:bottom w:val="single" w:sz="4" w:space="0" w:color="auto"/>
              <w:right w:val="single" w:sz="4" w:space="0" w:color="auto"/>
            </w:tcBorders>
            <w:shd w:val="clear" w:color="auto" w:fill="auto"/>
            <w:noWrap/>
            <w:vAlign w:val="center"/>
            <w:hideMark/>
          </w:tcPr>
          <w:p w14:paraId="50D1EFC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50</w:t>
            </w:r>
          </w:p>
        </w:tc>
        <w:tc>
          <w:tcPr>
            <w:tcW w:w="1480" w:type="dxa"/>
            <w:tcBorders>
              <w:top w:val="nil"/>
              <w:left w:val="nil"/>
              <w:bottom w:val="single" w:sz="4" w:space="0" w:color="auto"/>
              <w:right w:val="single" w:sz="4" w:space="0" w:color="auto"/>
            </w:tcBorders>
            <w:shd w:val="clear" w:color="auto" w:fill="auto"/>
            <w:noWrap/>
            <w:vAlign w:val="center"/>
            <w:hideMark/>
          </w:tcPr>
          <w:p w14:paraId="20E8221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60.1</w:t>
            </w:r>
          </w:p>
        </w:tc>
      </w:tr>
      <w:tr w:rsidR="00D33F7C" w:rsidRPr="00D33F7C" w14:paraId="3B596930"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54FCBC5D"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7ED32B6D"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1,51,066</w:t>
            </w:r>
          </w:p>
        </w:tc>
        <w:tc>
          <w:tcPr>
            <w:tcW w:w="1255" w:type="dxa"/>
            <w:tcBorders>
              <w:top w:val="nil"/>
              <w:left w:val="nil"/>
              <w:bottom w:val="single" w:sz="4" w:space="0" w:color="auto"/>
              <w:right w:val="single" w:sz="4" w:space="0" w:color="auto"/>
            </w:tcBorders>
            <w:shd w:val="clear" w:color="auto" w:fill="auto"/>
            <w:noWrap/>
            <w:vAlign w:val="center"/>
            <w:hideMark/>
          </w:tcPr>
          <w:p w14:paraId="0635E72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2,33,102</w:t>
            </w:r>
          </w:p>
        </w:tc>
        <w:tc>
          <w:tcPr>
            <w:tcW w:w="1245" w:type="dxa"/>
            <w:tcBorders>
              <w:top w:val="nil"/>
              <w:left w:val="nil"/>
              <w:bottom w:val="single" w:sz="4" w:space="0" w:color="auto"/>
              <w:right w:val="single" w:sz="4" w:space="0" w:color="auto"/>
            </w:tcBorders>
            <w:shd w:val="clear" w:color="auto" w:fill="auto"/>
            <w:noWrap/>
            <w:vAlign w:val="center"/>
            <w:hideMark/>
          </w:tcPr>
          <w:p w14:paraId="5CF205C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54.3</w:t>
            </w:r>
          </w:p>
        </w:tc>
        <w:tc>
          <w:tcPr>
            <w:tcW w:w="1340" w:type="dxa"/>
            <w:tcBorders>
              <w:top w:val="nil"/>
              <w:left w:val="nil"/>
              <w:bottom w:val="single" w:sz="4" w:space="0" w:color="auto"/>
              <w:right w:val="single" w:sz="4" w:space="0" w:color="auto"/>
            </w:tcBorders>
            <w:shd w:val="clear" w:color="auto" w:fill="auto"/>
            <w:noWrap/>
            <w:vAlign w:val="center"/>
            <w:hideMark/>
          </w:tcPr>
          <w:p w14:paraId="4BD3B29A"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w:t>
            </w:r>
          </w:p>
        </w:tc>
        <w:tc>
          <w:tcPr>
            <w:tcW w:w="1340" w:type="dxa"/>
            <w:tcBorders>
              <w:top w:val="nil"/>
              <w:left w:val="nil"/>
              <w:bottom w:val="single" w:sz="4" w:space="0" w:color="auto"/>
              <w:right w:val="single" w:sz="4" w:space="0" w:color="auto"/>
            </w:tcBorders>
            <w:shd w:val="clear" w:color="auto" w:fill="auto"/>
            <w:noWrap/>
            <w:vAlign w:val="center"/>
            <w:hideMark/>
          </w:tcPr>
          <w:p w14:paraId="1377909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55</w:t>
            </w:r>
          </w:p>
        </w:tc>
        <w:tc>
          <w:tcPr>
            <w:tcW w:w="1480" w:type="dxa"/>
            <w:tcBorders>
              <w:top w:val="nil"/>
              <w:left w:val="nil"/>
              <w:bottom w:val="single" w:sz="4" w:space="0" w:color="auto"/>
              <w:right w:val="single" w:sz="4" w:space="0" w:color="auto"/>
            </w:tcBorders>
            <w:shd w:val="clear" w:color="auto" w:fill="auto"/>
            <w:noWrap/>
            <w:vAlign w:val="center"/>
            <w:hideMark/>
          </w:tcPr>
          <w:p w14:paraId="6CF2D81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133.4</w:t>
            </w:r>
          </w:p>
        </w:tc>
      </w:tr>
      <w:tr w:rsidR="00D33F7C" w:rsidRPr="00D33F7C" w14:paraId="43EAA39D"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70252722"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(iii) Stock Futures</w:t>
            </w:r>
          </w:p>
        </w:tc>
        <w:tc>
          <w:tcPr>
            <w:tcW w:w="1180" w:type="dxa"/>
            <w:tcBorders>
              <w:top w:val="nil"/>
              <w:left w:val="nil"/>
              <w:bottom w:val="single" w:sz="4" w:space="0" w:color="auto"/>
              <w:right w:val="single" w:sz="4" w:space="0" w:color="auto"/>
            </w:tcBorders>
            <w:shd w:val="clear" w:color="auto" w:fill="auto"/>
            <w:noWrap/>
            <w:vAlign w:val="center"/>
            <w:hideMark/>
          </w:tcPr>
          <w:p w14:paraId="5C5B353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1,58,885</w:t>
            </w:r>
          </w:p>
        </w:tc>
        <w:tc>
          <w:tcPr>
            <w:tcW w:w="1255" w:type="dxa"/>
            <w:tcBorders>
              <w:top w:val="nil"/>
              <w:left w:val="nil"/>
              <w:bottom w:val="single" w:sz="4" w:space="0" w:color="auto"/>
              <w:right w:val="single" w:sz="4" w:space="0" w:color="auto"/>
            </w:tcBorders>
            <w:shd w:val="clear" w:color="auto" w:fill="auto"/>
            <w:noWrap/>
            <w:vAlign w:val="center"/>
            <w:hideMark/>
          </w:tcPr>
          <w:p w14:paraId="321668F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1,65,093</w:t>
            </w:r>
          </w:p>
        </w:tc>
        <w:tc>
          <w:tcPr>
            <w:tcW w:w="1245" w:type="dxa"/>
            <w:tcBorders>
              <w:top w:val="nil"/>
              <w:left w:val="nil"/>
              <w:bottom w:val="single" w:sz="4" w:space="0" w:color="auto"/>
              <w:right w:val="single" w:sz="4" w:space="0" w:color="auto"/>
            </w:tcBorders>
            <w:shd w:val="clear" w:color="auto" w:fill="auto"/>
            <w:noWrap/>
            <w:vAlign w:val="center"/>
            <w:hideMark/>
          </w:tcPr>
          <w:p w14:paraId="20C56C4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3.9</w:t>
            </w:r>
          </w:p>
        </w:tc>
        <w:tc>
          <w:tcPr>
            <w:tcW w:w="1340" w:type="dxa"/>
            <w:tcBorders>
              <w:top w:val="nil"/>
              <w:left w:val="nil"/>
              <w:bottom w:val="single" w:sz="4" w:space="0" w:color="auto"/>
              <w:right w:val="single" w:sz="4" w:space="0" w:color="auto"/>
            </w:tcBorders>
            <w:shd w:val="clear" w:color="auto" w:fill="auto"/>
            <w:noWrap/>
            <w:vAlign w:val="center"/>
            <w:hideMark/>
          </w:tcPr>
          <w:p w14:paraId="50D6A6A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340" w:type="dxa"/>
            <w:tcBorders>
              <w:top w:val="nil"/>
              <w:left w:val="nil"/>
              <w:bottom w:val="single" w:sz="4" w:space="0" w:color="auto"/>
              <w:right w:val="single" w:sz="4" w:space="0" w:color="auto"/>
            </w:tcBorders>
            <w:shd w:val="clear" w:color="auto" w:fill="auto"/>
            <w:noWrap/>
            <w:vAlign w:val="center"/>
            <w:hideMark/>
          </w:tcPr>
          <w:p w14:paraId="55C3E82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14:paraId="57ADDC5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04184B78"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1B9385BE"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(iv) Options on Stock</w:t>
            </w:r>
          </w:p>
        </w:tc>
        <w:tc>
          <w:tcPr>
            <w:tcW w:w="1180" w:type="dxa"/>
            <w:tcBorders>
              <w:top w:val="nil"/>
              <w:left w:val="nil"/>
              <w:bottom w:val="single" w:sz="4" w:space="0" w:color="auto"/>
              <w:right w:val="single" w:sz="4" w:space="0" w:color="auto"/>
            </w:tcBorders>
            <w:shd w:val="clear" w:color="auto" w:fill="auto"/>
            <w:noWrap/>
            <w:vAlign w:val="center"/>
            <w:hideMark/>
          </w:tcPr>
          <w:p w14:paraId="057E9D5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6567123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3E3261E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2DE2D547"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721CD00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566537B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4C415AD4"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3313ED19"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1E7B9BE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28,554</w:t>
            </w:r>
          </w:p>
        </w:tc>
        <w:tc>
          <w:tcPr>
            <w:tcW w:w="1255" w:type="dxa"/>
            <w:tcBorders>
              <w:top w:val="nil"/>
              <w:left w:val="nil"/>
              <w:bottom w:val="single" w:sz="4" w:space="0" w:color="auto"/>
              <w:right w:val="single" w:sz="4" w:space="0" w:color="auto"/>
            </w:tcBorders>
            <w:shd w:val="clear" w:color="auto" w:fill="auto"/>
            <w:noWrap/>
            <w:vAlign w:val="center"/>
            <w:hideMark/>
          </w:tcPr>
          <w:p w14:paraId="0718626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35,312</w:t>
            </w:r>
          </w:p>
        </w:tc>
        <w:tc>
          <w:tcPr>
            <w:tcW w:w="1245" w:type="dxa"/>
            <w:tcBorders>
              <w:top w:val="nil"/>
              <w:left w:val="nil"/>
              <w:bottom w:val="single" w:sz="4" w:space="0" w:color="auto"/>
              <w:right w:val="single" w:sz="4" w:space="0" w:color="auto"/>
            </w:tcBorders>
            <w:shd w:val="clear" w:color="auto" w:fill="auto"/>
            <w:noWrap/>
            <w:vAlign w:val="center"/>
            <w:hideMark/>
          </w:tcPr>
          <w:p w14:paraId="4D84DF5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23.7</w:t>
            </w:r>
          </w:p>
        </w:tc>
        <w:tc>
          <w:tcPr>
            <w:tcW w:w="1340" w:type="dxa"/>
            <w:tcBorders>
              <w:top w:val="nil"/>
              <w:left w:val="nil"/>
              <w:bottom w:val="single" w:sz="4" w:space="0" w:color="auto"/>
              <w:right w:val="single" w:sz="4" w:space="0" w:color="auto"/>
            </w:tcBorders>
            <w:shd w:val="clear" w:color="auto" w:fill="auto"/>
            <w:noWrap/>
            <w:vAlign w:val="center"/>
            <w:hideMark/>
          </w:tcPr>
          <w:p w14:paraId="7D77F99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7EAF2DE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14:paraId="2180261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372F1C7F"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02464C23"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5DE39B6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52,552</w:t>
            </w:r>
          </w:p>
        </w:tc>
        <w:tc>
          <w:tcPr>
            <w:tcW w:w="1255" w:type="dxa"/>
            <w:tcBorders>
              <w:top w:val="nil"/>
              <w:left w:val="nil"/>
              <w:bottom w:val="single" w:sz="4" w:space="0" w:color="auto"/>
              <w:right w:val="single" w:sz="4" w:space="0" w:color="auto"/>
            </w:tcBorders>
            <w:shd w:val="clear" w:color="auto" w:fill="auto"/>
            <w:noWrap/>
            <w:vAlign w:val="center"/>
            <w:hideMark/>
          </w:tcPr>
          <w:p w14:paraId="7FCCA8B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63,047</w:t>
            </w:r>
          </w:p>
        </w:tc>
        <w:tc>
          <w:tcPr>
            <w:tcW w:w="1245" w:type="dxa"/>
            <w:tcBorders>
              <w:top w:val="nil"/>
              <w:left w:val="nil"/>
              <w:bottom w:val="single" w:sz="4" w:space="0" w:color="auto"/>
              <w:right w:val="single" w:sz="4" w:space="0" w:color="auto"/>
            </w:tcBorders>
            <w:shd w:val="clear" w:color="auto" w:fill="auto"/>
            <w:noWrap/>
            <w:vAlign w:val="center"/>
            <w:hideMark/>
          </w:tcPr>
          <w:p w14:paraId="6971421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20.0</w:t>
            </w:r>
          </w:p>
        </w:tc>
        <w:tc>
          <w:tcPr>
            <w:tcW w:w="1340" w:type="dxa"/>
            <w:tcBorders>
              <w:top w:val="nil"/>
              <w:left w:val="nil"/>
              <w:bottom w:val="single" w:sz="4" w:space="0" w:color="auto"/>
              <w:right w:val="single" w:sz="4" w:space="0" w:color="auto"/>
            </w:tcBorders>
            <w:shd w:val="clear" w:color="auto" w:fill="auto"/>
            <w:noWrap/>
            <w:vAlign w:val="center"/>
            <w:hideMark/>
          </w:tcPr>
          <w:p w14:paraId="3901E68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18F6291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0.0</w:t>
            </w:r>
          </w:p>
        </w:tc>
        <w:tc>
          <w:tcPr>
            <w:tcW w:w="1480" w:type="dxa"/>
            <w:tcBorders>
              <w:top w:val="nil"/>
              <w:left w:val="nil"/>
              <w:bottom w:val="single" w:sz="4" w:space="0" w:color="auto"/>
              <w:right w:val="single" w:sz="4" w:space="0" w:color="auto"/>
            </w:tcBorders>
            <w:shd w:val="clear" w:color="auto" w:fill="auto"/>
            <w:noWrap/>
            <w:vAlign w:val="center"/>
            <w:hideMark/>
          </w:tcPr>
          <w:p w14:paraId="3692C227"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35B49B4B"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2565152C"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 xml:space="preserve">         Total</w:t>
            </w:r>
          </w:p>
        </w:tc>
        <w:tc>
          <w:tcPr>
            <w:tcW w:w="1180" w:type="dxa"/>
            <w:tcBorders>
              <w:top w:val="nil"/>
              <w:left w:val="nil"/>
              <w:bottom w:val="single" w:sz="4" w:space="0" w:color="auto"/>
              <w:right w:val="single" w:sz="4" w:space="0" w:color="auto"/>
            </w:tcBorders>
            <w:shd w:val="clear" w:color="C6D9F0" w:fill="C6D9F0"/>
            <w:noWrap/>
            <w:vAlign w:val="center"/>
            <w:hideMark/>
          </w:tcPr>
          <w:p w14:paraId="31E9F514"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6,10,233</w:t>
            </w:r>
          </w:p>
        </w:tc>
        <w:tc>
          <w:tcPr>
            <w:tcW w:w="1255" w:type="dxa"/>
            <w:tcBorders>
              <w:top w:val="nil"/>
              <w:left w:val="nil"/>
              <w:bottom w:val="single" w:sz="4" w:space="0" w:color="auto"/>
              <w:right w:val="single" w:sz="4" w:space="0" w:color="auto"/>
            </w:tcBorders>
            <w:shd w:val="clear" w:color="C6D9F0" w:fill="C6D9F0"/>
            <w:noWrap/>
            <w:vAlign w:val="center"/>
            <w:hideMark/>
          </w:tcPr>
          <w:p w14:paraId="776BCDAA"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7,02,714</w:t>
            </w:r>
          </w:p>
        </w:tc>
        <w:tc>
          <w:tcPr>
            <w:tcW w:w="1245" w:type="dxa"/>
            <w:tcBorders>
              <w:top w:val="nil"/>
              <w:left w:val="nil"/>
              <w:bottom w:val="single" w:sz="4" w:space="0" w:color="auto"/>
              <w:right w:val="single" w:sz="4" w:space="0" w:color="auto"/>
            </w:tcBorders>
            <w:shd w:val="clear" w:color="C6D9F0" w:fill="C6D9F0"/>
            <w:noWrap/>
            <w:vAlign w:val="center"/>
            <w:hideMark/>
          </w:tcPr>
          <w:p w14:paraId="7DBDE4F2"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15.2</w:t>
            </w:r>
          </w:p>
        </w:tc>
        <w:tc>
          <w:tcPr>
            <w:tcW w:w="1340" w:type="dxa"/>
            <w:tcBorders>
              <w:top w:val="nil"/>
              <w:left w:val="nil"/>
              <w:bottom w:val="single" w:sz="4" w:space="0" w:color="auto"/>
              <w:right w:val="single" w:sz="4" w:space="0" w:color="auto"/>
            </w:tcBorders>
            <w:shd w:val="clear" w:color="C6D9F0" w:fill="C6D9F0"/>
            <w:noWrap/>
            <w:vAlign w:val="center"/>
            <w:hideMark/>
          </w:tcPr>
          <w:p w14:paraId="79051138"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65.2</w:t>
            </w:r>
          </w:p>
        </w:tc>
        <w:tc>
          <w:tcPr>
            <w:tcW w:w="1340" w:type="dxa"/>
            <w:tcBorders>
              <w:top w:val="nil"/>
              <w:left w:val="nil"/>
              <w:bottom w:val="single" w:sz="4" w:space="0" w:color="auto"/>
              <w:right w:val="single" w:sz="4" w:space="0" w:color="auto"/>
            </w:tcBorders>
            <w:shd w:val="clear" w:color="C6D9F0" w:fill="C6D9F0"/>
            <w:noWrap/>
            <w:vAlign w:val="center"/>
            <w:hideMark/>
          </w:tcPr>
          <w:p w14:paraId="5272948B"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110.4</w:t>
            </w:r>
          </w:p>
        </w:tc>
        <w:tc>
          <w:tcPr>
            <w:tcW w:w="1480" w:type="dxa"/>
            <w:tcBorders>
              <w:top w:val="nil"/>
              <w:left w:val="nil"/>
              <w:bottom w:val="single" w:sz="4" w:space="0" w:color="auto"/>
              <w:right w:val="single" w:sz="4" w:space="0" w:color="auto"/>
            </w:tcBorders>
            <w:shd w:val="clear" w:color="C6D9F0" w:fill="C6D9F0"/>
            <w:noWrap/>
            <w:vAlign w:val="center"/>
            <w:hideMark/>
          </w:tcPr>
          <w:p w14:paraId="10B97470"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69.1</w:t>
            </w:r>
          </w:p>
        </w:tc>
      </w:tr>
      <w:tr w:rsidR="00D33F7C" w:rsidRPr="00D33F7C" w14:paraId="2C5A6CF5" w14:textId="77777777" w:rsidTr="00E213CE">
        <w:trPr>
          <w:trHeight w:val="255"/>
        </w:trPr>
        <w:tc>
          <w:tcPr>
            <w:tcW w:w="9800"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14:paraId="6CB66555"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D.  Open Interest in Terms of No</w:t>
            </w:r>
            <w:r w:rsidR="00AC244F">
              <w:rPr>
                <w:rFonts w:ascii="Garamond" w:eastAsia="Times New Roman" w:hAnsi="Garamond"/>
                <w:b/>
                <w:bCs/>
                <w:sz w:val="20"/>
                <w:szCs w:val="20"/>
                <w:lang w:val="en-IN" w:eastAsia="en-IN" w:bidi="hi-IN"/>
              </w:rPr>
              <w:t>.</w:t>
            </w:r>
            <w:r w:rsidRPr="00D33F7C">
              <w:rPr>
                <w:rFonts w:ascii="Garamond" w:eastAsia="Times New Roman" w:hAnsi="Garamond"/>
                <w:b/>
                <w:bCs/>
                <w:sz w:val="20"/>
                <w:szCs w:val="20"/>
                <w:lang w:val="en-IN" w:eastAsia="en-IN" w:bidi="hi-IN"/>
              </w:rPr>
              <w:t xml:space="preserve"> of Contracts</w:t>
            </w:r>
          </w:p>
        </w:tc>
      </w:tr>
      <w:tr w:rsidR="00D33F7C" w:rsidRPr="00D33F7C" w14:paraId="7B432FAF"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2412CF3E"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 Index  Futures</w:t>
            </w:r>
          </w:p>
        </w:tc>
        <w:tc>
          <w:tcPr>
            <w:tcW w:w="1180" w:type="dxa"/>
            <w:tcBorders>
              <w:top w:val="nil"/>
              <w:left w:val="nil"/>
              <w:bottom w:val="single" w:sz="4" w:space="0" w:color="auto"/>
              <w:right w:val="single" w:sz="4" w:space="0" w:color="auto"/>
            </w:tcBorders>
            <w:shd w:val="clear" w:color="auto" w:fill="auto"/>
            <w:noWrap/>
            <w:vAlign w:val="center"/>
            <w:hideMark/>
          </w:tcPr>
          <w:p w14:paraId="00A5480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2,29,373</w:t>
            </w:r>
          </w:p>
        </w:tc>
        <w:tc>
          <w:tcPr>
            <w:tcW w:w="1255" w:type="dxa"/>
            <w:tcBorders>
              <w:top w:val="nil"/>
              <w:left w:val="nil"/>
              <w:bottom w:val="single" w:sz="4" w:space="0" w:color="auto"/>
              <w:right w:val="single" w:sz="4" w:space="0" w:color="auto"/>
            </w:tcBorders>
            <w:shd w:val="clear" w:color="auto" w:fill="auto"/>
            <w:noWrap/>
            <w:vAlign w:val="center"/>
            <w:hideMark/>
          </w:tcPr>
          <w:p w14:paraId="5FC816F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2,95,125</w:t>
            </w:r>
          </w:p>
        </w:tc>
        <w:tc>
          <w:tcPr>
            <w:tcW w:w="1245" w:type="dxa"/>
            <w:tcBorders>
              <w:top w:val="nil"/>
              <w:left w:val="nil"/>
              <w:bottom w:val="single" w:sz="4" w:space="0" w:color="auto"/>
              <w:right w:val="single" w:sz="4" w:space="0" w:color="auto"/>
            </w:tcBorders>
            <w:shd w:val="clear" w:color="auto" w:fill="auto"/>
            <w:noWrap/>
            <w:vAlign w:val="center"/>
            <w:hideMark/>
          </w:tcPr>
          <w:p w14:paraId="1A26025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28.7</w:t>
            </w:r>
          </w:p>
        </w:tc>
        <w:tc>
          <w:tcPr>
            <w:tcW w:w="1340" w:type="dxa"/>
            <w:tcBorders>
              <w:top w:val="nil"/>
              <w:left w:val="nil"/>
              <w:bottom w:val="single" w:sz="4" w:space="0" w:color="auto"/>
              <w:right w:val="single" w:sz="4" w:space="0" w:color="auto"/>
            </w:tcBorders>
            <w:shd w:val="clear" w:color="auto" w:fill="auto"/>
            <w:noWrap/>
            <w:vAlign w:val="center"/>
            <w:hideMark/>
          </w:tcPr>
          <w:p w14:paraId="3F336A5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86</w:t>
            </w:r>
          </w:p>
        </w:tc>
        <w:tc>
          <w:tcPr>
            <w:tcW w:w="1340" w:type="dxa"/>
            <w:tcBorders>
              <w:top w:val="nil"/>
              <w:left w:val="nil"/>
              <w:bottom w:val="single" w:sz="4" w:space="0" w:color="auto"/>
              <w:right w:val="single" w:sz="4" w:space="0" w:color="auto"/>
            </w:tcBorders>
            <w:shd w:val="clear" w:color="auto" w:fill="auto"/>
            <w:noWrap/>
            <w:vAlign w:val="center"/>
            <w:hideMark/>
          </w:tcPr>
          <w:p w14:paraId="3282623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66</w:t>
            </w:r>
          </w:p>
        </w:tc>
        <w:tc>
          <w:tcPr>
            <w:tcW w:w="1480" w:type="dxa"/>
            <w:tcBorders>
              <w:top w:val="nil"/>
              <w:left w:val="nil"/>
              <w:bottom w:val="single" w:sz="4" w:space="0" w:color="auto"/>
              <w:right w:val="single" w:sz="4" w:space="0" w:color="auto"/>
            </w:tcBorders>
            <w:shd w:val="clear" w:color="auto" w:fill="auto"/>
            <w:noWrap/>
            <w:vAlign w:val="center"/>
            <w:hideMark/>
          </w:tcPr>
          <w:p w14:paraId="4EFDD78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-23.3</w:t>
            </w:r>
          </w:p>
        </w:tc>
      </w:tr>
      <w:tr w:rsidR="00D33F7C" w:rsidRPr="00D33F7C" w14:paraId="38D0738C"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5B894941"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 Options on Index</w:t>
            </w:r>
          </w:p>
        </w:tc>
        <w:tc>
          <w:tcPr>
            <w:tcW w:w="1180" w:type="dxa"/>
            <w:tcBorders>
              <w:top w:val="nil"/>
              <w:left w:val="nil"/>
              <w:bottom w:val="single" w:sz="4" w:space="0" w:color="auto"/>
              <w:right w:val="single" w:sz="4" w:space="0" w:color="auto"/>
            </w:tcBorders>
            <w:shd w:val="clear" w:color="auto" w:fill="auto"/>
            <w:noWrap/>
            <w:vAlign w:val="center"/>
            <w:hideMark/>
          </w:tcPr>
          <w:p w14:paraId="3CCC260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7EDC4F4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64D979F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062883E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5B58C48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77775A4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24B64B2B"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2FED9C99"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499D7226"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18,37,320</w:t>
            </w:r>
          </w:p>
        </w:tc>
        <w:tc>
          <w:tcPr>
            <w:tcW w:w="1255" w:type="dxa"/>
            <w:tcBorders>
              <w:top w:val="nil"/>
              <w:left w:val="nil"/>
              <w:bottom w:val="single" w:sz="4" w:space="0" w:color="auto"/>
              <w:right w:val="single" w:sz="4" w:space="0" w:color="auto"/>
            </w:tcBorders>
            <w:shd w:val="clear" w:color="auto" w:fill="auto"/>
            <w:noWrap/>
            <w:vAlign w:val="center"/>
            <w:hideMark/>
          </w:tcPr>
          <w:p w14:paraId="3830EA1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19,69,939</w:t>
            </w:r>
          </w:p>
        </w:tc>
        <w:tc>
          <w:tcPr>
            <w:tcW w:w="1245" w:type="dxa"/>
            <w:tcBorders>
              <w:top w:val="nil"/>
              <w:left w:val="nil"/>
              <w:bottom w:val="single" w:sz="4" w:space="0" w:color="auto"/>
              <w:right w:val="single" w:sz="4" w:space="0" w:color="auto"/>
            </w:tcBorders>
            <w:shd w:val="clear" w:color="auto" w:fill="auto"/>
            <w:noWrap/>
            <w:vAlign w:val="center"/>
            <w:hideMark/>
          </w:tcPr>
          <w:p w14:paraId="4791E087"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7.2</w:t>
            </w:r>
          </w:p>
        </w:tc>
        <w:tc>
          <w:tcPr>
            <w:tcW w:w="1340" w:type="dxa"/>
            <w:tcBorders>
              <w:top w:val="nil"/>
              <w:left w:val="nil"/>
              <w:bottom w:val="single" w:sz="4" w:space="0" w:color="auto"/>
              <w:right w:val="single" w:sz="4" w:space="0" w:color="auto"/>
            </w:tcBorders>
            <w:shd w:val="clear" w:color="auto" w:fill="auto"/>
            <w:noWrap/>
            <w:vAlign w:val="center"/>
            <w:hideMark/>
          </w:tcPr>
          <w:p w14:paraId="425F894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254</w:t>
            </w:r>
          </w:p>
        </w:tc>
        <w:tc>
          <w:tcPr>
            <w:tcW w:w="1340" w:type="dxa"/>
            <w:tcBorders>
              <w:top w:val="nil"/>
              <w:left w:val="nil"/>
              <w:bottom w:val="single" w:sz="4" w:space="0" w:color="auto"/>
              <w:right w:val="single" w:sz="4" w:space="0" w:color="auto"/>
            </w:tcBorders>
            <w:shd w:val="clear" w:color="auto" w:fill="auto"/>
            <w:noWrap/>
            <w:vAlign w:val="center"/>
            <w:hideMark/>
          </w:tcPr>
          <w:p w14:paraId="6621B09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604</w:t>
            </w:r>
          </w:p>
        </w:tc>
        <w:tc>
          <w:tcPr>
            <w:tcW w:w="1480" w:type="dxa"/>
            <w:tcBorders>
              <w:top w:val="nil"/>
              <w:left w:val="nil"/>
              <w:bottom w:val="single" w:sz="4" w:space="0" w:color="auto"/>
              <w:right w:val="single" w:sz="4" w:space="0" w:color="auto"/>
            </w:tcBorders>
            <w:shd w:val="clear" w:color="auto" w:fill="auto"/>
            <w:noWrap/>
            <w:vAlign w:val="center"/>
            <w:hideMark/>
          </w:tcPr>
          <w:p w14:paraId="3580AE9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137.8</w:t>
            </w:r>
          </w:p>
        </w:tc>
      </w:tr>
      <w:tr w:rsidR="00D33F7C" w:rsidRPr="00D33F7C" w14:paraId="69FEBF59"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006E7D94"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29D438C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14,65,196</w:t>
            </w:r>
          </w:p>
        </w:tc>
        <w:tc>
          <w:tcPr>
            <w:tcW w:w="1255" w:type="dxa"/>
            <w:tcBorders>
              <w:top w:val="nil"/>
              <w:left w:val="nil"/>
              <w:bottom w:val="single" w:sz="4" w:space="0" w:color="auto"/>
              <w:right w:val="single" w:sz="4" w:space="0" w:color="auto"/>
            </w:tcBorders>
            <w:shd w:val="clear" w:color="auto" w:fill="auto"/>
            <w:noWrap/>
            <w:vAlign w:val="center"/>
            <w:hideMark/>
          </w:tcPr>
          <w:p w14:paraId="4D933C5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24,43,295</w:t>
            </w:r>
          </w:p>
        </w:tc>
        <w:tc>
          <w:tcPr>
            <w:tcW w:w="1245" w:type="dxa"/>
            <w:tcBorders>
              <w:top w:val="nil"/>
              <w:left w:val="nil"/>
              <w:bottom w:val="single" w:sz="4" w:space="0" w:color="auto"/>
              <w:right w:val="single" w:sz="4" w:space="0" w:color="auto"/>
            </w:tcBorders>
            <w:shd w:val="clear" w:color="auto" w:fill="auto"/>
            <w:noWrap/>
            <w:vAlign w:val="center"/>
            <w:hideMark/>
          </w:tcPr>
          <w:p w14:paraId="247E488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66.8</w:t>
            </w:r>
          </w:p>
        </w:tc>
        <w:tc>
          <w:tcPr>
            <w:tcW w:w="1340" w:type="dxa"/>
            <w:tcBorders>
              <w:top w:val="nil"/>
              <w:left w:val="nil"/>
              <w:bottom w:val="single" w:sz="4" w:space="0" w:color="auto"/>
              <w:right w:val="single" w:sz="4" w:space="0" w:color="auto"/>
            </w:tcBorders>
            <w:shd w:val="clear" w:color="auto" w:fill="auto"/>
            <w:noWrap/>
            <w:vAlign w:val="center"/>
            <w:hideMark/>
          </w:tcPr>
          <w:p w14:paraId="1BB15BA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193</w:t>
            </w:r>
          </w:p>
        </w:tc>
        <w:tc>
          <w:tcPr>
            <w:tcW w:w="1340" w:type="dxa"/>
            <w:tcBorders>
              <w:top w:val="nil"/>
              <w:left w:val="nil"/>
              <w:bottom w:val="single" w:sz="4" w:space="0" w:color="auto"/>
              <w:right w:val="single" w:sz="4" w:space="0" w:color="auto"/>
            </w:tcBorders>
            <w:shd w:val="clear" w:color="auto" w:fill="auto"/>
            <w:noWrap/>
            <w:vAlign w:val="center"/>
            <w:hideMark/>
          </w:tcPr>
          <w:p w14:paraId="7E16E69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669</w:t>
            </w:r>
          </w:p>
        </w:tc>
        <w:tc>
          <w:tcPr>
            <w:tcW w:w="1480" w:type="dxa"/>
            <w:tcBorders>
              <w:top w:val="nil"/>
              <w:left w:val="nil"/>
              <w:bottom w:val="single" w:sz="4" w:space="0" w:color="auto"/>
              <w:right w:val="single" w:sz="4" w:space="0" w:color="auto"/>
            </w:tcBorders>
            <w:shd w:val="clear" w:color="auto" w:fill="auto"/>
            <w:noWrap/>
            <w:vAlign w:val="center"/>
            <w:hideMark/>
          </w:tcPr>
          <w:p w14:paraId="4F9A3562"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246.6</w:t>
            </w:r>
          </w:p>
        </w:tc>
      </w:tr>
      <w:tr w:rsidR="00D33F7C" w:rsidRPr="00D33F7C" w14:paraId="435B2014"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6CFFB5DC"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xml:space="preserve">  (iii) Stock Futures</w:t>
            </w:r>
          </w:p>
        </w:tc>
        <w:tc>
          <w:tcPr>
            <w:tcW w:w="1180" w:type="dxa"/>
            <w:tcBorders>
              <w:top w:val="nil"/>
              <w:left w:val="nil"/>
              <w:bottom w:val="single" w:sz="4" w:space="0" w:color="auto"/>
              <w:right w:val="single" w:sz="4" w:space="0" w:color="auto"/>
            </w:tcBorders>
            <w:shd w:val="clear" w:color="auto" w:fill="auto"/>
            <w:noWrap/>
            <w:vAlign w:val="center"/>
            <w:hideMark/>
          </w:tcPr>
          <w:p w14:paraId="28F0B4C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20,16,498</w:t>
            </w:r>
          </w:p>
        </w:tc>
        <w:tc>
          <w:tcPr>
            <w:tcW w:w="1255" w:type="dxa"/>
            <w:tcBorders>
              <w:top w:val="nil"/>
              <w:left w:val="nil"/>
              <w:bottom w:val="single" w:sz="4" w:space="0" w:color="auto"/>
              <w:right w:val="single" w:sz="4" w:space="0" w:color="auto"/>
            </w:tcBorders>
            <w:shd w:val="clear" w:color="auto" w:fill="auto"/>
            <w:noWrap/>
            <w:vAlign w:val="center"/>
            <w:hideMark/>
          </w:tcPr>
          <w:p w14:paraId="355419E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21,02,186</w:t>
            </w:r>
          </w:p>
        </w:tc>
        <w:tc>
          <w:tcPr>
            <w:tcW w:w="1245" w:type="dxa"/>
            <w:tcBorders>
              <w:top w:val="nil"/>
              <w:left w:val="nil"/>
              <w:bottom w:val="single" w:sz="4" w:space="0" w:color="auto"/>
              <w:right w:val="single" w:sz="4" w:space="0" w:color="auto"/>
            </w:tcBorders>
            <w:shd w:val="clear" w:color="auto" w:fill="auto"/>
            <w:noWrap/>
            <w:vAlign w:val="center"/>
            <w:hideMark/>
          </w:tcPr>
          <w:p w14:paraId="7671693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4.2</w:t>
            </w:r>
          </w:p>
        </w:tc>
        <w:tc>
          <w:tcPr>
            <w:tcW w:w="1340" w:type="dxa"/>
            <w:tcBorders>
              <w:top w:val="nil"/>
              <w:left w:val="nil"/>
              <w:bottom w:val="single" w:sz="4" w:space="0" w:color="auto"/>
              <w:right w:val="single" w:sz="4" w:space="0" w:color="auto"/>
            </w:tcBorders>
            <w:shd w:val="clear" w:color="auto" w:fill="auto"/>
            <w:noWrap/>
            <w:vAlign w:val="center"/>
            <w:hideMark/>
          </w:tcPr>
          <w:p w14:paraId="77DE175A"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1E32D6B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1F63665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3BE9D071"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19EA89BE" w14:textId="77777777" w:rsidR="00D33F7C" w:rsidRPr="00D33F7C" w:rsidRDefault="00D33F7C" w:rsidP="00D33F7C">
            <w:pPr>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(iv) Options on Stock</w:t>
            </w:r>
          </w:p>
        </w:tc>
        <w:tc>
          <w:tcPr>
            <w:tcW w:w="1180" w:type="dxa"/>
            <w:tcBorders>
              <w:top w:val="nil"/>
              <w:left w:val="nil"/>
              <w:bottom w:val="single" w:sz="4" w:space="0" w:color="auto"/>
              <w:right w:val="single" w:sz="4" w:space="0" w:color="auto"/>
            </w:tcBorders>
            <w:shd w:val="clear" w:color="auto" w:fill="auto"/>
            <w:noWrap/>
            <w:vAlign w:val="center"/>
            <w:hideMark/>
          </w:tcPr>
          <w:p w14:paraId="55B2F5C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55" w:type="dxa"/>
            <w:tcBorders>
              <w:top w:val="nil"/>
              <w:left w:val="nil"/>
              <w:bottom w:val="single" w:sz="4" w:space="0" w:color="auto"/>
              <w:right w:val="single" w:sz="4" w:space="0" w:color="auto"/>
            </w:tcBorders>
            <w:shd w:val="clear" w:color="auto" w:fill="auto"/>
            <w:noWrap/>
            <w:vAlign w:val="center"/>
            <w:hideMark/>
          </w:tcPr>
          <w:p w14:paraId="4D8B65CD"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245" w:type="dxa"/>
            <w:tcBorders>
              <w:top w:val="nil"/>
              <w:left w:val="nil"/>
              <w:bottom w:val="single" w:sz="4" w:space="0" w:color="auto"/>
              <w:right w:val="single" w:sz="4" w:space="0" w:color="auto"/>
            </w:tcBorders>
            <w:shd w:val="clear" w:color="auto" w:fill="auto"/>
            <w:noWrap/>
            <w:vAlign w:val="center"/>
            <w:hideMark/>
          </w:tcPr>
          <w:p w14:paraId="77CD3E23"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17D5CEA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340" w:type="dxa"/>
            <w:tcBorders>
              <w:top w:val="nil"/>
              <w:left w:val="nil"/>
              <w:bottom w:val="single" w:sz="4" w:space="0" w:color="auto"/>
              <w:right w:val="single" w:sz="4" w:space="0" w:color="auto"/>
            </w:tcBorders>
            <w:shd w:val="clear" w:color="auto" w:fill="auto"/>
            <w:noWrap/>
            <w:vAlign w:val="center"/>
            <w:hideMark/>
          </w:tcPr>
          <w:p w14:paraId="0065EC4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c>
          <w:tcPr>
            <w:tcW w:w="1480" w:type="dxa"/>
            <w:tcBorders>
              <w:top w:val="nil"/>
              <w:left w:val="nil"/>
              <w:bottom w:val="single" w:sz="4" w:space="0" w:color="auto"/>
              <w:right w:val="single" w:sz="4" w:space="0" w:color="auto"/>
            </w:tcBorders>
            <w:shd w:val="clear" w:color="auto" w:fill="auto"/>
            <w:noWrap/>
            <w:vAlign w:val="center"/>
            <w:hideMark/>
          </w:tcPr>
          <w:p w14:paraId="61274E0A"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 </w:t>
            </w:r>
          </w:p>
        </w:tc>
      </w:tr>
      <w:tr w:rsidR="00D33F7C" w:rsidRPr="00D33F7C" w14:paraId="781AB395"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13EE5C1D"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Put</w:t>
            </w:r>
          </w:p>
        </w:tc>
        <w:tc>
          <w:tcPr>
            <w:tcW w:w="1180" w:type="dxa"/>
            <w:tcBorders>
              <w:top w:val="nil"/>
              <w:left w:val="nil"/>
              <w:bottom w:val="single" w:sz="4" w:space="0" w:color="auto"/>
              <w:right w:val="single" w:sz="4" w:space="0" w:color="auto"/>
            </w:tcBorders>
            <w:shd w:val="clear" w:color="auto" w:fill="auto"/>
            <w:noWrap/>
            <w:vAlign w:val="center"/>
            <w:hideMark/>
          </w:tcPr>
          <w:p w14:paraId="3A508EF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3,72,028</w:t>
            </w:r>
          </w:p>
        </w:tc>
        <w:tc>
          <w:tcPr>
            <w:tcW w:w="1255" w:type="dxa"/>
            <w:tcBorders>
              <w:top w:val="nil"/>
              <w:left w:val="nil"/>
              <w:bottom w:val="single" w:sz="4" w:space="0" w:color="auto"/>
              <w:right w:val="single" w:sz="4" w:space="0" w:color="auto"/>
            </w:tcBorders>
            <w:shd w:val="clear" w:color="auto" w:fill="auto"/>
            <w:noWrap/>
            <w:vAlign w:val="center"/>
            <w:hideMark/>
          </w:tcPr>
          <w:p w14:paraId="3F887530"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4,62,888</w:t>
            </w:r>
          </w:p>
        </w:tc>
        <w:tc>
          <w:tcPr>
            <w:tcW w:w="1245" w:type="dxa"/>
            <w:tcBorders>
              <w:top w:val="nil"/>
              <w:left w:val="nil"/>
              <w:bottom w:val="single" w:sz="4" w:space="0" w:color="auto"/>
              <w:right w:val="single" w:sz="4" w:space="0" w:color="auto"/>
            </w:tcBorders>
            <w:shd w:val="clear" w:color="auto" w:fill="auto"/>
            <w:noWrap/>
            <w:vAlign w:val="center"/>
            <w:hideMark/>
          </w:tcPr>
          <w:p w14:paraId="710490C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24.4</w:t>
            </w:r>
          </w:p>
        </w:tc>
        <w:tc>
          <w:tcPr>
            <w:tcW w:w="1340" w:type="dxa"/>
            <w:tcBorders>
              <w:top w:val="nil"/>
              <w:left w:val="nil"/>
              <w:bottom w:val="single" w:sz="4" w:space="0" w:color="auto"/>
              <w:right w:val="single" w:sz="4" w:space="0" w:color="auto"/>
            </w:tcBorders>
            <w:shd w:val="clear" w:color="auto" w:fill="auto"/>
            <w:noWrap/>
            <w:vAlign w:val="center"/>
            <w:hideMark/>
          </w:tcPr>
          <w:p w14:paraId="5732C9B4"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5270ED3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5148FCE5"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3A5D55E8"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33684587" w14:textId="77777777" w:rsidR="00D33F7C" w:rsidRPr="00D33F7C" w:rsidRDefault="00D33F7C" w:rsidP="00D33F7C">
            <w:pPr>
              <w:rPr>
                <w:rFonts w:ascii="Garamond" w:eastAsia="Times New Roman" w:hAnsi="Garamond"/>
                <w:i/>
                <w:iCs/>
                <w:sz w:val="20"/>
                <w:szCs w:val="20"/>
                <w:lang w:val="en-IN" w:eastAsia="en-IN" w:bidi="hi-IN"/>
              </w:rPr>
            </w:pPr>
            <w:r w:rsidRPr="00D33F7C">
              <w:rPr>
                <w:rFonts w:ascii="Garamond" w:eastAsia="Times New Roman" w:hAnsi="Garamond"/>
                <w:i/>
                <w:iCs/>
                <w:sz w:val="20"/>
                <w:szCs w:val="20"/>
                <w:lang w:val="en-IN" w:eastAsia="en-IN" w:bidi="hi-IN"/>
              </w:rPr>
              <w:t xml:space="preserve">          Call</w:t>
            </w:r>
          </w:p>
        </w:tc>
        <w:tc>
          <w:tcPr>
            <w:tcW w:w="1180" w:type="dxa"/>
            <w:tcBorders>
              <w:top w:val="nil"/>
              <w:left w:val="nil"/>
              <w:bottom w:val="single" w:sz="4" w:space="0" w:color="auto"/>
              <w:right w:val="single" w:sz="4" w:space="0" w:color="auto"/>
            </w:tcBorders>
            <w:shd w:val="clear" w:color="auto" w:fill="auto"/>
            <w:noWrap/>
            <w:vAlign w:val="center"/>
            <w:hideMark/>
          </w:tcPr>
          <w:p w14:paraId="4240232F"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6,92,186</w:t>
            </w:r>
          </w:p>
        </w:tc>
        <w:tc>
          <w:tcPr>
            <w:tcW w:w="1255" w:type="dxa"/>
            <w:tcBorders>
              <w:top w:val="nil"/>
              <w:left w:val="nil"/>
              <w:bottom w:val="single" w:sz="4" w:space="0" w:color="auto"/>
              <w:right w:val="single" w:sz="4" w:space="0" w:color="auto"/>
            </w:tcBorders>
            <w:shd w:val="clear" w:color="auto" w:fill="auto"/>
            <w:noWrap/>
            <w:vAlign w:val="center"/>
            <w:hideMark/>
          </w:tcPr>
          <w:p w14:paraId="3192A56E"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8,43,940</w:t>
            </w:r>
          </w:p>
        </w:tc>
        <w:tc>
          <w:tcPr>
            <w:tcW w:w="1245" w:type="dxa"/>
            <w:tcBorders>
              <w:top w:val="nil"/>
              <w:left w:val="nil"/>
              <w:bottom w:val="single" w:sz="4" w:space="0" w:color="auto"/>
              <w:right w:val="single" w:sz="4" w:space="0" w:color="auto"/>
            </w:tcBorders>
            <w:shd w:val="clear" w:color="auto" w:fill="auto"/>
            <w:noWrap/>
            <w:vAlign w:val="center"/>
            <w:hideMark/>
          </w:tcPr>
          <w:p w14:paraId="61E14141"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21.9</w:t>
            </w:r>
          </w:p>
        </w:tc>
        <w:tc>
          <w:tcPr>
            <w:tcW w:w="1340" w:type="dxa"/>
            <w:tcBorders>
              <w:top w:val="nil"/>
              <w:left w:val="nil"/>
              <w:bottom w:val="single" w:sz="4" w:space="0" w:color="auto"/>
              <w:right w:val="single" w:sz="4" w:space="0" w:color="auto"/>
            </w:tcBorders>
            <w:shd w:val="clear" w:color="auto" w:fill="auto"/>
            <w:noWrap/>
            <w:vAlign w:val="center"/>
            <w:hideMark/>
          </w:tcPr>
          <w:p w14:paraId="199141B8"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340" w:type="dxa"/>
            <w:tcBorders>
              <w:top w:val="nil"/>
              <w:left w:val="nil"/>
              <w:bottom w:val="single" w:sz="4" w:space="0" w:color="auto"/>
              <w:right w:val="single" w:sz="4" w:space="0" w:color="auto"/>
            </w:tcBorders>
            <w:shd w:val="clear" w:color="auto" w:fill="auto"/>
            <w:noWrap/>
            <w:vAlign w:val="center"/>
            <w:hideMark/>
          </w:tcPr>
          <w:p w14:paraId="7492E0EB"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0</w:t>
            </w:r>
          </w:p>
        </w:tc>
        <w:tc>
          <w:tcPr>
            <w:tcW w:w="1480" w:type="dxa"/>
            <w:tcBorders>
              <w:top w:val="nil"/>
              <w:left w:val="nil"/>
              <w:bottom w:val="single" w:sz="4" w:space="0" w:color="auto"/>
              <w:right w:val="single" w:sz="4" w:space="0" w:color="auto"/>
            </w:tcBorders>
            <w:shd w:val="clear" w:color="auto" w:fill="auto"/>
            <w:noWrap/>
            <w:vAlign w:val="center"/>
            <w:hideMark/>
          </w:tcPr>
          <w:p w14:paraId="41CB9699" w14:textId="77777777" w:rsidR="00D33F7C" w:rsidRPr="00D33F7C" w:rsidRDefault="00D33F7C" w:rsidP="00D33F7C">
            <w:pPr>
              <w:jc w:val="right"/>
              <w:rPr>
                <w:rFonts w:ascii="Garamond" w:eastAsia="Times New Roman" w:hAnsi="Garamond"/>
                <w:sz w:val="20"/>
                <w:szCs w:val="20"/>
                <w:lang w:val="en-IN" w:eastAsia="en-IN" w:bidi="hi-IN"/>
              </w:rPr>
            </w:pPr>
            <w:r w:rsidRPr="00D33F7C">
              <w:rPr>
                <w:rFonts w:ascii="Garamond" w:eastAsia="Times New Roman" w:hAnsi="Garamond"/>
                <w:sz w:val="20"/>
                <w:szCs w:val="20"/>
                <w:lang w:val="en-IN" w:eastAsia="en-IN" w:bidi="hi-IN"/>
              </w:rPr>
              <w:t>NA</w:t>
            </w:r>
          </w:p>
        </w:tc>
      </w:tr>
      <w:tr w:rsidR="00D33F7C" w:rsidRPr="00D33F7C" w14:paraId="0266D15F" w14:textId="77777777" w:rsidTr="00E213CE">
        <w:trPr>
          <w:trHeight w:val="255"/>
        </w:trPr>
        <w:tc>
          <w:tcPr>
            <w:tcW w:w="1960" w:type="dxa"/>
            <w:tcBorders>
              <w:top w:val="nil"/>
              <w:left w:val="single" w:sz="4" w:space="0" w:color="auto"/>
              <w:bottom w:val="single" w:sz="4" w:space="0" w:color="auto"/>
              <w:right w:val="single" w:sz="4" w:space="0" w:color="auto"/>
            </w:tcBorders>
            <w:shd w:val="clear" w:color="C6D9F0" w:fill="C6D9F0"/>
            <w:noWrap/>
            <w:vAlign w:val="center"/>
            <w:hideMark/>
          </w:tcPr>
          <w:p w14:paraId="29B57575" w14:textId="77777777" w:rsidR="00D33F7C" w:rsidRPr="00D33F7C" w:rsidRDefault="00D33F7C" w:rsidP="00D33F7C">
            <w:pPr>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 xml:space="preserve">         Total</w:t>
            </w:r>
          </w:p>
        </w:tc>
        <w:tc>
          <w:tcPr>
            <w:tcW w:w="1180" w:type="dxa"/>
            <w:tcBorders>
              <w:top w:val="nil"/>
              <w:left w:val="nil"/>
              <w:bottom w:val="single" w:sz="4" w:space="0" w:color="auto"/>
              <w:right w:val="single" w:sz="4" w:space="0" w:color="auto"/>
            </w:tcBorders>
            <w:shd w:val="clear" w:color="C6D9F0" w:fill="C6D9F0"/>
            <w:noWrap/>
            <w:vAlign w:val="center"/>
            <w:hideMark/>
          </w:tcPr>
          <w:p w14:paraId="3167CA9E"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66,12,601</w:t>
            </w:r>
          </w:p>
        </w:tc>
        <w:tc>
          <w:tcPr>
            <w:tcW w:w="1255" w:type="dxa"/>
            <w:tcBorders>
              <w:top w:val="nil"/>
              <w:left w:val="nil"/>
              <w:bottom w:val="single" w:sz="4" w:space="0" w:color="auto"/>
              <w:right w:val="single" w:sz="4" w:space="0" w:color="auto"/>
            </w:tcBorders>
            <w:shd w:val="clear" w:color="C6D9F0" w:fill="C6D9F0"/>
            <w:noWrap/>
            <w:vAlign w:val="center"/>
            <w:hideMark/>
          </w:tcPr>
          <w:p w14:paraId="75D4E351"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81,17,373</w:t>
            </w:r>
          </w:p>
        </w:tc>
        <w:tc>
          <w:tcPr>
            <w:tcW w:w="1245" w:type="dxa"/>
            <w:tcBorders>
              <w:top w:val="nil"/>
              <w:left w:val="nil"/>
              <w:bottom w:val="single" w:sz="4" w:space="0" w:color="auto"/>
              <w:right w:val="single" w:sz="4" w:space="0" w:color="auto"/>
            </w:tcBorders>
            <w:shd w:val="clear" w:color="C6D9F0" w:fill="C6D9F0"/>
            <w:noWrap/>
            <w:vAlign w:val="center"/>
            <w:hideMark/>
          </w:tcPr>
          <w:p w14:paraId="0321850E"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22.8</w:t>
            </w:r>
          </w:p>
        </w:tc>
        <w:tc>
          <w:tcPr>
            <w:tcW w:w="1340" w:type="dxa"/>
            <w:tcBorders>
              <w:top w:val="nil"/>
              <w:left w:val="nil"/>
              <w:bottom w:val="single" w:sz="4" w:space="0" w:color="auto"/>
              <w:right w:val="single" w:sz="4" w:space="0" w:color="auto"/>
            </w:tcBorders>
            <w:shd w:val="clear" w:color="C6D9F0" w:fill="C6D9F0"/>
            <w:noWrap/>
            <w:vAlign w:val="center"/>
            <w:hideMark/>
          </w:tcPr>
          <w:p w14:paraId="37FA097B"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533</w:t>
            </w:r>
          </w:p>
        </w:tc>
        <w:tc>
          <w:tcPr>
            <w:tcW w:w="1340" w:type="dxa"/>
            <w:tcBorders>
              <w:top w:val="nil"/>
              <w:left w:val="nil"/>
              <w:bottom w:val="single" w:sz="4" w:space="0" w:color="auto"/>
              <w:right w:val="single" w:sz="4" w:space="0" w:color="auto"/>
            </w:tcBorders>
            <w:shd w:val="clear" w:color="C6D9F0" w:fill="C6D9F0"/>
            <w:noWrap/>
            <w:vAlign w:val="center"/>
            <w:hideMark/>
          </w:tcPr>
          <w:p w14:paraId="0E4A91A6"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1,339</w:t>
            </w:r>
          </w:p>
        </w:tc>
        <w:tc>
          <w:tcPr>
            <w:tcW w:w="1480" w:type="dxa"/>
            <w:tcBorders>
              <w:top w:val="nil"/>
              <w:left w:val="nil"/>
              <w:bottom w:val="single" w:sz="4" w:space="0" w:color="auto"/>
              <w:right w:val="single" w:sz="4" w:space="0" w:color="auto"/>
            </w:tcBorders>
            <w:shd w:val="clear" w:color="C6D9F0" w:fill="C6D9F0"/>
            <w:noWrap/>
            <w:vAlign w:val="center"/>
            <w:hideMark/>
          </w:tcPr>
          <w:p w14:paraId="5DC24F3D" w14:textId="77777777" w:rsidR="00D33F7C" w:rsidRPr="00D33F7C" w:rsidRDefault="00D33F7C" w:rsidP="00D33F7C">
            <w:pPr>
              <w:jc w:val="right"/>
              <w:rPr>
                <w:rFonts w:ascii="Garamond" w:eastAsia="Times New Roman" w:hAnsi="Garamond"/>
                <w:b/>
                <w:bCs/>
                <w:sz w:val="20"/>
                <w:szCs w:val="20"/>
                <w:lang w:val="en-IN" w:eastAsia="en-IN" w:bidi="hi-IN"/>
              </w:rPr>
            </w:pPr>
            <w:r w:rsidRPr="00D33F7C">
              <w:rPr>
                <w:rFonts w:ascii="Garamond" w:eastAsia="Times New Roman" w:hAnsi="Garamond"/>
                <w:b/>
                <w:bCs/>
                <w:sz w:val="20"/>
                <w:szCs w:val="20"/>
                <w:lang w:val="en-IN" w:eastAsia="en-IN" w:bidi="hi-IN"/>
              </w:rPr>
              <w:t>151.2</w:t>
            </w:r>
          </w:p>
        </w:tc>
      </w:tr>
    </w:tbl>
    <w:p w14:paraId="3D7AE6CE" w14:textId="77777777" w:rsidR="00D33F7C" w:rsidRPr="00D33F7C" w:rsidRDefault="00D33F7C" w:rsidP="00D33F7C">
      <w:pPr>
        <w:tabs>
          <w:tab w:val="left" w:pos="3135"/>
        </w:tabs>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Source: NSE and BSE</w:t>
      </w:r>
    </w:p>
    <w:p w14:paraId="2EF536A5" w14:textId="77777777" w:rsidR="00D33F7C" w:rsidRPr="00D33F7C" w:rsidRDefault="00D33F7C" w:rsidP="00D33F7C">
      <w:pPr>
        <w:tabs>
          <w:tab w:val="left" w:pos="3135"/>
        </w:tabs>
        <w:spacing w:line="276" w:lineRule="auto"/>
        <w:rPr>
          <w:rFonts w:ascii="Palatino Linotype" w:eastAsia="Palatino Linotype" w:hAnsi="Palatino Linotype" w:cs="Palatino Linotype"/>
          <w:b/>
          <w:color w:val="2E74B5"/>
          <w:sz w:val="22"/>
          <w:szCs w:val="22"/>
          <w:highlight w:val="yellow"/>
        </w:rPr>
      </w:pPr>
    </w:p>
    <w:p w14:paraId="103E1F34" w14:textId="77777777" w:rsidR="00D33F7C" w:rsidRPr="00D33F7C" w:rsidRDefault="00D33F7C" w:rsidP="00D33F7C">
      <w:pPr>
        <w:tabs>
          <w:tab w:val="left" w:pos="3135"/>
        </w:tabs>
        <w:spacing w:line="276" w:lineRule="auto"/>
        <w:rPr>
          <w:rFonts w:ascii="Palatino Linotype" w:eastAsia="Palatino Linotype" w:hAnsi="Palatino Linotype" w:cs="Palatino Linotype"/>
          <w:b/>
          <w:sz w:val="22"/>
          <w:szCs w:val="22"/>
          <w:u w:val="single"/>
        </w:rPr>
      </w:pPr>
      <w:r w:rsidRPr="00D33F7C">
        <w:rPr>
          <w:rFonts w:ascii="Palatino Linotype" w:eastAsia="Palatino Linotype" w:hAnsi="Palatino Linotype" w:cs="Palatino Linotype"/>
          <w:b/>
          <w:sz w:val="22"/>
          <w:szCs w:val="22"/>
          <w:u w:val="single"/>
        </w:rPr>
        <w:lastRenderedPageBreak/>
        <w:t xml:space="preserve">BSE </w:t>
      </w:r>
    </w:p>
    <w:p w14:paraId="3A3FB767"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June 2021, the notional turnover of the equity derivatives segment at BSE increased by 3.0 per cent to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66.7 lakh crore compared from </w:t>
      </w:r>
      <w:r w:rsidRPr="00D33F7C">
        <w:rPr>
          <w:rFonts w:ascii="Tahoma" w:eastAsia="Palatino Linotype" w:hAnsi="Tahoma" w:cs="Tahoma"/>
          <w:sz w:val="22"/>
          <w:szCs w:val="22"/>
        </w:rPr>
        <w:t>₹</w:t>
      </w:r>
      <w:r w:rsidRPr="00D33F7C">
        <w:rPr>
          <w:rFonts w:ascii="Palatino Linotype" w:eastAsia="Palatino Linotype" w:hAnsi="Palatino Linotype" w:cs="Palatino Linotype"/>
          <w:sz w:val="22"/>
          <w:szCs w:val="22"/>
        </w:rPr>
        <w:t xml:space="preserve">64.8 lakh crore in </w:t>
      </w:r>
      <w:r w:rsidRPr="00D33F7C">
        <w:rPr>
          <w:rFonts w:ascii="Palatino Linotype" w:eastAsia="Tahoma" w:hAnsi="Palatino Linotype"/>
          <w:sz w:val="22"/>
          <w:szCs w:val="22"/>
        </w:rPr>
        <w:t>May 2021</w:t>
      </w:r>
      <w:r w:rsidRPr="00D33F7C">
        <w:rPr>
          <w:rFonts w:ascii="Palatino Linotype" w:eastAsia="Palatino Linotype" w:hAnsi="Palatino Linotype" w:cs="Palatino Linotype"/>
          <w:sz w:val="22"/>
          <w:szCs w:val="22"/>
        </w:rPr>
        <w:t xml:space="preserve">.  </w:t>
      </w:r>
    </w:p>
    <w:p w14:paraId="396BB605"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D33F7C">
        <w:rPr>
          <w:rFonts w:ascii="Palatino Linotype" w:eastAsia="Palatino Linotype" w:hAnsi="Palatino Linotype" w:cs="Palatino Linotype"/>
          <w:sz w:val="22"/>
          <w:szCs w:val="22"/>
        </w:rPr>
        <w:t>As at</w:t>
      </w:r>
      <w:r w:rsidRPr="00D33F7C">
        <w:rPr>
          <w:rFonts w:ascii="Palatino Linotype" w:eastAsia="Tahoma" w:hAnsi="Palatino Linotype"/>
          <w:sz w:val="22"/>
          <w:szCs w:val="22"/>
        </w:rPr>
        <w:t xml:space="preserve"> the end of June 2021, the open interest in terms of value at BSE stood at </w:t>
      </w:r>
      <w:r w:rsidRPr="00D33F7C">
        <w:rPr>
          <w:rFonts w:ascii="Times New Roman" w:eastAsia="Tahoma" w:hAnsi="Times New Roman"/>
          <w:sz w:val="22"/>
          <w:szCs w:val="22"/>
        </w:rPr>
        <w:t>₹</w:t>
      </w:r>
      <w:r w:rsidRPr="00D33F7C">
        <w:rPr>
          <w:rFonts w:ascii="Palatino Linotype" w:eastAsia="Tahoma" w:hAnsi="Palatino Linotype"/>
          <w:sz w:val="22"/>
          <w:szCs w:val="22"/>
        </w:rPr>
        <w:t xml:space="preserve">110.4 crore compared to </w:t>
      </w:r>
      <w:r w:rsidRPr="00D33F7C">
        <w:rPr>
          <w:rFonts w:ascii="Tahoma" w:eastAsia="Tahoma" w:hAnsi="Tahoma" w:cs="Tahoma"/>
          <w:sz w:val="22"/>
          <w:szCs w:val="22"/>
        </w:rPr>
        <w:t>₹</w:t>
      </w:r>
      <w:r w:rsidRPr="00D33F7C">
        <w:rPr>
          <w:rFonts w:ascii="Palatino Linotype" w:eastAsia="Tahoma" w:hAnsi="Palatino Linotype"/>
          <w:sz w:val="22"/>
          <w:szCs w:val="22"/>
        </w:rPr>
        <w:t>65.2 crore as at the end of May 2021.</w:t>
      </w:r>
    </w:p>
    <w:p w14:paraId="7432C238"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14:paraId="5A51C778" w14:textId="77777777" w:rsidR="00D33F7C" w:rsidRPr="00D33F7C" w:rsidRDefault="00D33F7C" w:rsidP="00D33F7C">
      <w:pPr>
        <w:tabs>
          <w:tab w:val="left" w:pos="3135"/>
        </w:tabs>
        <w:spacing w:line="276" w:lineRule="auto"/>
        <w:rPr>
          <w:rFonts w:ascii="Palatino Linotype" w:eastAsia="Palatino Linotype" w:hAnsi="Palatino Linotype" w:cs="Palatino Linotype"/>
          <w:b/>
          <w:sz w:val="22"/>
          <w:szCs w:val="22"/>
          <w:u w:val="single"/>
        </w:rPr>
      </w:pPr>
      <w:r w:rsidRPr="00D33F7C">
        <w:rPr>
          <w:rFonts w:ascii="Palatino Linotype" w:eastAsia="Palatino Linotype" w:hAnsi="Palatino Linotype" w:cs="Palatino Linotype"/>
          <w:b/>
          <w:sz w:val="22"/>
          <w:szCs w:val="22"/>
          <w:u w:val="single"/>
        </w:rPr>
        <w:t xml:space="preserve">NSE </w:t>
      </w:r>
    </w:p>
    <w:p w14:paraId="0E5E1A71"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D33F7C">
        <w:rPr>
          <w:rFonts w:ascii="Palatino Linotype" w:eastAsia="Palatino Linotype" w:hAnsi="Palatino Linotype" w:cs="Palatino Linotype"/>
          <w:sz w:val="22"/>
          <w:szCs w:val="22"/>
        </w:rPr>
        <w:t xml:space="preserve">The monthly notional turnover in the equity derivatives segment at NSE increased by 17 per cent to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1013 lakh crore in June 2021 from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866.5 lakh crore in May 2021. </w:t>
      </w:r>
    </w:p>
    <w:p w14:paraId="4B291E57"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D33F7C">
        <w:rPr>
          <w:rFonts w:ascii="Palatino Linotype" w:eastAsia="Palatino Linotype" w:hAnsi="Palatino Linotype" w:cs="Palatino Linotype"/>
          <w:sz w:val="22"/>
          <w:szCs w:val="22"/>
        </w:rPr>
        <w:t xml:space="preserve">During the above period, </w:t>
      </w:r>
    </w:p>
    <w:p w14:paraId="037DDFC7" w14:textId="77777777" w:rsidR="00D33F7C" w:rsidRPr="00D33F7C" w:rsidRDefault="00D33F7C" w:rsidP="00D33F7C">
      <w:pPr>
        <w:pBdr>
          <w:top w:val="nil"/>
          <w:left w:val="nil"/>
          <w:bottom w:val="nil"/>
          <w:right w:val="nil"/>
          <w:between w:val="nil"/>
        </w:pBdr>
        <w:spacing w:line="276" w:lineRule="auto"/>
        <w:ind w:left="709"/>
        <w:jc w:val="both"/>
        <w:rPr>
          <w:rFonts w:ascii="Palatino Linotype" w:eastAsia="Tahoma" w:hAnsi="Palatino Linotype"/>
          <w:sz w:val="22"/>
          <w:szCs w:val="22"/>
        </w:rPr>
      </w:pPr>
      <w:r w:rsidRPr="00D33F7C">
        <w:rPr>
          <w:rFonts w:ascii="Palatino Linotype" w:eastAsia="Tahoma" w:hAnsi="Palatino Linotype"/>
          <w:sz w:val="22"/>
          <w:szCs w:val="22"/>
        </w:rPr>
        <w:t xml:space="preserve">(i) the notional turnover of index options increased by 17.3 per cent to </w:t>
      </w:r>
      <w:r w:rsidRPr="00D33F7C">
        <w:rPr>
          <w:rFonts w:ascii="Times New Roman" w:eastAsia="Tahoma" w:hAnsi="Times New Roman"/>
          <w:sz w:val="22"/>
          <w:szCs w:val="22"/>
        </w:rPr>
        <w:t>₹</w:t>
      </w:r>
      <w:r w:rsidRPr="00D33F7C">
        <w:rPr>
          <w:rFonts w:ascii="Palatino Linotype" w:eastAsia="Tahoma" w:hAnsi="Palatino Linotype"/>
          <w:sz w:val="22"/>
          <w:szCs w:val="22"/>
        </w:rPr>
        <w:t xml:space="preserve">945.8 lakh crore, and accounted for 93.3 per cent of the total equity derivatives turnover of NSE; </w:t>
      </w:r>
    </w:p>
    <w:p w14:paraId="0EFE858D" w14:textId="77777777" w:rsidR="00D33F7C" w:rsidRPr="00D33F7C" w:rsidRDefault="00D33F7C" w:rsidP="00D33F7C">
      <w:pPr>
        <w:pBdr>
          <w:top w:val="nil"/>
          <w:left w:val="nil"/>
          <w:bottom w:val="nil"/>
          <w:right w:val="nil"/>
          <w:between w:val="nil"/>
        </w:pBdr>
        <w:spacing w:line="276" w:lineRule="auto"/>
        <w:ind w:left="709"/>
        <w:jc w:val="both"/>
        <w:rPr>
          <w:rFonts w:ascii="Palatino Linotype" w:eastAsia="Tahoma" w:hAnsi="Palatino Linotype"/>
          <w:sz w:val="22"/>
          <w:szCs w:val="22"/>
        </w:rPr>
      </w:pPr>
      <w:r w:rsidRPr="00D33F7C">
        <w:rPr>
          <w:rFonts w:ascii="Palatino Linotype" w:eastAsia="Tahoma" w:hAnsi="Palatino Linotype"/>
          <w:sz w:val="22"/>
          <w:szCs w:val="22"/>
        </w:rPr>
        <w:t xml:space="preserve">(ii) the notional turnover of stock options increased by 22.6 per cent to </w:t>
      </w:r>
      <w:r w:rsidRPr="00D33F7C">
        <w:rPr>
          <w:rFonts w:ascii="Times New Roman" w:eastAsia="Tahoma" w:hAnsi="Times New Roman"/>
          <w:sz w:val="22"/>
          <w:szCs w:val="22"/>
        </w:rPr>
        <w:t>₹</w:t>
      </w:r>
      <w:r w:rsidRPr="00D33F7C">
        <w:rPr>
          <w:rFonts w:ascii="Palatino Linotype" w:eastAsia="Tahoma" w:hAnsi="Palatino Linotype"/>
          <w:sz w:val="22"/>
          <w:szCs w:val="22"/>
        </w:rPr>
        <w:t xml:space="preserve">44.7 lakh crore; </w:t>
      </w:r>
    </w:p>
    <w:p w14:paraId="555624CC" w14:textId="77777777" w:rsidR="00D33F7C" w:rsidRPr="00D33F7C" w:rsidRDefault="00D33F7C" w:rsidP="00D33F7C">
      <w:pPr>
        <w:pBdr>
          <w:top w:val="nil"/>
          <w:left w:val="nil"/>
          <w:bottom w:val="nil"/>
          <w:right w:val="nil"/>
          <w:between w:val="nil"/>
        </w:pBdr>
        <w:spacing w:line="276" w:lineRule="auto"/>
        <w:ind w:left="709"/>
        <w:jc w:val="both"/>
        <w:rPr>
          <w:rFonts w:ascii="Palatino Linotype" w:eastAsia="Tahoma" w:hAnsi="Palatino Linotype"/>
          <w:sz w:val="22"/>
          <w:szCs w:val="22"/>
        </w:rPr>
      </w:pPr>
      <w:r w:rsidRPr="00D33F7C">
        <w:rPr>
          <w:rFonts w:ascii="Palatino Linotype" w:eastAsia="Tahoma" w:hAnsi="Palatino Linotype"/>
          <w:sz w:val="22"/>
          <w:szCs w:val="22"/>
        </w:rPr>
        <w:t xml:space="preserve">(iii) the notional turnover of index futures decreased by 6.7 per cent to </w:t>
      </w:r>
      <w:r w:rsidRPr="00D33F7C">
        <w:rPr>
          <w:rFonts w:ascii="Times New Roman" w:eastAsia="Tahoma" w:hAnsi="Times New Roman"/>
          <w:sz w:val="22"/>
          <w:szCs w:val="22"/>
        </w:rPr>
        <w:t>₹</w:t>
      </w:r>
      <w:r w:rsidRPr="00D33F7C">
        <w:rPr>
          <w:rFonts w:ascii="Palatino Linotype" w:eastAsia="Tahoma" w:hAnsi="Palatino Linotype"/>
          <w:sz w:val="22"/>
          <w:szCs w:val="22"/>
        </w:rPr>
        <w:t xml:space="preserve">5.7 lakh crore; and </w:t>
      </w:r>
    </w:p>
    <w:p w14:paraId="64CE9740" w14:textId="77777777" w:rsidR="00D33F7C" w:rsidRPr="00D33F7C" w:rsidRDefault="00D33F7C" w:rsidP="00D33F7C">
      <w:pPr>
        <w:pBdr>
          <w:top w:val="nil"/>
          <w:left w:val="nil"/>
          <w:bottom w:val="nil"/>
          <w:right w:val="nil"/>
          <w:between w:val="nil"/>
        </w:pBdr>
        <w:spacing w:line="276" w:lineRule="auto"/>
        <w:ind w:left="709"/>
        <w:jc w:val="both"/>
        <w:rPr>
          <w:rFonts w:ascii="Palatino Linotype" w:eastAsia="Tahoma" w:hAnsi="Palatino Linotype"/>
          <w:sz w:val="22"/>
          <w:szCs w:val="22"/>
        </w:rPr>
      </w:pPr>
      <w:r w:rsidRPr="00D33F7C">
        <w:rPr>
          <w:rFonts w:ascii="Palatino Linotype" w:eastAsia="Tahoma" w:hAnsi="Palatino Linotype"/>
          <w:sz w:val="22"/>
          <w:szCs w:val="22"/>
        </w:rPr>
        <w:t xml:space="preserve">(iv) the notional turnover of stock futures increased by 1.9 per cent to </w:t>
      </w:r>
      <w:r w:rsidRPr="00D33F7C">
        <w:rPr>
          <w:rFonts w:ascii="Times New Roman" w:eastAsia="Tahoma" w:hAnsi="Times New Roman"/>
          <w:sz w:val="22"/>
          <w:szCs w:val="22"/>
        </w:rPr>
        <w:t>₹</w:t>
      </w:r>
      <w:r w:rsidRPr="00D33F7C">
        <w:rPr>
          <w:rFonts w:ascii="Palatino Linotype" w:eastAsia="Tahoma" w:hAnsi="Palatino Linotype"/>
          <w:sz w:val="22"/>
          <w:szCs w:val="22"/>
        </w:rPr>
        <w:t xml:space="preserve">17.7 lakh crore </w:t>
      </w:r>
    </w:p>
    <w:p w14:paraId="648D56BA"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As at end of June 2021, the open interest in terms of value at NSE stood at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7,02,714 crore compared to </w:t>
      </w:r>
      <w:r w:rsidRPr="00D33F7C">
        <w:rPr>
          <w:rFonts w:ascii="Tahoma" w:eastAsia="Palatino Linotype" w:hAnsi="Tahoma" w:cs="Tahoma"/>
          <w:sz w:val="22"/>
          <w:szCs w:val="22"/>
        </w:rPr>
        <w:t>₹</w:t>
      </w:r>
      <w:r w:rsidRPr="00D33F7C">
        <w:rPr>
          <w:rFonts w:ascii="Palatino Linotype" w:eastAsia="Palatino Linotype" w:hAnsi="Palatino Linotype" w:cs="Palatino Linotype"/>
          <w:sz w:val="22"/>
          <w:szCs w:val="22"/>
        </w:rPr>
        <w:t>6,10,233 crore in May 2021.</w:t>
      </w:r>
    </w:p>
    <w:p w14:paraId="1D450DAA" w14:textId="77777777" w:rsidR="00D33F7C" w:rsidRPr="00D33F7C" w:rsidRDefault="00D33F7C" w:rsidP="00D33F7C">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14:paraId="7D2A0267" w14:textId="77777777" w:rsidR="00D33F7C" w:rsidRPr="00D33F7C" w:rsidRDefault="00D33F7C" w:rsidP="00D33F7C">
      <w:pPr>
        <w:pBdr>
          <w:top w:val="nil"/>
          <w:left w:val="nil"/>
          <w:bottom w:val="nil"/>
          <w:right w:val="nil"/>
          <w:between w:val="nil"/>
        </w:pBd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 xml:space="preserve">     Figure 6: Trends of Average Daily Notional Turnover at BSE and NSE (</w:t>
      </w:r>
      <w:r w:rsidRPr="00D33F7C">
        <w:rPr>
          <w:rFonts w:ascii="Arial" w:eastAsia="Palatino Linotype" w:hAnsi="Arial" w:cs="Arial"/>
          <w:b/>
          <w:sz w:val="20"/>
          <w:szCs w:val="22"/>
        </w:rPr>
        <w:t>₹</w:t>
      </w:r>
      <w:r w:rsidRPr="00D33F7C">
        <w:rPr>
          <w:rFonts w:ascii="Palatino Linotype" w:eastAsia="Palatino Linotype" w:hAnsi="Palatino Linotype" w:cs="Palatino Linotype"/>
          <w:b/>
          <w:sz w:val="22"/>
          <w:szCs w:val="22"/>
        </w:rPr>
        <w:t xml:space="preserve"> crore)</w:t>
      </w:r>
    </w:p>
    <w:p w14:paraId="4FAB2CD7" w14:textId="77777777" w:rsidR="00D33F7C" w:rsidRPr="00D33F7C" w:rsidRDefault="00D33F7C" w:rsidP="00D33F7C">
      <w:pPr>
        <w:pBdr>
          <w:top w:val="nil"/>
          <w:left w:val="nil"/>
          <w:bottom w:val="nil"/>
          <w:right w:val="nil"/>
          <w:between w:val="nil"/>
        </w:pBdr>
        <w:jc w:val="center"/>
        <w:rPr>
          <w:rFonts w:ascii="Palatino Linotype" w:eastAsia="Palatino Linotype" w:hAnsi="Palatino Linotype" w:cs="Palatino Linotype"/>
          <w:b/>
          <w:color w:val="2E74B5"/>
          <w:sz w:val="22"/>
          <w:szCs w:val="22"/>
        </w:rPr>
      </w:pPr>
      <w:r w:rsidRPr="00D33F7C">
        <w:rPr>
          <w:noProof/>
          <w:lang w:val="en-IN" w:eastAsia="en-IN" w:bidi="hi-IN"/>
        </w:rPr>
        <w:drawing>
          <wp:inline distT="0" distB="0" distL="0" distR="0" wp14:anchorId="597A18DE" wp14:editId="3C18E34D">
            <wp:extent cx="5305425" cy="2943225"/>
            <wp:effectExtent l="0" t="0" r="9525" b="9525"/>
            <wp:docPr id="22" name="Chart 22">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D33F7C">
        <w:rPr>
          <w:rFonts w:ascii="Palatino Linotype" w:eastAsia="Palatino Linotype" w:hAnsi="Palatino Linotype" w:cs="Palatino Linotype"/>
          <w:b/>
          <w:color w:val="2E74B5"/>
          <w:sz w:val="22"/>
          <w:szCs w:val="22"/>
        </w:rPr>
        <w:t>m</w:t>
      </w:r>
    </w:p>
    <w:p w14:paraId="74E42505"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Note: ADNT implies Average Daily Notional Turnover</w:t>
      </w:r>
    </w:p>
    <w:p w14:paraId="6F6D26C0"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BSE and NSE</w:t>
      </w:r>
    </w:p>
    <w:p w14:paraId="4974905B" w14:textId="77777777" w:rsidR="00D33F7C" w:rsidRPr="00D33F7C" w:rsidRDefault="00D33F7C" w:rsidP="00D33F7C">
      <w:pPr>
        <w:pBdr>
          <w:top w:val="nil"/>
          <w:left w:val="nil"/>
          <w:bottom w:val="nil"/>
          <w:right w:val="nil"/>
          <w:between w:val="nil"/>
        </w:pBdr>
        <w:jc w:val="center"/>
        <w:rPr>
          <w:rFonts w:ascii="Palatino Linotype" w:eastAsia="Palatino Linotype" w:hAnsi="Palatino Linotype" w:cs="Palatino Linotype"/>
          <w:b/>
          <w:color w:val="2E74B5"/>
          <w:sz w:val="22"/>
          <w:szCs w:val="22"/>
        </w:rPr>
      </w:pPr>
    </w:p>
    <w:p w14:paraId="17D2CF99" w14:textId="77777777" w:rsidR="00D33F7C" w:rsidRPr="00D33F7C" w:rsidRDefault="00D33F7C" w:rsidP="00D33F7C">
      <w:pPr>
        <w:pBdr>
          <w:top w:val="nil"/>
          <w:left w:val="nil"/>
          <w:bottom w:val="nil"/>
          <w:right w:val="nil"/>
          <w:between w:val="nil"/>
        </w:pBdr>
        <w:jc w:val="center"/>
        <w:rPr>
          <w:rFonts w:ascii="Palatino Linotype" w:eastAsia="Palatino Linotype" w:hAnsi="Palatino Linotype" w:cs="Palatino Linotype"/>
          <w:b/>
          <w:color w:val="2E74B5"/>
          <w:sz w:val="22"/>
          <w:szCs w:val="22"/>
        </w:rPr>
      </w:pPr>
    </w:p>
    <w:p w14:paraId="0D72E093" w14:textId="185208E3"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sz w:val="22"/>
          <w:szCs w:val="22"/>
        </w:rPr>
        <w:t xml:space="preserve">During June 2021, the share of weekly options (BSE and NSE together) to the total index options notional turnover (BSE and NSE together) stood at 75.0 per cent compared to 73.5 per cent in May 2021. The share of monthly options for both the exchanges to total index options notional turnover decreased to 24.6 per cent in June 2021 from 26.0 per cent in May 2021.  </w:t>
      </w:r>
    </w:p>
    <w:p w14:paraId="0B1E1F87" w14:textId="77777777" w:rsidR="00D33F7C" w:rsidRP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14:paraId="1DAC3365" w14:textId="77777777" w:rsidR="00D33F7C" w:rsidRP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14:paraId="723C69C1" w14:textId="77777777" w:rsidR="00D33F7C" w:rsidRP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14:paraId="12B1F692" w14:textId="77777777" w:rsidR="00D33F7C" w:rsidRPr="00D33F7C" w:rsidRDefault="00D33F7C" w:rsidP="00D33F7C">
      <w:pPr>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lastRenderedPageBreak/>
        <w:t>Figure 7: Maturity-wise percentage Share of Total Index Options Turnover (per cent)</w:t>
      </w:r>
    </w:p>
    <w:p w14:paraId="504CF06B" w14:textId="77777777" w:rsidR="00D33F7C" w:rsidRPr="00D33F7C" w:rsidRDefault="00D33F7C" w:rsidP="00D33F7C">
      <w:pPr>
        <w:spacing w:line="276" w:lineRule="auto"/>
        <w:jc w:val="center"/>
        <w:rPr>
          <w:rFonts w:ascii="Palatino Linotype" w:eastAsia="Palatino Linotype" w:hAnsi="Palatino Linotype" w:cs="Palatino Linotype"/>
          <w:b/>
          <w:sz w:val="22"/>
          <w:szCs w:val="22"/>
          <w:highlight w:val="yellow"/>
        </w:rPr>
      </w:pPr>
      <w:r w:rsidRPr="00D33F7C">
        <w:rPr>
          <w:noProof/>
          <w:lang w:val="en-IN" w:eastAsia="en-IN" w:bidi="hi-IN"/>
        </w:rPr>
        <w:drawing>
          <wp:inline distT="0" distB="0" distL="0" distR="0" wp14:anchorId="21D4D4F8" wp14:editId="7CFAF952">
            <wp:extent cx="5286375" cy="2743200"/>
            <wp:effectExtent l="0" t="0" r="9525" b="0"/>
            <wp:docPr id="23" name="Chart 23">
              <a:extLst xmlns:a="http://schemas.openxmlformats.org/drawingml/2006/main">
                <a:ext uri="{FF2B5EF4-FFF2-40B4-BE49-F238E27FC236}">
                  <a16:creationId xmlns:a16="http://schemas.microsoft.com/office/drawing/2014/main" id="{00000000-0008-0000-0F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2B0073F"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BSE and NSE</w:t>
      </w:r>
    </w:p>
    <w:p w14:paraId="2612D594" w14:textId="77777777" w:rsidR="00D33F7C" w:rsidRPr="00D33F7C" w:rsidRDefault="00D33F7C" w:rsidP="00D33F7C">
      <w:pPr>
        <w:spacing w:line="276" w:lineRule="auto"/>
        <w:rPr>
          <w:rFonts w:ascii="Palatino Linotype" w:eastAsia="Palatino Linotype" w:hAnsi="Palatino Linotype" w:cs="Palatino Linotype"/>
          <w:b/>
          <w:sz w:val="18"/>
          <w:szCs w:val="18"/>
        </w:rPr>
      </w:pPr>
    </w:p>
    <w:p w14:paraId="3B985280" w14:textId="77777777" w:rsidR="00D33F7C" w:rsidRPr="00D33F7C" w:rsidRDefault="00D33F7C" w:rsidP="00D33F7C">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 xml:space="preserve">Currency Derivatives </w:t>
      </w:r>
    </w:p>
    <w:p w14:paraId="5DA1DA21"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June 2021, the monthly notional turnover of currency derivatives in India (NSE, BSE and MSEI together) stood at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18,96,424 crore as compared to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15,35,931 crore in May 2021, registering an increase of 23.5 per cent.</w:t>
      </w:r>
    </w:p>
    <w:p w14:paraId="253A17D4" w14:textId="77777777" w:rsidR="00D33F7C" w:rsidRPr="00D33F7C" w:rsidRDefault="00D33F7C" w:rsidP="00D33F7C">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14:paraId="40B0F2D0" w14:textId="77777777" w:rsidR="00D33F7C" w:rsidRPr="00D33F7C" w:rsidRDefault="00D33F7C" w:rsidP="00D33F7C">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Figure 8: Trends of Currency Derivatives at NSE, MSEI and BSE (</w:t>
      </w:r>
      <w:r w:rsidRPr="00D33F7C">
        <w:rPr>
          <w:rFonts w:ascii="Arial" w:eastAsia="Palatino Linotype" w:hAnsi="Arial" w:cs="Arial"/>
          <w:b/>
          <w:sz w:val="20"/>
          <w:szCs w:val="22"/>
        </w:rPr>
        <w:t>₹</w:t>
      </w:r>
      <w:r w:rsidRPr="00D33F7C">
        <w:rPr>
          <w:rFonts w:ascii="Palatino Linotype" w:eastAsia="Palatino Linotype" w:hAnsi="Palatino Linotype" w:cs="Palatino Linotype"/>
          <w:b/>
          <w:sz w:val="22"/>
          <w:szCs w:val="22"/>
        </w:rPr>
        <w:t xml:space="preserve"> crore)</w:t>
      </w:r>
    </w:p>
    <w:p w14:paraId="5F5FE463" w14:textId="77777777" w:rsidR="00D33F7C" w:rsidRPr="00D33F7C" w:rsidRDefault="00D33F7C" w:rsidP="00D33F7C">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D33F7C">
        <w:rPr>
          <w:noProof/>
          <w:lang w:val="en-IN" w:eastAsia="en-IN" w:bidi="hi-IN"/>
        </w:rPr>
        <w:drawing>
          <wp:inline distT="0" distB="0" distL="0" distR="0" wp14:anchorId="433BA6B7" wp14:editId="627791EC">
            <wp:extent cx="5286375" cy="2747963"/>
            <wp:effectExtent l="0" t="0" r="9525" b="14605"/>
            <wp:docPr id="24" name="Chart 24">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CC98719" w14:textId="77777777" w:rsidR="00D33F7C" w:rsidRPr="00D33F7C" w:rsidRDefault="00D33F7C" w:rsidP="00D33F7C">
      <w:pPr>
        <w:spacing w:line="276" w:lineRule="auto"/>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BSE, NSE and MSEI </w:t>
      </w:r>
    </w:p>
    <w:p w14:paraId="5A50C1D1" w14:textId="77777777" w:rsidR="00D33F7C" w:rsidRPr="00D33F7C" w:rsidRDefault="00D33F7C" w:rsidP="00D33F7C">
      <w:pPr>
        <w:spacing w:line="276" w:lineRule="auto"/>
        <w:rPr>
          <w:rFonts w:ascii="Palatino Linotype" w:eastAsia="Palatino Linotype" w:hAnsi="Palatino Linotype" w:cs="Palatino Linotype"/>
          <w:b/>
          <w:sz w:val="18"/>
          <w:szCs w:val="18"/>
        </w:rPr>
      </w:pPr>
    </w:p>
    <w:p w14:paraId="672852F4" w14:textId="77777777" w:rsidR="00D33F7C" w:rsidRPr="00D33F7C" w:rsidRDefault="00D33F7C" w:rsidP="00D33F7C">
      <w:pPr>
        <w:spacing w:line="276" w:lineRule="auto"/>
        <w:rPr>
          <w:rFonts w:ascii="Palatino Linotype" w:eastAsia="Palatino Linotype" w:hAnsi="Palatino Linotype" w:cs="Palatino Linotype"/>
          <w:b/>
          <w:sz w:val="18"/>
          <w:szCs w:val="18"/>
        </w:rPr>
      </w:pPr>
    </w:p>
    <w:p w14:paraId="1103474A" w14:textId="77777777" w:rsidR="00D33F7C" w:rsidRPr="00D33F7C" w:rsidRDefault="00D33F7C" w:rsidP="00D33F7C">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 xml:space="preserve">Interest Rate Derivatives </w:t>
      </w:r>
    </w:p>
    <w:p w14:paraId="45D2A3E5"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June 2021, the monthly notional turnover of interest rate derivatives at NSE decreased by 30.1 per cent to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1,966 crore from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2,811 crore during May 2021. </w:t>
      </w:r>
    </w:p>
    <w:p w14:paraId="3CE66301"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The monthly notional turnover of interest rate futures at BSE increased by 37.3 percent to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3,124 crore from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2,276 </w:t>
      </w:r>
      <w:r w:rsidRPr="00D33F7C">
        <w:rPr>
          <w:rFonts w:ascii="Times New Roman" w:eastAsia="Palatino Linotype" w:hAnsi="Times New Roman"/>
          <w:sz w:val="22"/>
          <w:szCs w:val="22"/>
        </w:rPr>
        <w:t xml:space="preserve">crore </w:t>
      </w:r>
      <w:r w:rsidRPr="00D33F7C">
        <w:rPr>
          <w:rFonts w:ascii="Palatino Linotype" w:eastAsia="Palatino Linotype" w:hAnsi="Palatino Linotype" w:cs="Palatino Linotype"/>
          <w:sz w:val="22"/>
          <w:szCs w:val="22"/>
        </w:rPr>
        <w:t xml:space="preserve">during the same period. </w:t>
      </w:r>
    </w:p>
    <w:p w14:paraId="6D70FCE5" w14:textId="77777777" w:rsidR="00D33F7C" w:rsidRPr="00D33F7C" w:rsidRDefault="00D33F7C" w:rsidP="00D33F7C">
      <w:pPr>
        <w:rPr>
          <w:rFonts w:ascii="Palatino Linotype" w:eastAsia="Palatino Linotype" w:hAnsi="Palatino Linotype" w:cs="Palatino Linotype"/>
          <w:b/>
          <w:color w:val="2E74B5"/>
          <w:sz w:val="22"/>
          <w:szCs w:val="22"/>
          <w:highlight w:val="yellow"/>
        </w:rPr>
      </w:pPr>
    </w:p>
    <w:p w14:paraId="22A2CDBC" w14:textId="77777777" w:rsidR="00D33F7C" w:rsidRPr="00D33F7C" w:rsidRDefault="00D33F7C" w:rsidP="00D33F7C">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lastRenderedPageBreak/>
        <w:t>Figure 9: Trends of Interest Rate Futures at NSE and BSE</w:t>
      </w:r>
    </w:p>
    <w:p w14:paraId="5ABB788A" w14:textId="77777777" w:rsidR="00D33F7C" w:rsidRPr="00D33F7C" w:rsidRDefault="00D33F7C" w:rsidP="00D33F7C">
      <w:pPr>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w:t>
      </w:r>
      <w:r w:rsidRPr="00D33F7C">
        <w:rPr>
          <w:noProof/>
          <w:lang w:val="en-IN" w:eastAsia="en-IN" w:bidi="hi-IN"/>
        </w:rPr>
        <w:drawing>
          <wp:inline distT="0" distB="0" distL="0" distR="0" wp14:anchorId="2025E39A" wp14:editId="68994EC1">
            <wp:extent cx="5219700" cy="2557463"/>
            <wp:effectExtent l="0" t="0" r="0" b="14605"/>
            <wp:docPr id="25" name="Chart 25">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50C3EC4" w14:textId="77777777" w:rsidR="00D33F7C" w:rsidRPr="00D33F7C" w:rsidRDefault="00D33F7C" w:rsidP="00D33F7C">
      <w:pPr>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BSE and NSE </w:t>
      </w:r>
    </w:p>
    <w:p w14:paraId="21D0CFFA" w14:textId="77777777" w:rsidR="00D33F7C" w:rsidRPr="00D33F7C" w:rsidRDefault="00D33F7C" w:rsidP="00D33F7C">
      <w:pPr>
        <w:rPr>
          <w:rFonts w:ascii="Palatino Linotype" w:eastAsia="Palatino Linotype" w:hAnsi="Palatino Linotype" w:cs="Palatino Linotype"/>
          <w:b/>
          <w:sz w:val="18"/>
          <w:szCs w:val="18"/>
        </w:rPr>
      </w:pPr>
    </w:p>
    <w:p w14:paraId="62C77D70" w14:textId="77777777" w:rsidR="00D33F7C" w:rsidRPr="00D33F7C" w:rsidRDefault="00D33F7C" w:rsidP="00D33F7C">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Trading in Corporate Debt Market</w:t>
      </w:r>
    </w:p>
    <w:p w14:paraId="1A2426CE"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June 2021, BSE registered 8,007 trades of corporate debt with traded value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61,391 crore, as compared to 6,259 trades with traded value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54,136 crore in the previous month.  </w:t>
      </w:r>
    </w:p>
    <w:p w14:paraId="77F15CA3"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At NSE, 5,665 trades were recorded with a traded value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91,924 crore in June 2021 as compared to 4,925 trades were recorded with a traded value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79,924 crore in May 2021. </w:t>
      </w:r>
    </w:p>
    <w:p w14:paraId="017BD513" w14:textId="77777777" w:rsidR="00D33F7C" w:rsidRPr="00D33F7C" w:rsidRDefault="00D33F7C" w:rsidP="00D33F7C">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14:paraId="06A9F71F"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Figure 10: Trends in Reported Turnover of Corporate Bonds (</w:t>
      </w:r>
      <w:r w:rsidRPr="00D33F7C">
        <w:rPr>
          <w:rFonts w:ascii="Arial" w:eastAsia="Palatino Linotype" w:hAnsi="Arial" w:cs="Arial"/>
          <w:b/>
          <w:sz w:val="20"/>
          <w:szCs w:val="22"/>
        </w:rPr>
        <w:t>₹</w:t>
      </w:r>
      <w:r w:rsidRPr="00D33F7C">
        <w:rPr>
          <w:rFonts w:ascii="Palatino Linotype" w:eastAsia="Palatino Linotype" w:hAnsi="Palatino Linotype" w:cs="Palatino Linotype"/>
          <w:b/>
          <w:sz w:val="22"/>
          <w:szCs w:val="22"/>
        </w:rPr>
        <w:t xml:space="preserve"> crore)</w:t>
      </w:r>
    </w:p>
    <w:p w14:paraId="417A2319"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sidRPr="00D33F7C">
        <w:rPr>
          <w:noProof/>
          <w:lang w:val="en-IN" w:eastAsia="en-IN" w:bidi="hi-IN"/>
        </w:rPr>
        <w:drawing>
          <wp:inline distT="0" distB="0" distL="0" distR="0" wp14:anchorId="5C6F2AB6" wp14:editId="2FC677D6">
            <wp:extent cx="4572000" cy="2743200"/>
            <wp:effectExtent l="0" t="0" r="0" b="0"/>
            <wp:docPr id="32" name="Chart 32">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5A15C52" w14:textId="77777777" w:rsidR="00D33F7C" w:rsidRPr="00D33F7C" w:rsidRDefault="00D33F7C" w:rsidP="00D33F7C">
      <w:pPr>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BSE and NSE </w:t>
      </w:r>
    </w:p>
    <w:p w14:paraId="1A5F6F09"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14:paraId="5A337D6A" w14:textId="77777777" w:rsidR="00D33F7C" w:rsidRPr="00D33F7C" w:rsidRDefault="00D33F7C" w:rsidP="00D33F7C">
      <w:pPr>
        <w:widowControl w:val="0"/>
        <w:spacing w:line="276" w:lineRule="auto"/>
        <w:ind w:left="720"/>
        <w:contextualSpacing/>
        <w:jc w:val="both"/>
        <w:rPr>
          <w:rFonts w:ascii="Palatino Linotype" w:hAnsi="Palatino Linotype"/>
          <w:b/>
          <w:color w:val="2E74B5"/>
          <w:sz w:val="22"/>
          <w:szCs w:val="22"/>
        </w:rPr>
      </w:pPr>
    </w:p>
    <w:p w14:paraId="045F40D9" w14:textId="77777777" w:rsidR="00D33F7C" w:rsidRPr="00D33F7C" w:rsidRDefault="00D33F7C" w:rsidP="00D33F7C">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Trends in Institutional Investments</w:t>
      </w:r>
    </w:p>
    <w:p w14:paraId="5547898A" w14:textId="77777777" w:rsidR="00D33F7C" w:rsidRPr="00D33F7C" w:rsidRDefault="00D33F7C" w:rsidP="00D33F7C">
      <w:pPr>
        <w:widowControl w:val="0"/>
        <w:spacing w:line="276" w:lineRule="auto"/>
        <w:ind w:left="720"/>
        <w:jc w:val="both"/>
        <w:rPr>
          <w:rFonts w:ascii="Palatino Linotype" w:eastAsia="Palatino Linotype" w:hAnsi="Palatino Linotype" w:cs="Palatino Linotype"/>
          <w:b/>
          <w:sz w:val="22"/>
          <w:szCs w:val="22"/>
          <w:highlight w:val="yellow"/>
        </w:rPr>
      </w:pPr>
    </w:p>
    <w:p w14:paraId="347462A1" w14:textId="77777777" w:rsidR="00D33F7C" w:rsidRPr="00D33F7C" w:rsidRDefault="00D33F7C" w:rsidP="00D33F7C">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Trends in Fund Mobilisation/Transactions by Mutual Funds</w:t>
      </w:r>
    </w:p>
    <w:p w14:paraId="6FF878C0"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Times New Roman" w:hAnsi="Palatino Linotype" w:cs="Tahoma"/>
          <w:color w:val="000000" w:themeColor="text1"/>
          <w:sz w:val="22"/>
          <w:szCs w:val="22"/>
          <w:lang w:val="en-IN" w:eastAsia="en-IN"/>
        </w:rPr>
        <w:t> </w:t>
      </w:r>
      <w:r w:rsidRPr="00D33F7C">
        <w:rPr>
          <w:rFonts w:ascii="Palatino Linotype" w:eastAsia="Times New Roman" w:hAnsi="Palatino Linotype" w:cs="Tahoma"/>
          <w:color w:val="000000" w:themeColor="text1"/>
          <w:sz w:val="22"/>
          <w:szCs w:val="22"/>
          <w:lang w:eastAsia="en-IN"/>
        </w:rPr>
        <w:t xml:space="preserve">As at </w:t>
      </w:r>
      <w:r w:rsidRPr="00D33F7C">
        <w:rPr>
          <w:rFonts w:ascii="Palatino Linotype" w:eastAsia="Palatino Linotype" w:hAnsi="Palatino Linotype" w:cs="Palatino Linotype"/>
          <w:color w:val="000000" w:themeColor="text1"/>
          <w:sz w:val="22"/>
          <w:szCs w:val="22"/>
        </w:rPr>
        <w:t>end of June 2021, there were a total of 1,554 mutual fund schemes in the market, of which 1032 were open-ended schemes, 501 were close-ended schemes and 21 were interval schemes</w:t>
      </w:r>
      <w:r w:rsidRPr="00D33F7C">
        <w:rPr>
          <w:rFonts w:ascii="Palatino Linotype" w:eastAsia="Palatino Linotype" w:hAnsi="Palatino Linotype" w:cs="Palatino Linotype"/>
          <w:sz w:val="22"/>
          <w:szCs w:val="22"/>
        </w:rPr>
        <w:t xml:space="preserve">. </w:t>
      </w:r>
    </w:p>
    <w:p w14:paraId="2A3D5BC8"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lastRenderedPageBreak/>
        <w:t xml:space="preserve">The mutual fund industry saw a net inflow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15,320 crore during June 2021, against a net outflow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38,602 crore during May 2021.</w:t>
      </w:r>
    </w:p>
    <w:p w14:paraId="0EF6CF37" w14:textId="1E2B9E98"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33F7C">
        <w:rPr>
          <w:rFonts w:ascii="Palatino Linotype" w:eastAsia="Palatino Linotype" w:hAnsi="Palatino Linotype" w:cs="Palatino Linotype"/>
          <w:color w:val="000000" w:themeColor="text1"/>
          <w:sz w:val="22"/>
          <w:szCs w:val="22"/>
        </w:rPr>
        <w:t xml:space="preserve">The funds mobilised by open-ended schemes during June 2021 was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7,05,374 crore against redemption/repurchase of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6,77,511 crore, resulting in a net inflow of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27,863 crore from open-ended schemes. Of the total funds mobilised by the open-ended schemes,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6,42,684 crore was mobilised through income/debt oriented schemes,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26,911 crore through growth/equity oriented schemes,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23,887 crore through hybrid schemes,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289 crore through solution oriented schemes and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11,603 crore through other schemes. </w:t>
      </w:r>
    </w:p>
    <w:p w14:paraId="2D78365E" w14:textId="0A6FF48E"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33F7C">
        <w:rPr>
          <w:rFonts w:ascii="Palatino Linotype" w:eastAsia="Palatino Linotype" w:hAnsi="Palatino Linotype" w:cs="Palatino Linotype"/>
          <w:color w:val="000000" w:themeColor="text1"/>
          <w:sz w:val="22"/>
          <w:szCs w:val="22"/>
        </w:rPr>
        <w:t xml:space="preserve">During June 2021,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11,893 crore were matured/ repurchased</w:t>
      </w:r>
      <w:r w:rsidRPr="00D33F7C">
        <w:rPr>
          <w:rFonts w:ascii="Palatino Linotype" w:eastAsia="Palatino Linotype" w:hAnsi="Palatino Linotype" w:cs="Palatino Linotype"/>
          <w:color w:val="000000" w:themeColor="text1"/>
          <w:sz w:val="22"/>
          <w:szCs w:val="22"/>
          <w:vertAlign w:val="superscript"/>
        </w:rPr>
        <w:footnoteReference w:id="1"/>
      </w:r>
      <w:r w:rsidRPr="00D33F7C">
        <w:rPr>
          <w:rFonts w:ascii="Palatino Linotype" w:eastAsia="Palatino Linotype" w:hAnsi="Palatino Linotype" w:cs="Palatino Linotype"/>
          <w:color w:val="000000" w:themeColor="text1"/>
          <w:sz w:val="22"/>
          <w:szCs w:val="22"/>
        </w:rPr>
        <w:t xml:space="preserve"> by close-ended schemes.  </w:t>
      </w:r>
      <w:r w:rsidR="00AC244F" w:rsidRPr="00D33F7C">
        <w:rPr>
          <w:rFonts w:ascii="Palatino Linotype" w:eastAsia="Palatino Linotype" w:hAnsi="Palatino Linotype" w:cs="Palatino Linotype"/>
          <w:color w:val="000000" w:themeColor="text1"/>
          <w:sz w:val="22"/>
          <w:szCs w:val="22"/>
        </w:rPr>
        <w:t>Interval</w:t>
      </w:r>
      <w:r w:rsidRPr="00D33F7C">
        <w:rPr>
          <w:rFonts w:ascii="Palatino Linotype" w:eastAsia="Palatino Linotype" w:hAnsi="Palatino Linotype" w:cs="Palatino Linotype"/>
          <w:color w:val="000000" w:themeColor="text1"/>
          <w:sz w:val="22"/>
          <w:szCs w:val="22"/>
        </w:rPr>
        <w:t xml:space="preserve"> schemes worth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Tahoma"/>
          <w:color w:val="000000" w:themeColor="text1"/>
          <w:sz w:val="22"/>
          <w:szCs w:val="22"/>
        </w:rPr>
        <w:t>1.7</w:t>
      </w:r>
      <w:r w:rsidRPr="00D33F7C">
        <w:rPr>
          <w:rFonts w:ascii="Palatino Linotype" w:eastAsia="Palatino Linotype" w:hAnsi="Palatino Linotype" w:cs="Palatino Linotype"/>
          <w:color w:val="000000" w:themeColor="text1"/>
          <w:sz w:val="22"/>
          <w:szCs w:val="22"/>
        </w:rPr>
        <w:t xml:space="preserve"> crore were matured/redeemed during the period.  </w:t>
      </w:r>
    </w:p>
    <w:p w14:paraId="77CA6F44"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33F7C">
        <w:rPr>
          <w:rFonts w:ascii="Palatino Linotype" w:eastAsia="Palatino Linotype" w:hAnsi="Palatino Linotype" w:cs="Palatino Linotype"/>
          <w:color w:val="000000" w:themeColor="text1"/>
          <w:sz w:val="22"/>
          <w:szCs w:val="22"/>
        </w:rPr>
        <w:t xml:space="preserve">The net assets under management of mutual funds stood at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33.67 lakh crore as at the end of June 2021, an increase of 1.9 per cent from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33.05 </w:t>
      </w:r>
      <w:r w:rsidRPr="00D33F7C">
        <w:rPr>
          <w:rFonts w:ascii="Times New Roman" w:eastAsia="Palatino Linotype" w:hAnsi="Times New Roman"/>
          <w:color w:val="000000" w:themeColor="text1"/>
          <w:sz w:val="22"/>
          <w:szCs w:val="22"/>
        </w:rPr>
        <w:t>lakh crore as at the end of May 2021</w:t>
      </w:r>
      <w:r w:rsidRPr="00D33F7C">
        <w:rPr>
          <w:rFonts w:ascii="Palatino Linotype" w:eastAsia="Palatino Linotype" w:hAnsi="Palatino Linotype" w:cs="Palatino Linotype"/>
          <w:color w:val="000000" w:themeColor="text1"/>
          <w:sz w:val="22"/>
          <w:szCs w:val="22"/>
        </w:rPr>
        <w:t xml:space="preserve">. </w:t>
      </w:r>
    </w:p>
    <w:p w14:paraId="2C1B699B" w14:textId="6640FFA8"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In the secondary market transactions, during June 2021, mutual funds deployed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6,437 crore in equity </w:t>
      </w:r>
      <w:r w:rsidR="00AC244F">
        <w:rPr>
          <w:rFonts w:ascii="Palatino Linotype" w:eastAsia="Palatino Linotype" w:hAnsi="Palatino Linotype" w:cs="Palatino Linotype"/>
          <w:sz w:val="22"/>
          <w:szCs w:val="22"/>
        </w:rPr>
        <w:t xml:space="preserve">segment </w:t>
      </w:r>
      <w:r w:rsidRPr="00D33F7C">
        <w:rPr>
          <w:rFonts w:ascii="Palatino Linotype" w:eastAsia="Palatino Linotype" w:hAnsi="Palatino Linotype" w:cs="Palatino Linotype"/>
          <w:sz w:val="22"/>
          <w:szCs w:val="22"/>
        </w:rPr>
        <w:t xml:space="preserve">and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6,449 crore in debt </w:t>
      </w:r>
      <w:r w:rsidR="00AC244F">
        <w:rPr>
          <w:rFonts w:ascii="Palatino Linotype" w:eastAsia="Palatino Linotype" w:hAnsi="Palatino Linotype" w:cs="Palatino Linotype"/>
          <w:sz w:val="22"/>
          <w:szCs w:val="22"/>
        </w:rPr>
        <w:t>segment</w:t>
      </w:r>
      <w:r w:rsidRPr="00D33F7C">
        <w:rPr>
          <w:rFonts w:ascii="Palatino Linotype" w:eastAsia="Palatino Linotype" w:hAnsi="Palatino Linotype" w:cs="Palatino Linotype"/>
          <w:sz w:val="22"/>
          <w:szCs w:val="22"/>
        </w:rPr>
        <w:t xml:space="preserve">. </w:t>
      </w:r>
    </w:p>
    <w:p w14:paraId="32AF3A59" w14:textId="77777777" w:rsidR="00D33F7C" w:rsidRPr="00D33F7C" w:rsidRDefault="00D33F7C" w:rsidP="00D33F7C">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14:paraId="075E3669"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Figure 11: Trends in Mutual Funds Transactions in Secondary Market (</w:t>
      </w:r>
      <w:r w:rsidRPr="00D33F7C">
        <w:rPr>
          <w:rFonts w:ascii="Arial" w:eastAsia="Palatino Linotype" w:hAnsi="Arial" w:cs="Arial"/>
          <w:b/>
          <w:sz w:val="20"/>
          <w:szCs w:val="22"/>
        </w:rPr>
        <w:t>₹</w:t>
      </w:r>
      <w:r w:rsidRPr="00D33F7C">
        <w:rPr>
          <w:rFonts w:ascii="Palatino Linotype" w:eastAsia="Palatino Linotype" w:hAnsi="Palatino Linotype" w:cs="Palatino Linotype"/>
          <w:b/>
          <w:sz w:val="22"/>
          <w:szCs w:val="22"/>
        </w:rPr>
        <w:t xml:space="preserve"> crore)</w:t>
      </w:r>
    </w:p>
    <w:p w14:paraId="445A17F6"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D33F7C">
        <w:rPr>
          <w:noProof/>
          <w:lang w:val="en-IN" w:eastAsia="en-IN" w:bidi="hi-IN"/>
        </w:rPr>
        <w:drawing>
          <wp:inline distT="0" distB="0" distL="0" distR="0" wp14:anchorId="6BF01FE9" wp14:editId="76051F4F">
            <wp:extent cx="5715000" cy="2819400"/>
            <wp:effectExtent l="0" t="0" r="0" b="0"/>
            <wp:docPr id="33" name="Chart 33">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F560C96"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14:paraId="332DB6A0" w14:textId="77777777" w:rsidR="00D33F7C" w:rsidRPr="00D33F7C" w:rsidRDefault="00D33F7C" w:rsidP="00D33F7C">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D33F7C">
        <w:rPr>
          <w:rFonts w:ascii="Palatino Linotype" w:eastAsia="Palatino Linotype" w:hAnsi="Palatino Linotype" w:cs="Palatino Linotype"/>
          <w:b/>
          <w:sz w:val="22"/>
          <w:szCs w:val="22"/>
        </w:rPr>
        <w:t>Trends in Investments by the Foreign Portfolio Investors (FPIs)</w:t>
      </w:r>
    </w:p>
    <w:p w14:paraId="7BC3F3AF" w14:textId="77777777" w:rsidR="00D33F7C" w:rsidRPr="00D33F7C" w:rsidRDefault="00D33F7C" w:rsidP="00D33F7C">
      <w:pPr>
        <w:widowControl w:val="0"/>
        <w:tabs>
          <w:tab w:val="left" w:pos="0"/>
        </w:tabs>
        <w:spacing w:line="276" w:lineRule="auto"/>
        <w:ind w:left="360"/>
        <w:jc w:val="both"/>
        <w:rPr>
          <w:rFonts w:ascii="Palatino Linotype" w:eastAsia="Palatino Linotype" w:hAnsi="Palatino Linotype" w:cs="Palatino Linotype"/>
          <w:b/>
          <w:sz w:val="22"/>
          <w:szCs w:val="22"/>
        </w:rPr>
      </w:pPr>
    </w:p>
    <w:p w14:paraId="27687F6E"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During June 2021, FPIs invested a total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12,974 crore from the Indian securities market compared to a withdrawal of </w:t>
      </w:r>
      <w:r w:rsidRPr="00D33F7C">
        <w:rPr>
          <w:rFonts w:ascii="Times New Roman" w:eastAsia="Palatino Linotype" w:hAnsi="Times New Roman"/>
          <w:sz w:val="22"/>
          <w:szCs w:val="22"/>
        </w:rPr>
        <w:t>₹</w:t>
      </w:r>
      <w:r w:rsidRPr="00D33F7C">
        <w:rPr>
          <w:rFonts w:ascii="Palatino Linotype" w:eastAsia="Palatino Linotype" w:hAnsi="Palatino Linotype" w:cs="Palatino Linotype"/>
          <w:sz w:val="22"/>
          <w:szCs w:val="22"/>
        </w:rPr>
        <w:t xml:space="preserve">1,958 </w:t>
      </w:r>
      <w:r w:rsidRPr="00D33F7C">
        <w:rPr>
          <w:rFonts w:ascii="Times New Roman" w:eastAsia="Palatino Linotype" w:hAnsi="Times New Roman"/>
          <w:sz w:val="22"/>
          <w:szCs w:val="22"/>
        </w:rPr>
        <w:t xml:space="preserve">crore </w:t>
      </w:r>
      <w:r w:rsidRPr="00D33F7C">
        <w:rPr>
          <w:rFonts w:ascii="Palatino Linotype" w:eastAsia="Palatino Linotype" w:hAnsi="Palatino Linotype" w:cs="Palatino Linotype"/>
          <w:sz w:val="22"/>
          <w:szCs w:val="22"/>
        </w:rPr>
        <w:t xml:space="preserve">in May 2021. During June 2021, FPIs invested </w:t>
      </w:r>
      <w:r w:rsidRPr="00D33F7C">
        <w:rPr>
          <w:rFonts w:ascii="Times New Roman" w:eastAsia="Palatino Linotype" w:hAnsi="Times New Roman"/>
          <w:sz w:val="22"/>
          <w:szCs w:val="22"/>
        </w:rPr>
        <w:t>₹17</w:t>
      </w:r>
      <w:r w:rsidRPr="00D33F7C">
        <w:rPr>
          <w:rFonts w:ascii="Palatino Linotype" w:eastAsia="Palatino Linotype" w:hAnsi="Palatino Linotype" w:cs="Palatino Linotype"/>
          <w:sz w:val="22"/>
          <w:szCs w:val="22"/>
        </w:rPr>
        <w:t xml:space="preserve">,215 crore in equity while liquidated </w:t>
      </w:r>
      <w:r w:rsidRPr="00D33F7C">
        <w:rPr>
          <w:rFonts w:ascii="Arial" w:eastAsia="Palatino Linotype" w:hAnsi="Arial" w:cs="Arial"/>
          <w:b/>
          <w:sz w:val="20"/>
          <w:szCs w:val="22"/>
        </w:rPr>
        <w:t>₹</w:t>
      </w:r>
      <w:r w:rsidRPr="00D33F7C">
        <w:rPr>
          <w:rFonts w:ascii="Palatino Linotype" w:eastAsia="Palatino Linotype" w:hAnsi="Palatino Linotype" w:cs="Palatino Linotype"/>
          <w:sz w:val="22"/>
          <w:szCs w:val="22"/>
        </w:rPr>
        <w:t xml:space="preserve">4,829 crore from debt securities.  FPIs liquidated </w:t>
      </w:r>
      <w:r w:rsidRPr="00D33F7C">
        <w:rPr>
          <w:rFonts w:ascii="Arial" w:eastAsia="Palatino Linotype" w:hAnsi="Arial" w:cs="Arial"/>
          <w:b/>
          <w:sz w:val="20"/>
          <w:szCs w:val="22"/>
        </w:rPr>
        <w:t>₹</w:t>
      </w:r>
      <w:r w:rsidRPr="00D33F7C">
        <w:rPr>
          <w:rFonts w:ascii="Palatino Linotype" w:eastAsia="Palatino Linotype" w:hAnsi="Palatino Linotype" w:cs="Palatino Linotype"/>
          <w:sz w:val="22"/>
          <w:szCs w:val="22"/>
        </w:rPr>
        <w:t xml:space="preserve">295 crore in hybrid securities while invested </w:t>
      </w:r>
      <w:r w:rsidRPr="00D33F7C">
        <w:rPr>
          <w:rFonts w:ascii="Arial" w:eastAsia="Palatino Linotype" w:hAnsi="Arial" w:cs="Arial"/>
          <w:b/>
          <w:sz w:val="20"/>
          <w:szCs w:val="22"/>
        </w:rPr>
        <w:t>₹</w:t>
      </w:r>
      <w:r w:rsidRPr="00D33F7C">
        <w:rPr>
          <w:rFonts w:ascii="Palatino Linotype" w:eastAsia="Palatino Linotype" w:hAnsi="Palatino Linotype" w:cs="Palatino Linotype"/>
          <w:sz w:val="22"/>
          <w:szCs w:val="22"/>
        </w:rPr>
        <w:t xml:space="preserve">883 crore in debt-voluntary retention route during June 2021. </w:t>
      </w:r>
    </w:p>
    <w:p w14:paraId="6EED665D" w14:textId="77777777" w:rsidR="00D33F7C" w:rsidRP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14:paraId="247D01F6"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D33F7C">
        <w:rPr>
          <w:rFonts w:ascii="Palatino Linotype" w:eastAsia="Palatino Linotype" w:hAnsi="Palatino Linotype" w:cs="Palatino Linotype"/>
          <w:sz w:val="22"/>
          <w:szCs w:val="22"/>
        </w:rPr>
        <w:t xml:space="preserve">The </w:t>
      </w:r>
      <w:r w:rsidRPr="00D33F7C">
        <w:rPr>
          <w:rFonts w:ascii="Palatino Linotype" w:eastAsia="Palatino Linotype" w:hAnsi="Palatino Linotype" w:cs="Palatino Linotype"/>
          <w:color w:val="000000" w:themeColor="text1"/>
          <w:sz w:val="22"/>
          <w:szCs w:val="22"/>
        </w:rPr>
        <w:t xml:space="preserve">assets of FPIs in India, as reported by custodians, as at the end of June 2021 was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47,99,716 crore, out of which the notional value of offshore derivative instruments (ODIs) (including ODIs on derivatives) was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92,253 crore which is 1.9 per cent of total assets of FPIs.  </w:t>
      </w:r>
    </w:p>
    <w:p w14:paraId="6AC0FDBA" w14:textId="77777777" w:rsidR="00D33F7C" w:rsidRDefault="00D33F7C" w:rsidP="00D33F7C">
      <w:pPr>
        <w:pBdr>
          <w:top w:val="nil"/>
          <w:left w:val="nil"/>
          <w:bottom w:val="nil"/>
          <w:right w:val="nil"/>
          <w:between w:val="nil"/>
        </w:pBdr>
        <w:spacing w:line="276" w:lineRule="auto"/>
        <w:ind w:left="720"/>
        <w:rPr>
          <w:rFonts w:ascii="Palatino Linotype" w:eastAsia="Palatino Linotype" w:hAnsi="Palatino Linotype" w:cs="Palatino Linotype"/>
          <w:b/>
          <w:sz w:val="22"/>
          <w:szCs w:val="22"/>
        </w:rPr>
      </w:pPr>
    </w:p>
    <w:p w14:paraId="08D2ADBA" w14:textId="77777777" w:rsidR="00D33F7C" w:rsidRPr="00D33F7C" w:rsidRDefault="00D33F7C" w:rsidP="00D33F7C">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D33F7C">
        <w:rPr>
          <w:rFonts w:ascii="Palatino Linotype" w:eastAsia="Palatino Linotype" w:hAnsi="Palatino Linotype" w:cs="Palatino Linotype"/>
          <w:b/>
          <w:sz w:val="22"/>
          <w:szCs w:val="22"/>
        </w:rPr>
        <w:lastRenderedPageBreak/>
        <w:t>Figure 12: Trends in FPIs’ Investments</w:t>
      </w:r>
    </w:p>
    <w:p w14:paraId="155F744B" w14:textId="77777777" w:rsidR="00D33F7C" w:rsidRPr="00D33F7C" w:rsidRDefault="00D33F7C" w:rsidP="00D33F7C">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sidRPr="00D33F7C">
        <w:rPr>
          <w:noProof/>
          <w:lang w:val="en-IN" w:eastAsia="en-IN" w:bidi="hi-IN"/>
        </w:rPr>
        <w:drawing>
          <wp:inline distT="0" distB="0" distL="0" distR="0" wp14:anchorId="3D8F08AB" wp14:editId="334C6269">
            <wp:extent cx="6278880" cy="2484755"/>
            <wp:effectExtent l="0" t="0" r="7620" b="10795"/>
            <wp:docPr id="34" name="Chart 34">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9FD0BCF" w14:textId="77777777" w:rsidR="00D33F7C" w:rsidRPr="00D33F7C" w:rsidRDefault="00D33F7C" w:rsidP="00D33F7C">
      <w:pPr>
        <w:rPr>
          <w:rFonts w:ascii="Palatino Linotype" w:eastAsia="Palatino Linotype" w:hAnsi="Palatino Linotype" w:cs="Palatino Linotype"/>
          <w:b/>
          <w:sz w:val="18"/>
          <w:szCs w:val="18"/>
        </w:rPr>
      </w:pPr>
      <w:r w:rsidRPr="00D33F7C">
        <w:rPr>
          <w:rFonts w:ascii="Palatino Linotype" w:eastAsia="Palatino Linotype" w:hAnsi="Palatino Linotype" w:cs="Palatino Linotype"/>
          <w:b/>
          <w:sz w:val="18"/>
          <w:szCs w:val="18"/>
        </w:rPr>
        <w:t xml:space="preserve">  Source: CDSL and NSDL</w:t>
      </w:r>
    </w:p>
    <w:p w14:paraId="4BBABE45" w14:textId="77777777" w:rsidR="00D33F7C" w:rsidRPr="00D33F7C" w:rsidRDefault="00D33F7C" w:rsidP="00D33F7C">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14:paraId="56222E23" w14:textId="77777777" w:rsidR="00D33F7C" w:rsidRPr="00D33F7C" w:rsidRDefault="00D33F7C" w:rsidP="00D33F7C">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0" w:name="_30j0zll" w:colFirst="0" w:colLast="0"/>
      <w:bookmarkEnd w:id="0"/>
    </w:p>
    <w:p w14:paraId="7850E315" w14:textId="77777777" w:rsidR="00D33F7C" w:rsidRPr="00D33F7C" w:rsidRDefault="00D33F7C" w:rsidP="00D33F7C">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D33F7C">
        <w:rPr>
          <w:rFonts w:ascii="Palatino Linotype" w:eastAsia="Palatino Linotype" w:hAnsi="Palatino Linotype" w:cs="Palatino Linotype"/>
          <w:b/>
          <w:color w:val="222A35"/>
          <w:sz w:val="22"/>
          <w:szCs w:val="22"/>
        </w:rPr>
        <w:t xml:space="preserve">Trends in Portfolio Management Services </w:t>
      </w:r>
    </w:p>
    <w:p w14:paraId="52248BD2"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33F7C">
        <w:rPr>
          <w:rFonts w:ascii="Palatino Linotype" w:eastAsia="Palatino Linotype" w:hAnsi="Palatino Linotype" w:cs="Palatino Linotype"/>
          <w:color w:val="000000" w:themeColor="text1"/>
          <w:sz w:val="22"/>
          <w:szCs w:val="22"/>
        </w:rPr>
        <w:t xml:space="preserve">As at end of June 2021, AUM of the portfolio management industry stood at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21.55 lakh crore compared to </w:t>
      </w:r>
      <w:r w:rsidRPr="00D33F7C">
        <w:rPr>
          <w:rFonts w:ascii="Times New Roman" w:eastAsia="Palatino Linotype" w:hAnsi="Times New Roman"/>
          <w:color w:val="000000" w:themeColor="text1"/>
          <w:sz w:val="22"/>
          <w:szCs w:val="22"/>
        </w:rPr>
        <w:t>₹</w:t>
      </w:r>
      <w:r w:rsidRPr="00D33F7C">
        <w:rPr>
          <w:rFonts w:ascii="Palatino Linotype" w:eastAsia="Palatino Linotype" w:hAnsi="Palatino Linotype" w:cs="Palatino Linotype"/>
          <w:color w:val="000000" w:themeColor="text1"/>
          <w:sz w:val="22"/>
          <w:szCs w:val="22"/>
        </w:rPr>
        <w:t xml:space="preserve">21.3 lakh crore at the end of May 2021. </w:t>
      </w:r>
    </w:p>
    <w:p w14:paraId="5F14E668" w14:textId="77777777" w:rsidR="00D33F7C" w:rsidRPr="00D33F7C" w:rsidRDefault="00D33F7C" w:rsidP="00D33F7C">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color w:val="000000" w:themeColor="text1"/>
          <w:sz w:val="22"/>
          <w:szCs w:val="22"/>
        </w:rPr>
      </w:pPr>
      <w:r w:rsidRPr="00D33F7C">
        <w:rPr>
          <w:rFonts w:ascii="Palatino Linotype" w:eastAsia="Palatino Linotype" w:hAnsi="Palatino Linotype" w:cs="Palatino Linotype"/>
          <w:color w:val="000000" w:themeColor="text1"/>
          <w:sz w:val="22"/>
          <w:szCs w:val="22"/>
        </w:rPr>
        <w:t>There were 1,26,420 total clients in portfolio management industry as at the end of June 2021, of which 1,16,621 clients belong to discretionary services category, 8,043 clients belong to non-discretionary services category and 1,756 clients belong to advisory services category of portfolio management services.</w:t>
      </w:r>
    </w:p>
    <w:p w14:paraId="3FD80BEF" w14:textId="77777777" w:rsidR="00D33F7C" w:rsidRPr="00D33F7C" w:rsidRDefault="00D33F7C" w:rsidP="00D33F7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14:paraId="5E4E95BB" w14:textId="77777777" w:rsidR="00D33F7C" w:rsidRPr="00D33F7C" w:rsidRDefault="00D33F7C" w:rsidP="00D33F7C">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D33F7C">
        <w:rPr>
          <w:rFonts w:ascii="Palatino Linotype" w:eastAsia="Palatino Linotype" w:hAnsi="Palatino Linotype" w:cs="Palatino Linotype"/>
          <w:b/>
          <w:color w:val="222A35"/>
          <w:sz w:val="22"/>
          <w:szCs w:val="22"/>
        </w:rPr>
        <w:t>Trends in Substantial Acquisition of Shares and Takeovers</w:t>
      </w:r>
    </w:p>
    <w:p w14:paraId="07D312D6" w14:textId="0999A411" w:rsidR="00D33F7C" w:rsidRPr="00C4396C" w:rsidRDefault="00D33F7C" w:rsidP="00D33F7C">
      <w:pPr>
        <w:jc w:val="both"/>
        <w:rPr>
          <w:rFonts w:ascii="Palatino Linotype" w:eastAsia="Times New Roman" w:hAnsi="Palatino Linotype" w:cs="Garamond"/>
          <w:sz w:val="22"/>
          <w:szCs w:val="22"/>
        </w:rPr>
      </w:pPr>
      <w:r w:rsidRPr="00C4396C">
        <w:rPr>
          <w:rFonts w:ascii="Palatino Linotype" w:eastAsia="Palatino Linotype" w:hAnsi="Palatino Linotype" w:cs="Palatino Linotype"/>
          <w:sz w:val="22"/>
          <w:szCs w:val="22"/>
        </w:rPr>
        <w:t xml:space="preserve">During June 2021, six open offers with offer value of </w:t>
      </w:r>
      <w:r w:rsidRPr="00C4396C">
        <w:rPr>
          <w:rFonts w:ascii="Times New Roman" w:eastAsia="Palatino Linotype" w:hAnsi="Times New Roman"/>
          <w:sz w:val="22"/>
          <w:szCs w:val="22"/>
        </w:rPr>
        <w:t>₹</w:t>
      </w:r>
      <w:r w:rsidRPr="00C4396C">
        <w:rPr>
          <w:rFonts w:ascii="Palatino Linotype" w:eastAsia="Palatino Linotype" w:hAnsi="Palatino Linotype" w:cs="Palatino Linotype"/>
          <w:sz w:val="22"/>
          <w:szCs w:val="22"/>
        </w:rPr>
        <w:t xml:space="preserve">82 crore were closed under SEBI (Substantial Acquisition of Shares and Takeover) Regulations, 2011 (SAST Regulations) as against </w:t>
      </w:r>
      <w:r w:rsidR="00C4396C" w:rsidRPr="00C4396C">
        <w:rPr>
          <w:rFonts w:ascii="Palatino Linotype" w:eastAsia="Palatino Linotype" w:hAnsi="Palatino Linotype" w:cs="Palatino Linotype"/>
          <w:sz w:val="22"/>
          <w:szCs w:val="22"/>
        </w:rPr>
        <w:t>four</w:t>
      </w:r>
      <w:r w:rsidRPr="00C4396C">
        <w:rPr>
          <w:rFonts w:ascii="Palatino Linotype" w:eastAsia="Palatino Linotype" w:hAnsi="Palatino Linotype" w:cs="Palatino Linotype"/>
          <w:sz w:val="22"/>
          <w:szCs w:val="22"/>
        </w:rPr>
        <w:t xml:space="preserve"> open offers with offer value of </w:t>
      </w:r>
      <w:r w:rsidRPr="00C4396C">
        <w:rPr>
          <w:rFonts w:ascii="Times New Roman" w:eastAsia="Palatino Linotype" w:hAnsi="Times New Roman"/>
          <w:sz w:val="22"/>
          <w:szCs w:val="22"/>
        </w:rPr>
        <w:t>₹</w:t>
      </w:r>
      <w:r w:rsidRPr="00C4396C">
        <w:rPr>
          <w:rFonts w:ascii="Palatino Linotype" w:eastAsia="Palatino Linotype" w:hAnsi="Palatino Linotype" w:cs="Palatino Linotype"/>
          <w:sz w:val="22"/>
          <w:szCs w:val="22"/>
        </w:rPr>
        <w:t xml:space="preserve">1.400 crore were closed in May 2021. </w:t>
      </w:r>
      <w:r w:rsidRPr="00C4396C">
        <w:rPr>
          <w:rFonts w:ascii="Palatino Linotype" w:eastAsia="Times New Roman" w:hAnsi="Palatino Linotype" w:cs="Garamond"/>
          <w:sz w:val="22"/>
          <w:szCs w:val="22"/>
        </w:rPr>
        <w:t>All three open offers were for change</w:t>
      </w:r>
      <w:r w:rsidR="00C4396C" w:rsidRPr="00C4396C">
        <w:rPr>
          <w:rFonts w:ascii="Palatino Linotype" w:eastAsia="Times New Roman" w:hAnsi="Palatino Linotype" w:cs="Garamond"/>
          <w:sz w:val="22"/>
          <w:szCs w:val="22"/>
        </w:rPr>
        <w:t>d</w:t>
      </w:r>
      <w:r w:rsidRPr="00C4396C">
        <w:rPr>
          <w:rFonts w:ascii="Palatino Linotype" w:eastAsia="Times New Roman" w:hAnsi="Palatino Linotype" w:cs="Garamond"/>
          <w:sz w:val="22"/>
          <w:szCs w:val="22"/>
        </w:rPr>
        <w:t xml:space="preserve"> in control of management. </w:t>
      </w:r>
    </w:p>
    <w:p w14:paraId="47863E6F" w14:textId="77777777" w:rsidR="00D33F7C" w:rsidRPr="00D33F7C" w:rsidRDefault="00D33F7C" w:rsidP="00D33F7C">
      <w:pPr>
        <w:jc w:val="center"/>
        <w:rPr>
          <w:rFonts w:ascii="Palatino Linotype" w:eastAsia="Palatino Linotype" w:hAnsi="Palatino Linotype" w:cs="Palatino Linotype"/>
          <w:b/>
          <w:color w:val="222A35"/>
          <w:sz w:val="22"/>
          <w:szCs w:val="22"/>
        </w:rPr>
      </w:pPr>
      <w:r w:rsidRPr="00D33F7C">
        <w:rPr>
          <w:rFonts w:ascii="Palatino Linotype" w:eastAsia="Palatino Linotype" w:hAnsi="Palatino Linotype" w:cs="Palatino Linotype"/>
          <w:b/>
          <w:color w:val="222A35"/>
          <w:sz w:val="22"/>
          <w:szCs w:val="22"/>
        </w:rPr>
        <w:t>Figure 13: Details of Open Offers Closed under the SEBI (SAST) Regulations</w:t>
      </w:r>
    </w:p>
    <w:p w14:paraId="041605FD" w14:textId="49B6D73E" w:rsidR="00D33F7C" w:rsidRPr="00D33F7C" w:rsidRDefault="00C4396C" w:rsidP="00D33F7C">
      <w:pPr>
        <w:spacing w:line="276" w:lineRule="auto"/>
        <w:jc w:val="center"/>
        <w:rPr>
          <w:rFonts w:ascii="Palatino Linotype" w:eastAsia="Palatino Linotype" w:hAnsi="Palatino Linotype" w:cs="Palatino Linotype"/>
          <w:b/>
          <w:color w:val="222A35"/>
          <w:sz w:val="22"/>
          <w:szCs w:val="22"/>
          <w:highlight w:val="yellow"/>
        </w:rPr>
      </w:pPr>
      <w:r>
        <w:rPr>
          <w:noProof/>
          <w:lang w:val="en-IN" w:eastAsia="en-IN" w:bidi="hi-IN"/>
        </w:rPr>
        <w:drawing>
          <wp:inline distT="0" distB="0" distL="0" distR="0" wp14:anchorId="066C38F6" wp14:editId="0EE5EF63">
            <wp:extent cx="5600700" cy="2743200"/>
            <wp:effectExtent l="0" t="0" r="0" b="0"/>
            <wp:docPr id="1" name="Chart 1">
              <a:extLst xmlns:a="http://schemas.openxmlformats.org/drawingml/2006/main">
                <a:ext uri="{FF2B5EF4-FFF2-40B4-BE49-F238E27FC236}">
                  <a16:creationId xmlns:a16="http://schemas.microsoft.com/office/drawing/2014/main" id="{00000000-0008-0000-0E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BF07055" w14:textId="77777777" w:rsidR="003B1F08" w:rsidRDefault="003B1F08" w:rsidP="003F4581">
      <w:pPr>
        <w:widowControl w:val="0"/>
        <w:ind w:left="-284"/>
        <w:jc w:val="both"/>
        <w:rPr>
          <w:rFonts w:ascii="Palatino Linotype" w:hAnsi="Palatino Linotype"/>
          <w:b/>
          <w:color w:val="0F0684"/>
        </w:rPr>
      </w:pPr>
    </w:p>
    <w:p w14:paraId="32125A46" w14:textId="77777777" w:rsidR="003B1F08" w:rsidRDefault="003B1F08" w:rsidP="003F4581">
      <w:pPr>
        <w:widowControl w:val="0"/>
        <w:ind w:left="-284"/>
        <w:jc w:val="both"/>
        <w:rPr>
          <w:rFonts w:ascii="Palatino Linotype" w:hAnsi="Palatino Linotype"/>
          <w:b/>
          <w:color w:val="0F0684"/>
        </w:rPr>
      </w:pPr>
    </w:p>
    <w:p w14:paraId="051E10C4" w14:textId="77777777" w:rsidR="003B1F08" w:rsidRDefault="003B1F08" w:rsidP="003F4581">
      <w:pPr>
        <w:widowControl w:val="0"/>
        <w:ind w:left="-284"/>
        <w:jc w:val="both"/>
        <w:rPr>
          <w:rFonts w:ascii="Palatino Linotype" w:hAnsi="Palatino Linotype"/>
          <w:b/>
          <w:color w:val="0F0684"/>
        </w:rPr>
      </w:pPr>
    </w:p>
    <w:p w14:paraId="6D75E0CE" w14:textId="77777777" w:rsidR="003F4581" w:rsidRPr="00B92D2D" w:rsidRDefault="003F4581" w:rsidP="003F4581">
      <w:pPr>
        <w:widowControl w:val="0"/>
        <w:ind w:left="-284"/>
        <w:jc w:val="both"/>
        <w:rPr>
          <w:rFonts w:ascii="Palatino Linotype" w:eastAsia="Times New Roman" w:hAnsi="Palatino Linotype"/>
          <w:b/>
          <w:color w:val="0F0684"/>
        </w:rPr>
      </w:pPr>
      <w:r w:rsidRPr="00B92D2D">
        <w:rPr>
          <w:rFonts w:ascii="Palatino Linotype" w:hAnsi="Palatino Linotype"/>
          <w:b/>
          <w:color w:val="0F0684"/>
        </w:rPr>
        <w:t>IX.</w:t>
      </w:r>
      <w:r>
        <w:rPr>
          <w:rFonts w:ascii="Palatino Linotype" w:hAnsi="Palatino Linotype"/>
          <w:b/>
          <w:color w:val="0F0684"/>
        </w:rPr>
        <w:t xml:space="preserve">     Commodity </w:t>
      </w:r>
      <w:r w:rsidRPr="00B92D2D">
        <w:rPr>
          <w:rFonts w:ascii="Palatino Linotype" w:hAnsi="Palatino Linotype"/>
          <w:b/>
          <w:color w:val="0F0684"/>
        </w:rPr>
        <w:t>Derivatives Markets</w:t>
      </w:r>
    </w:p>
    <w:p w14:paraId="5E3E221D" w14:textId="77777777" w:rsidR="003F4581" w:rsidRPr="00B92D2D" w:rsidRDefault="003F4581" w:rsidP="003F4581">
      <w:pPr>
        <w:pStyle w:val="ListParagraph"/>
        <w:spacing w:after="0" w:line="240" w:lineRule="auto"/>
        <w:jc w:val="both"/>
        <w:rPr>
          <w:rFonts w:ascii="Palatino Linotype" w:eastAsia="Times New Roman" w:hAnsi="Palatino Linotype"/>
          <w:b/>
          <w:color w:val="000000"/>
          <w:sz w:val="22"/>
          <w:szCs w:val="22"/>
        </w:rPr>
      </w:pPr>
    </w:p>
    <w:p w14:paraId="10AFA64D" w14:textId="77777777" w:rsidR="00F418DA" w:rsidRPr="00B92D2D" w:rsidRDefault="00F418DA" w:rsidP="00F418DA">
      <w:pPr>
        <w:pStyle w:val="ListParagraph"/>
        <w:numPr>
          <w:ilvl w:val="0"/>
          <w:numId w:val="12"/>
        </w:numPr>
        <w:tabs>
          <w:tab w:val="left" w:pos="567"/>
        </w:tabs>
        <w:spacing w:after="0" w:line="240" w:lineRule="auto"/>
        <w:ind w:left="0" w:firstLine="0"/>
        <w:jc w:val="both"/>
        <w:rPr>
          <w:rFonts w:ascii="Palatino Linotype" w:eastAsia="Times New Roman" w:hAnsi="Palatino Linotype"/>
          <w:b/>
          <w:color w:val="000000"/>
          <w:sz w:val="22"/>
          <w:szCs w:val="22"/>
        </w:rPr>
      </w:pPr>
      <w:r w:rsidRPr="00B92D2D">
        <w:rPr>
          <w:rFonts w:ascii="Palatino Linotype" w:eastAsia="Times New Roman" w:hAnsi="Palatino Linotype"/>
          <w:b/>
          <w:color w:val="000000"/>
          <w:sz w:val="22"/>
          <w:szCs w:val="22"/>
        </w:rPr>
        <w:t>Market Trends</w:t>
      </w:r>
    </w:p>
    <w:p w14:paraId="3D8BA3CD" w14:textId="77777777" w:rsidR="00F418DA" w:rsidRPr="009803F8" w:rsidRDefault="00F418DA" w:rsidP="00F418DA">
      <w:pPr>
        <w:pStyle w:val="ListParagraph"/>
        <w:numPr>
          <w:ilvl w:val="0"/>
          <w:numId w:val="13"/>
        </w:numPr>
        <w:spacing w:after="0" w:line="240" w:lineRule="auto"/>
        <w:ind w:left="567" w:hanging="526"/>
        <w:jc w:val="both"/>
        <w:rPr>
          <w:rFonts w:ascii="Palatino Linotype" w:hAnsi="Palatino Linotype"/>
          <w:sz w:val="22"/>
          <w:szCs w:val="22"/>
        </w:rPr>
      </w:pPr>
      <w:r w:rsidRPr="009803F8">
        <w:rPr>
          <w:rFonts w:ascii="Palatino Linotype" w:hAnsi="Palatino Linotype"/>
          <w:sz w:val="22"/>
          <w:szCs w:val="22"/>
        </w:rPr>
        <w:t xml:space="preserve">During June 2021, MCX iCOMDEX composite index witnessed a decrease of 1.3 per cent (M-o-M).  This decrease was </w:t>
      </w:r>
      <w:r>
        <w:rPr>
          <w:rFonts w:ascii="Palatino Linotype" w:hAnsi="Palatino Linotype"/>
          <w:sz w:val="22"/>
          <w:szCs w:val="22"/>
        </w:rPr>
        <w:t xml:space="preserve">mainly </w:t>
      </w:r>
      <w:r w:rsidRPr="009803F8">
        <w:rPr>
          <w:rFonts w:ascii="Palatino Linotype" w:hAnsi="Palatino Linotype"/>
          <w:sz w:val="22"/>
          <w:szCs w:val="22"/>
        </w:rPr>
        <w:t xml:space="preserve">driven by </w:t>
      </w:r>
      <w:r>
        <w:rPr>
          <w:rFonts w:ascii="Palatino Linotype" w:hAnsi="Palatino Linotype"/>
          <w:sz w:val="22"/>
          <w:szCs w:val="22"/>
        </w:rPr>
        <w:t xml:space="preserve">fall in the </w:t>
      </w:r>
      <w:r w:rsidRPr="009803F8">
        <w:rPr>
          <w:rFonts w:ascii="Palatino Linotype" w:hAnsi="Palatino Linotype"/>
          <w:sz w:val="22"/>
          <w:szCs w:val="22"/>
        </w:rPr>
        <w:t xml:space="preserve">futures prices </w:t>
      </w:r>
      <w:r>
        <w:rPr>
          <w:rFonts w:ascii="Palatino Linotype" w:hAnsi="Palatino Linotype"/>
          <w:sz w:val="22"/>
          <w:szCs w:val="22"/>
        </w:rPr>
        <w:t xml:space="preserve">of gold, silver, copper and crude palm oil.  </w:t>
      </w:r>
      <w:r w:rsidRPr="009803F8">
        <w:rPr>
          <w:rFonts w:ascii="Palatino Linotype" w:hAnsi="Palatino Linotype"/>
          <w:sz w:val="22"/>
          <w:szCs w:val="22"/>
        </w:rPr>
        <w:t>O</w:t>
      </w:r>
      <w:r w:rsidRPr="009803F8">
        <w:rPr>
          <w:rFonts w:ascii="Palatino Linotype" w:eastAsia="Times New Roman" w:hAnsi="Palatino Linotype"/>
          <w:color w:val="000000"/>
          <w:sz w:val="22"/>
          <w:szCs w:val="22"/>
        </w:rPr>
        <w:t xml:space="preserve">n Y-o-Y basis, MCX iCOMDEX composite index increased by 24.5 per cent. </w:t>
      </w:r>
    </w:p>
    <w:p w14:paraId="3117C26B" w14:textId="77777777" w:rsidR="00F418DA" w:rsidRPr="009803F8" w:rsidRDefault="00F418DA" w:rsidP="00F418DA">
      <w:pPr>
        <w:pStyle w:val="ListParagraph"/>
        <w:numPr>
          <w:ilvl w:val="0"/>
          <w:numId w:val="13"/>
        </w:numPr>
        <w:spacing w:after="0" w:line="240" w:lineRule="auto"/>
        <w:ind w:left="567" w:hanging="526"/>
        <w:jc w:val="both"/>
        <w:rPr>
          <w:rFonts w:ascii="Palatino Linotype" w:hAnsi="Palatino Linotype"/>
          <w:sz w:val="22"/>
          <w:szCs w:val="22"/>
        </w:rPr>
      </w:pPr>
      <w:r w:rsidRPr="009803F8">
        <w:rPr>
          <w:rFonts w:ascii="Palatino Linotype" w:hAnsi="Palatino Linotype"/>
          <w:sz w:val="22"/>
          <w:szCs w:val="22"/>
        </w:rPr>
        <w:t xml:space="preserve">During the month, </w:t>
      </w:r>
      <w:r w:rsidRPr="009803F8">
        <w:rPr>
          <w:rFonts w:ascii="Palatino Linotype" w:eastAsia="Times New Roman" w:hAnsi="Palatino Linotype"/>
          <w:color w:val="000000"/>
          <w:sz w:val="22"/>
          <w:szCs w:val="22"/>
        </w:rPr>
        <w:t xml:space="preserve">MCX iCOMDEX crude oil index increased by </w:t>
      </w:r>
      <w:r>
        <w:rPr>
          <w:rFonts w:ascii="Palatino Linotype" w:eastAsia="Times New Roman" w:hAnsi="Palatino Linotype"/>
          <w:color w:val="000000"/>
          <w:sz w:val="22"/>
          <w:szCs w:val="22"/>
        </w:rPr>
        <w:t>12.9</w:t>
      </w:r>
      <w:r w:rsidRPr="009803F8">
        <w:rPr>
          <w:rFonts w:ascii="Palatino Linotype" w:eastAsia="Times New Roman" w:hAnsi="Palatino Linotype"/>
          <w:color w:val="000000"/>
          <w:sz w:val="22"/>
          <w:szCs w:val="22"/>
        </w:rPr>
        <w:t xml:space="preserve"> per cent</w:t>
      </w:r>
      <w:r>
        <w:rPr>
          <w:rFonts w:ascii="Palatino Linotype" w:eastAsia="Times New Roman" w:hAnsi="Palatino Linotype"/>
          <w:color w:val="000000"/>
          <w:sz w:val="22"/>
          <w:szCs w:val="22"/>
        </w:rPr>
        <w:t xml:space="preserve">. On the other hand, </w:t>
      </w:r>
      <w:r w:rsidRPr="009803F8">
        <w:rPr>
          <w:rFonts w:ascii="Palatino Linotype" w:eastAsia="Times New Roman" w:hAnsi="Palatino Linotype"/>
          <w:color w:val="000000"/>
          <w:sz w:val="22"/>
          <w:szCs w:val="22"/>
        </w:rPr>
        <w:t>MCX iCOMDEX bullion index decreased by 5.</w:t>
      </w:r>
      <w:r>
        <w:rPr>
          <w:rFonts w:ascii="Palatino Linotype" w:eastAsia="Times New Roman" w:hAnsi="Palatino Linotype"/>
          <w:color w:val="000000"/>
          <w:sz w:val="22"/>
          <w:szCs w:val="22"/>
        </w:rPr>
        <w:t>2</w:t>
      </w:r>
      <w:r w:rsidRPr="009803F8">
        <w:rPr>
          <w:rFonts w:ascii="Palatino Linotype" w:eastAsia="Times New Roman" w:hAnsi="Palatino Linotype"/>
          <w:color w:val="000000"/>
          <w:sz w:val="22"/>
          <w:szCs w:val="22"/>
        </w:rPr>
        <w:t xml:space="preserve"> per cent due to decrease in futures prices of both gold and silver by 5.1 per cent and 5.2 per cent, respectively. MCX iCOMDEX base metal index also decreased by 1.</w:t>
      </w:r>
      <w:r>
        <w:rPr>
          <w:rFonts w:ascii="Palatino Linotype" w:eastAsia="Times New Roman" w:hAnsi="Palatino Linotype"/>
          <w:color w:val="000000"/>
          <w:sz w:val="22"/>
          <w:szCs w:val="22"/>
        </w:rPr>
        <w:t>8</w:t>
      </w:r>
      <w:r w:rsidRPr="009803F8">
        <w:rPr>
          <w:rFonts w:ascii="Palatino Linotype" w:eastAsia="Times New Roman" w:hAnsi="Palatino Linotype"/>
          <w:color w:val="000000"/>
          <w:sz w:val="22"/>
          <w:szCs w:val="22"/>
        </w:rPr>
        <w:t xml:space="preserve"> per cent as the futures prices of copper decreased by 6.1 per cent</w:t>
      </w:r>
      <w:r>
        <w:rPr>
          <w:rFonts w:ascii="Palatino Linotype" w:eastAsia="Times New Roman" w:hAnsi="Palatino Linotype"/>
          <w:color w:val="000000"/>
          <w:sz w:val="22"/>
          <w:szCs w:val="22"/>
        </w:rPr>
        <w:t>.</w:t>
      </w:r>
      <w:r w:rsidRPr="009803F8">
        <w:rPr>
          <w:rFonts w:ascii="Palatino Linotype" w:eastAsia="Times New Roman" w:hAnsi="Palatino Linotype"/>
          <w:color w:val="000000"/>
          <w:sz w:val="22"/>
          <w:szCs w:val="22"/>
        </w:rPr>
        <w:t xml:space="preserve"> </w:t>
      </w:r>
    </w:p>
    <w:p w14:paraId="778A5FA1" w14:textId="24D14ECE" w:rsidR="00F418DA" w:rsidRPr="009803F8"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Pr>
          <w:rFonts w:ascii="Palatino Linotype" w:hAnsi="Palatino Linotype"/>
          <w:sz w:val="22"/>
          <w:szCs w:val="22"/>
        </w:rPr>
        <w:t xml:space="preserve">NCDEX </w:t>
      </w:r>
      <w:r w:rsidRPr="009803F8">
        <w:rPr>
          <w:rFonts w:ascii="Palatino Linotype" w:hAnsi="Palatino Linotype"/>
          <w:sz w:val="22"/>
          <w:szCs w:val="22"/>
        </w:rPr>
        <w:t xml:space="preserve">NKrishi </w:t>
      </w:r>
      <w:r w:rsidRPr="009803F8">
        <w:rPr>
          <w:rFonts w:ascii="Palatino Linotype" w:eastAsia="Times New Roman" w:hAnsi="Palatino Linotype"/>
          <w:color w:val="000000"/>
          <w:sz w:val="22"/>
          <w:szCs w:val="22"/>
        </w:rPr>
        <w:t>index</w:t>
      </w:r>
      <w:r w:rsidRPr="009803F8">
        <w:rPr>
          <w:rFonts w:ascii="Palatino Linotype" w:hAnsi="Palatino Linotype"/>
          <w:sz w:val="22"/>
          <w:szCs w:val="22"/>
        </w:rPr>
        <w:t xml:space="preserve"> decreased marginally by 0.2</w:t>
      </w:r>
      <w:r>
        <w:rPr>
          <w:rFonts w:ascii="Palatino Linotype" w:hAnsi="Palatino Linotype"/>
          <w:sz w:val="22"/>
          <w:szCs w:val="22"/>
        </w:rPr>
        <w:t xml:space="preserve"> per cent (M-o-M) </w:t>
      </w:r>
      <w:r w:rsidR="00214741">
        <w:rPr>
          <w:rFonts w:ascii="Palatino Linotype" w:hAnsi="Palatino Linotype"/>
          <w:sz w:val="22"/>
          <w:szCs w:val="22"/>
        </w:rPr>
        <w:t xml:space="preserve">on account of </w:t>
      </w:r>
      <w:r>
        <w:rPr>
          <w:rFonts w:ascii="Palatino Linotype" w:hAnsi="Palatino Linotype"/>
          <w:sz w:val="22"/>
          <w:szCs w:val="22"/>
        </w:rPr>
        <w:t>the mixed trend recorded</w:t>
      </w:r>
      <w:r w:rsidRPr="009803F8">
        <w:rPr>
          <w:rFonts w:ascii="Palatino Linotype" w:hAnsi="Palatino Linotype"/>
          <w:sz w:val="22"/>
          <w:szCs w:val="22"/>
        </w:rPr>
        <w:t xml:space="preserve"> in futures prices among its constituent commodities.  Futures prices of seven out of 10 </w:t>
      </w:r>
      <w:r w:rsidRPr="009803F8">
        <w:rPr>
          <w:rFonts w:ascii="Palatino Linotype" w:eastAsia="Times New Roman" w:hAnsi="Palatino Linotype"/>
          <w:color w:val="000000"/>
          <w:sz w:val="22"/>
          <w:szCs w:val="22"/>
        </w:rPr>
        <w:t xml:space="preserve">constituent commodities of the index viz. guarseed, RM seed, chana, turmeric, jeera, coriander and gur witnessed downtrend. On Y-o-Y basis, NKrishi index increased by 46.1 per cent. </w:t>
      </w:r>
    </w:p>
    <w:p w14:paraId="12839EC0" w14:textId="77777777" w:rsidR="00F418DA" w:rsidRPr="009803F8"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9803F8">
        <w:rPr>
          <w:rFonts w:ascii="Palatino Linotype" w:eastAsia="Times New Roman" w:hAnsi="Palatino Linotype"/>
          <w:color w:val="000000"/>
          <w:sz w:val="22"/>
          <w:szCs w:val="22"/>
        </w:rPr>
        <w:t>Movement in MCX iCOMDEX composite Index and NKrishi Index during June 2021 is given in Figure 14 and the monthly data of these indices is provided in Table 64.</w:t>
      </w:r>
    </w:p>
    <w:p w14:paraId="5E6DD795" w14:textId="77777777" w:rsidR="00F418DA" w:rsidRPr="009803F8" w:rsidRDefault="00F418DA" w:rsidP="00F418DA">
      <w:pPr>
        <w:rPr>
          <w:rFonts w:ascii="Palatino Linotype" w:eastAsia="Times New Roman" w:hAnsi="Palatino Linotype"/>
          <w:b/>
          <w:color w:val="2E74B5"/>
        </w:rPr>
      </w:pPr>
    </w:p>
    <w:p w14:paraId="36F452EF" w14:textId="77777777" w:rsidR="00F418DA" w:rsidRDefault="00F418DA" w:rsidP="00F418DA">
      <w:pPr>
        <w:pStyle w:val="ListParagraph"/>
        <w:spacing w:after="0" w:line="240" w:lineRule="auto"/>
        <w:ind w:left="0"/>
        <w:rPr>
          <w:rFonts w:ascii="Palatino Linotype" w:eastAsia="Times New Roman" w:hAnsi="Palatino Linotype"/>
          <w:b/>
          <w:sz w:val="22"/>
          <w:szCs w:val="22"/>
        </w:rPr>
      </w:pPr>
      <w:r>
        <w:rPr>
          <w:noProof/>
          <w:lang w:val="en-IN" w:eastAsia="en-IN" w:bidi="hi-IN"/>
        </w:rPr>
        <w:drawing>
          <wp:anchor distT="6096" distB="4318" distL="120396" distR="121031" simplePos="0" relativeHeight="251659264" behindDoc="0" locked="0" layoutInCell="1" allowOverlap="1" wp14:anchorId="5CBF369F" wp14:editId="2E9F4EE6">
            <wp:simplePos x="0" y="0"/>
            <wp:positionH relativeFrom="column">
              <wp:posOffset>583311</wp:posOffset>
            </wp:positionH>
            <wp:positionV relativeFrom="paragraph">
              <wp:posOffset>376301</wp:posOffset>
            </wp:positionV>
            <wp:extent cx="4570730" cy="2878455"/>
            <wp:effectExtent l="0" t="0" r="1270" b="17145"/>
            <wp:wrapTopAndBottom/>
            <wp:docPr id="20" name="Chart 2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page">
              <wp14:pctWidth>0</wp14:pctWidth>
            </wp14:sizeRelH>
            <wp14:sizeRelV relativeFrom="margin">
              <wp14:pctHeight>0</wp14:pctHeight>
            </wp14:sizeRelV>
          </wp:anchor>
        </w:drawing>
      </w:r>
      <w:r w:rsidRPr="009803F8">
        <w:rPr>
          <w:rFonts w:ascii="Palatino Linotype" w:eastAsia="Times New Roman" w:hAnsi="Palatino Linotype"/>
          <w:b/>
          <w:sz w:val="22"/>
          <w:szCs w:val="22"/>
        </w:rPr>
        <w:t>Figure 14: Movement of Commodity Derivatives Market Indices during June 2021</w:t>
      </w:r>
    </w:p>
    <w:p w14:paraId="561E7290" w14:textId="77777777" w:rsidR="00F418DA" w:rsidRPr="00DA4621" w:rsidRDefault="00F418DA" w:rsidP="00F418DA">
      <w:pPr>
        <w:pStyle w:val="ListParagraph"/>
        <w:spacing w:after="0" w:line="240" w:lineRule="auto"/>
        <w:ind w:left="142" w:hanging="142"/>
        <w:rPr>
          <w:rFonts w:ascii="Palatino Linotype" w:eastAsia="Times New Roman" w:hAnsi="Palatino Linotype"/>
          <w:b/>
          <w:color w:val="2E74B5"/>
          <w:sz w:val="22"/>
          <w:szCs w:val="22"/>
        </w:rPr>
      </w:pPr>
    </w:p>
    <w:p w14:paraId="691DF30C" w14:textId="77777777" w:rsidR="00F418DA" w:rsidRDefault="00F418DA" w:rsidP="00F418DA">
      <w:pPr>
        <w:pStyle w:val="ListParagraph"/>
        <w:spacing w:after="0" w:line="480" w:lineRule="auto"/>
        <w:ind w:left="-426"/>
        <w:rPr>
          <w:rFonts w:ascii="Palatino Linotype" w:hAnsi="Palatino Linotype" w:cs="Arial"/>
          <w:b/>
          <w:bCs/>
          <w:sz w:val="22"/>
          <w:szCs w:val="22"/>
        </w:rPr>
      </w:pPr>
      <w:r w:rsidRPr="00B92D2D">
        <w:rPr>
          <w:rFonts w:ascii="Palatino Linotype" w:hAnsi="Palatino Linotype" w:cs="Arial"/>
          <w:b/>
          <w:bCs/>
          <w:sz w:val="22"/>
          <w:szCs w:val="22"/>
        </w:rPr>
        <w:t xml:space="preserve">             </w:t>
      </w:r>
      <w:r>
        <w:rPr>
          <w:rFonts w:ascii="Palatino Linotype" w:hAnsi="Palatino Linotype" w:cs="Arial"/>
          <w:b/>
          <w:bCs/>
          <w:sz w:val="22"/>
          <w:szCs w:val="22"/>
        </w:rPr>
        <w:t xml:space="preserve">             </w:t>
      </w:r>
      <w:r w:rsidRPr="009B2971">
        <w:rPr>
          <w:rFonts w:ascii="Palatino Linotype" w:hAnsi="Palatino Linotype" w:cs="Arial"/>
          <w:b/>
          <w:bCs/>
          <w:sz w:val="18"/>
          <w:szCs w:val="18"/>
        </w:rPr>
        <w:t>Source: MCX and NCDEX</w:t>
      </w:r>
    </w:p>
    <w:p w14:paraId="3D02136A" w14:textId="77777777" w:rsidR="00F418DA" w:rsidRDefault="00F418DA" w:rsidP="00F418DA">
      <w:pPr>
        <w:pStyle w:val="ListParagraph"/>
        <w:tabs>
          <w:tab w:val="left" w:pos="3360"/>
        </w:tabs>
        <w:spacing w:after="0" w:line="480" w:lineRule="auto"/>
        <w:ind w:left="-426"/>
        <w:rPr>
          <w:rFonts w:ascii="Palatino Linotype" w:hAnsi="Palatino Linotype" w:cs="Arial"/>
          <w:b/>
          <w:bCs/>
          <w:sz w:val="22"/>
          <w:szCs w:val="22"/>
        </w:rPr>
      </w:pPr>
      <w:r>
        <w:rPr>
          <w:rFonts w:ascii="Palatino Linotype" w:hAnsi="Palatino Linotype" w:cs="Arial"/>
          <w:b/>
          <w:bCs/>
          <w:sz w:val="22"/>
          <w:szCs w:val="22"/>
        </w:rPr>
        <w:tab/>
      </w:r>
    </w:p>
    <w:p w14:paraId="13AF8D3F" w14:textId="77777777" w:rsidR="00F418DA" w:rsidRDefault="00F418DA" w:rsidP="00F418DA">
      <w:pPr>
        <w:rPr>
          <w:rFonts w:ascii="Palatino Linotype" w:hAnsi="Palatino Linotype" w:cs="Arial"/>
          <w:b/>
          <w:bCs/>
        </w:rPr>
      </w:pPr>
      <w:r>
        <w:rPr>
          <w:rFonts w:ascii="Palatino Linotype" w:hAnsi="Palatino Linotype" w:cs="Arial"/>
          <w:b/>
          <w:bCs/>
        </w:rPr>
        <w:br w:type="page"/>
      </w:r>
    </w:p>
    <w:p w14:paraId="50CA6528" w14:textId="77777777" w:rsidR="00F418DA" w:rsidRDefault="00F418DA" w:rsidP="00F418DA">
      <w:pPr>
        <w:jc w:val="both"/>
        <w:rPr>
          <w:rFonts w:ascii="Palatino Linotype" w:hAnsi="Palatino Linotype" w:cs="Arial"/>
          <w:b/>
          <w:bCs/>
        </w:rPr>
      </w:pPr>
      <w:r>
        <w:rPr>
          <w:rFonts w:ascii="Palatino Linotype" w:hAnsi="Palatino Linotype" w:cs="Arial"/>
          <w:b/>
          <w:bCs/>
        </w:rPr>
        <w:lastRenderedPageBreak/>
        <w:t xml:space="preserve">             </w:t>
      </w:r>
      <w:r w:rsidRPr="00D45369">
        <w:rPr>
          <w:rFonts w:ascii="Palatino Linotype" w:hAnsi="Palatino Linotype" w:cs="Arial"/>
          <w:b/>
          <w:bCs/>
        </w:rPr>
        <w:t>Table 4: Snapshot of Indian Commodity Derivatives Markets</w:t>
      </w:r>
    </w:p>
    <w:p w14:paraId="7F977D01" w14:textId="77777777" w:rsidR="00F418DA" w:rsidRDefault="00F418DA" w:rsidP="00F418DA">
      <w:pPr>
        <w:ind w:left="-426"/>
        <w:jc w:val="both"/>
        <w:rPr>
          <w:rFonts w:ascii="Palatino Linotype" w:hAnsi="Palatino Linotype" w:cs="Arial"/>
          <w:b/>
          <w:bCs/>
        </w:rPr>
      </w:pPr>
    </w:p>
    <w:tbl>
      <w:tblPr>
        <w:tblW w:w="8850" w:type="dxa"/>
        <w:tblInd w:w="113" w:type="dxa"/>
        <w:tblLook w:val="04A0" w:firstRow="1" w:lastRow="0" w:firstColumn="1" w:lastColumn="0" w:noHBand="0" w:noVBand="1"/>
      </w:tblPr>
      <w:tblGrid>
        <w:gridCol w:w="3100"/>
        <w:gridCol w:w="1437"/>
        <w:gridCol w:w="1437"/>
        <w:gridCol w:w="1437"/>
        <w:gridCol w:w="1439"/>
      </w:tblGrid>
      <w:tr w:rsidR="00F418DA" w:rsidRPr="004B7914" w14:paraId="0924F09D" w14:textId="77777777" w:rsidTr="00E213CE">
        <w:trPr>
          <w:trHeight w:val="667"/>
        </w:trPr>
        <w:tc>
          <w:tcPr>
            <w:tcW w:w="3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A38885" w14:textId="77777777" w:rsidR="00F418DA" w:rsidRPr="004B7914" w:rsidRDefault="00F418DA" w:rsidP="00E213CE">
            <w:pPr>
              <w:jc w:val="cente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Items</w:t>
            </w:r>
          </w:p>
        </w:tc>
        <w:tc>
          <w:tcPr>
            <w:tcW w:w="1437" w:type="dxa"/>
            <w:tcBorders>
              <w:top w:val="single" w:sz="4" w:space="0" w:color="auto"/>
              <w:left w:val="nil"/>
              <w:bottom w:val="single" w:sz="4" w:space="0" w:color="auto"/>
              <w:right w:val="single" w:sz="4" w:space="0" w:color="auto"/>
            </w:tcBorders>
            <w:shd w:val="clear" w:color="auto" w:fill="auto"/>
            <w:noWrap/>
            <w:vAlign w:val="center"/>
            <w:hideMark/>
          </w:tcPr>
          <w:p w14:paraId="29B94B95" w14:textId="77777777" w:rsidR="00F418DA" w:rsidRPr="004B7914" w:rsidRDefault="00F418DA" w:rsidP="00E213CE">
            <w:pPr>
              <w:jc w:val="center"/>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Apr-21</w:t>
            </w:r>
          </w:p>
        </w:tc>
        <w:tc>
          <w:tcPr>
            <w:tcW w:w="1437" w:type="dxa"/>
            <w:tcBorders>
              <w:top w:val="single" w:sz="4" w:space="0" w:color="auto"/>
              <w:left w:val="nil"/>
              <w:bottom w:val="single" w:sz="4" w:space="0" w:color="auto"/>
              <w:right w:val="single" w:sz="4" w:space="0" w:color="auto"/>
            </w:tcBorders>
            <w:shd w:val="clear" w:color="auto" w:fill="auto"/>
            <w:noWrap/>
            <w:vAlign w:val="center"/>
            <w:hideMark/>
          </w:tcPr>
          <w:p w14:paraId="449550F2" w14:textId="77777777" w:rsidR="00F418DA" w:rsidRPr="004B7914" w:rsidRDefault="00F418DA" w:rsidP="00E213CE">
            <w:pPr>
              <w:jc w:val="center"/>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May-21</w:t>
            </w:r>
          </w:p>
        </w:tc>
        <w:tc>
          <w:tcPr>
            <w:tcW w:w="1437" w:type="dxa"/>
            <w:tcBorders>
              <w:top w:val="single" w:sz="4" w:space="0" w:color="auto"/>
              <w:left w:val="nil"/>
              <w:bottom w:val="single" w:sz="4" w:space="0" w:color="auto"/>
              <w:right w:val="single" w:sz="4" w:space="0" w:color="auto"/>
            </w:tcBorders>
            <w:shd w:val="clear" w:color="auto" w:fill="auto"/>
            <w:noWrap/>
            <w:vAlign w:val="center"/>
            <w:hideMark/>
          </w:tcPr>
          <w:p w14:paraId="2F4F2823" w14:textId="77777777" w:rsidR="00F418DA" w:rsidRPr="004B7914" w:rsidRDefault="00F418DA" w:rsidP="00E213CE">
            <w:pPr>
              <w:jc w:val="center"/>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Jun-21</w:t>
            </w:r>
          </w:p>
        </w:tc>
        <w:tc>
          <w:tcPr>
            <w:tcW w:w="1437" w:type="dxa"/>
            <w:tcBorders>
              <w:top w:val="single" w:sz="4" w:space="0" w:color="auto"/>
              <w:left w:val="nil"/>
              <w:bottom w:val="nil"/>
              <w:right w:val="single" w:sz="4" w:space="0" w:color="auto"/>
            </w:tcBorders>
            <w:shd w:val="clear" w:color="auto" w:fill="auto"/>
            <w:vAlign w:val="center"/>
            <w:hideMark/>
          </w:tcPr>
          <w:p w14:paraId="0AC3807D" w14:textId="77777777" w:rsidR="00F418DA" w:rsidRPr="004B7914" w:rsidRDefault="00F418DA" w:rsidP="00E213CE">
            <w:pPr>
              <w:jc w:val="cente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Percentage variation    M-O-M</w:t>
            </w:r>
          </w:p>
        </w:tc>
      </w:tr>
      <w:tr w:rsidR="00F418DA" w:rsidRPr="004B7914" w14:paraId="5AE23797" w14:textId="77777777" w:rsidTr="00E213CE">
        <w:trPr>
          <w:trHeight w:val="255"/>
        </w:trPr>
        <w:tc>
          <w:tcPr>
            <w:tcW w:w="885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692F6929"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A. Indices</w:t>
            </w:r>
          </w:p>
        </w:tc>
      </w:tr>
      <w:tr w:rsidR="00F418DA" w:rsidRPr="004B7914" w14:paraId="12182E8A"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337B72B3"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D45369">
              <w:rPr>
                <w:rFonts w:ascii="Palatino Linotype" w:eastAsia="Times New Roman" w:hAnsi="Palatino Linotype" w:cs="Calibri"/>
                <w:color w:val="000000"/>
                <w:sz w:val="20"/>
                <w:szCs w:val="20"/>
                <w:lang w:val="en-IN" w:eastAsia="en-IN" w:bidi="hi-IN"/>
              </w:rPr>
              <w:t xml:space="preserve">         </w:t>
            </w:r>
            <w:r w:rsidRPr="004B7914">
              <w:rPr>
                <w:rFonts w:ascii="Palatino Linotype" w:eastAsia="Times New Roman" w:hAnsi="Palatino Linotype" w:cs="Calibri"/>
                <w:color w:val="000000"/>
                <w:sz w:val="20"/>
                <w:szCs w:val="20"/>
                <w:lang w:val="en-IN" w:eastAsia="en-IN" w:bidi="hi-IN"/>
              </w:rPr>
              <w:t>Nkrishi</w:t>
            </w:r>
          </w:p>
        </w:tc>
        <w:tc>
          <w:tcPr>
            <w:tcW w:w="1437" w:type="dxa"/>
            <w:tcBorders>
              <w:top w:val="nil"/>
              <w:left w:val="nil"/>
              <w:bottom w:val="single" w:sz="4" w:space="0" w:color="auto"/>
              <w:right w:val="single" w:sz="4" w:space="0" w:color="auto"/>
            </w:tcBorders>
            <w:shd w:val="clear" w:color="auto" w:fill="auto"/>
            <w:noWrap/>
            <w:hideMark/>
          </w:tcPr>
          <w:p w14:paraId="21EC0483"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4,711</w:t>
            </w:r>
          </w:p>
        </w:tc>
        <w:tc>
          <w:tcPr>
            <w:tcW w:w="1437" w:type="dxa"/>
            <w:tcBorders>
              <w:top w:val="nil"/>
              <w:left w:val="nil"/>
              <w:bottom w:val="single" w:sz="4" w:space="0" w:color="auto"/>
              <w:right w:val="single" w:sz="4" w:space="0" w:color="auto"/>
            </w:tcBorders>
            <w:shd w:val="clear" w:color="auto" w:fill="auto"/>
            <w:noWrap/>
            <w:hideMark/>
          </w:tcPr>
          <w:p w14:paraId="7675D401"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4,741</w:t>
            </w:r>
          </w:p>
        </w:tc>
        <w:tc>
          <w:tcPr>
            <w:tcW w:w="1437" w:type="dxa"/>
            <w:tcBorders>
              <w:top w:val="nil"/>
              <w:left w:val="nil"/>
              <w:bottom w:val="single" w:sz="4" w:space="0" w:color="auto"/>
              <w:right w:val="single" w:sz="4" w:space="0" w:color="auto"/>
            </w:tcBorders>
            <w:shd w:val="clear" w:color="auto" w:fill="auto"/>
            <w:noWrap/>
            <w:hideMark/>
          </w:tcPr>
          <w:p w14:paraId="21530FF8"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4,733</w:t>
            </w:r>
          </w:p>
        </w:tc>
        <w:tc>
          <w:tcPr>
            <w:tcW w:w="1437" w:type="dxa"/>
            <w:tcBorders>
              <w:top w:val="nil"/>
              <w:left w:val="nil"/>
              <w:bottom w:val="single" w:sz="4" w:space="0" w:color="auto"/>
              <w:right w:val="single" w:sz="4" w:space="0" w:color="auto"/>
            </w:tcBorders>
            <w:shd w:val="clear" w:color="auto" w:fill="auto"/>
            <w:vAlign w:val="center"/>
            <w:hideMark/>
          </w:tcPr>
          <w:p w14:paraId="0A985C43" w14:textId="77777777" w:rsidR="00F418DA" w:rsidRPr="004B7914" w:rsidRDefault="00F418DA" w:rsidP="00E213CE">
            <w:pPr>
              <w:jc w:val="right"/>
              <w:rPr>
                <w:rFonts w:ascii="Palatino Linotype" w:eastAsia="Times New Roman" w:hAnsi="Palatino Linotype" w:cs="Calibri"/>
                <w:i/>
                <w:iCs/>
                <w:color w:val="000000"/>
                <w:sz w:val="20"/>
                <w:szCs w:val="20"/>
                <w:lang w:val="en-IN" w:eastAsia="en-IN" w:bidi="hi-IN"/>
              </w:rPr>
            </w:pPr>
            <w:r w:rsidRPr="004B7914">
              <w:rPr>
                <w:rFonts w:ascii="Palatino Linotype" w:eastAsia="Times New Roman" w:hAnsi="Palatino Linotype" w:cs="Calibri"/>
                <w:i/>
                <w:iCs/>
                <w:color w:val="000000"/>
                <w:sz w:val="20"/>
                <w:szCs w:val="20"/>
                <w:lang w:val="en-IN" w:eastAsia="en-IN" w:bidi="hi-IN"/>
              </w:rPr>
              <w:t>-0.2</w:t>
            </w:r>
          </w:p>
        </w:tc>
      </w:tr>
      <w:tr w:rsidR="00F418DA" w:rsidRPr="004B7914" w14:paraId="21D93777"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44BE2073"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D45369">
              <w:rPr>
                <w:rFonts w:ascii="Palatino Linotype" w:eastAsia="Times New Roman" w:hAnsi="Palatino Linotype" w:cs="Calibri"/>
                <w:color w:val="000000"/>
                <w:sz w:val="20"/>
                <w:szCs w:val="20"/>
                <w:lang w:val="en-IN" w:eastAsia="en-IN" w:bidi="hi-IN"/>
              </w:rPr>
              <w:t xml:space="preserve">         </w:t>
            </w:r>
            <w:r w:rsidRPr="004B7914">
              <w:rPr>
                <w:rFonts w:ascii="Palatino Linotype" w:eastAsia="Times New Roman" w:hAnsi="Palatino Linotype" w:cs="Calibri"/>
                <w:color w:val="000000"/>
                <w:sz w:val="20"/>
                <w:szCs w:val="20"/>
                <w:lang w:val="en-IN" w:eastAsia="en-IN" w:bidi="hi-IN"/>
              </w:rPr>
              <w:t>MCX iCOMDEX</w:t>
            </w:r>
          </w:p>
        </w:tc>
        <w:tc>
          <w:tcPr>
            <w:tcW w:w="1437" w:type="dxa"/>
            <w:tcBorders>
              <w:top w:val="nil"/>
              <w:left w:val="nil"/>
              <w:bottom w:val="single" w:sz="4" w:space="0" w:color="auto"/>
              <w:right w:val="single" w:sz="4" w:space="0" w:color="auto"/>
            </w:tcBorders>
            <w:shd w:val="clear" w:color="auto" w:fill="auto"/>
            <w:noWrap/>
            <w:hideMark/>
          </w:tcPr>
          <w:p w14:paraId="4CEFBE15"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11,127</w:t>
            </w:r>
          </w:p>
        </w:tc>
        <w:tc>
          <w:tcPr>
            <w:tcW w:w="1437" w:type="dxa"/>
            <w:tcBorders>
              <w:top w:val="nil"/>
              <w:left w:val="nil"/>
              <w:bottom w:val="single" w:sz="4" w:space="0" w:color="auto"/>
              <w:right w:val="single" w:sz="4" w:space="0" w:color="auto"/>
            </w:tcBorders>
            <w:shd w:val="clear" w:color="auto" w:fill="auto"/>
            <w:noWrap/>
            <w:hideMark/>
          </w:tcPr>
          <w:p w14:paraId="245C1175"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11,457</w:t>
            </w:r>
          </w:p>
        </w:tc>
        <w:tc>
          <w:tcPr>
            <w:tcW w:w="1437" w:type="dxa"/>
            <w:tcBorders>
              <w:top w:val="nil"/>
              <w:left w:val="nil"/>
              <w:bottom w:val="single" w:sz="4" w:space="0" w:color="auto"/>
              <w:right w:val="single" w:sz="4" w:space="0" w:color="auto"/>
            </w:tcBorders>
            <w:shd w:val="clear" w:color="auto" w:fill="auto"/>
            <w:noWrap/>
            <w:hideMark/>
          </w:tcPr>
          <w:p w14:paraId="7B168992"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11,313</w:t>
            </w:r>
          </w:p>
        </w:tc>
        <w:tc>
          <w:tcPr>
            <w:tcW w:w="1437" w:type="dxa"/>
            <w:tcBorders>
              <w:top w:val="nil"/>
              <w:left w:val="nil"/>
              <w:bottom w:val="single" w:sz="4" w:space="0" w:color="auto"/>
              <w:right w:val="single" w:sz="4" w:space="0" w:color="auto"/>
            </w:tcBorders>
            <w:shd w:val="clear" w:color="auto" w:fill="auto"/>
            <w:vAlign w:val="center"/>
            <w:hideMark/>
          </w:tcPr>
          <w:p w14:paraId="2AA89E9A" w14:textId="77777777" w:rsidR="00F418DA" w:rsidRPr="004B7914" w:rsidRDefault="00F418DA" w:rsidP="00E213CE">
            <w:pPr>
              <w:jc w:val="right"/>
              <w:rPr>
                <w:rFonts w:ascii="Palatino Linotype" w:eastAsia="Times New Roman" w:hAnsi="Palatino Linotype" w:cs="Calibri"/>
                <w:i/>
                <w:iCs/>
                <w:color w:val="000000"/>
                <w:sz w:val="20"/>
                <w:szCs w:val="20"/>
                <w:lang w:val="en-IN" w:eastAsia="en-IN" w:bidi="hi-IN"/>
              </w:rPr>
            </w:pPr>
            <w:r w:rsidRPr="004B7914">
              <w:rPr>
                <w:rFonts w:ascii="Palatino Linotype" w:eastAsia="Times New Roman" w:hAnsi="Palatino Linotype" w:cs="Calibri"/>
                <w:i/>
                <w:iCs/>
                <w:color w:val="000000"/>
                <w:sz w:val="20"/>
                <w:szCs w:val="20"/>
                <w:lang w:val="en-IN" w:eastAsia="en-IN" w:bidi="hi-IN"/>
              </w:rPr>
              <w:t>-1.3</w:t>
            </w:r>
          </w:p>
        </w:tc>
      </w:tr>
      <w:tr w:rsidR="00F418DA" w:rsidRPr="004B7914" w14:paraId="78516004" w14:textId="77777777" w:rsidTr="00E213CE">
        <w:trPr>
          <w:trHeight w:val="255"/>
        </w:trPr>
        <w:tc>
          <w:tcPr>
            <w:tcW w:w="8850"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25318894"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B. Turnover (</w:t>
            </w:r>
            <w:r w:rsidRPr="004B7914">
              <w:rPr>
                <w:rFonts w:ascii="Times New Roman" w:eastAsia="Times New Roman" w:hAnsi="Times New Roman"/>
                <w:b/>
                <w:bCs/>
                <w:color w:val="000000"/>
                <w:sz w:val="20"/>
                <w:szCs w:val="20"/>
                <w:lang w:val="en-IN" w:eastAsia="en-IN" w:bidi="hi-IN"/>
              </w:rPr>
              <w:t>₹</w:t>
            </w:r>
            <w:r w:rsidRPr="004B7914">
              <w:rPr>
                <w:rFonts w:ascii="Palatino Linotype" w:eastAsia="Times New Roman" w:hAnsi="Palatino Linotype" w:cs="Calibri"/>
                <w:b/>
                <w:bCs/>
                <w:color w:val="000000"/>
                <w:sz w:val="20"/>
                <w:szCs w:val="20"/>
                <w:lang w:val="en-IN" w:eastAsia="en-IN" w:bidi="hi-IN"/>
              </w:rPr>
              <w:t>crore)</w:t>
            </w:r>
          </w:p>
        </w:tc>
      </w:tr>
      <w:tr w:rsidR="00F418DA" w:rsidRPr="004B7914" w14:paraId="22616CFF" w14:textId="77777777" w:rsidTr="00E213CE">
        <w:trPr>
          <w:trHeight w:val="255"/>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64DD79E1"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All-India</w:t>
            </w:r>
          </w:p>
        </w:tc>
        <w:tc>
          <w:tcPr>
            <w:tcW w:w="1437" w:type="dxa"/>
            <w:tcBorders>
              <w:top w:val="nil"/>
              <w:left w:val="nil"/>
              <w:bottom w:val="single" w:sz="4" w:space="0" w:color="auto"/>
              <w:right w:val="single" w:sz="4" w:space="0" w:color="auto"/>
            </w:tcBorders>
            <w:shd w:val="clear" w:color="auto" w:fill="auto"/>
            <w:noWrap/>
            <w:hideMark/>
          </w:tcPr>
          <w:p w14:paraId="1F999378"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6,91,011</w:t>
            </w:r>
          </w:p>
        </w:tc>
        <w:tc>
          <w:tcPr>
            <w:tcW w:w="1437" w:type="dxa"/>
            <w:tcBorders>
              <w:top w:val="nil"/>
              <w:left w:val="nil"/>
              <w:bottom w:val="single" w:sz="4" w:space="0" w:color="auto"/>
              <w:right w:val="single" w:sz="4" w:space="0" w:color="auto"/>
            </w:tcBorders>
            <w:shd w:val="clear" w:color="auto" w:fill="auto"/>
            <w:noWrap/>
            <w:hideMark/>
          </w:tcPr>
          <w:p w14:paraId="61BB1731"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8,22,176</w:t>
            </w:r>
          </w:p>
        </w:tc>
        <w:tc>
          <w:tcPr>
            <w:tcW w:w="1437" w:type="dxa"/>
            <w:tcBorders>
              <w:top w:val="nil"/>
              <w:left w:val="nil"/>
              <w:bottom w:val="single" w:sz="4" w:space="0" w:color="auto"/>
              <w:right w:val="single" w:sz="4" w:space="0" w:color="auto"/>
            </w:tcBorders>
            <w:shd w:val="clear" w:color="auto" w:fill="auto"/>
            <w:noWrap/>
            <w:hideMark/>
          </w:tcPr>
          <w:p w14:paraId="6175A045"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7,53,505</w:t>
            </w:r>
          </w:p>
        </w:tc>
        <w:tc>
          <w:tcPr>
            <w:tcW w:w="1437" w:type="dxa"/>
            <w:tcBorders>
              <w:top w:val="nil"/>
              <w:left w:val="nil"/>
              <w:bottom w:val="single" w:sz="4" w:space="0" w:color="auto"/>
              <w:right w:val="single" w:sz="4" w:space="0" w:color="auto"/>
            </w:tcBorders>
            <w:shd w:val="clear" w:color="auto" w:fill="auto"/>
            <w:noWrap/>
            <w:hideMark/>
          </w:tcPr>
          <w:p w14:paraId="78925F5D"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-8.4</w:t>
            </w:r>
          </w:p>
        </w:tc>
      </w:tr>
      <w:tr w:rsidR="00F418DA" w:rsidRPr="004B7914" w14:paraId="60200993" w14:textId="77777777" w:rsidTr="00E213CE">
        <w:trPr>
          <w:trHeight w:val="255"/>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0E9F3002"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MCX, of which</w:t>
            </w:r>
          </w:p>
        </w:tc>
        <w:tc>
          <w:tcPr>
            <w:tcW w:w="1437" w:type="dxa"/>
            <w:tcBorders>
              <w:top w:val="nil"/>
              <w:left w:val="nil"/>
              <w:bottom w:val="single" w:sz="4" w:space="0" w:color="auto"/>
              <w:right w:val="single" w:sz="4" w:space="0" w:color="auto"/>
            </w:tcBorders>
            <w:shd w:val="clear" w:color="auto" w:fill="auto"/>
            <w:noWrap/>
            <w:hideMark/>
          </w:tcPr>
          <w:p w14:paraId="0C016724"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5,67,936</w:t>
            </w:r>
          </w:p>
        </w:tc>
        <w:tc>
          <w:tcPr>
            <w:tcW w:w="1437" w:type="dxa"/>
            <w:tcBorders>
              <w:top w:val="nil"/>
              <w:left w:val="nil"/>
              <w:bottom w:val="single" w:sz="4" w:space="0" w:color="auto"/>
              <w:right w:val="single" w:sz="4" w:space="0" w:color="auto"/>
            </w:tcBorders>
            <w:shd w:val="clear" w:color="auto" w:fill="auto"/>
            <w:noWrap/>
            <w:hideMark/>
          </w:tcPr>
          <w:p w14:paraId="2CDE7C36"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7,09,903</w:t>
            </w:r>
          </w:p>
        </w:tc>
        <w:tc>
          <w:tcPr>
            <w:tcW w:w="1437" w:type="dxa"/>
            <w:tcBorders>
              <w:top w:val="nil"/>
              <w:left w:val="nil"/>
              <w:bottom w:val="single" w:sz="4" w:space="0" w:color="auto"/>
              <w:right w:val="single" w:sz="4" w:space="0" w:color="auto"/>
            </w:tcBorders>
            <w:shd w:val="clear" w:color="auto" w:fill="auto"/>
            <w:noWrap/>
            <w:hideMark/>
          </w:tcPr>
          <w:p w14:paraId="6E4FFCEE"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6,37,698</w:t>
            </w:r>
          </w:p>
        </w:tc>
        <w:tc>
          <w:tcPr>
            <w:tcW w:w="1437" w:type="dxa"/>
            <w:tcBorders>
              <w:top w:val="nil"/>
              <w:left w:val="nil"/>
              <w:bottom w:val="single" w:sz="4" w:space="0" w:color="auto"/>
              <w:right w:val="single" w:sz="4" w:space="0" w:color="auto"/>
            </w:tcBorders>
            <w:shd w:val="clear" w:color="auto" w:fill="auto"/>
            <w:noWrap/>
            <w:hideMark/>
          </w:tcPr>
          <w:p w14:paraId="0DA72416"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-10.2</w:t>
            </w:r>
          </w:p>
        </w:tc>
      </w:tr>
      <w:tr w:rsidR="00F418DA" w:rsidRPr="004B7914" w14:paraId="656B5A94"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481C4556"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Futures</w:t>
            </w:r>
          </w:p>
        </w:tc>
        <w:tc>
          <w:tcPr>
            <w:tcW w:w="1437" w:type="dxa"/>
            <w:tcBorders>
              <w:top w:val="nil"/>
              <w:left w:val="nil"/>
              <w:bottom w:val="single" w:sz="4" w:space="0" w:color="auto"/>
              <w:right w:val="single" w:sz="4" w:space="0" w:color="auto"/>
            </w:tcBorders>
            <w:shd w:val="clear" w:color="auto" w:fill="auto"/>
            <w:noWrap/>
            <w:hideMark/>
          </w:tcPr>
          <w:p w14:paraId="7F9CD486"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5,38,190</w:t>
            </w:r>
          </w:p>
        </w:tc>
        <w:tc>
          <w:tcPr>
            <w:tcW w:w="1437" w:type="dxa"/>
            <w:tcBorders>
              <w:top w:val="nil"/>
              <w:left w:val="nil"/>
              <w:bottom w:val="single" w:sz="4" w:space="0" w:color="auto"/>
              <w:right w:val="single" w:sz="4" w:space="0" w:color="auto"/>
            </w:tcBorders>
            <w:shd w:val="clear" w:color="auto" w:fill="auto"/>
            <w:noWrap/>
            <w:hideMark/>
          </w:tcPr>
          <w:p w14:paraId="3E92022E"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6,68,166</w:t>
            </w:r>
          </w:p>
        </w:tc>
        <w:tc>
          <w:tcPr>
            <w:tcW w:w="1437" w:type="dxa"/>
            <w:tcBorders>
              <w:top w:val="nil"/>
              <w:left w:val="nil"/>
              <w:bottom w:val="single" w:sz="4" w:space="0" w:color="auto"/>
              <w:right w:val="single" w:sz="4" w:space="0" w:color="auto"/>
            </w:tcBorders>
            <w:shd w:val="clear" w:color="auto" w:fill="auto"/>
            <w:noWrap/>
            <w:hideMark/>
          </w:tcPr>
          <w:p w14:paraId="026A6EF7"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5,87,599</w:t>
            </w:r>
          </w:p>
        </w:tc>
        <w:tc>
          <w:tcPr>
            <w:tcW w:w="1437" w:type="dxa"/>
            <w:tcBorders>
              <w:top w:val="nil"/>
              <w:left w:val="nil"/>
              <w:bottom w:val="single" w:sz="4" w:space="0" w:color="auto"/>
              <w:right w:val="single" w:sz="4" w:space="0" w:color="auto"/>
            </w:tcBorders>
            <w:shd w:val="clear" w:color="auto" w:fill="auto"/>
            <w:noWrap/>
            <w:hideMark/>
          </w:tcPr>
          <w:p w14:paraId="482F9B73"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-12.1</w:t>
            </w:r>
          </w:p>
        </w:tc>
      </w:tr>
      <w:tr w:rsidR="00F418DA" w:rsidRPr="004B7914" w14:paraId="68EBE341"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627EBB67"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Options</w:t>
            </w:r>
          </w:p>
        </w:tc>
        <w:tc>
          <w:tcPr>
            <w:tcW w:w="1437" w:type="dxa"/>
            <w:tcBorders>
              <w:top w:val="nil"/>
              <w:left w:val="nil"/>
              <w:bottom w:val="single" w:sz="4" w:space="0" w:color="auto"/>
              <w:right w:val="single" w:sz="4" w:space="0" w:color="auto"/>
            </w:tcBorders>
            <w:shd w:val="clear" w:color="auto" w:fill="auto"/>
            <w:noWrap/>
            <w:hideMark/>
          </w:tcPr>
          <w:p w14:paraId="32E83DE1"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29,746</w:t>
            </w:r>
          </w:p>
        </w:tc>
        <w:tc>
          <w:tcPr>
            <w:tcW w:w="1437" w:type="dxa"/>
            <w:tcBorders>
              <w:top w:val="nil"/>
              <w:left w:val="nil"/>
              <w:bottom w:val="single" w:sz="4" w:space="0" w:color="auto"/>
              <w:right w:val="single" w:sz="4" w:space="0" w:color="auto"/>
            </w:tcBorders>
            <w:shd w:val="clear" w:color="auto" w:fill="auto"/>
            <w:noWrap/>
            <w:hideMark/>
          </w:tcPr>
          <w:p w14:paraId="129AA3F4"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41,738</w:t>
            </w:r>
          </w:p>
        </w:tc>
        <w:tc>
          <w:tcPr>
            <w:tcW w:w="1437" w:type="dxa"/>
            <w:tcBorders>
              <w:top w:val="nil"/>
              <w:left w:val="nil"/>
              <w:bottom w:val="single" w:sz="4" w:space="0" w:color="auto"/>
              <w:right w:val="single" w:sz="4" w:space="0" w:color="auto"/>
            </w:tcBorders>
            <w:shd w:val="clear" w:color="auto" w:fill="auto"/>
            <w:noWrap/>
            <w:hideMark/>
          </w:tcPr>
          <w:p w14:paraId="5190787E"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50,099</w:t>
            </w:r>
          </w:p>
        </w:tc>
        <w:tc>
          <w:tcPr>
            <w:tcW w:w="1437" w:type="dxa"/>
            <w:tcBorders>
              <w:top w:val="nil"/>
              <w:left w:val="nil"/>
              <w:bottom w:val="single" w:sz="4" w:space="0" w:color="auto"/>
              <w:right w:val="single" w:sz="4" w:space="0" w:color="auto"/>
            </w:tcBorders>
            <w:shd w:val="clear" w:color="auto" w:fill="auto"/>
            <w:noWrap/>
            <w:hideMark/>
          </w:tcPr>
          <w:p w14:paraId="2E6B6419"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20.0</w:t>
            </w:r>
          </w:p>
        </w:tc>
      </w:tr>
      <w:tr w:rsidR="00F418DA" w:rsidRPr="004B7914" w14:paraId="3C84175E" w14:textId="77777777" w:rsidTr="00E213CE">
        <w:trPr>
          <w:trHeight w:val="255"/>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3C7A1C17"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BSE, of which</w:t>
            </w:r>
          </w:p>
        </w:tc>
        <w:tc>
          <w:tcPr>
            <w:tcW w:w="1437" w:type="dxa"/>
            <w:tcBorders>
              <w:top w:val="nil"/>
              <w:left w:val="nil"/>
              <w:bottom w:val="single" w:sz="4" w:space="0" w:color="auto"/>
              <w:right w:val="single" w:sz="4" w:space="0" w:color="auto"/>
            </w:tcBorders>
            <w:shd w:val="clear" w:color="auto" w:fill="auto"/>
            <w:noWrap/>
            <w:hideMark/>
          </w:tcPr>
          <w:p w14:paraId="33947247"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66,275</w:t>
            </w:r>
          </w:p>
        </w:tc>
        <w:tc>
          <w:tcPr>
            <w:tcW w:w="1437" w:type="dxa"/>
            <w:tcBorders>
              <w:top w:val="nil"/>
              <w:left w:val="nil"/>
              <w:bottom w:val="single" w:sz="4" w:space="0" w:color="auto"/>
              <w:right w:val="single" w:sz="4" w:space="0" w:color="auto"/>
            </w:tcBorders>
            <w:shd w:val="clear" w:color="auto" w:fill="auto"/>
            <w:noWrap/>
            <w:hideMark/>
          </w:tcPr>
          <w:p w14:paraId="60F0D20D"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68,167</w:t>
            </w:r>
          </w:p>
        </w:tc>
        <w:tc>
          <w:tcPr>
            <w:tcW w:w="1437" w:type="dxa"/>
            <w:tcBorders>
              <w:top w:val="nil"/>
              <w:left w:val="nil"/>
              <w:bottom w:val="single" w:sz="4" w:space="0" w:color="auto"/>
              <w:right w:val="single" w:sz="4" w:space="0" w:color="auto"/>
            </w:tcBorders>
            <w:shd w:val="clear" w:color="auto" w:fill="auto"/>
            <w:noWrap/>
            <w:hideMark/>
          </w:tcPr>
          <w:p w14:paraId="11B728C6"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71,872</w:t>
            </w:r>
          </w:p>
        </w:tc>
        <w:tc>
          <w:tcPr>
            <w:tcW w:w="1437" w:type="dxa"/>
            <w:tcBorders>
              <w:top w:val="nil"/>
              <w:left w:val="nil"/>
              <w:bottom w:val="single" w:sz="4" w:space="0" w:color="auto"/>
              <w:right w:val="single" w:sz="4" w:space="0" w:color="auto"/>
            </w:tcBorders>
            <w:shd w:val="clear" w:color="auto" w:fill="auto"/>
            <w:noWrap/>
            <w:hideMark/>
          </w:tcPr>
          <w:p w14:paraId="3AA3E48F"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5.4</w:t>
            </w:r>
          </w:p>
        </w:tc>
      </w:tr>
      <w:tr w:rsidR="00F418DA" w:rsidRPr="004B7914" w14:paraId="757795EE"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32814DB0"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Futures</w:t>
            </w:r>
          </w:p>
        </w:tc>
        <w:tc>
          <w:tcPr>
            <w:tcW w:w="1437" w:type="dxa"/>
            <w:tcBorders>
              <w:top w:val="nil"/>
              <w:left w:val="nil"/>
              <w:bottom w:val="single" w:sz="4" w:space="0" w:color="auto"/>
              <w:right w:val="single" w:sz="4" w:space="0" w:color="auto"/>
            </w:tcBorders>
            <w:shd w:val="clear" w:color="auto" w:fill="auto"/>
            <w:noWrap/>
            <w:hideMark/>
          </w:tcPr>
          <w:p w14:paraId="258E18EE"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185</w:t>
            </w:r>
          </w:p>
        </w:tc>
        <w:tc>
          <w:tcPr>
            <w:tcW w:w="1437" w:type="dxa"/>
            <w:tcBorders>
              <w:top w:val="nil"/>
              <w:left w:val="nil"/>
              <w:bottom w:val="single" w:sz="4" w:space="0" w:color="auto"/>
              <w:right w:val="single" w:sz="4" w:space="0" w:color="auto"/>
            </w:tcBorders>
            <w:shd w:val="clear" w:color="auto" w:fill="auto"/>
            <w:noWrap/>
            <w:hideMark/>
          </w:tcPr>
          <w:p w14:paraId="575F1A95"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195</w:t>
            </w:r>
          </w:p>
        </w:tc>
        <w:tc>
          <w:tcPr>
            <w:tcW w:w="1437" w:type="dxa"/>
            <w:tcBorders>
              <w:top w:val="nil"/>
              <w:left w:val="nil"/>
              <w:bottom w:val="single" w:sz="4" w:space="0" w:color="auto"/>
              <w:right w:val="single" w:sz="4" w:space="0" w:color="auto"/>
            </w:tcBorders>
            <w:shd w:val="clear" w:color="auto" w:fill="auto"/>
            <w:noWrap/>
            <w:hideMark/>
          </w:tcPr>
          <w:p w14:paraId="768BA1D7"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239</w:t>
            </w:r>
          </w:p>
        </w:tc>
        <w:tc>
          <w:tcPr>
            <w:tcW w:w="1437" w:type="dxa"/>
            <w:tcBorders>
              <w:top w:val="nil"/>
              <w:left w:val="nil"/>
              <w:bottom w:val="single" w:sz="4" w:space="0" w:color="auto"/>
              <w:right w:val="single" w:sz="4" w:space="0" w:color="auto"/>
            </w:tcBorders>
            <w:shd w:val="clear" w:color="auto" w:fill="auto"/>
            <w:noWrap/>
            <w:hideMark/>
          </w:tcPr>
          <w:p w14:paraId="65CC9B88"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22.3</w:t>
            </w:r>
          </w:p>
        </w:tc>
      </w:tr>
      <w:tr w:rsidR="00F418DA" w:rsidRPr="004B7914" w14:paraId="59775F1A"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07BFD063"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Options</w:t>
            </w:r>
          </w:p>
        </w:tc>
        <w:tc>
          <w:tcPr>
            <w:tcW w:w="1437" w:type="dxa"/>
            <w:tcBorders>
              <w:top w:val="nil"/>
              <w:left w:val="nil"/>
              <w:bottom w:val="single" w:sz="4" w:space="0" w:color="auto"/>
              <w:right w:val="single" w:sz="4" w:space="0" w:color="auto"/>
            </w:tcBorders>
            <w:shd w:val="clear" w:color="auto" w:fill="auto"/>
            <w:noWrap/>
            <w:hideMark/>
          </w:tcPr>
          <w:p w14:paraId="64AA226E"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66,089</w:t>
            </w:r>
          </w:p>
        </w:tc>
        <w:tc>
          <w:tcPr>
            <w:tcW w:w="1437" w:type="dxa"/>
            <w:tcBorders>
              <w:top w:val="nil"/>
              <w:left w:val="nil"/>
              <w:bottom w:val="single" w:sz="4" w:space="0" w:color="auto"/>
              <w:right w:val="single" w:sz="4" w:space="0" w:color="auto"/>
            </w:tcBorders>
            <w:shd w:val="clear" w:color="auto" w:fill="auto"/>
            <w:noWrap/>
            <w:hideMark/>
          </w:tcPr>
          <w:p w14:paraId="6DF7C633"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67,972</w:t>
            </w:r>
          </w:p>
        </w:tc>
        <w:tc>
          <w:tcPr>
            <w:tcW w:w="1437" w:type="dxa"/>
            <w:tcBorders>
              <w:top w:val="nil"/>
              <w:left w:val="nil"/>
              <w:bottom w:val="single" w:sz="4" w:space="0" w:color="auto"/>
              <w:right w:val="single" w:sz="4" w:space="0" w:color="auto"/>
            </w:tcBorders>
            <w:shd w:val="clear" w:color="auto" w:fill="auto"/>
            <w:noWrap/>
            <w:hideMark/>
          </w:tcPr>
          <w:p w14:paraId="557B967A"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71,633</w:t>
            </w:r>
          </w:p>
        </w:tc>
        <w:tc>
          <w:tcPr>
            <w:tcW w:w="1437" w:type="dxa"/>
            <w:tcBorders>
              <w:top w:val="nil"/>
              <w:left w:val="nil"/>
              <w:bottom w:val="single" w:sz="4" w:space="0" w:color="auto"/>
              <w:right w:val="single" w:sz="4" w:space="0" w:color="auto"/>
            </w:tcBorders>
            <w:shd w:val="clear" w:color="auto" w:fill="auto"/>
            <w:noWrap/>
            <w:hideMark/>
          </w:tcPr>
          <w:p w14:paraId="01489B38"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5.4</w:t>
            </w:r>
          </w:p>
        </w:tc>
      </w:tr>
      <w:tr w:rsidR="00F418DA" w:rsidRPr="004B7914" w14:paraId="1FE81A4E" w14:textId="77777777" w:rsidTr="00E213CE">
        <w:trPr>
          <w:trHeight w:val="255"/>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53884548"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NCDEX, of which</w:t>
            </w:r>
          </w:p>
        </w:tc>
        <w:tc>
          <w:tcPr>
            <w:tcW w:w="1437" w:type="dxa"/>
            <w:tcBorders>
              <w:top w:val="nil"/>
              <w:left w:val="nil"/>
              <w:bottom w:val="single" w:sz="4" w:space="0" w:color="auto"/>
              <w:right w:val="single" w:sz="4" w:space="0" w:color="auto"/>
            </w:tcBorders>
            <w:shd w:val="clear" w:color="auto" w:fill="auto"/>
            <w:noWrap/>
            <w:hideMark/>
          </w:tcPr>
          <w:p w14:paraId="2DD6C27C"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55,231</w:t>
            </w:r>
          </w:p>
        </w:tc>
        <w:tc>
          <w:tcPr>
            <w:tcW w:w="1437" w:type="dxa"/>
            <w:tcBorders>
              <w:top w:val="nil"/>
              <w:left w:val="nil"/>
              <w:bottom w:val="single" w:sz="4" w:space="0" w:color="auto"/>
              <w:right w:val="single" w:sz="4" w:space="0" w:color="auto"/>
            </w:tcBorders>
            <w:shd w:val="clear" w:color="auto" w:fill="auto"/>
            <w:noWrap/>
            <w:hideMark/>
          </w:tcPr>
          <w:p w14:paraId="22EFD508"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42,923</w:t>
            </w:r>
          </w:p>
        </w:tc>
        <w:tc>
          <w:tcPr>
            <w:tcW w:w="1437" w:type="dxa"/>
            <w:tcBorders>
              <w:top w:val="nil"/>
              <w:left w:val="nil"/>
              <w:bottom w:val="single" w:sz="4" w:space="0" w:color="auto"/>
              <w:right w:val="single" w:sz="4" w:space="0" w:color="auto"/>
            </w:tcBorders>
            <w:shd w:val="clear" w:color="auto" w:fill="auto"/>
            <w:noWrap/>
            <w:hideMark/>
          </w:tcPr>
          <w:p w14:paraId="65CC6068"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42,786</w:t>
            </w:r>
          </w:p>
        </w:tc>
        <w:tc>
          <w:tcPr>
            <w:tcW w:w="1437" w:type="dxa"/>
            <w:tcBorders>
              <w:top w:val="nil"/>
              <w:left w:val="nil"/>
              <w:bottom w:val="single" w:sz="4" w:space="0" w:color="auto"/>
              <w:right w:val="single" w:sz="4" w:space="0" w:color="auto"/>
            </w:tcBorders>
            <w:shd w:val="clear" w:color="auto" w:fill="auto"/>
            <w:noWrap/>
            <w:hideMark/>
          </w:tcPr>
          <w:p w14:paraId="6C9B6113"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-0.3</w:t>
            </w:r>
          </w:p>
        </w:tc>
      </w:tr>
      <w:tr w:rsidR="00F418DA" w:rsidRPr="004B7914" w14:paraId="106A6C71"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2645D451"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Futures</w:t>
            </w:r>
          </w:p>
        </w:tc>
        <w:tc>
          <w:tcPr>
            <w:tcW w:w="1437" w:type="dxa"/>
            <w:tcBorders>
              <w:top w:val="nil"/>
              <w:left w:val="nil"/>
              <w:bottom w:val="single" w:sz="4" w:space="0" w:color="auto"/>
              <w:right w:val="single" w:sz="4" w:space="0" w:color="auto"/>
            </w:tcBorders>
            <w:shd w:val="clear" w:color="auto" w:fill="auto"/>
            <w:noWrap/>
            <w:hideMark/>
          </w:tcPr>
          <w:p w14:paraId="5FEEE0D2"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55,197</w:t>
            </w:r>
          </w:p>
        </w:tc>
        <w:tc>
          <w:tcPr>
            <w:tcW w:w="1437" w:type="dxa"/>
            <w:tcBorders>
              <w:top w:val="nil"/>
              <w:left w:val="nil"/>
              <w:bottom w:val="single" w:sz="4" w:space="0" w:color="auto"/>
              <w:right w:val="single" w:sz="4" w:space="0" w:color="auto"/>
            </w:tcBorders>
            <w:shd w:val="clear" w:color="auto" w:fill="auto"/>
            <w:noWrap/>
            <w:hideMark/>
          </w:tcPr>
          <w:p w14:paraId="6A33B75F"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42,920</w:t>
            </w:r>
          </w:p>
        </w:tc>
        <w:tc>
          <w:tcPr>
            <w:tcW w:w="1437" w:type="dxa"/>
            <w:tcBorders>
              <w:top w:val="nil"/>
              <w:left w:val="nil"/>
              <w:bottom w:val="single" w:sz="4" w:space="0" w:color="auto"/>
              <w:right w:val="single" w:sz="4" w:space="0" w:color="auto"/>
            </w:tcBorders>
            <w:shd w:val="clear" w:color="auto" w:fill="auto"/>
            <w:noWrap/>
            <w:hideMark/>
          </w:tcPr>
          <w:p w14:paraId="5D0EA49B"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42,777</w:t>
            </w:r>
          </w:p>
        </w:tc>
        <w:tc>
          <w:tcPr>
            <w:tcW w:w="1437" w:type="dxa"/>
            <w:tcBorders>
              <w:top w:val="nil"/>
              <w:left w:val="nil"/>
              <w:bottom w:val="single" w:sz="4" w:space="0" w:color="auto"/>
              <w:right w:val="single" w:sz="4" w:space="0" w:color="auto"/>
            </w:tcBorders>
            <w:shd w:val="clear" w:color="auto" w:fill="auto"/>
            <w:noWrap/>
            <w:hideMark/>
          </w:tcPr>
          <w:p w14:paraId="15CDBA22"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-0.3</w:t>
            </w:r>
          </w:p>
        </w:tc>
      </w:tr>
      <w:tr w:rsidR="00F418DA" w:rsidRPr="004B7914" w14:paraId="2264D012"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5DCEE678"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Options</w:t>
            </w:r>
          </w:p>
        </w:tc>
        <w:tc>
          <w:tcPr>
            <w:tcW w:w="1437" w:type="dxa"/>
            <w:tcBorders>
              <w:top w:val="nil"/>
              <w:left w:val="nil"/>
              <w:bottom w:val="single" w:sz="4" w:space="0" w:color="auto"/>
              <w:right w:val="single" w:sz="4" w:space="0" w:color="auto"/>
            </w:tcBorders>
            <w:shd w:val="clear" w:color="auto" w:fill="auto"/>
            <w:noWrap/>
            <w:hideMark/>
          </w:tcPr>
          <w:p w14:paraId="656C6501"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35</w:t>
            </w:r>
          </w:p>
        </w:tc>
        <w:tc>
          <w:tcPr>
            <w:tcW w:w="1437" w:type="dxa"/>
            <w:tcBorders>
              <w:top w:val="nil"/>
              <w:left w:val="nil"/>
              <w:bottom w:val="single" w:sz="4" w:space="0" w:color="auto"/>
              <w:right w:val="single" w:sz="4" w:space="0" w:color="auto"/>
            </w:tcBorders>
            <w:shd w:val="clear" w:color="auto" w:fill="auto"/>
            <w:noWrap/>
            <w:hideMark/>
          </w:tcPr>
          <w:p w14:paraId="0A6BC849"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3</w:t>
            </w:r>
          </w:p>
        </w:tc>
        <w:tc>
          <w:tcPr>
            <w:tcW w:w="1437" w:type="dxa"/>
            <w:tcBorders>
              <w:top w:val="nil"/>
              <w:left w:val="nil"/>
              <w:bottom w:val="single" w:sz="4" w:space="0" w:color="auto"/>
              <w:right w:val="single" w:sz="4" w:space="0" w:color="auto"/>
            </w:tcBorders>
            <w:shd w:val="clear" w:color="auto" w:fill="auto"/>
            <w:noWrap/>
            <w:hideMark/>
          </w:tcPr>
          <w:p w14:paraId="63EF41BA"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10</w:t>
            </w:r>
          </w:p>
        </w:tc>
        <w:tc>
          <w:tcPr>
            <w:tcW w:w="1437" w:type="dxa"/>
            <w:tcBorders>
              <w:top w:val="nil"/>
              <w:left w:val="nil"/>
              <w:bottom w:val="single" w:sz="4" w:space="0" w:color="auto"/>
              <w:right w:val="single" w:sz="4" w:space="0" w:color="auto"/>
            </w:tcBorders>
            <w:shd w:val="clear" w:color="auto" w:fill="auto"/>
            <w:noWrap/>
            <w:hideMark/>
          </w:tcPr>
          <w:p w14:paraId="6CB97906"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286.4</w:t>
            </w:r>
          </w:p>
        </w:tc>
      </w:tr>
      <w:tr w:rsidR="00F418DA" w:rsidRPr="004B7914" w14:paraId="7298BD7D" w14:textId="77777777" w:rsidTr="00E213CE">
        <w:trPr>
          <w:trHeight w:val="255"/>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108F03CE"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NSE, of which</w:t>
            </w:r>
          </w:p>
        </w:tc>
        <w:tc>
          <w:tcPr>
            <w:tcW w:w="1437" w:type="dxa"/>
            <w:tcBorders>
              <w:top w:val="nil"/>
              <w:left w:val="nil"/>
              <w:bottom w:val="single" w:sz="4" w:space="0" w:color="auto"/>
              <w:right w:val="single" w:sz="4" w:space="0" w:color="auto"/>
            </w:tcBorders>
            <w:shd w:val="clear" w:color="auto" w:fill="auto"/>
            <w:noWrap/>
            <w:hideMark/>
          </w:tcPr>
          <w:p w14:paraId="5991B154"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1,550</w:t>
            </w:r>
          </w:p>
        </w:tc>
        <w:tc>
          <w:tcPr>
            <w:tcW w:w="1437" w:type="dxa"/>
            <w:tcBorders>
              <w:top w:val="nil"/>
              <w:left w:val="nil"/>
              <w:bottom w:val="single" w:sz="4" w:space="0" w:color="auto"/>
              <w:right w:val="single" w:sz="4" w:space="0" w:color="auto"/>
            </w:tcBorders>
            <w:shd w:val="clear" w:color="auto" w:fill="auto"/>
            <w:noWrap/>
            <w:hideMark/>
          </w:tcPr>
          <w:p w14:paraId="454CC5E5"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1,160</w:t>
            </w:r>
          </w:p>
        </w:tc>
        <w:tc>
          <w:tcPr>
            <w:tcW w:w="1437" w:type="dxa"/>
            <w:tcBorders>
              <w:top w:val="nil"/>
              <w:left w:val="nil"/>
              <w:bottom w:val="single" w:sz="4" w:space="0" w:color="auto"/>
              <w:right w:val="single" w:sz="4" w:space="0" w:color="auto"/>
            </w:tcBorders>
            <w:shd w:val="clear" w:color="auto" w:fill="auto"/>
            <w:noWrap/>
            <w:hideMark/>
          </w:tcPr>
          <w:p w14:paraId="2D50CEFD"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1,122</w:t>
            </w:r>
          </w:p>
        </w:tc>
        <w:tc>
          <w:tcPr>
            <w:tcW w:w="1437" w:type="dxa"/>
            <w:tcBorders>
              <w:top w:val="nil"/>
              <w:left w:val="nil"/>
              <w:bottom w:val="single" w:sz="4" w:space="0" w:color="auto"/>
              <w:right w:val="single" w:sz="4" w:space="0" w:color="auto"/>
            </w:tcBorders>
            <w:shd w:val="clear" w:color="auto" w:fill="auto"/>
            <w:noWrap/>
            <w:hideMark/>
          </w:tcPr>
          <w:p w14:paraId="10218FDD"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-3.2</w:t>
            </w:r>
          </w:p>
        </w:tc>
      </w:tr>
      <w:tr w:rsidR="00F418DA" w:rsidRPr="004B7914" w14:paraId="7DB2978B"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68AA6B0E"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Futures</w:t>
            </w:r>
          </w:p>
        </w:tc>
        <w:tc>
          <w:tcPr>
            <w:tcW w:w="1437" w:type="dxa"/>
            <w:tcBorders>
              <w:top w:val="nil"/>
              <w:left w:val="nil"/>
              <w:bottom w:val="single" w:sz="4" w:space="0" w:color="auto"/>
              <w:right w:val="single" w:sz="4" w:space="0" w:color="auto"/>
            </w:tcBorders>
            <w:shd w:val="clear" w:color="auto" w:fill="auto"/>
            <w:noWrap/>
            <w:hideMark/>
          </w:tcPr>
          <w:p w14:paraId="6CD9E1A8"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599</w:t>
            </w:r>
          </w:p>
        </w:tc>
        <w:tc>
          <w:tcPr>
            <w:tcW w:w="1437" w:type="dxa"/>
            <w:tcBorders>
              <w:top w:val="nil"/>
              <w:left w:val="nil"/>
              <w:bottom w:val="single" w:sz="4" w:space="0" w:color="auto"/>
              <w:right w:val="single" w:sz="4" w:space="0" w:color="auto"/>
            </w:tcBorders>
            <w:shd w:val="clear" w:color="auto" w:fill="auto"/>
            <w:noWrap/>
            <w:hideMark/>
          </w:tcPr>
          <w:p w14:paraId="7DB2E79C"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314</w:t>
            </w:r>
          </w:p>
        </w:tc>
        <w:tc>
          <w:tcPr>
            <w:tcW w:w="1437" w:type="dxa"/>
            <w:tcBorders>
              <w:top w:val="nil"/>
              <w:left w:val="nil"/>
              <w:bottom w:val="single" w:sz="4" w:space="0" w:color="auto"/>
              <w:right w:val="single" w:sz="4" w:space="0" w:color="auto"/>
            </w:tcBorders>
            <w:shd w:val="clear" w:color="auto" w:fill="auto"/>
            <w:noWrap/>
            <w:hideMark/>
          </w:tcPr>
          <w:p w14:paraId="536C35FF"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423</w:t>
            </w:r>
          </w:p>
        </w:tc>
        <w:tc>
          <w:tcPr>
            <w:tcW w:w="1437" w:type="dxa"/>
            <w:tcBorders>
              <w:top w:val="nil"/>
              <w:left w:val="nil"/>
              <w:bottom w:val="single" w:sz="4" w:space="0" w:color="auto"/>
              <w:right w:val="single" w:sz="4" w:space="0" w:color="auto"/>
            </w:tcBorders>
            <w:shd w:val="clear" w:color="auto" w:fill="auto"/>
            <w:noWrap/>
            <w:hideMark/>
          </w:tcPr>
          <w:p w14:paraId="796047E2"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34.9</w:t>
            </w:r>
          </w:p>
        </w:tc>
      </w:tr>
      <w:tr w:rsidR="00F418DA" w:rsidRPr="004B7914" w14:paraId="5E926970" w14:textId="77777777" w:rsidTr="00E213CE">
        <w:trPr>
          <w:trHeight w:val="244"/>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476CA5CF" w14:textId="77777777" w:rsidR="00F418DA" w:rsidRPr="004B7914" w:rsidRDefault="00F418DA" w:rsidP="00E213CE">
            <w:pPr>
              <w:rPr>
                <w:rFonts w:ascii="Palatino Linotype" w:eastAsia="Times New Roman" w:hAnsi="Palatino Linotype" w:cs="Calibri"/>
                <w:color w:val="000000"/>
                <w:sz w:val="20"/>
                <w:szCs w:val="20"/>
                <w:lang w:val="en-IN" w:eastAsia="en-IN" w:bidi="hi-IN"/>
              </w:rPr>
            </w:pPr>
            <w:r w:rsidRPr="004B7914">
              <w:rPr>
                <w:rFonts w:ascii="Palatino Linotype" w:eastAsia="Times New Roman" w:hAnsi="Palatino Linotype" w:cs="Calibri"/>
                <w:color w:val="000000"/>
                <w:sz w:val="20"/>
                <w:szCs w:val="20"/>
                <w:lang w:val="en-IN" w:eastAsia="en-IN" w:bidi="hi-IN"/>
              </w:rPr>
              <w:t xml:space="preserve">            Options</w:t>
            </w:r>
          </w:p>
        </w:tc>
        <w:tc>
          <w:tcPr>
            <w:tcW w:w="1437" w:type="dxa"/>
            <w:tcBorders>
              <w:top w:val="nil"/>
              <w:left w:val="nil"/>
              <w:bottom w:val="single" w:sz="4" w:space="0" w:color="auto"/>
              <w:right w:val="single" w:sz="4" w:space="0" w:color="auto"/>
            </w:tcBorders>
            <w:shd w:val="clear" w:color="auto" w:fill="auto"/>
            <w:noWrap/>
            <w:hideMark/>
          </w:tcPr>
          <w:p w14:paraId="2E21C8D9"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951</w:t>
            </w:r>
          </w:p>
        </w:tc>
        <w:tc>
          <w:tcPr>
            <w:tcW w:w="1437" w:type="dxa"/>
            <w:tcBorders>
              <w:top w:val="nil"/>
              <w:left w:val="nil"/>
              <w:bottom w:val="single" w:sz="4" w:space="0" w:color="auto"/>
              <w:right w:val="single" w:sz="4" w:space="0" w:color="auto"/>
            </w:tcBorders>
            <w:shd w:val="clear" w:color="auto" w:fill="auto"/>
            <w:noWrap/>
            <w:hideMark/>
          </w:tcPr>
          <w:p w14:paraId="6122EDB8"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846</w:t>
            </w:r>
          </w:p>
        </w:tc>
        <w:tc>
          <w:tcPr>
            <w:tcW w:w="1437" w:type="dxa"/>
            <w:tcBorders>
              <w:top w:val="nil"/>
              <w:left w:val="nil"/>
              <w:bottom w:val="single" w:sz="4" w:space="0" w:color="auto"/>
              <w:right w:val="single" w:sz="4" w:space="0" w:color="auto"/>
            </w:tcBorders>
            <w:shd w:val="clear" w:color="auto" w:fill="auto"/>
            <w:noWrap/>
            <w:hideMark/>
          </w:tcPr>
          <w:p w14:paraId="1406913A" w14:textId="77777777" w:rsidR="00F418DA" w:rsidRPr="004B7914" w:rsidRDefault="00F418DA" w:rsidP="00E213CE">
            <w:pPr>
              <w:jc w:val="right"/>
              <w:rPr>
                <w:rFonts w:ascii="Palatino Linotype" w:eastAsia="Times New Roman" w:hAnsi="Palatino Linotype" w:cs="Calibri"/>
                <w:sz w:val="20"/>
                <w:szCs w:val="20"/>
                <w:lang w:val="en-IN" w:eastAsia="en-IN" w:bidi="hi-IN"/>
              </w:rPr>
            </w:pPr>
            <w:r w:rsidRPr="004B7914">
              <w:rPr>
                <w:rFonts w:ascii="Palatino Linotype" w:eastAsia="Times New Roman" w:hAnsi="Palatino Linotype" w:cs="Calibri"/>
                <w:sz w:val="20"/>
                <w:szCs w:val="20"/>
                <w:lang w:val="en-IN" w:eastAsia="en-IN" w:bidi="hi-IN"/>
              </w:rPr>
              <w:t>699</w:t>
            </w:r>
          </w:p>
        </w:tc>
        <w:tc>
          <w:tcPr>
            <w:tcW w:w="1437" w:type="dxa"/>
            <w:tcBorders>
              <w:top w:val="nil"/>
              <w:left w:val="nil"/>
              <w:bottom w:val="single" w:sz="4" w:space="0" w:color="auto"/>
              <w:right w:val="single" w:sz="4" w:space="0" w:color="auto"/>
            </w:tcBorders>
            <w:shd w:val="clear" w:color="auto" w:fill="auto"/>
            <w:noWrap/>
            <w:hideMark/>
          </w:tcPr>
          <w:p w14:paraId="5AFE0854"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-17.4</w:t>
            </w:r>
          </w:p>
        </w:tc>
      </w:tr>
      <w:tr w:rsidR="00F418DA" w:rsidRPr="004B7914" w14:paraId="59A9BC59" w14:textId="77777777" w:rsidTr="00E213CE">
        <w:trPr>
          <w:trHeight w:val="255"/>
        </w:trPr>
        <w:tc>
          <w:tcPr>
            <w:tcW w:w="3100" w:type="dxa"/>
            <w:tcBorders>
              <w:top w:val="nil"/>
              <w:left w:val="single" w:sz="4" w:space="0" w:color="auto"/>
              <w:bottom w:val="single" w:sz="4" w:space="0" w:color="auto"/>
              <w:right w:val="single" w:sz="4" w:space="0" w:color="auto"/>
            </w:tcBorders>
            <w:shd w:val="clear" w:color="auto" w:fill="auto"/>
            <w:vAlign w:val="center"/>
            <w:hideMark/>
          </w:tcPr>
          <w:p w14:paraId="31E3CF3F" w14:textId="77777777" w:rsidR="00F418DA" w:rsidRPr="004B7914" w:rsidRDefault="00F418DA" w:rsidP="00E213CE">
            <w:pPr>
              <w:rPr>
                <w:rFonts w:ascii="Palatino Linotype" w:eastAsia="Times New Roman" w:hAnsi="Palatino Linotype" w:cs="Calibri"/>
                <w:b/>
                <w:bCs/>
                <w:color w:val="000000"/>
                <w:sz w:val="20"/>
                <w:szCs w:val="20"/>
                <w:lang w:val="en-IN" w:eastAsia="en-IN" w:bidi="hi-IN"/>
              </w:rPr>
            </w:pPr>
            <w:r w:rsidRPr="004B7914">
              <w:rPr>
                <w:rFonts w:ascii="Palatino Linotype" w:eastAsia="Times New Roman" w:hAnsi="Palatino Linotype" w:cs="Calibri"/>
                <w:b/>
                <w:bCs/>
                <w:color w:val="000000"/>
                <w:sz w:val="20"/>
                <w:szCs w:val="20"/>
                <w:lang w:val="en-IN" w:eastAsia="en-IN" w:bidi="hi-IN"/>
              </w:rPr>
              <w:t>ICEX (Futures)</w:t>
            </w:r>
          </w:p>
        </w:tc>
        <w:tc>
          <w:tcPr>
            <w:tcW w:w="1437" w:type="dxa"/>
            <w:tcBorders>
              <w:top w:val="nil"/>
              <w:left w:val="nil"/>
              <w:bottom w:val="single" w:sz="4" w:space="0" w:color="auto"/>
              <w:right w:val="single" w:sz="4" w:space="0" w:color="auto"/>
            </w:tcBorders>
            <w:shd w:val="clear" w:color="auto" w:fill="auto"/>
            <w:noWrap/>
            <w:hideMark/>
          </w:tcPr>
          <w:p w14:paraId="0B926A66"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19</w:t>
            </w:r>
          </w:p>
        </w:tc>
        <w:tc>
          <w:tcPr>
            <w:tcW w:w="1437" w:type="dxa"/>
            <w:tcBorders>
              <w:top w:val="nil"/>
              <w:left w:val="nil"/>
              <w:bottom w:val="single" w:sz="4" w:space="0" w:color="auto"/>
              <w:right w:val="single" w:sz="4" w:space="0" w:color="auto"/>
            </w:tcBorders>
            <w:shd w:val="clear" w:color="auto" w:fill="auto"/>
            <w:noWrap/>
            <w:hideMark/>
          </w:tcPr>
          <w:p w14:paraId="0B087B9D"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23</w:t>
            </w:r>
          </w:p>
        </w:tc>
        <w:tc>
          <w:tcPr>
            <w:tcW w:w="1437" w:type="dxa"/>
            <w:tcBorders>
              <w:top w:val="nil"/>
              <w:left w:val="nil"/>
              <w:bottom w:val="single" w:sz="4" w:space="0" w:color="auto"/>
              <w:right w:val="single" w:sz="4" w:space="0" w:color="auto"/>
            </w:tcBorders>
            <w:shd w:val="clear" w:color="auto" w:fill="auto"/>
            <w:noWrap/>
            <w:hideMark/>
          </w:tcPr>
          <w:p w14:paraId="5F7ADE1F" w14:textId="77777777" w:rsidR="00F418DA" w:rsidRPr="004B7914" w:rsidRDefault="00F418DA" w:rsidP="00E213CE">
            <w:pPr>
              <w:jc w:val="right"/>
              <w:rPr>
                <w:rFonts w:ascii="Palatino Linotype" w:eastAsia="Times New Roman" w:hAnsi="Palatino Linotype" w:cs="Calibri"/>
                <w:b/>
                <w:bCs/>
                <w:sz w:val="20"/>
                <w:szCs w:val="20"/>
                <w:lang w:val="en-IN" w:eastAsia="en-IN" w:bidi="hi-IN"/>
              </w:rPr>
            </w:pPr>
            <w:r w:rsidRPr="004B7914">
              <w:rPr>
                <w:rFonts w:ascii="Palatino Linotype" w:eastAsia="Times New Roman" w:hAnsi="Palatino Linotype" w:cs="Calibri"/>
                <w:b/>
                <w:bCs/>
                <w:sz w:val="20"/>
                <w:szCs w:val="20"/>
                <w:lang w:val="en-IN" w:eastAsia="en-IN" w:bidi="hi-IN"/>
              </w:rPr>
              <w:t>26</w:t>
            </w:r>
          </w:p>
        </w:tc>
        <w:tc>
          <w:tcPr>
            <w:tcW w:w="1437" w:type="dxa"/>
            <w:tcBorders>
              <w:top w:val="nil"/>
              <w:left w:val="nil"/>
              <w:bottom w:val="single" w:sz="4" w:space="0" w:color="auto"/>
              <w:right w:val="single" w:sz="4" w:space="0" w:color="auto"/>
            </w:tcBorders>
            <w:shd w:val="clear" w:color="auto" w:fill="auto"/>
            <w:noWrap/>
            <w:hideMark/>
          </w:tcPr>
          <w:p w14:paraId="07A82BEC" w14:textId="77777777" w:rsidR="00F418DA" w:rsidRPr="004B7914" w:rsidRDefault="00F418DA" w:rsidP="00E213CE">
            <w:pPr>
              <w:jc w:val="right"/>
              <w:rPr>
                <w:rFonts w:ascii="Palatino Linotype" w:eastAsia="Times New Roman" w:hAnsi="Palatino Linotype" w:cs="Calibri"/>
                <w:i/>
                <w:iCs/>
                <w:sz w:val="20"/>
                <w:szCs w:val="20"/>
                <w:lang w:val="en-IN" w:eastAsia="en-IN" w:bidi="hi-IN"/>
              </w:rPr>
            </w:pPr>
            <w:r w:rsidRPr="004B7914">
              <w:rPr>
                <w:rFonts w:ascii="Palatino Linotype" w:eastAsia="Times New Roman" w:hAnsi="Palatino Linotype" w:cs="Calibri"/>
                <w:i/>
                <w:iCs/>
                <w:sz w:val="20"/>
                <w:szCs w:val="20"/>
                <w:lang w:val="en-IN" w:eastAsia="en-IN" w:bidi="hi-IN"/>
              </w:rPr>
              <w:t>17.4</w:t>
            </w:r>
          </w:p>
        </w:tc>
      </w:tr>
    </w:tbl>
    <w:p w14:paraId="5FAB8456" w14:textId="77777777" w:rsidR="00F418DA" w:rsidRPr="00DF31BD" w:rsidRDefault="00F418DA" w:rsidP="00F418DA">
      <w:pPr>
        <w:jc w:val="both"/>
        <w:rPr>
          <w:rFonts w:ascii="Palatino Linotype" w:hAnsi="Palatino Linotype" w:cs="Arial"/>
          <w:b/>
          <w:bCs/>
          <w:sz w:val="18"/>
          <w:szCs w:val="18"/>
        </w:rPr>
      </w:pPr>
      <w:r w:rsidRPr="00DF31BD">
        <w:rPr>
          <w:rFonts w:ascii="Palatino Linotype" w:hAnsi="Palatino Linotype" w:cs="Arial"/>
          <w:b/>
          <w:bCs/>
          <w:sz w:val="18"/>
          <w:szCs w:val="18"/>
        </w:rPr>
        <w:t xml:space="preserve">Source: </w:t>
      </w:r>
      <w:r>
        <w:rPr>
          <w:rFonts w:ascii="Palatino Linotype" w:hAnsi="Palatino Linotype" w:cs="Arial"/>
          <w:b/>
          <w:bCs/>
          <w:sz w:val="18"/>
          <w:szCs w:val="18"/>
        </w:rPr>
        <w:t>MCX, BSE, NCDEX, NSE, ICEX</w:t>
      </w:r>
      <w:r w:rsidRPr="00DF31BD">
        <w:rPr>
          <w:rFonts w:ascii="Palatino Linotype" w:hAnsi="Palatino Linotype" w:cs="Arial"/>
          <w:b/>
          <w:bCs/>
          <w:sz w:val="18"/>
          <w:szCs w:val="18"/>
        </w:rPr>
        <w:t>.</w:t>
      </w:r>
    </w:p>
    <w:p w14:paraId="5200C78F" w14:textId="77777777" w:rsidR="00F418DA" w:rsidRPr="00DF31BD" w:rsidRDefault="00F418DA" w:rsidP="00F418DA">
      <w:pPr>
        <w:jc w:val="both"/>
        <w:rPr>
          <w:rFonts w:ascii="Palatino Linotype" w:hAnsi="Palatino Linotype" w:cs="Arial"/>
          <w:b/>
          <w:bCs/>
          <w:sz w:val="18"/>
          <w:szCs w:val="18"/>
        </w:rPr>
      </w:pPr>
    </w:p>
    <w:p w14:paraId="02F49D82" w14:textId="77777777" w:rsidR="00F418DA" w:rsidRPr="00FF2B41" w:rsidRDefault="00F418DA" w:rsidP="00F418DA">
      <w:pPr>
        <w:pStyle w:val="ListParagraph"/>
        <w:numPr>
          <w:ilvl w:val="0"/>
          <w:numId w:val="12"/>
        </w:numPr>
        <w:tabs>
          <w:tab w:val="left" w:pos="567"/>
        </w:tabs>
        <w:spacing w:after="0" w:line="240" w:lineRule="auto"/>
        <w:ind w:left="0" w:firstLine="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Commodity Derivatives </w:t>
      </w:r>
      <w:r w:rsidRPr="00FF2B41">
        <w:rPr>
          <w:rFonts w:ascii="Palatino Linotype" w:eastAsia="Times New Roman" w:hAnsi="Palatino Linotype"/>
          <w:b/>
          <w:color w:val="000000"/>
          <w:sz w:val="22"/>
          <w:szCs w:val="22"/>
        </w:rPr>
        <w:t>Turnover</w:t>
      </w:r>
    </w:p>
    <w:p w14:paraId="7D4B2E8F" w14:textId="77777777" w:rsidR="00F418DA"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F111BA">
        <w:rPr>
          <w:rFonts w:ascii="Palatino Linotype" w:eastAsia="Times New Roman" w:hAnsi="Palatino Linotype"/>
          <w:color w:val="000000"/>
          <w:sz w:val="22"/>
          <w:szCs w:val="22"/>
        </w:rPr>
        <w:t xml:space="preserve">During June 2021, pan- India turnover of commodity derivatives decreased by 8.4 per cent to </w:t>
      </w:r>
      <w:r w:rsidRPr="00F111BA">
        <w:rPr>
          <w:rFonts w:ascii="Times New Roman" w:eastAsia="Times New Roman" w:hAnsi="Times New Roman"/>
          <w:color w:val="000000"/>
          <w:sz w:val="22"/>
          <w:szCs w:val="22"/>
        </w:rPr>
        <w:t>₹</w:t>
      </w:r>
      <w:r w:rsidRPr="00F111BA">
        <w:rPr>
          <w:rFonts w:ascii="Palatino Linotype" w:eastAsia="Times New Roman" w:hAnsi="Palatino Linotype"/>
          <w:color w:val="000000"/>
          <w:sz w:val="22"/>
          <w:szCs w:val="22"/>
        </w:rPr>
        <w:t xml:space="preserve">7.53 lakh crore from </w:t>
      </w:r>
      <w:r w:rsidRPr="00F111BA">
        <w:rPr>
          <w:rFonts w:ascii="Times New Roman" w:eastAsia="Times New Roman" w:hAnsi="Times New Roman"/>
          <w:color w:val="000000"/>
          <w:sz w:val="22"/>
          <w:szCs w:val="22"/>
        </w:rPr>
        <w:t>₹</w:t>
      </w:r>
      <w:r w:rsidRPr="00F111BA">
        <w:rPr>
          <w:rFonts w:ascii="Palatino Linotype" w:eastAsia="Times New Roman" w:hAnsi="Palatino Linotype"/>
          <w:color w:val="000000"/>
          <w:sz w:val="22"/>
          <w:szCs w:val="22"/>
        </w:rPr>
        <w:t xml:space="preserve">8.22 lakh crore in the previous month.  This </w:t>
      </w:r>
      <w:r>
        <w:rPr>
          <w:rFonts w:ascii="Palatino Linotype" w:eastAsia="Times New Roman" w:hAnsi="Palatino Linotype"/>
          <w:color w:val="000000"/>
          <w:sz w:val="22"/>
          <w:szCs w:val="22"/>
        </w:rPr>
        <w:t xml:space="preserve">downtrend </w:t>
      </w:r>
      <w:r w:rsidRPr="00F111BA">
        <w:rPr>
          <w:rFonts w:ascii="Palatino Linotype" w:eastAsia="Times New Roman" w:hAnsi="Palatino Linotype"/>
          <w:color w:val="000000"/>
          <w:sz w:val="22"/>
          <w:szCs w:val="22"/>
        </w:rPr>
        <w:t xml:space="preserve">was driven by </w:t>
      </w:r>
      <w:r w:rsidRPr="00FB06AA">
        <w:rPr>
          <w:rFonts w:ascii="Palatino Linotype" w:eastAsia="Times New Roman" w:hAnsi="Palatino Linotype"/>
          <w:color w:val="000000"/>
          <w:sz w:val="22"/>
          <w:szCs w:val="22"/>
        </w:rPr>
        <w:t xml:space="preserve">12.8 per cent decrease in the </w:t>
      </w:r>
      <w:r>
        <w:rPr>
          <w:rFonts w:ascii="Palatino Linotype" w:eastAsia="Times New Roman" w:hAnsi="Palatino Linotype"/>
          <w:color w:val="000000"/>
          <w:sz w:val="22"/>
          <w:szCs w:val="22"/>
        </w:rPr>
        <w:t xml:space="preserve">turnover of </w:t>
      </w:r>
      <w:r w:rsidRPr="00FB06AA">
        <w:rPr>
          <w:rFonts w:ascii="Palatino Linotype" w:eastAsia="Times New Roman" w:hAnsi="Palatino Linotype"/>
          <w:color w:val="000000"/>
          <w:sz w:val="22"/>
          <w:szCs w:val="22"/>
        </w:rPr>
        <w:t>non-agri. futures</w:t>
      </w:r>
      <w:r w:rsidRPr="00F111BA">
        <w:rPr>
          <w:rFonts w:ascii="Palatino Linotype" w:eastAsia="Times New Roman" w:hAnsi="Palatino Linotype"/>
          <w:color w:val="000000"/>
          <w:sz w:val="22"/>
          <w:szCs w:val="22"/>
        </w:rPr>
        <w:t xml:space="preserve"> segment</w:t>
      </w:r>
      <w:r>
        <w:rPr>
          <w:rFonts w:ascii="Palatino Linotype" w:eastAsia="Times New Roman" w:hAnsi="Palatino Linotype"/>
          <w:color w:val="000000"/>
          <w:sz w:val="22"/>
          <w:szCs w:val="22"/>
        </w:rPr>
        <w:t>.</w:t>
      </w:r>
    </w:p>
    <w:p w14:paraId="484615D8" w14:textId="77777777" w:rsidR="00F418DA"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F111BA">
        <w:rPr>
          <w:rFonts w:ascii="Palatino Linotype" w:eastAsia="Times New Roman" w:hAnsi="Palatino Linotype"/>
          <w:color w:val="000000"/>
          <w:sz w:val="22"/>
          <w:szCs w:val="22"/>
        </w:rPr>
        <w:t xml:space="preserve">The </w:t>
      </w:r>
      <w:r>
        <w:rPr>
          <w:rFonts w:ascii="Palatino Linotype" w:eastAsia="Times New Roman" w:hAnsi="Palatino Linotype"/>
          <w:color w:val="000000"/>
          <w:sz w:val="22"/>
          <w:szCs w:val="22"/>
        </w:rPr>
        <w:t xml:space="preserve">percentage share of agri and non-agri segments in overall turnover accounted for 7.7 per cent and 92.3 per cent, respectively.  The turnover of agri. segment increased by 6.1 per cent while that of non-agri segment decreased by 9.4 per cent. </w:t>
      </w:r>
    </w:p>
    <w:p w14:paraId="43C0CD9E" w14:textId="77777777" w:rsidR="00F418DA" w:rsidRPr="00F111BA"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T</w:t>
      </w:r>
      <w:r w:rsidRPr="00F111BA">
        <w:rPr>
          <w:rFonts w:ascii="Palatino Linotype" w:eastAsia="Times New Roman" w:hAnsi="Palatino Linotype"/>
          <w:color w:val="000000"/>
          <w:sz w:val="22"/>
          <w:szCs w:val="22"/>
        </w:rPr>
        <w:t xml:space="preserve">he percentage share of futures and options contracts </w:t>
      </w:r>
      <w:r>
        <w:rPr>
          <w:rFonts w:ascii="Palatino Linotype" w:eastAsia="Times New Roman" w:hAnsi="Palatino Linotype"/>
          <w:color w:val="000000"/>
          <w:sz w:val="22"/>
          <w:szCs w:val="22"/>
        </w:rPr>
        <w:t xml:space="preserve">in overall turnover </w:t>
      </w:r>
      <w:r w:rsidRPr="00F111BA">
        <w:rPr>
          <w:rFonts w:ascii="Palatino Linotype" w:eastAsia="Times New Roman" w:hAnsi="Palatino Linotype"/>
          <w:color w:val="000000"/>
          <w:sz w:val="22"/>
          <w:szCs w:val="22"/>
        </w:rPr>
        <w:t>stood at 83.8 per cent and 16.2 per cent, respectively.</w:t>
      </w:r>
      <w:r>
        <w:rPr>
          <w:rFonts w:ascii="Palatino Linotype" w:eastAsia="Times New Roman" w:hAnsi="Palatino Linotype"/>
          <w:color w:val="000000"/>
          <w:sz w:val="22"/>
          <w:szCs w:val="22"/>
        </w:rPr>
        <w:t xml:space="preserve"> The turnover of futures contracts decreased by 11.3 per cent, while that of commodity options increased by 10.7 per cent. </w:t>
      </w:r>
    </w:p>
    <w:p w14:paraId="569D118B" w14:textId="77777777" w:rsidR="00F418DA"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F111BA">
        <w:rPr>
          <w:rFonts w:ascii="Palatino Linotype" w:eastAsia="Times New Roman" w:hAnsi="Palatino Linotype"/>
          <w:color w:val="000000"/>
          <w:sz w:val="22"/>
          <w:szCs w:val="22"/>
        </w:rPr>
        <w:t>Amongst the exchanges, the MCX has the highest market share of 84.6 per cent in the total turnover in the commodity derivatives segment, followed by BSE (9.5 per cent), NCDEX (5.7 per cent), NSE (0.1 per cent) and ICEX (0.0 per cent).</w:t>
      </w:r>
    </w:p>
    <w:p w14:paraId="62B6F7F5" w14:textId="77777777" w:rsidR="00F418DA" w:rsidRPr="00F111BA"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F111BA">
        <w:rPr>
          <w:rFonts w:ascii="Palatino Linotype" w:eastAsia="Times New Roman" w:hAnsi="Palatino Linotype"/>
          <w:color w:val="000000"/>
          <w:sz w:val="22"/>
          <w:szCs w:val="22"/>
        </w:rPr>
        <w:t>Amongst the commodity exchanges, the turnover at MCX, NCDEX</w:t>
      </w:r>
      <w:r>
        <w:rPr>
          <w:rFonts w:ascii="Palatino Linotype" w:eastAsia="Times New Roman" w:hAnsi="Palatino Linotype"/>
          <w:color w:val="000000"/>
          <w:sz w:val="22"/>
          <w:szCs w:val="22"/>
        </w:rPr>
        <w:t xml:space="preserve"> and </w:t>
      </w:r>
      <w:r w:rsidRPr="00F111BA">
        <w:rPr>
          <w:rFonts w:ascii="Palatino Linotype" w:eastAsia="Times New Roman" w:hAnsi="Palatino Linotype"/>
          <w:color w:val="000000"/>
          <w:sz w:val="22"/>
          <w:szCs w:val="22"/>
        </w:rPr>
        <w:t>NSE decreased by 10.2 per cent, 0.3 per cent</w:t>
      </w:r>
      <w:r>
        <w:rPr>
          <w:rFonts w:ascii="Palatino Linotype" w:eastAsia="Times New Roman" w:hAnsi="Palatino Linotype"/>
          <w:color w:val="000000"/>
          <w:sz w:val="22"/>
          <w:szCs w:val="22"/>
        </w:rPr>
        <w:t xml:space="preserve"> and </w:t>
      </w:r>
      <w:r w:rsidRPr="00F111BA">
        <w:rPr>
          <w:rFonts w:ascii="Palatino Linotype" w:eastAsia="Times New Roman" w:hAnsi="Palatino Linotype"/>
          <w:color w:val="000000"/>
          <w:sz w:val="22"/>
          <w:szCs w:val="22"/>
        </w:rPr>
        <w:t>3.2 per cent, respectively, while that at BSE and ICEX increased by 5.4 and 17.4 per cent, respectively.</w:t>
      </w:r>
    </w:p>
    <w:p w14:paraId="20535284" w14:textId="77777777" w:rsidR="00F418DA" w:rsidRPr="009803F8"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9803F8">
        <w:rPr>
          <w:rFonts w:ascii="Palatino Linotype" w:eastAsia="Times New Roman" w:hAnsi="Palatino Linotype"/>
          <w:color w:val="000000"/>
          <w:sz w:val="22"/>
          <w:szCs w:val="22"/>
        </w:rPr>
        <w:t xml:space="preserve">The turnover at MCX decreased by 10.2 per cent to </w:t>
      </w:r>
      <w:r w:rsidRPr="009803F8">
        <w:rPr>
          <w:rFonts w:ascii="Times New Roman" w:eastAsia="Times New Roman" w:hAnsi="Times New Roman"/>
          <w:color w:val="000000"/>
          <w:sz w:val="22"/>
          <w:szCs w:val="22"/>
        </w:rPr>
        <w:t>₹</w:t>
      </w:r>
      <w:r w:rsidRPr="009803F8">
        <w:rPr>
          <w:rFonts w:ascii="Palatino Linotype" w:eastAsia="Times New Roman" w:hAnsi="Palatino Linotype"/>
          <w:color w:val="000000"/>
          <w:sz w:val="22"/>
          <w:szCs w:val="22"/>
        </w:rPr>
        <w:t xml:space="preserve"> 6</w:t>
      </w:r>
      <w:r>
        <w:rPr>
          <w:rFonts w:ascii="Palatino Linotype" w:eastAsia="Times New Roman" w:hAnsi="Palatino Linotype"/>
          <w:color w:val="000000"/>
          <w:sz w:val="22"/>
          <w:szCs w:val="22"/>
        </w:rPr>
        <w:t>,</w:t>
      </w:r>
      <w:r w:rsidRPr="009803F8">
        <w:rPr>
          <w:rFonts w:ascii="Palatino Linotype" w:eastAsia="Times New Roman" w:hAnsi="Palatino Linotype"/>
          <w:color w:val="000000"/>
          <w:sz w:val="22"/>
          <w:szCs w:val="22"/>
        </w:rPr>
        <w:t>37</w:t>
      </w:r>
      <w:r>
        <w:rPr>
          <w:rFonts w:ascii="Palatino Linotype" w:eastAsia="Times New Roman" w:hAnsi="Palatino Linotype"/>
          <w:color w:val="000000"/>
          <w:sz w:val="22"/>
          <w:szCs w:val="22"/>
        </w:rPr>
        <w:t>,</w:t>
      </w:r>
      <w:r w:rsidRPr="009803F8">
        <w:rPr>
          <w:rFonts w:ascii="Palatino Linotype" w:eastAsia="Times New Roman" w:hAnsi="Palatino Linotype"/>
          <w:color w:val="000000"/>
          <w:sz w:val="22"/>
          <w:szCs w:val="22"/>
        </w:rPr>
        <w:t xml:space="preserve">698 crore during </w:t>
      </w:r>
      <w:r>
        <w:rPr>
          <w:rFonts w:ascii="Palatino Linotype" w:eastAsia="Times New Roman" w:hAnsi="Palatino Linotype"/>
          <w:color w:val="000000"/>
          <w:sz w:val="22"/>
          <w:szCs w:val="22"/>
        </w:rPr>
        <w:t xml:space="preserve">the month.  This downtrend was </w:t>
      </w:r>
      <w:r w:rsidRPr="009803F8">
        <w:rPr>
          <w:rFonts w:ascii="Palatino Linotype" w:eastAsia="Times New Roman" w:hAnsi="Palatino Linotype"/>
          <w:color w:val="000000"/>
          <w:sz w:val="22"/>
          <w:szCs w:val="22"/>
        </w:rPr>
        <w:t xml:space="preserve">driven </w:t>
      </w:r>
      <w:r>
        <w:rPr>
          <w:rFonts w:ascii="Palatino Linotype" w:eastAsia="Times New Roman" w:hAnsi="Palatino Linotype"/>
          <w:color w:val="000000"/>
          <w:sz w:val="22"/>
          <w:szCs w:val="22"/>
        </w:rPr>
        <w:t xml:space="preserve">by </w:t>
      </w:r>
      <w:r w:rsidRPr="009803F8">
        <w:rPr>
          <w:rFonts w:ascii="Palatino Linotype" w:eastAsia="Times New Roman" w:hAnsi="Palatino Linotype"/>
          <w:color w:val="000000"/>
          <w:sz w:val="22"/>
          <w:szCs w:val="22"/>
        </w:rPr>
        <w:t xml:space="preserve">bullion and metal futures which </w:t>
      </w:r>
      <w:r>
        <w:rPr>
          <w:rFonts w:ascii="Palatino Linotype" w:eastAsia="Times New Roman" w:hAnsi="Palatino Linotype"/>
          <w:color w:val="000000"/>
          <w:sz w:val="22"/>
          <w:szCs w:val="22"/>
        </w:rPr>
        <w:t xml:space="preserve">turnover </w:t>
      </w:r>
      <w:r w:rsidRPr="009803F8">
        <w:rPr>
          <w:rFonts w:ascii="Palatino Linotype" w:eastAsia="Times New Roman" w:hAnsi="Palatino Linotype"/>
          <w:color w:val="000000"/>
          <w:sz w:val="22"/>
          <w:szCs w:val="22"/>
        </w:rPr>
        <w:t>decreased by 14.8 per cent and 16.1 per cent</w:t>
      </w:r>
      <w:r>
        <w:rPr>
          <w:rFonts w:ascii="Palatino Linotype" w:eastAsia="Times New Roman" w:hAnsi="Palatino Linotype"/>
          <w:color w:val="000000"/>
          <w:sz w:val="22"/>
          <w:szCs w:val="22"/>
        </w:rPr>
        <w:t>,</w:t>
      </w:r>
      <w:r w:rsidRPr="009803F8">
        <w:rPr>
          <w:rFonts w:ascii="Palatino Linotype" w:eastAsia="Times New Roman" w:hAnsi="Palatino Linotype"/>
          <w:color w:val="000000"/>
          <w:sz w:val="22"/>
          <w:szCs w:val="22"/>
        </w:rPr>
        <w:t xml:space="preserve"> respectively. However, turnover of agri. </w:t>
      </w:r>
      <w:r>
        <w:rPr>
          <w:rFonts w:ascii="Palatino Linotype" w:eastAsia="Times New Roman" w:hAnsi="Palatino Linotype"/>
          <w:color w:val="000000"/>
          <w:sz w:val="22"/>
          <w:szCs w:val="22"/>
        </w:rPr>
        <w:t xml:space="preserve">and energy commodity futures </w:t>
      </w:r>
      <w:r w:rsidRPr="009803F8">
        <w:rPr>
          <w:rFonts w:ascii="Palatino Linotype" w:eastAsia="Times New Roman" w:hAnsi="Palatino Linotype"/>
          <w:color w:val="000000"/>
          <w:sz w:val="22"/>
          <w:szCs w:val="22"/>
        </w:rPr>
        <w:t xml:space="preserve">increased by 29.9 per cent and 5.8 per cent, respectively. The turnover in iCOMDEX bullion </w:t>
      </w:r>
      <w:r>
        <w:rPr>
          <w:rFonts w:ascii="Palatino Linotype" w:eastAsia="Times New Roman" w:hAnsi="Palatino Linotype"/>
          <w:color w:val="000000"/>
          <w:sz w:val="22"/>
          <w:szCs w:val="22"/>
        </w:rPr>
        <w:t xml:space="preserve">index </w:t>
      </w:r>
      <w:r w:rsidRPr="009803F8">
        <w:rPr>
          <w:rFonts w:ascii="Palatino Linotype" w:eastAsia="Times New Roman" w:hAnsi="Palatino Linotype"/>
          <w:color w:val="000000"/>
          <w:sz w:val="22"/>
          <w:szCs w:val="22"/>
        </w:rPr>
        <w:t xml:space="preserve">and iCOMDEX metal index futures decreased by 11.8 per cent and 22.3 per cent to </w:t>
      </w:r>
      <w:r w:rsidRPr="009803F8">
        <w:rPr>
          <w:rFonts w:ascii="Times New Roman" w:eastAsia="Times New Roman" w:hAnsi="Times New Roman"/>
          <w:color w:val="000000"/>
          <w:sz w:val="22"/>
          <w:szCs w:val="22"/>
        </w:rPr>
        <w:t>₹</w:t>
      </w:r>
      <w:r w:rsidRPr="009803F8">
        <w:rPr>
          <w:rFonts w:ascii="Palatino Linotype" w:eastAsia="Times New Roman" w:hAnsi="Palatino Linotype"/>
          <w:color w:val="000000"/>
          <w:sz w:val="22"/>
          <w:szCs w:val="22"/>
        </w:rPr>
        <w:t xml:space="preserve">4,119 crore and </w:t>
      </w:r>
      <w:r w:rsidRPr="009803F8">
        <w:rPr>
          <w:rFonts w:ascii="Times New Roman" w:eastAsia="Times New Roman" w:hAnsi="Times New Roman"/>
          <w:color w:val="000000"/>
          <w:sz w:val="22"/>
          <w:szCs w:val="22"/>
        </w:rPr>
        <w:t>₹</w:t>
      </w:r>
      <w:r w:rsidRPr="009803F8">
        <w:rPr>
          <w:rFonts w:ascii="Palatino Linotype" w:eastAsia="Times New Roman" w:hAnsi="Palatino Linotype"/>
          <w:color w:val="000000"/>
          <w:sz w:val="22"/>
          <w:szCs w:val="22"/>
        </w:rPr>
        <w:t xml:space="preserve"> 32,792 crore</w:t>
      </w:r>
      <w:r>
        <w:rPr>
          <w:rFonts w:ascii="Palatino Linotype" w:eastAsia="Times New Roman" w:hAnsi="Palatino Linotype"/>
          <w:color w:val="000000"/>
          <w:sz w:val="22"/>
          <w:szCs w:val="22"/>
        </w:rPr>
        <w:t>,</w:t>
      </w:r>
      <w:r w:rsidRPr="009803F8">
        <w:rPr>
          <w:rFonts w:ascii="Palatino Linotype" w:eastAsia="Times New Roman" w:hAnsi="Palatino Linotype"/>
          <w:color w:val="000000"/>
          <w:sz w:val="22"/>
          <w:szCs w:val="22"/>
        </w:rPr>
        <w:t xml:space="preserve"> respectively.</w:t>
      </w:r>
    </w:p>
    <w:p w14:paraId="379143A2" w14:textId="77777777" w:rsidR="00F418DA"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9803F8">
        <w:rPr>
          <w:rFonts w:ascii="Palatino Linotype" w:eastAsia="Times New Roman" w:hAnsi="Palatino Linotype"/>
          <w:color w:val="000000"/>
          <w:sz w:val="22"/>
          <w:szCs w:val="22"/>
        </w:rPr>
        <w:t>The notional turnover of options contracts at MCX increased by 20.0 per cent</w:t>
      </w:r>
      <w:r>
        <w:rPr>
          <w:rFonts w:ascii="Palatino Linotype" w:eastAsia="Times New Roman" w:hAnsi="Palatino Linotype"/>
          <w:color w:val="000000"/>
          <w:sz w:val="22"/>
          <w:szCs w:val="22"/>
        </w:rPr>
        <w:t xml:space="preserve"> to </w:t>
      </w:r>
      <w:r w:rsidRPr="009803F8">
        <w:rPr>
          <w:rFonts w:ascii="Times New Roman" w:eastAsia="Times New Roman" w:hAnsi="Times New Roman"/>
          <w:color w:val="000000"/>
          <w:sz w:val="22"/>
          <w:szCs w:val="22"/>
        </w:rPr>
        <w:t>₹</w:t>
      </w:r>
      <w:r w:rsidRPr="009803F8">
        <w:rPr>
          <w:rFonts w:ascii="Palatino Linotype" w:eastAsia="Times New Roman" w:hAnsi="Palatino Linotype"/>
          <w:color w:val="000000"/>
          <w:sz w:val="22"/>
          <w:szCs w:val="22"/>
        </w:rPr>
        <w:t xml:space="preserve">50,099 crore during the month.  The </w:t>
      </w:r>
      <w:r>
        <w:rPr>
          <w:rFonts w:ascii="Palatino Linotype" w:eastAsia="Times New Roman" w:hAnsi="Palatino Linotype"/>
          <w:color w:val="000000"/>
          <w:sz w:val="22"/>
          <w:szCs w:val="22"/>
        </w:rPr>
        <w:t xml:space="preserve">turnover of </w:t>
      </w:r>
      <w:r w:rsidRPr="009803F8">
        <w:rPr>
          <w:rFonts w:ascii="Palatino Linotype" w:eastAsia="Times New Roman" w:hAnsi="Palatino Linotype"/>
          <w:color w:val="000000"/>
          <w:sz w:val="22"/>
          <w:szCs w:val="22"/>
        </w:rPr>
        <w:t xml:space="preserve">options </w:t>
      </w:r>
      <w:r>
        <w:rPr>
          <w:rFonts w:ascii="Palatino Linotype" w:eastAsia="Times New Roman" w:hAnsi="Palatino Linotype"/>
          <w:color w:val="000000"/>
          <w:sz w:val="22"/>
          <w:szCs w:val="22"/>
        </w:rPr>
        <w:t>on crude oil grew by 58 per cent month on month and accounted for more than 2/3</w:t>
      </w:r>
      <w:r w:rsidRPr="002567F6">
        <w:rPr>
          <w:rFonts w:ascii="Palatino Linotype" w:eastAsia="Times New Roman" w:hAnsi="Palatino Linotype"/>
          <w:color w:val="000000"/>
          <w:sz w:val="22"/>
          <w:szCs w:val="22"/>
          <w:vertAlign w:val="superscript"/>
        </w:rPr>
        <w:t>rd</w:t>
      </w:r>
      <w:r>
        <w:rPr>
          <w:rFonts w:ascii="Palatino Linotype" w:eastAsia="Times New Roman" w:hAnsi="Palatino Linotype"/>
          <w:color w:val="000000"/>
          <w:sz w:val="22"/>
          <w:szCs w:val="22"/>
        </w:rPr>
        <w:t xml:space="preserve"> of the options turnover at MCX. On the other hand, the options </w:t>
      </w:r>
      <w:r>
        <w:rPr>
          <w:rFonts w:ascii="Palatino Linotype" w:eastAsia="Times New Roman" w:hAnsi="Palatino Linotype"/>
          <w:color w:val="000000"/>
          <w:sz w:val="22"/>
          <w:szCs w:val="22"/>
        </w:rPr>
        <w:lastRenderedPageBreak/>
        <w:t>on bullion commodities, which accounts for 24.7 per cent options turnover at MCX, declined by 31.0 per cent month on month, during June 2021.</w:t>
      </w:r>
    </w:p>
    <w:p w14:paraId="5ADC61BC" w14:textId="77777777" w:rsidR="00F418DA" w:rsidRPr="009803F8"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9803F8">
        <w:rPr>
          <w:rFonts w:ascii="Palatino Linotype" w:eastAsia="Times New Roman" w:hAnsi="Palatino Linotype"/>
          <w:color w:val="000000"/>
          <w:sz w:val="22"/>
          <w:szCs w:val="22"/>
        </w:rPr>
        <w:t>The turnover in options contracts contributed 7.9 per cent to the total turnover at MCX.</w:t>
      </w:r>
    </w:p>
    <w:p w14:paraId="539E58DD" w14:textId="77777777" w:rsidR="00F418DA" w:rsidRPr="009803F8" w:rsidRDefault="00F418DA" w:rsidP="00F418DA">
      <w:pPr>
        <w:pStyle w:val="ListParagraph"/>
        <w:numPr>
          <w:ilvl w:val="0"/>
          <w:numId w:val="13"/>
        </w:numPr>
        <w:spacing w:after="0" w:line="240" w:lineRule="auto"/>
        <w:ind w:left="567" w:hanging="526"/>
        <w:jc w:val="both"/>
        <w:rPr>
          <w:rFonts w:ascii="Palatino Linotype" w:eastAsia="Times New Roman" w:hAnsi="Palatino Linotype"/>
          <w:color w:val="000000"/>
          <w:sz w:val="22"/>
          <w:szCs w:val="22"/>
        </w:rPr>
      </w:pPr>
      <w:r w:rsidRPr="009803F8">
        <w:rPr>
          <w:rFonts w:ascii="Palatino Linotype" w:eastAsia="Times New Roman" w:hAnsi="Palatino Linotype"/>
          <w:color w:val="000000"/>
          <w:sz w:val="22"/>
          <w:szCs w:val="22"/>
        </w:rPr>
        <w:t>During June 2021, the total turnover at BSE increased by 5.4</w:t>
      </w:r>
      <w:r>
        <w:rPr>
          <w:rFonts w:ascii="Palatino Linotype" w:eastAsia="Times New Roman" w:hAnsi="Palatino Linotype"/>
          <w:color w:val="000000"/>
          <w:sz w:val="22"/>
          <w:szCs w:val="22"/>
        </w:rPr>
        <w:t xml:space="preserve"> per cent to </w:t>
      </w:r>
      <w:r>
        <w:rPr>
          <w:rFonts w:ascii="Times New Roman" w:eastAsia="Times New Roman" w:hAnsi="Times New Roman"/>
          <w:color w:val="000000"/>
          <w:sz w:val="22"/>
          <w:szCs w:val="22"/>
        </w:rPr>
        <w:t>₹</w:t>
      </w:r>
      <w:r w:rsidRPr="009803F8">
        <w:rPr>
          <w:rFonts w:ascii="Palatino Linotype" w:eastAsia="Times New Roman" w:hAnsi="Palatino Linotype"/>
          <w:color w:val="000000"/>
          <w:sz w:val="22"/>
          <w:szCs w:val="22"/>
        </w:rPr>
        <w:t>71</w:t>
      </w:r>
      <w:r>
        <w:rPr>
          <w:rFonts w:ascii="Palatino Linotype" w:eastAsia="Times New Roman" w:hAnsi="Palatino Linotype"/>
          <w:color w:val="000000"/>
          <w:sz w:val="22"/>
          <w:szCs w:val="22"/>
        </w:rPr>
        <w:t xml:space="preserve">,872 </w:t>
      </w:r>
      <w:r w:rsidRPr="009803F8">
        <w:rPr>
          <w:rFonts w:ascii="Palatino Linotype" w:eastAsia="Times New Roman" w:hAnsi="Palatino Linotype"/>
          <w:color w:val="000000"/>
          <w:sz w:val="22"/>
          <w:szCs w:val="22"/>
        </w:rPr>
        <w:t>crore</w:t>
      </w:r>
      <w:r>
        <w:rPr>
          <w:rFonts w:ascii="Palatino Linotype" w:eastAsia="Times New Roman" w:hAnsi="Palatino Linotype"/>
          <w:color w:val="000000"/>
          <w:sz w:val="22"/>
          <w:szCs w:val="22"/>
        </w:rPr>
        <w:t>, driven by positive growth in the options contracts on bullion</w:t>
      </w:r>
      <w:r w:rsidRPr="009803F8">
        <w:rPr>
          <w:rFonts w:ascii="Palatino Linotype" w:eastAsia="Times New Roman" w:hAnsi="Palatino Linotype"/>
          <w:color w:val="000000"/>
          <w:sz w:val="22"/>
          <w:szCs w:val="22"/>
        </w:rPr>
        <w:t xml:space="preserve">.  </w:t>
      </w:r>
      <w:r>
        <w:rPr>
          <w:rFonts w:ascii="Palatino Linotype" w:eastAsia="Times New Roman" w:hAnsi="Palatino Linotype"/>
          <w:color w:val="000000"/>
          <w:sz w:val="22"/>
          <w:szCs w:val="22"/>
        </w:rPr>
        <w:t>The options contracts</w:t>
      </w:r>
      <w:r w:rsidRPr="009803F8">
        <w:rPr>
          <w:rFonts w:ascii="Palatino Linotype" w:eastAsia="Times New Roman" w:hAnsi="Palatino Linotype"/>
          <w:color w:val="000000"/>
          <w:sz w:val="22"/>
          <w:szCs w:val="22"/>
        </w:rPr>
        <w:t xml:space="preserve"> on </w:t>
      </w:r>
      <w:r>
        <w:rPr>
          <w:rFonts w:ascii="Palatino Linotype" w:eastAsia="Times New Roman" w:hAnsi="Palatino Linotype"/>
          <w:color w:val="000000"/>
          <w:sz w:val="22"/>
          <w:szCs w:val="22"/>
        </w:rPr>
        <w:t xml:space="preserve">gold mini </w:t>
      </w:r>
      <w:r w:rsidRPr="009803F8">
        <w:rPr>
          <w:rFonts w:ascii="Palatino Linotype" w:eastAsia="Times New Roman" w:hAnsi="Palatino Linotype"/>
          <w:color w:val="000000"/>
          <w:sz w:val="22"/>
          <w:szCs w:val="22"/>
        </w:rPr>
        <w:t xml:space="preserve">accounted </w:t>
      </w:r>
      <w:r>
        <w:rPr>
          <w:rFonts w:ascii="Palatino Linotype" w:eastAsia="Times New Roman" w:hAnsi="Palatino Linotype"/>
          <w:color w:val="000000"/>
          <w:sz w:val="22"/>
          <w:szCs w:val="22"/>
        </w:rPr>
        <w:t>for 99.7 per cent o</w:t>
      </w:r>
      <w:r w:rsidRPr="009803F8">
        <w:rPr>
          <w:rFonts w:ascii="Palatino Linotype" w:eastAsia="Times New Roman" w:hAnsi="Palatino Linotype"/>
          <w:color w:val="000000"/>
          <w:sz w:val="22"/>
          <w:szCs w:val="22"/>
        </w:rPr>
        <w:t xml:space="preserve">f the </w:t>
      </w:r>
      <w:r>
        <w:rPr>
          <w:rFonts w:ascii="Palatino Linotype" w:eastAsia="Times New Roman" w:hAnsi="Palatino Linotype"/>
          <w:color w:val="000000"/>
          <w:sz w:val="22"/>
          <w:szCs w:val="22"/>
        </w:rPr>
        <w:t xml:space="preserve">total </w:t>
      </w:r>
      <w:r w:rsidRPr="009803F8">
        <w:rPr>
          <w:rFonts w:ascii="Palatino Linotype" w:eastAsia="Times New Roman" w:hAnsi="Palatino Linotype"/>
          <w:color w:val="000000"/>
          <w:sz w:val="22"/>
          <w:szCs w:val="22"/>
        </w:rPr>
        <w:t xml:space="preserve">turnover </w:t>
      </w:r>
      <w:r>
        <w:rPr>
          <w:rFonts w:ascii="Palatino Linotype" w:eastAsia="Times New Roman" w:hAnsi="Palatino Linotype"/>
          <w:color w:val="000000"/>
          <w:sz w:val="22"/>
          <w:szCs w:val="22"/>
        </w:rPr>
        <w:t>in</w:t>
      </w:r>
      <w:r w:rsidRPr="009803F8">
        <w:rPr>
          <w:rFonts w:ascii="Palatino Linotype" w:eastAsia="Times New Roman" w:hAnsi="Palatino Linotype"/>
          <w:color w:val="000000"/>
          <w:sz w:val="22"/>
          <w:szCs w:val="22"/>
        </w:rPr>
        <w:t xml:space="preserve"> commodity derivatives contracts </w:t>
      </w:r>
      <w:r>
        <w:rPr>
          <w:rFonts w:ascii="Palatino Linotype" w:eastAsia="Times New Roman" w:hAnsi="Palatino Linotype"/>
          <w:color w:val="000000"/>
          <w:sz w:val="22"/>
          <w:szCs w:val="22"/>
        </w:rPr>
        <w:t xml:space="preserve">at BSE. </w:t>
      </w:r>
    </w:p>
    <w:p w14:paraId="7CC401E1" w14:textId="77777777" w:rsidR="00F418DA" w:rsidRPr="009803F8" w:rsidRDefault="00F418DA" w:rsidP="00F418DA">
      <w:pPr>
        <w:pStyle w:val="ListParagraph"/>
        <w:numPr>
          <w:ilvl w:val="0"/>
          <w:numId w:val="13"/>
        </w:numPr>
        <w:spacing w:after="0" w:line="240" w:lineRule="auto"/>
        <w:ind w:left="567" w:hanging="526"/>
        <w:jc w:val="both"/>
        <w:rPr>
          <w:rFonts w:ascii="Palatino Linotype" w:hAnsi="Palatino Linotype" w:cs="Arial"/>
          <w:bCs/>
        </w:rPr>
      </w:pPr>
      <w:r w:rsidRPr="009803F8">
        <w:rPr>
          <w:rFonts w:ascii="Palatino Linotype" w:eastAsia="Times New Roman" w:hAnsi="Palatino Linotype"/>
          <w:color w:val="000000"/>
          <w:sz w:val="22"/>
          <w:szCs w:val="22"/>
        </w:rPr>
        <w:t xml:space="preserve">During the month, the total turnover at NCDEX decreased by 0.3 per cent to </w:t>
      </w:r>
      <w:r w:rsidRPr="009803F8">
        <w:rPr>
          <w:rFonts w:ascii="Times New Roman" w:eastAsia="Times New Roman" w:hAnsi="Times New Roman"/>
          <w:color w:val="000000"/>
          <w:sz w:val="22"/>
          <w:szCs w:val="22"/>
        </w:rPr>
        <w:t>₹</w:t>
      </w:r>
      <w:r w:rsidRPr="009803F8">
        <w:rPr>
          <w:rFonts w:ascii="Palatino Linotype" w:eastAsia="Times New Roman" w:hAnsi="Palatino Linotype"/>
          <w:color w:val="000000"/>
          <w:sz w:val="22"/>
          <w:szCs w:val="22"/>
        </w:rPr>
        <w:t>42</w:t>
      </w:r>
      <w:r>
        <w:rPr>
          <w:rFonts w:ascii="Palatino Linotype" w:eastAsia="Times New Roman" w:hAnsi="Palatino Linotype"/>
          <w:color w:val="000000"/>
          <w:sz w:val="22"/>
          <w:szCs w:val="22"/>
        </w:rPr>
        <w:t>,786</w:t>
      </w:r>
      <w:r w:rsidRPr="009803F8">
        <w:rPr>
          <w:rFonts w:ascii="Palatino Linotype" w:eastAsia="Times New Roman" w:hAnsi="Palatino Linotype"/>
          <w:color w:val="000000"/>
          <w:sz w:val="22"/>
          <w:szCs w:val="22"/>
        </w:rPr>
        <w:t xml:space="preserve"> crore</w:t>
      </w:r>
      <w:r>
        <w:rPr>
          <w:rFonts w:ascii="Palatino Linotype" w:eastAsia="Times New Roman" w:hAnsi="Palatino Linotype"/>
          <w:color w:val="000000"/>
          <w:sz w:val="22"/>
          <w:szCs w:val="22"/>
        </w:rPr>
        <w:t xml:space="preserve"> from </w:t>
      </w:r>
      <w:r w:rsidRPr="009803F8">
        <w:rPr>
          <w:rFonts w:ascii="Times New Roman" w:eastAsia="Times New Roman" w:hAnsi="Times New Roman"/>
          <w:color w:val="000000"/>
          <w:sz w:val="22"/>
          <w:szCs w:val="22"/>
        </w:rPr>
        <w:t>₹</w:t>
      </w:r>
      <w:r>
        <w:rPr>
          <w:rFonts w:ascii="Palatino Linotype" w:eastAsia="Times New Roman" w:hAnsi="Palatino Linotype"/>
          <w:color w:val="000000"/>
          <w:sz w:val="22"/>
          <w:szCs w:val="22"/>
        </w:rPr>
        <w:t>42,923 crore in the previous month</w:t>
      </w:r>
      <w:r w:rsidRPr="00FF2B41">
        <w:rPr>
          <w:rFonts w:ascii="Palatino Linotype" w:eastAsia="Times New Roman" w:hAnsi="Palatino Linotype"/>
          <w:color w:val="000000"/>
          <w:sz w:val="22"/>
          <w:szCs w:val="22"/>
        </w:rPr>
        <w:t>.  This is on account of decrease in volume of nine out of total 17 traded commodities</w:t>
      </w:r>
      <w:r>
        <w:rPr>
          <w:rFonts w:ascii="Palatino Linotype" w:eastAsia="Times New Roman" w:hAnsi="Palatino Linotype"/>
          <w:color w:val="000000"/>
          <w:sz w:val="22"/>
          <w:szCs w:val="22"/>
        </w:rPr>
        <w:t xml:space="preserve"> or commodity variants</w:t>
      </w:r>
      <w:r w:rsidRPr="00FF2B41">
        <w:rPr>
          <w:rFonts w:ascii="Palatino Linotype" w:eastAsia="Times New Roman" w:hAnsi="Palatino Linotype"/>
          <w:color w:val="000000"/>
          <w:sz w:val="22"/>
          <w:szCs w:val="22"/>
        </w:rPr>
        <w:t xml:space="preserve">. The turnover in Agridex futures </w:t>
      </w:r>
      <w:r>
        <w:rPr>
          <w:rFonts w:ascii="Palatino Linotype" w:eastAsia="Times New Roman" w:hAnsi="Palatino Linotype"/>
          <w:color w:val="000000"/>
          <w:sz w:val="22"/>
          <w:szCs w:val="22"/>
        </w:rPr>
        <w:t>i</w:t>
      </w:r>
      <w:r w:rsidRPr="00FF2B41">
        <w:rPr>
          <w:rFonts w:ascii="Palatino Linotype" w:eastAsia="Times New Roman" w:hAnsi="Palatino Linotype"/>
          <w:color w:val="000000"/>
          <w:sz w:val="22"/>
          <w:szCs w:val="22"/>
        </w:rPr>
        <w:t xml:space="preserve">ndex increased from </w:t>
      </w:r>
      <w:r w:rsidRPr="00FF2B41">
        <w:rPr>
          <w:rFonts w:ascii="Times New Roman" w:eastAsia="Times New Roman" w:hAnsi="Times New Roman"/>
          <w:color w:val="000000"/>
          <w:sz w:val="22"/>
          <w:szCs w:val="22"/>
        </w:rPr>
        <w:t>₹</w:t>
      </w:r>
      <w:r w:rsidRPr="00FF2B41">
        <w:rPr>
          <w:rFonts w:ascii="Palatino Linotype" w:eastAsia="Times New Roman" w:hAnsi="Palatino Linotype"/>
          <w:color w:val="000000"/>
          <w:sz w:val="22"/>
          <w:szCs w:val="22"/>
        </w:rPr>
        <w:t xml:space="preserve">5.1 crore in May 2021 to </w:t>
      </w:r>
      <w:r w:rsidRPr="00FF2B41">
        <w:rPr>
          <w:rFonts w:ascii="Times New Roman" w:eastAsia="Times New Roman" w:hAnsi="Times New Roman"/>
          <w:color w:val="000000"/>
          <w:sz w:val="22"/>
          <w:szCs w:val="22"/>
        </w:rPr>
        <w:t>₹</w:t>
      </w:r>
      <w:r w:rsidRPr="00FF2B41">
        <w:rPr>
          <w:rFonts w:ascii="Palatino Linotype" w:eastAsia="Times New Roman" w:hAnsi="Palatino Linotype"/>
          <w:color w:val="000000"/>
          <w:sz w:val="22"/>
          <w:szCs w:val="22"/>
        </w:rPr>
        <w:t>14.3 crore in June 2021. Similarly, the turnover in steel long contracts of non-agri. segment increased</w:t>
      </w:r>
      <w:r>
        <w:rPr>
          <w:rFonts w:ascii="Palatino Linotype" w:hAnsi="Palatino Linotype" w:cs="Arial"/>
          <w:bCs/>
          <w:sz w:val="22"/>
          <w:szCs w:val="22"/>
        </w:rPr>
        <w:t xml:space="preserve"> from </w:t>
      </w:r>
      <w:r w:rsidRPr="009803F8">
        <w:rPr>
          <w:rFonts w:ascii="Times New Roman" w:hAnsi="Times New Roman"/>
          <w:bCs/>
          <w:sz w:val="22"/>
          <w:szCs w:val="22"/>
        </w:rPr>
        <w:t>₹</w:t>
      </w:r>
      <w:r>
        <w:rPr>
          <w:rFonts w:ascii="Palatino Linotype" w:hAnsi="Palatino Linotype" w:cs="Arial"/>
          <w:bCs/>
          <w:sz w:val="22"/>
          <w:szCs w:val="22"/>
        </w:rPr>
        <w:t>15.9 crore in previous month to</w:t>
      </w:r>
      <w:r w:rsidRPr="009803F8">
        <w:rPr>
          <w:rFonts w:ascii="Palatino Linotype" w:hAnsi="Palatino Linotype" w:cs="Arial"/>
          <w:bCs/>
          <w:sz w:val="22"/>
          <w:szCs w:val="22"/>
        </w:rPr>
        <w:t xml:space="preserve"> </w:t>
      </w:r>
      <w:r w:rsidRPr="009803F8">
        <w:rPr>
          <w:rFonts w:ascii="Times New Roman" w:hAnsi="Times New Roman"/>
          <w:bCs/>
          <w:sz w:val="22"/>
          <w:szCs w:val="22"/>
        </w:rPr>
        <w:t>₹</w:t>
      </w:r>
      <w:r>
        <w:rPr>
          <w:rFonts w:ascii="Times New Roman" w:hAnsi="Times New Roman"/>
          <w:bCs/>
          <w:sz w:val="22"/>
          <w:szCs w:val="22"/>
        </w:rPr>
        <w:t>17.5</w:t>
      </w:r>
      <w:r w:rsidRPr="009803F8">
        <w:rPr>
          <w:rFonts w:ascii="Times New Roman" w:hAnsi="Times New Roman"/>
          <w:bCs/>
          <w:sz w:val="22"/>
          <w:szCs w:val="22"/>
        </w:rPr>
        <w:t xml:space="preserve"> </w:t>
      </w:r>
      <w:r w:rsidRPr="009803F8">
        <w:rPr>
          <w:rFonts w:ascii="Palatino Linotype" w:hAnsi="Palatino Linotype" w:cs="Arial"/>
          <w:bCs/>
          <w:sz w:val="22"/>
          <w:szCs w:val="22"/>
        </w:rPr>
        <w:t xml:space="preserve">crore during </w:t>
      </w:r>
      <w:r>
        <w:rPr>
          <w:rFonts w:ascii="Palatino Linotype" w:hAnsi="Palatino Linotype" w:cs="Arial"/>
          <w:bCs/>
          <w:sz w:val="22"/>
          <w:szCs w:val="22"/>
        </w:rPr>
        <w:t>June 2021.</w:t>
      </w:r>
    </w:p>
    <w:p w14:paraId="06890EA7" w14:textId="77777777" w:rsidR="00F418DA" w:rsidRPr="009803F8" w:rsidRDefault="00F418DA" w:rsidP="00F418DA">
      <w:pPr>
        <w:pStyle w:val="ListParagraph"/>
        <w:numPr>
          <w:ilvl w:val="0"/>
          <w:numId w:val="13"/>
        </w:numPr>
        <w:spacing w:after="0" w:line="240" w:lineRule="auto"/>
        <w:ind w:left="567" w:hanging="526"/>
        <w:jc w:val="both"/>
        <w:rPr>
          <w:rFonts w:ascii="Palatino Linotype" w:hAnsi="Palatino Linotype" w:cs="Arial"/>
          <w:bCs/>
          <w:sz w:val="22"/>
          <w:szCs w:val="22"/>
        </w:rPr>
      </w:pPr>
      <w:r w:rsidRPr="009803F8">
        <w:rPr>
          <w:rFonts w:ascii="Palatino Linotype" w:hAnsi="Palatino Linotype" w:cs="Arial"/>
          <w:bCs/>
          <w:sz w:val="22"/>
          <w:szCs w:val="22"/>
        </w:rPr>
        <w:t xml:space="preserve">The total turnover at NSE decreased by 3.2 per cent to </w:t>
      </w:r>
      <w:r w:rsidRPr="009803F8">
        <w:rPr>
          <w:rFonts w:ascii="Times New Roman" w:hAnsi="Times New Roman"/>
          <w:bCs/>
          <w:sz w:val="22"/>
          <w:szCs w:val="22"/>
        </w:rPr>
        <w:t>₹</w:t>
      </w:r>
      <w:r w:rsidRPr="009803F8">
        <w:rPr>
          <w:rFonts w:ascii="Palatino Linotype" w:hAnsi="Palatino Linotype" w:cs="Arial"/>
          <w:bCs/>
          <w:sz w:val="22"/>
          <w:szCs w:val="22"/>
        </w:rPr>
        <w:t>1</w:t>
      </w:r>
      <w:r>
        <w:rPr>
          <w:rFonts w:ascii="Palatino Linotype" w:hAnsi="Palatino Linotype" w:cs="Arial"/>
          <w:bCs/>
          <w:sz w:val="22"/>
          <w:szCs w:val="22"/>
        </w:rPr>
        <w:t>,</w:t>
      </w:r>
      <w:r w:rsidRPr="009803F8">
        <w:rPr>
          <w:rFonts w:ascii="Palatino Linotype" w:hAnsi="Palatino Linotype" w:cs="Arial"/>
          <w:bCs/>
          <w:sz w:val="22"/>
          <w:szCs w:val="22"/>
        </w:rPr>
        <w:t xml:space="preserve">122.4 crore in June 2021 on account of decrease in turnover in </w:t>
      </w:r>
      <w:r>
        <w:rPr>
          <w:rFonts w:ascii="Palatino Linotype" w:hAnsi="Palatino Linotype" w:cs="Arial"/>
          <w:bCs/>
          <w:sz w:val="22"/>
          <w:szCs w:val="22"/>
        </w:rPr>
        <w:t>bullion segment (especially on Gold Mini options)</w:t>
      </w:r>
      <w:r w:rsidRPr="009803F8">
        <w:rPr>
          <w:rFonts w:ascii="Palatino Linotype" w:hAnsi="Palatino Linotype" w:cs="Arial"/>
          <w:bCs/>
          <w:sz w:val="22"/>
          <w:szCs w:val="22"/>
        </w:rPr>
        <w:t xml:space="preserve">. The futures </w:t>
      </w:r>
      <w:r>
        <w:rPr>
          <w:rFonts w:ascii="Palatino Linotype" w:hAnsi="Palatino Linotype" w:cs="Arial"/>
          <w:bCs/>
          <w:sz w:val="22"/>
          <w:szCs w:val="22"/>
        </w:rPr>
        <w:t xml:space="preserve">on </w:t>
      </w:r>
      <w:r w:rsidRPr="009803F8">
        <w:rPr>
          <w:rFonts w:ascii="Palatino Linotype" w:hAnsi="Palatino Linotype" w:cs="Arial"/>
          <w:bCs/>
          <w:sz w:val="22"/>
          <w:szCs w:val="22"/>
        </w:rPr>
        <w:t xml:space="preserve">crude degummed soybean oil and gold </w:t>
      </w:r>
      <w:r>
        <w:rPr>
          <w:rFonts w:ascii="Palatino Linotype" w:hAnsi="Palatino Linotype" w:cs="Arial"/>
          <w:bCs/>
          <w:sz w:val="22"/>
          <w:szCs w:val="22"/>
        </w:rPr>
        <w:t>mini options</w:t>
      </w:r>
      <w:r w:rsidRPr="009803F8">
        <w:rPr>
          <w:rFonts w:ascii="Palatino Linotype" w:hAnsi="Palatino Linotype" w:cs="Arial"/>
          <w:bCs/>
          <w:sz w:val="22"/>
          <w:szCs w:val="22"/>
        </w:rPr>
        <w:t xml:space="preserve"> contract contributed 3</w:t>
      </w:r>
      <w:r>
        <w:rPr>
          <w:rFonts w:ascii="Palatino Linotype" w:hAnsi="Palatino Linotype" w:cs="Arial"/>
          <w:bCs/>
          <w:sz w:val="22"/>
          <w:szCs w:val="22"/>
        </w:rPr>
        <w:t>7.0</w:t>
      </w:r>
      <w:r w:rsidRPr="009803F8">
        <w:rPr>
          <w:rFonts w:ascii="Palatino Linotype" w:hAnsi="Palatino Linotype" w:cs="Arial"/>
          <w:bCs/>
          <w:sz w:val="22"/>
          <w:szCs w:val="22"/>
        </w:rPr>
        <w:t xml:space="preserve"> per cent and </w:t>
      </w:r>
      <w:r>
        <w:rPr>
          <w:rFonts w:ascii="Palatino Linotype" w:hAnsi="Palatino Linotype" w:cs="Arial"/>
          <w:bCs/>
          <w:sz w:val="22"/>
          <w:szCs w:val="22"/>
        </w:rPr>
        <w:t>62.3</w:t>
      </w:r>
      <w:r w:rsidRPr="009803F8">
        <w:rPr>
          <w:rFonts w:ascii="Palatino Linotype" w:hAnsi="Palatino Linotype" w:cs="Arial"/>
          <w:bCs/>
          <w:sz w:val="22"/>
          <w:szCs w:val="22"/>
        </w:rPr>
        <w:t xml:space="preserve"> per cent to the total turnover at NSE.</w:t>
      </w:r>
    </w:p>
    <w:p w14:paraId="5303BE29" w14:textId="77777777" w:rsidR="00F418DA" w:rsidRPr="009803F8" w:rsidRDefault="00F418DA" w:rsidP="00F418DA">
      <w:pPr>
        <w:pStyle w:val="ListParagraph"/>
        <w:numPr>
          <w:ilvl w:val="0"/>
          <w:numId w:val="13"/>
        </w:numPr>
        <w:spacing w:after="0" w:line="240" w:lineRule="auto"/>
        <w:ind w:left="567" w:hanging="526"/>
        <w:jc w:val="both"/>
        <w:rPr>
          <w:rFonts w:ascii="Palatino Linotype" w:hAnsi="Palatino Linotype" w:cs="Arial"/>
          <w:bCs/>
          <w:sz w:val="22"/>
          <w:szCs w:val="22"/>
        </w:rPr>
      </w:pPr>
      <w:r>
        <w:rPr>
          <w:rFonts w:ascii="Palatino Linotype" w:hAnsi="Palatino Linotype" w:cs="Arial"/>
          <w:bCs/>
          <w:sz w:val="22"/>
          <w:szCs w:val="22"/>
        </w:rPr>
        <w:t>T</w:t>
      </w:r>
      <w:r w:rsidRPr="009803F8">
        <w:rPr>
          <w:rFonts w:ascii="Palatino Linotype" w:hAnsi="Palatino Linotype" w:cs="Arial"/>
          <w:bCs/>
          <w:sz w:val="22"/>
          <w:szCs w:val="22"/>
        </w:rPr>
        <w:t xml:space="preserve">he total turnover at ICEX increased by 17.4 per cent to </w:t>
      </w:r>
      <w:r w:rsidRPr="009803F8">
        <w:rPr>
          <w:rFonts w:ascii="Times New Roman" w:hAnsi="Times New Roman"/>
          <w:bCs/>
          <w:sz w:val="22"/>
          <w:szCs w:val="22"/>
        </w:rPr>
        <w:t>₹26.4</w:t>
      </w:r>
      <w:r w:rsidRPr="009803F8">
        <w:rPr>
          <w:rFonts w:ascii="Palatino Linotype" w:hAnsi="Palatino Linotype" w:cs="Arial"/>
          <w:bCs/>
          <w:sz w:val="22"/>
          <w:szCs w:val="22"/>
        </w:rPr>
        <w:t xml:space="preserve"> crore due to increase in turnover of steel long and agri. contracts by 19.7 per cent and 5.5 per cent respectively. </w:t>
      </w:r>
    </w:p>
    <w:p w14:paraId="51A30C27" w14:textId="77777777" w:rsidR="00F418DA" w:rsidRPr="00C52736" w:rsidRDefault="00F418DA" w:rsidP="00F418DA">
      <w:pPr>
        <w:pStyle w:val="ListParagraph"/>
        <w:numPr>
          <w:ilvl w:val="0"/>
          <w:numId w:val="13"/>
        </w:numPr>
        <w:spacing w:after="0" w:line="240" w:lineRule="auto"/>
        <w:ind w:left="567" w:hanging="526"/>
        <w:jc w:val="both"/>
        <w:rPr>
          <w:rFonts w:ascii="Palatino Linotype" w:hAnsi="Palatino Linotype" w:cs="Arial"/>
          <w:bCs/>
          <w:sz w:val="22"/>
          <w:szCs w:val="22"/>
        </w:rPr>
      </w:pPr>
      <w:r w:rsidRPr="009803F8">
        <w:rPr>
          <w:rFonts w:ascii="Palatino Linotype" w:hAnsi="Palatino Linotype" w:cs="Arial"/>
          <w:bCs/>
          <w:sz w:val="22"/>
          <w:szCs w:val="22"/>
        </w:rPr>
        <w:t xml:space="preserve">The trends in turnover of agricultural and non-agricultural commodities at exchanges is shown in Figures 15, 16 and 17 and the details are given in </w:t>
      </w:r>
      <w:r w:rsidRPr="00FF2B41">
        <w:rPr>
          <w:rFonts w:ascii="Palatino Linotype" w:eastAsia="Times New Roman" w:hAnsi="Palatino Linotype"/>
          <w:color w:val="000000"/>
          <w:sz w:val="22"/>
          <w:szCs w:val="22"/>
        </w:rPr>
        <w:t>Tables</w:t>
      </w:r>
      <w:r w:rsidRPr="009803F8">
        <w:rPr>
          <w:rFonts w:ascii="Palatino Linotype" w:hAnsi="Palatino Linotype" w:cs="Arial"/>
          <w:bCs/>
          <w:sz w:val="22"/>
          <w:szCs w:val="22"/>
        </w:rPr>
        <w:t xml:space="preserve"> 65 to 69.</w:t>
      </w:r>
    </w:p>
    <w:p w14:paraId="7716052A" w14:textId="77777777" w:rsidR="00F418DA" w:rsidRDefault="00F418DA" w:rsidP="00F418DA">
      <w:pPr>
        <w:rPr>
          <w:rFonts w:ascii="Palatino Linotype" w:hAnsi="Palatino Linotype" w:cs="Arial"/>
          <w:b/>
          <w:bCs/>
        </w:rPr>
      </w:pPr>
    </w:p>
    <w:p w14:paraId="22D103A9" w14:textId="77777777" w:rsidR="00F418DA" w:rsidRPr="009803F8" w:rsidRDefault="00F418DA" w:rsidP="00F418DA">
      <w:pPr>
        <w:pStyle w:val="ListParagraph"/>
        <w:spacing w:after="0" w:line="240" w:lineRule="auto"/>
        <w:jc w:val="center"/>
        <w:rPr>
          <w:rFonts w:ascii="Palatino Linotype" w:hAnsi="Palatino Linotype" w:cs="Arial"/>
          <w:b/>
          <w:bCs/>
          <w:sz w:val="22"/>
          <w:szCs w:val="22"/>
        </w:rPr>
      </w:pPr>
      <w:r w:rsidRPr="009803F8">
        <w:rPr>
          <w:rFonts w:ascii="Palatino Linotype" w:hAnsi="Palatino Linotype" w:cs="Arial"/>
          <w:b/>
          <w:bCs/>
          <w:sz w:val="22"/>
          <w:szCs w:val="22"/>
        </w:rPr>
        <w:t xml:space="preserve">Figure 15: Trends in Turnover of Agricultural Commodity Derivatives </w:t>
      </w:r>
    </w:p>
    <w:p w14:paraId="47863759" w14:textId="77777777" w:rsidR="00F418DA" w:rsidRPr="009803F8" w:rsidRDefault="00F418DA" w:rsidP="00F418DA">
      <w:pPr>
        <w:pStyle w:val="ListParagraph"/>
        <w:spacing w:after="0" w:line="240" w:lineRule="auto"/>
        <w:ind w:left="0"/>
        <w:rPr>
          <w:rFonts w:ascii="Palatino Linotype" w:hAnsi="Palatino Linotype" w:cs="Arial"/>
          <w:b/>
          <w:bCs/>
          <w:sz w:val="22"/>
          <w:szCs w:val="22"/>
        </w:rPr>
      </w:pPr>
    </w:p>
    <w:p w14:paraId="030619B8" w14:textId="77777777" w:rsidR="00F418DA" w:rsidRPr="009803F8" w:rsidRDefault="00F418DA" w:rsidP="00F418DA">
      <w:pPr>
        <w:pStyle w:val="ListParagraph"/>
        <w:spacing w:after="0" w:line="240" w:lineRule="auto"/>
        <w:ind w:hanging="578"/>
        <w:jc w:val="center"/>
        <w:rPr>
          <w:rFonts w:ascii="Palatino Linotype" w:hAnsi="Palatino Linotype"/>
          <w:b/>
          <w:color w:val="0D0D0D"/>
          <w:sz w:val="18"/>
          <w:szCs w:val="18"/>
        </w:rPr>
      </w:pPr>
      <w:r w:rsidRPr="00623E5F">
        <w:rPr>
          <w:noProof/>
          <w:lang w:val="en-IN" w:eastAsia="en-IN" w:bidi="hi-IN"/>
        </w:rPr>
        <w:drawing>
          <wp:inline distT="0" distB="0" distL="0" distR="0" wp14:anchorId="30A29EEE" wp14:editId="69B7CDFA">
            <wp:extent cx="5730240" cy="3022600"/>
            <wp:effectExtent l="0" t="0" r="3810" b="6350"/>
            <wp:docPr id="19" name="Chart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C1546CB" w14:textId="77777777" w:rsidR="00F418DA" w:rsidRDefault="00F418DA" w:rsidP="00F418DA">
      <w:pPr>
        <w:rPr>
          <w:rFonts w:ascii="Palatino Linotype" w:hAnsi="Palatino Linotype"/>
          <w:b/>
          <w:color w:val="0D0D0D"/>
          <w:sz w:val="18"/>
          <w:szCs w:val="18"/>
        </w:rPr>
      </w:pPr>
    </w:p>
    <w:p w14:paraId="77498DE5" w14:textId="77777777" w:rsidR="00F418DA" w:rsidRPr="009803F8" w:rsidRDefault="00F418DA" w:rsidP="00F418DA">
      <w:pPr>
        <w:rPr>
          <w:rFonts w:ascii="Palatino Linotype" w:hAnsi="Palatino Linotype"/>
          <w:b/>
          <w:color w:val="0D0D0D"/>
          <w:sz w:val="18"/>
          <w:szCs w:val="18"/>
        </w:rPr>
      </w:pPr>
      <w:r w:rsidRPr="009803F8">
        <w:rPr>
          <w:rFonts w:ascii="Palatino Linotype" w:hAnsi="Palatino Linotype"/>
          <w:b/>
          <w:color w:val="0D0D0D"/>
          <w:sz w:val="18"/>
          <w:szCs w:val="18"/>
        </w:rPr>
        <w:t>Source: MCX, NCDEX, NSE, BSE &amp; ICEX</w:t>
      </w:r>
    </w:p>
    <w:p w14:paraId="5BD58B37"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2A4AB518"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0F1213B7"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438B1D96"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4AFACF9E"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12FBCF38"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6149639E"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577FA127" w14:textId="77777777" w:rsidR="00F418DA" w:rsidRDefault="00F418DA" w:rsidP="00F418DA">
      <w:pPr>
        <w:pStyle w:val="ListParagraph"/>
        <w:spacing w:after="0" w:line="240" w:lineRule="auto"/>
        <w:ind w:left="426" w:hanging="862"/>
        <w:jc w:val="center"/>
        <w:rPr>
          <w:rFonts w:ascii="Palatino Linotype" w:hAnsi="Palatino Linotype"/>
          <w:b/>
          <w:sz w:val="22"/>
          <w:szCs w:val="22"/>
        </w:rPr>
      </w:pPr>
    </w:p>
    <w:p w14:paraId="56563F91" w14:textId="77777777" w:rsidR="00F418DA" w:rsidRPr="009803F8" w:rsidRDefault="00F418DA" w:rsidP="00F418DA">
      <w:pPr>
        <w:pStyle w:val="ListParagraph"/>
        <w:spacing w:after="0" w:line="240" w:lineRule="auto"/>
        <w:ind w:left="426" w:hanging="862"/>
        <w:jc w:val="center"/>
        <w:rPr>
          <w:rFonts w:ascii="Palatino Linotype" w:hAnsi="Palatino Linotype"/>
          <w:b/>
          <w:sz w:val="22"/>
          <w:szCs w:val="22"/>
        </w:rPr>
      </w:pPr>
      <w:r w:rsidRPr="009803F8">
        <w:rPr>
          <w:rFonts w:ascii="Palatino Linotype" w:hAnsi="Palatino Linotype"/>
          <w:b/>
          <w:sz w:val="22"/>
          <w:szCs w:val="22"/>
        </w:rPr>
        <w:lastRenderedPageBreak/>
        <w:t xml:space="preserve"> </w:t>
      </w:r>
    </w:p>
    <w:p w14:paraId="45D174D1" w14:textId="77777777" w:rsidR="00F418DA" w:rsidRPr="009803F8" w:rsidRDefault="00F418DA" w:rsidP="00F418DA">
      <w:pPr>
        <w:pStyle w:val="ListParagraph"/>
        <w:spacing w:after="0" w:line="240" w:lineRule="auto"/>
        <w:ind w:left="426" w:hanging="862"/>
        <w:jc w:val="center"/>
        <w:rPr>
          <w:rFonts w:ascii="Palatino Linotype" w:hAnsi="Palatino Linotype"/>
          <w:b/>
          <w:sz w:val="22"/>
          <w:szCs w:val="22"/>
        </w:rPr>
      </w:pPr>
      <w:r w:rsidRPr="009803F8">
        <w:rPr>
          <w:rFonts w:ascii="Palatino Linotype" w:hAnsi="Palatino Linotype"/>
          <w:b/>
          <w:sz w:val="22"/>
          <w:szCs w:val="22"/>
        </w:rPr>
        <w:t xml:space="preserve">  Figure 16: Trends in Turnover of Non-Agricultural Futures contracts </w:t>
      </w:r>
    </w:p>
    <w:p w14:paraId="0F7B5949" w14:textId="77777777" w:rsidR="00F418DA" w:rsidRPr="009803F8" w:rsidRDefault="00F418DA" w:rsidP="00F418DA">
      <w:pPr>
        <w:pStyle w:val="ListParagraph"/>
        <w:spacing w:after="0" w:line="240" w:lineRule="auto"/>
        <w:ind w:left="426" w:hanging="862"/>
        <w:jc w:val="center"/>
        <w:rPr>
          <w:rFonts w:ascii="Palatino Linotype" w:hAnsi="Palatino Linotype"/>
          <w:b/>
          <w:sz w:val="22"/>
          <w:szCs w:val="22"/>
        </w:rPr>
      </w:pPr>
      <w:r w:rsidRPr="00623E5F">
        <w:rPr>
          <w:noProof/>
          <w:lang w:val="en-IN" w:eastAsia="en-IN" w:bidi="hi-IN"/>
        </w:rPr>
        <w:drawing>
          <wp:inline distT="0" distB="0" distL="0" distR="0" wp14:anchorId="4B65CE88" wp14:editId="1BB101AA">
            <wp:extent cx="5730240" cy="3230245"/>
            <wp:effectExtent l="0" t="0" r="3810" b="8255"/>
            <wp:docPr id="18" name="Chart 1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A1CF374" w14:textId="77777777" w:rsidR="00F418DA" w:rsidRPr="009803F8" w:rsidRDefault="00F418DA" w:rsidP="00F418DA">
      <w:pPr>
        <w:pStyle w:val="ListParagraph"/>
        <w:spacing w:after="0" w:line="240" w:lineRule="auto"/>
        <w:ind w:left="426" w:hanging="862"/>
        <w:jc w:val="center"/>
        <w:rPr>
          <w:rFonts w:ascii="Palatino Linotype" w:hAnsi="Palatino Linotype"/>
          <w:b/>
          <w:sz w:val="22"/>
          <w:szCs w:val="22"/>
        </w:rPr>
      </w:pPr>
    </w:p>
    <w:p w14:paraId="13B469E2" w14:textId="77777777" w:rsidR="00F418DA" w:rsidRPr="009803F8" w:rsidRDefault="00F418DA" w:rsidP="00F418DA">
      <w:pPr>
        <w:spacing w:line="259" w:lineRule="auto"/>
        <w:rPr>
          <w:rFonts w:ascii="Palatino Linotype" w:hAnsi="Palatino Linotype" w:cs="Arial"/>
          <w:bCs/>
        </w:rPr>
      </w:pPr>
      <w:r w:rsidRPr="009803F8">
        <w:rPr>
          <w:rFonts w:ascii="Palatino Linotype" w:hAnsi="Palatino Linotype"/>
          <w:b/>
          <w:color w:val="0D0D0D"/>
          <w:sz w:val="18"/>
          <w:szCs w:val="18"/>
        </w:rPr>
        <w:t>Source: MCX, NCDEX, NSE, BSE &amp; ICEX.</w:t>
      </w:r>
      <w:r w:rsidRPr="009803F8">
        <w:rPr>
          <w:rFonts w:ascii="Palatino Linotype" w:hAnsi="Palatino Linotype" w:cs="Arial"/>
          <w:bCs/>
        </w:rPr>
        <w:t xml:space="preserve"> </w:t>
      </w:r>
    </w:p>
    <w:p w14:paraId="0B4EB42F" w14:textId="77777777" w:rsidR="00F418DA" w:rsidRPr="009803F8" w:rsidRDefault="00F418DA" w:rsidP="00F418DA">
      <w:pPr>
        <w:pStyle w:val="ListParagraph"/>
        <w:spacing w:after="0" w:line="240" w:lineRule="auto"/>
        <w:ind w:left="-284" w:hanging="152"/>
        <w:jc w:val="center"/>
        <w:rPr>
          <w:rFonts w:ascii="Palatino Linotype" w:hAnsi="Palatino Linotype"/>
          <w:b/>
          <w:sz w:val="22"/>
          <w:szCs w:val="22"/>
        </w:rPr>
      </w:pPr>
    </w:p>
    <w:p w14:paraId="65632193" w14:textId="77777777" w:rsidR="00F418DA" w:rsidRDefault="00F418DA" w:rsidP="00F418DA">
      <w:pPr>
        <w:pStyle w:val="ListParagraph"/>
        <w:spacing w:after="0" w:line="240" w:lineRule="auto"/>
        <w:ind w:left="-284" w:hanging="152"/>
        <w:jc w:val="center"/>
        <w:rPr>
          <w:rFonts w:ascii="Palatino Linotype" w:hAnsi="Palatino Linotype"/>
          <w:b/>
          <w:sz w:val="22"/>
          <w:szCs w:val="22"/>
        </w:rPr>
      </w:pPr>
    </w:p>
    <w:p w14:paraId="270BEE94" w14:textId="77777777" w:rsidR="00F418DA" w:rsidRDefault="00F418DA" w:rsidP="00F418DA">
      <w:pPr>
        <w:pStyle w:val="ListParagraph"/>
        <w:spacing w:after="0" w:line="240" w:lineRule="auto"/>
        <w:ind w:left="-284" w:hanging="152"/>
        <w:jc w:val="center"/>
        <w:rPr>
          <w:rFonts w:ascii="Palatino Linotype" w:hAnsi="Palatino Linotype"/>
          <w:b/>
          <w:sz w:val="22"/>
          <w:szCs w:val="22"/>
        </w:rPr>
      </w:pPr>
    </w:p>
    <w:p w14:paraId="0FCC6601" w14:textId="77777777" w:rsidR="00F418DA" w:rsidRDefault="00F418DA" w:rsidP="00F418DA">
      <w:pPr>
        <w:pStyle w:val="ListParagraph"/>
        <w:spacing w:after="0" w:line="240" w:lineRule="auto"/>
        <w:ind w:left="-284" w:hanging="152"/>
        <w:jc w:val="center"/>
        <w:rPr>
          <w:rFonts w:ascii="Palatino Linotype" w:hAnsi="Palatino Linotype"/>
          <w:b/>
          <w:sz w:val="22"/>
          <w:szCs w:val="22"/>
        </w:rPr>
      </w:pPr>
    </w:p>
    <w:p w14:paraId="2F71FDB8" w14:textId="77777777" w:rsidR="00F418DA" w:rsidRPr="009803F8" w:rsidRDefault="00F418DA" w:rsidP="00F418DA">
      <w:pPr>
        <w:pStyle w:val="ListParagraph"/>
        <w:spacing w:after="0" w:line="240" w:lineRule="auto"/>
        <w:ind w:left="-284" w:hanging="152"/>
        <w:rPr>
          <w:rFonts w:ascii="Palatino Linotype" w:hAnsi="Palatino Linotype"/>
          <w:b/>
          <w:sz w:val="22"/>
          <w:szCs w:val="22"/>
        </w:rPr>
      </w:pPr>
    </w:p>
    <w:p w14:paraId="431F4F04" w14:textId="77777777" w:rsidR="00F418DA" w:rsidRPr="009803F8" w:rsidRDefault="00F418DA" w:rsidP="00F418DA">
      <w:pPr>
        <w:pStyle w:val="ListParagraph"/>
        <w:spacing w:after="0" w:line="240" w:lineRule="auto"/>
        <w:ind w:left="-284" w:hanging="152"/>
        <w:jc w:val="center"/>
        <w:rPr>
          <w:rFonts w:ascii="Palatino Linotype" w:hAnsi="Palatino Linotype"/>
          <w:b/>
          <w:sz w:val="22"/>
          <w:szCs w:val="22"/>
        </w:rPr>
      </w:pPr>
    </w:p>
    <w:p w14:paraId="232717C2" w14:textId="77777777" w:rsidR="00F418DA" w:rsidRPr="009803F8" w:rsidRDefault="00F418DA" w:rsidP="00F418DA">
      <w:pPr>
        <w:pStyle w:val="ListParagraph"/>
        <w:spacing w:after="0" w:line="240" w:lineRule="auto"/>
        <w:ind w:left="-284" w:hanging="152"/>
        <w:jc w:val="center"/>
        <w:rPr>
          <w:rFonts w:ascii="Palatino Linotype" w:hAnsi="Palatino Linotype"/>
          <w:b/>
          <w:sz w:val="22"/>
          <w:szCs w:val="22"/>
        </w:rPr>
      </w:pPr>
      <w:r w:rsidRPr="009803F8">
        <w:rPr>
          <w:rFonts w:ascii="Palatino Linotype" w:hAnsi="Palatino Linotype"/>
          <w:b/>
          <w:sz w:val="22"/>
          <w:szCs w:val="22"/>
        </w:rPr>
        <w:t xml:space="preserve">Figure 17: Trends in Turnover of Non-Agricultural Options contracts </w:t>
      </w:r>
    </w:p>
    <w:p w14:paraId="2DC73602" w14:textId="77777777" w:rsidR="00F418DA" w:rsidRPr="009803F8" w:rsidRDefault="00F418DA" w:rsidP="00F418DA">
      <w:pPr>
        <w:pStyle w:val="ListParagraph"/>
        <w:spacing w:after="0" w:line="240" w:lineRule="auto"/>
        <w:ind w:left="0"/>
        <w:rPr>
          <w:rFonts w:ascii="Palatino Linotype" w:hAnsi="Palatino Linotype"/>
          <w:b/>
          <w:sz w:val="22"/>
          <w:szCs w:val="22"/>
        </w:rPr>
      </w:pPr>
      <w:r w:rsidRPr="00173749">
        <w:rPr>
          <w:noProof/>
          <w:lang w:val="en-IN" w:eastAsia="en-IN" w:bidi="hi-IN"/>
        </w:rPr>
        <w:drawing>
          <wp:inline distT="0" distB="0" distL="0" distR="0" wp14:anchorId="70998A75" wp14:editId="4D619115">
            <wp:extent cx="5485765" cy="3397250"/>
            <wp:effectExtent l="0" t="0" r="635" b="12700"/>
            <wp:docPr id="4"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E6FBDF9" w14:textId="77777777" w:rsidR="00F418DA" w:rsidRPr="009803F8" w:rsidRDefault="00F418DA" w:rsidP="00F418DA">
      <w:pPr>
        <w:pStyle w:val="ListParagraph"/>
        <w:spacing w:after="0" w:line="240" w:lineRule="auto"/>
        <w:ind w:left="-284" w:hanging="152"/>
        <w:jc w:val="center"/>
        <w:rPr>
          <w:rFonts w:ascii="Palatino Linotype" w:hAnsi="Palatino Linotype"/>
          <w:b/>
          <w:sz w:val="22"/>
          <w:szCs w:val="22"/>
        </w:rPr>
      </w:pPr>
    </w:p>
    <w:p w14:paraId="2FD7CBBB" w14:textId="77777777" w:rsidR="00F418DA" w:rsidRDefault="00F418DA" w:rsidP="00F418DA">
      <w:pPr>
        <w:spacing w:line="259" w:lineRule="auto"/>
        <w:rPr>
          <w:rFonts w:ascii="Palatino Linotype" w:hAnsi="Palatino Linotype" w:cs="Arial"/>
          <w:bCs/>
        </w:rPr>
      </w:pPr>
      <w:r w:rsidRPr="009803F8">
        <w:rPr>
          <w:rFonts w:ascii="Palatino Linotype" w:hAnsi="Palatino Linotype"/>
          <w:b/>
          <w:color w:val="0D0D0D"/>
          <w:sz w:val="18"/>
          <w:szCs w:val="18"/>
        </w:rPr>
        <w:t>Source: MCX, BSE &amp; NSE.</w:t>
      </w:r>
      <w:r>
        <w:rPr>
          <w:rFonts w:ascii="Palatino Linotype" w:hAnsi="Palatino Linotype" w:cs="Arial"/>
          <w:bCs/>
        </w:rPr>
        <w:t xml:space="preserve">                                        </w:t>
      </w:r>
    </w:p>
    <w:p w14:paraId="04AF8959" w14:textId="77777777" w:rsidR="0086339A" w:rsidRDefault="0086339A" w:rsidP="00E344DD">
      <w:pPr>
        <w:spacing w:line="259" w:lineRule="auto"/>
        <w:rPr>
          <w:rFonts w:ascii="Palatino Linotype" w:hAnsi="Palatino Linotype" w:cs="Arial"/>
          <w:bCs/>
        </w:rPr>
      </w:pPr>
    </w:p>
    <w:p w14:paraId="5D34C896" w14:textId="77777777" w:rsidR="00E344DD" w:rsidRDefault="00E344DD" w:rsidP="00E344DD">
      <w:pPr>
        <w:spacing w:line="259" w:lineRule="auto"/>
        <w:rPr>
          <w:rFonts w:ascii="Palatino Linotype" w:hAnsi="Palatino Linotype" w:cs="Arial"/>
          <w:bCs/>
        </w:rPr>
      </w:pPr>
      <w:r>
        <w:rPr>
          <w:rFonts w:ascii="Palatino Linotype" w:hAnsi="Palatino Linotype" w:cs="Arial"/>
          <w:bCs/>
        </w:rPr>
        <w:lastRenderedPageBreak/>
        <w:t xml:space="preserve">                                   </w:t>
      </w:r>
    </w:p>
    <w:p w14:paraId="4D00179B" w14:textId="77777777" w:rsidR="002F2984" w:rsidRDefault="002F2984" w:rsidP="00E344DD">
      <w:pPr>
        <w:spacing w:line="259" w:lineRule="auto"/>
        <w:rPr>
          <w:rFonts w:ascii="Palatino Linotype" w:hAnsi="Palatino Linotype" w:cs="Arial"/>
          <w:bCs/>
        </w:rPr>
      </w:pPr>
    </w:p>
    <w:p w14:paraId="17966B7B" w14:textId="77777777"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14:paraId="00A5FCD1" w14:textId="77777777"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14:paraId="7AE09B10" w14:textId="77777777" w:rsidR="00D33F7C" w:rsidRPr="00930D54"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trike/>
          <w:sz w:val="22"/>
          <w:szCs w:val="22"/>
          <w:lang w:val="en-US"/>
        </w:rPr>
      </w:pPr>
      <w:r w:rsidRPr="00593E0E">
        <w:rPr>
          <w:rFonts w:ascii="Palatino Linotype" w:eastAsia="Times New Roman" w:hAnsi="Palatino Linotype"/>
          <w:sz w:val="22"/>
          <w:szCs w:val="22"/>
          <w:lang w:val="en-US"/>
        </w:rPr>
        <w:t xml:space="preserve">The JPMorgan Global Composite Purchasing Managers’ Index (PMI), compiled by IHS Markit, </w:t>
      </w:r>
      <w:r w:rsidRPr="00BC0641">
        <w:rPr>
          <w:rFonts w:ascii="Palatino Linotype" w:eastAsia="Times New Roman" w:hAnsi="Palatino Linotype"/>
          <w:sz w:val="22"/>
          <w:szCs w:val="22"/>
          <w:lang w:val="en-US"/>
        </w:rPr>
        <w:t>decreased</w:t>
      </w:r>
      <w:r w:rsidRPr="00593E0E">
        <w:rPr>
          <w:rFonts w:ascii="Palatino Linotype" w:eastAsia="Times New Roman" w:hAnsi="Palatino Linotype"/>
          <w:sz w:val="22"/>
          <w:szCs w:val="22"/>
          <w:lang w:val="en-US"/>
        </w:rPr>
        <w:t xml:space="preserve"> to 56.6 points in June 2021, from 58.5 in </w:t>
      </w:r>
      <w:r>
        <w:rPr>
          <w:rFonts w:ascii="Palatino Linotype" w:eastAsia="Times New Roman" w:hAnsi="Palatino Linotype"/>
          <w:sz w:val="22"/>
          <w:szCs w:val="22"/>
          <w:lang w:val="en-US"/>
        </w:rPr>
        <w:t>M</w:t>
      </w:r>
      <w:r w:rsidRPr="00593E0E">
        <w:rPr>
          <w:rFonts w:ascii="Palatino Linotype" w:eastAsia="Times New Roman" w:hAnsi="Palatino Linotype"/>
          <w:sz w:val="22"/>
          <w:szCs w:val="22"/>
          <w:lang w:val="en-US"/>
        </w:rPr>
        <w:t xml:space="preserve">ay 2021. A reading of PMI above 50 means growth or expansion in economic activity. </w:t>
      </w:r>
    </w:p>
    <w:p w14:paraId="15A9BD69" w14:textId="77777777" w:rsidR="00D33F7C" w:rsidRPr="00593E0E"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2BD42942" w14:textId="77777777" w:rsidR="00D33F7C" w:rsidRPr="00593E0E"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593E0E">
        <w:rPr>
          <w:rFonts w:ascii="Palatino Linotype" w:eastAsia="Times New Roman" w:hAnsi="Palatino Linotype"/>
          <w:sz w:val="22"/>
          <w:szCs w:val="22"/>
          <w:lang w:val="en-US"/>
        </w:rPr>
        <w:t xml:space="preserve">The developed markets outperformed emerging equity markets in </w:t>
      </w:r>
      <w:r>
        <w:rPr>
          <w:rFonts w:ascii="Palatino Linotype" w:eastAsia="Times New Roman" w:hAnsi="Palatino Linotype"/>
          <w:sz w:val="22"/>
          <w:szCs w:val="22"/>
          <w:lang w:val="en-US"/>
        </w:rPr>
        <w:t>June</w:t>
      </w:r>
      <w:r w:rsidRPr="00593E0E">
        <w:rPr>
          <w:rFonts w:ascii="Palatino Linotype" w:eastAsia="Times New Roman" w:hAnsi="Palatino Linotype"/>
          <w:sz w:val="22"/>
          <w:szCs w:val="22"/>
          <w:lang w:val="en-US"/>
        </w:rPr>
        <w:t xml:space="preserve"> 2021. MSCI Emerging Market (EM) index </w:t>
      </w:r>
      <w:r>
        <w:rPr>
          <w:rFonts w:ascii="Palatino Linotype" w:eastAsia="Times New Roman" w:hAnsi="Palatino Linotype"/>
          <w:sz w:val="22"/>
          <w:szCs w:val="22"/>
          <w:lang w:val="en-US"/>
        </w:rPr>
        <w:t>decreased</w:t>
      </w:r>
      <w:r w:rsidRPr="00593E0E">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0.1</w:t>
      </w:r>
      <w:r w:rsidRPr="00593E0E">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June</w:t>
      </w:r>
      <w:r w:rsidRPr="00593E0E">
        <w:rPr>
          <w:rFonts w:ascii="Palatino Linotype" w:eastAsia="Times New Roman" w:hAnsi="Palatino Linotype"/>
          <w:sz w:val="22"/>
          <w:szCs w:val="22"/>
          <w:lang w:val="en-US"/>
        </w:rPr>
        <w:t xml:space="preserve"> 2021 over the previous month, while MSCI Developed Market Index increased by </w:t>
      </w:r>
      <w:r>
        <w:rPr>
          <w:rFonts w:ascii="Palatino Linotype" w:eastAsia="Times New Roman" w:hAnsi="Palatino Linotype"/>
          <w:sz w:val="22"/>
          <w:szCs w:val="22"/>
          <w:lang w:val="en-US"/>
        </w:rPr>
        <w:t>1.4</w:t>
      </w:r>
      <w:r w:rsidRPr="00593E0E">
        <w:rPr>
          <w:rFonts w:ascii="Palatino Linotype" w:eastAsia="Times New Roman" w:hAnsi="Palatino Linotype"/>
          <w:sz w:val="22"/>
          <w:szCs w:val="22"/>
          <w:lang w:val="en-US"/>
        </w:rPr>
        <w:t xml:space="preserve"> per cent during same period. </w:t>
      </w:r>
    </w:p>
    <w:p w14:paraId="053F80BA" w14:textId="77777777" w:rsidR="00D33F7C" w:rsidRPr="008B4602"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703A1870" w14:textId="77777777" w:rsidR="00D33F7C" w:rsidRPr="008B4602"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8B4602">
        <w:rPr>
          <w:rFonts w:ascii="Palatino Linotype" w:eastAsia="Times New Roman" w:hAnsi="Palatino Linotype"/>
          <w:sz w:val="22"/>
          <w:szCs w:val="22"/>
          <w:lang w:val="en-US"/>
        </w:rPr>
        <w:t xml:space="preserve">The volatility in the equity markets decreased during </w:t>
      </w:r>
      <w:r>
        <w:rPr>
          <w:rFonts w:ascii="Palatino Linotype" w:eastAsia="Times New Roman" w:hAnsi="Palatino Linotype"/>
          <w:sz w:val="22"/>
          <w:szCs w:val="22"/>
          <w:lang w:val="en-US"/>
        </w:rPr>
        <w:t>June</w:t>
      </w:r>
      <w:r w:rsidRPr="008B4602">
        <w:rPr>
          <w:rFonts w:ascii="Palatino Linotype" w:eastAsia="Times New Roman" w:hAnsi="Palatino Linotype"/>
          <w:sz w:val="22"/>
          <w:szCs w:val="22"/>
          <w:lang w:val="en-US"/>
        </w:rPr>
        <w:t xml:space="preserve"> 2021. The CBOE VIX index decreased to</w:t>
      </w:r>
      <w:r w:rsidRPr="008B4602">
        <w:t xml:space="preserve"> </w:t>
      </w:r>
      <w:r>
        <w:rPr>
          <w:rFonts w:ascii="Palatino Linotype" w:eastAsia="Times New Roman" w:hAnsi="Palatino Linotype"/>
          <w:sz w:val="22"/>
          <w:szCs w:val="22"/>
          <w:lang w:val="en-US"/>
        </w:rPr>
        <w:t>15.8</w:t>
      </w:r>
      <w:r w:rsidRPr="008B4602">
        <w:rPr>
          <w:rFonts w:ascii="Palatino Linotype" w:eastAsia="Times New Roman" w:hAnsi="Palatino Linotype"/>
          <w:sz w:val="22"/>
          <w:szCs w:val="22"/>
          <w:lang w:val="en-US"/>
        </w:rPr>
        <w:t xml:space="preserve"> at the end of </w:t>
      </w:r>
      <w:r>
        <w:rPr>
          <w:rFonts w:ascii="Palatino Linotype" w:eastAsia="Times New Roman" w:hAnsi="Palatino Linotype"/>
          <w:sz w:val="22"/>
          <w:szCs w:val="22"/>
          <w:lang w:val="en-US"/>
        </w:rPr>
        <w:t>June</w:t>
      </w:r>
      <w:r w:rsidRPr="008B4602">
        <w:rPr>
          <w:rFonts w:ascii="Palatino Linotype" w:eastAsia="Times New Roman" w:hAnsi="Palatino Linotype"/>
          <w:sz w:val="22"/>
          <w:szCs w:val="22"/>
          <w:lang w:val="en-US"/>
        </w:rPr>
        <w:t xml:space="preserve"> 2021 from 16.</w:t>
      </w:r>
      <w:r>
        <w:rPr>
          <w:rFonts w:ascii="Palatino Linotype" w:eastAsia="Times New Roman" w:hAnsi="Palatino Linotype"/>
          <w:sz w:val="22"/>
          <w:szCs w:val="22"/>
          <w:lang w:val="en-US"/>
        </w:rPr>
        <w:t>8</w:t>
      </w:r>
      <w:r w:rsidRPr="008B4602">
        <w:rPr>
          <w:rFonts w:ascii="Palatino Linotype" w:eastAsia="Times New Roman" w:hAnsi="Palatino Linotype"/>
          <w:sz w:val="22"/>
          <w:szCs w:val="22"/>
          <w:lang w:val="en-US"/>
        </w:rPr>
        <w:t xml:space="preserve"> as at the end of last month.</w:t>
      </w:r>
    </w:p>
    <w:p w14:paraId="7FC87BB7" w14:textId="77777777" w:rsidR="00D33F7C" w:rsidRPr="0038127D"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493F2593" w14:textId="77777777" w:rsidR="00D33F7C" w:rsidRPr="0038127D"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38127D">
        <w:rPr>
          <w:rFonts w:ascii="Palatino Linotype" w:eastAsia="Times New Roman" w:hAnsi="Palatino Linotype"/>
          <w:sz w:val="22"/>
          <w:szCs w:val="22"/>
          <w:lang w:val="en-US"/>
        </w:rPr>
        <w:t xml:space="preserve">The US 10-year government bond yield decreased by </w:t>
      </w:r>
      <w:r>
        <w:rPr>
          <w:rFonts w:ascii="Palatino Linotype" w:eastAsia="Times New Roman" w:hAnsi="Palatino Linotype"/>
          <w:sz w:val="22"/>
          <w:szCs w:val="22"/>
          <w:lang w:val="en-US"/>
        </w:rPr>
        <w:t>11</w:t>
      </w:r>
      <w:r w:rsidRPr="0038127D">
        <w:rPr>
          <w:rFonts w:ascii="Palatino Linotype" w:eastAsia="Times New Roman" w:hAnsi="Palatino Linotype"/>
          <w:sz w:val="22"/>
          <w:szCs w:val="22"/>
          <w:lang w:val="en-US"/>
        </w:rPr>
        <w:t xml:space="preserve"> bps to </w:t>
      </w:r>
      <w:r>
        <w:rPr>
          <w:rFonts w:ascii="Palatino Linotype" w:eastAsia="Times New Roman" w:hAnsi="Palatino Linotype"/>
          <w:sz w:val="22"/>
          <w:szCs w:val="22"/>
          <w:lang w:val="en-US"/>
        </w:rPr>
        <w:t>1.47</w:t>
      </w:r>
      <w:r w:rsidRPr="0038127D">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June</w:t>
      </w:r>
      <w:r w:rsidRPr="0038127D">
        <w:rPr>
          <w:rFonts w:ascii="Palatino Linotype" w:eastAsia="Times New Roman" w:hAnsi="Palatino Linotype"/>
          <w:sz w:val="22"/>
          <w:szCs w:val="22"/>
          <w:lang w:val="en-US"/>
        </w:rPr>
        <w:t xml:space="preserve"> 2021. The 10-year government bond yield of India </w:t>
      </w:r>
      <w:r>
        <w:rPr>
          <w:rFonts w:ascii="Palatino Linotype" w:eastAsia="Times New Roman" w:hAnsi="Palatino Linotype"/>
          <w:sz w:val="22"/>
          <w:szCs w:val="22"/>
          <w:lang w:val="en-US"/>
        </w:rPr>
        <w:t>increased</w:t>
      </w:r>
      <w:r w:rsidRPr="0038127D">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3</w:t>
      </w:r>
      <w:r w:rsidRPr="0038127D">
        <w:rPr>
          <w:rFonts w:ascii="Palatino Linotype" w:eastAsia="Times New Roman" w:hAnsi="Palatino Linotype"/>
          <w:sz w:val="22"/>
          <w:szCs w:val="22"/>
          <w:lang w:val="en-US"/>
        </w:rPr>
        <w:t xml:space="preserve"> bps to 6.</w:t>
      </w:r>
      <w:r>
        <w:rPr>
          <w:rFonts w:ascii="Palatino Linotype" w:eastAsia="Times New Roman" w:hAnsi="Palatino Linotype"/>
          <w:sz w:val="22"/>
          <w:szCs w:val="22"/>
          <w:lang w:val="en-US"/>
        </w:rPr>
        <w:t>1</w:t>
      </w:r>
      <w:r w:rsidRPr="0038127D">
        <w:rPr>
          <w:rFonts w:ascii="Palatino Linotype" w:eastAsia="Times New Roman" w:hAnsi="Palatino Linotype"/>
          <w:sz w:val="22"/>
          <w:szCs w:val="22"/>
          <w:lang w:val="en-US"/>
        </w:rPr>
        <w:t xml:space="preserve"> per cent at the end of </w:t>
      </w:r>
      <w:r>
        <w:rPr>
          <w:rFonts w:ascii="Palatino Linotype" w:eastAsia="Times New Roman" w:hAnsi="Palatino Linotype"/>
          <w:sz w:val="22"/>
          <w:szCs w:val="22"/>
          <w:lang w:val="en-US"/>
        </w:rPr>
        <w:t>June</w:t>
      </w:r>
      <w:r w:rsidRPr="0038127D">
        <w:rPr>
          <w:rFonts w:ascii="Palatino Linotype" w:eastAsia="Times New Roman" w:hAnsi="Palatino Linotype"/>
          <w:sz w:val="22"/>
          <w:szCs w:val="22"/>
          <w:lang w:val="en-US"/>
        </w:rPr>
        <w:t xml:space="preserve"> 2021, compared to end of t</w:t>
      </w:r>
      <w:bookmarkStart w:id="1" w:name="_GoBack"/>
      <w:bookmarkEnd w:id="1"/>
      <w:r w:rsidRPr="0038127D">
        <w:rPr>
          <w:rFonts w:ascii="Palatino Linotype" w:eastAsia="Times New Roman" w:hAnsi="Palatino Linotype"/>
          <w:sz w:val="22"/>
          <w:szCs w:val="22"/>
          <w:lang w:val="en-US"/>
        </w:rPr>
        <w:t>he previous month.</w:t>
      </w:r>
    </w:p>
    <w:p w14:paraId="16914941" w14:textId="77777777" w:rsidR="00D33F7C" w:rsidRPr="000F57DC"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5EB3F5B6" w14:textId="6590687C" w:rsidR="00D33F7C" w:rsidRPr="007C2E4F" w:rsidRDefault="00D33F7C" w:rsidP="00D33F7C">
      <w:pPr>
        <w:numPr>
          <w:ilvl w:val="0"/>
          <w:numId w:val="9"/>
        </w:numPr>
        <w:spacing w:before="100" w:beforeAutospacing="1" w:line="276" w:lineRule="auto"/>
        <w:ind w:right="107"/>
        <w:contextualSpacing/>
        <w:jc w:val="both"/>
        <w:rPr>
          <w:rFonts w:ascii="Palatino Linotype" w:eastAsia="Times New Roman" w:hAnsi="Palatino Linotype"/>
          <w:color w:val="FF0000"/>
          <w:sz w:val="22"/>
          <w:szCs w:val="22"/>
          <w:lang w:val="en-US"/>
        </w:rPr>
      </w:pPr>
      <w:r w:rsidRPr="000F57DC">
        <w:rPr>
          <w:rFonts w:ascii="Palatino Linotype" w:eastAsia="Times New Roman" w:hAnsi="Palatino Linotype"/>
          <w:sz w:val="22"/>
          <w:szCs w:val="22"/>
          <w:lang w:val="en-US"/>
        </w:rPr>
        <w:t xml:space="preserve">The WTI crude oil prices increased by USD </w:t>
      </w:r>
      <w:r w:rsidRPr="00855409">
        <w:rPr>
          <w:rFonts w:ascii="Palatino Linotype" w:eastAsia="Times New Roman" w:hAnsi="Palatino Linotype"/>
          <w:sz w:val="22"/>
          <w:szCs w:val="22"/>
          <w:lang w:val="en-US"/>
        </w:rPr>
        <w:t>6.5</w:t>
      </w:r>
      <w:r w:rsidRPr="000F57DC">
        <w:rPr>
          <w:rFonts w:ascii="Palatino Linotype" w:eastAsia="Times New Roman" w:hAnsi="Palatino Linotype"/>
          <w:sz w:val="22"/>
          <w:szCs w:val="22"/>
          <w:lang w:val="en-US"/>
        </w:rPr>
        <w:t xml:space="preserve"> per barrel (or by </w:t>
      </w:r>
      <w:r w:rsidRPr="00855409">
        <w:rPr>
          <w:rFonts w:ascii="Palatino Linotype" w:eastAsia="Times New Roman" w:hAnsi="Palatino Linotype"/>
          <w:sz w:val="22"/>
          <w:szCs w:val="22"/>
          <w:lang w:val="en-US"/>
        </w:rPr>
        <w:t>9.8</w:t>
      </w:r>
      <w:r w:rsidRPr="000F57DC">
        <w:rPr>
          <w:rFonts w:ascii="Palatino Linotype" w:eastAsia="Times New Roman" w:hAnsi="Palatino Linotype"/>
          <w:sz w:val="22"/>
          <w:szCs w:val="22"/>
          <w:lang w:val="en-US"/>
        </w:rPr>
        <w:t xml:space="preserve"> per cent) to USD </w:t>
      </w:r>
      <w:r w:rsidRPr="00855409">
        <w:rPr>
          <w:rFonts w:ascii="Palatino Linotype" w:eastAsia="Times New Roman" w:hAnsi="Palatino Linotype"/>
          <w:sz w:val="22"/>
          <w:szCs w:val="22"/>
          <w:lang w:val="en-US"/>
        </w:rPr>
        <w:t>73.5</w:t>
      </w:r>
      <w:r w:rsidRPr="000F57DC">
        <w:rPr>
          <w:rFonts w:ascii="Palatino Linotype" w:eastAsia="Times New Roman" w:hAnsi="Palatino Linotype"/>
          <w:sz w:val="22"/>
          <w:szCs w:val="22"/>
          <w:lang w:val="en-US"/>
        </w:rPr>
        <w:t xml:space="preserve"> per barrel in </w:t>
      </w:r>
      <w:r>
        <w:rPr>
          <w:rFonts w:ascii="Palatino Linotype" w:eastAsia="Times New Roman" w:hAnsi="Palatino Linotype"/>
          <w:sz w:val="22"/>
          <w:szCs w:val="22"/>
          <w:lang w:val="en-US"/>
        </w:rPr>
        <w:t>June</w:t>
      </w:r>
      <w:r w:rsidRPr="000F57DC">
        <w:rPr>
          <w:rFonts w:ascii="Palatino Linotype" w:eastAsia="Times New Roman" w:hAnsi="Palatino Linotype"/>
          <w:sz w:val="22"/>
          <w:szCs w:val="22"/>
          <w:lang w:val="en-US"/>
        </w:rPr>
        <w:t xml:space="preserve"> 2021. </w:t>
      </w:r>
      <w:r w:rsidRPr="002D724A">
        <w:rPr>
          <w:rFonts w:ascii="Palatino Linotype" w:eastAsia="Times New Roman" w:hAnsi="Palatino Linotype"/>
          <w:sz w:val="22"/>
          <w:szCs w:val="22"/>
          <w:lang w:val="en-US"/>
        </w:rPr>
        <w:t xml:space="preserve">Gold prices decreased by 7.2 per cent to USD 1,769.8 at the end of June 2021 from USD 1,906.4 at the end of </w:t>
      </w:r>
      <w:r w:rsidR="002D724A" w:rsidRPr="002D724A">
        <w:rPr>
          <w:rFonts w:ascii="Palatino Linotype" w:eastAsia="Times New Roman" w:hAnsi="Palatino Linotype"/>
          <w:sz w:val="22"/>
          <w:szCs w:val="22"/>
          <w:lang w:val="en-US"/>
        </w:rPr>
        <w:t>May</w:t>
      </w:r>
      <w:r w:rsidRPr="002D724A">
        <w:rPr>
          <w:rFonts w:ascii="Palatino Linotype" w:eastAsia="Times New Roman" w:hAnsi="Palatino Linotype"/>
          <w:sz w:val="22"/>
          <w:szCs w:val="22"/>
          <w:lang w:val="en-US"/>
        </w:rPr>
        <w:t xml:space="preserve"> 2021. </w:t>
      </w:r>
    </w:p>
    <w:p w14:paraId="38E642AD" w14:textId="77777777" w:rsidR="00D33F7C" w:rsidRPr="00211509"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7498AE7A" w14:textId="77777777" w:rsidR="00D33F7C" w:rsidRPr="00211509"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211509">
        <w:rPr>
          <w:rFonts w:ascii="Palatino Linotype" w:eastAsia="Times New Roman" w:hAnsi="Palatino Linotype"/>
          <w:sz w:val="22"/>
          <w:szCs w:val="22"/>
          <w:lang w:val="en-US"/>
        </w:rPr>
        <w:t>As per the latest estimate, the US economy expanded by 6.</w:t>
      </w:r>
      <w:r>
        <w:rPr>
          <w:rFonts w:ascii="Palatino Linotype" w:eastAsia="Times New Roman" w:hAnsi="Palatino Linotype"/>
          <w:sz w:val="22"/>
          <w:szCs w:val="22"/>
          <w:lang w:val="en-US"/>
        </w:rPr>
        <w:t>5</w:t>
      </w:r>
      <w:r w:rsidRPr="00211509">
        <w:rPr>
          <w:rFonts w:ascii="Palatino Linotype" w:eastAsia="Times New Roman" w:hAnsi="Palatino Linotype"/>
          <w:sz w:val="22"/>
          <w:szCs w:val="22"/>
          <w:lang w:val="en-US"/>
        </w:rPr>
        <w:t xml:space="preserve"> per cent Q-o-Q in annualised terms in the Q</w:t>
      </w:r>
      <w:r>
        <w:rPr>
          <w:rFonts w:ascii="Palatino Linotype" w:eastAsia="Times New Roman" w:hAnsi="Palatino Linotype"/>
          <w:sz w:val="22"/>
          <w:szCs w:val="22"/>
          <w:lang w:val="en-US"/>
        </w:rPr>
        <w:t>2</w:t>
      </w:r>
      <w:r w:rsidRPr="00211509">
        <w:rPr>
          <w:rFonts w:ascii="Palatino Linotype" w:eastAsia="Times New Roman" w:hAnsi="Palatino Linotype"/>
          <w:sz w:val="22"/>
          <w:szCs w:val="22"/>
          <w:lang w:val="en-US"/>
        </w:rPr>
        <w:t xml:space="preserve"> of </w:t>
      </w:r>
      <w:r w:rsidR="00214741">
        <w:rPr>
          <w:rFonts w:ascii="Palatino Linotype" w:eastAsia="Times New Roman" w:hAnsi="Palatino Linotype"/>
          <w:sz w:val="22"/>
          <w:szCs w:val="22"/>
          <w:lang w:val="en-US"/>
        </w:rPr>
        <w:t xml:space="preserve">Calendar Year </w:t>
      </w:r>
      <w:r w:rsidRPr="00211509">
        <w:rPr>
          <w:rFonts w:ascii="Palatino Linotype" w:eastAsia="Times New Roman" w:hAnsi="Palatino Linotype"/>
          <w:sz w:val="22"/>
          <w:szCs w:val="22"/>
          <w:lang w:val="en-US"/>
        </w:rPr>
        <w:t xml:space="preserve">2021, compared to </w:t>
      </w:r>
      <w:r>
        <w:rPr>
          <w:rFonts w:ascii="Palatino Linotype" w:eastAsia="Times New Roman" w:hAnsi="Palatino Linotype"/>
          <w:sz w:val="22"/>
          <w:szCs w:val="22"/>
          <w:lang w:val="en-US"/>
        </w:rPr>
        <w:t>6.3</w:t>
      </w:r>
      <w:r w:rsidRPr="00211509">
        <w:rPr>
          <w:rFonts w:ascii="Palatino Linotype" w:eastAsia="Times New Roman" w:hAnsi="Palatino Linotype"/>
          <w:sz w:val="22"/>
          <w:szCs w:val="22"/>
          <w:lang w:val="en-US"/>
        </w:rPr>
        <w:t xml:space="preserve"> per cent increase during the previous quarter. The US unemployment rate </w:t>
      </w:r>
      <w:r>
        <w:rPr>
          <w:rFonts w:ascii="Palatino Linotype" w:eastAsia="Times New Roman" w:hAnsi="Palatino Linotype"/>
          <w:sz w:val="22"/>
          <w:szCs w:val="22"/>
          <w:lang w:val="en-US"/>
        </w:rPr>
        <w:t>slightly increased</w:t>
      </w:r>
      <w:r w:rsidRPr="00211509">
        <w:rPr>
          <w:rFonts w:ascii="Palatino Linotype" w:eastAsia="Times New Roman" w:hAnsi="Palatino Linotype"/>
          <w:sz w:val="22"/>
          <w:szCs w:val="22"/>
          <w:lang w:val="en-US"/>
        </w:rPr>
        <w:t xml:space="preserve"> to 5.</w:t>
      </w:r>
      <w:r>
        <w:rPr>
          <w:rFonts w:ascii="Palatino Linotype" w:eastAsia="Times New Roman" w:hAnsi="Palatino Linotype"/>
          <w:sz w:val="22"/>
          <w:szCs w:val="22"/>
          <w:lang w:val="en-US"/>
        </w:rPr>
        <w:t>9</w:t>
      </w:r>
      <w:r w:rsidRPr="00211509">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June</w:t>
      </w:r>
      <w:r w:rsidRPr="00211509">
        <w:rPr>
          <w:rFonts w:ascii="Palatino Linotype" w:eastAsia="Times New Roman" w:hAnsi="Palatino Linotype"/>
          <w:sz w:val="22"/>
          <w:szCs w:val="22"/>
          <w:lang w:val="en-US"/>
        </w:rPr>
        <w:t xml:space="preserve"> 2021 from </w:t>
      </w:r>
      <w:r>
        <w:rPr>
          <w:rFonts w:ascii="Palatino Linotype" w:eastAsia="Times New Roman" w:hAnsi="Palatino Linotype"/>
          <w:sz w:val="22"/>
          <w:szCs w:val="22"/>
          <w:lang w:val="en-US"/>
        </w:rPr>
        <w:t>5.8</w:t>
      </w:r>
      <w:r w:rsidRPr="00211509">
        <w:rPr>
          <w:rFonts w:ascii="Palatino Linotype" w:eastAsia="Times New Roman" w:hAnsi="Palatino Linotype"/>
          <w:sz w:val="22"/>
          <w:szCs w:val="22"/>
          <w:lang w:val="en-US"/>
        </w:rPr>
        <w:t xml:space="preserve"> per cent in the previous month.</w:t>
      </w:r>
    </w:p>
    <w:p w14:paraId="206A710A" w14:textId="77777777" w:rsidR="00D33F7C" w:rsidRPr="00211509" w:rsidRDefault="00D33F7C" w:rsidP="00D33F7C">
      <w:pPr>
        <w:spacing w:after="200" w:line="276" w:lineRule="auto"/>
        <w:ind w:left="720" w:right="107"/>
        <w:contextualSpacing/>
        <w:rPr>
          <w:rFonts w:ascii="Palatino Linotype" w:eastAsia="Times New Roman" w:hAnsi="Palatino Linotype"/>
          <w:sz w:val="22"/>
          <w:szCs w:val="22"/>
          <w:lang w:val="en-US"/>
        </w:rPr>
      </w:pPr>
    </w:p>
    <w:p w14:paraId="2E7F43B5" w14:textId="77777777" w:rsidR="00D33F7C" w:rsidRPr="00211509"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211509">
        <w:rPr>
          <w:rFonts w:ascii="Palatino Linotype" w:eastAsia="Times New Roman" w:hAnsi="Palatino Linotype"/>
          <w:sz w:val="22"/>
          <w:szCs w:val="22"/>
          <w:lang w:val="en-US"/>
        </w:rPr>
        <w:t>The UK economy shrank by 1.6 per cent Q-o-Q in Q1 of 2021 against 1.3 per cent expansion in the previous quarter. The UK unemployment rate was observed to be 4.8</w:t>
      </w:r>
      <w:r w:rsidR="00214741">
        <w:rPr>
          <w:rFonts w:ascii="Palatino Linotype" w:eastAsia="Times New Roman" w:hAnsi="Palatino Linotype"/>
          <w:sz w:val="22"/>
          <w:szCs w:val="22"/>
          <w:lang w:val="en-US"/>
        </w:rPr>
        <w:t xml:space="preserve"> per cent</w:t>
      </w:r>
      <w:r w:rsidRPr="00211509">
        <w:rPr>
          <w:rFonts w:ascii="Palatino Linotype" w:eastAsia="Times New Roman" w:hAnsi="Palatino Linotype"/>
          <w:sz w:val="22"/>
          <w:szCs w:val="22"/>
          <w:lang w:val="en-US"/>
        </w:rPr>
        <w:t xml:space="preserve"> for May 2021.</w:t>
      </w:r>
    </w:p>
    <w:p w14:paraId="63553DA2" w14:textId="77777777" w:rsidR="00D33F7C" w:rsidRPr="00F235B7"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582A699C" w14:textId="77777777" w:rsidR="00D33F7C" w:rsidRPr="00F235B7"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F235B7">
        <w:rPr>
          <w:rFonts w:ascii="Palatino Linotype" w:eastAsia="Times New Roman" w:hAnsi="Palatino Linotype"/>
          <w:sz w:val="22"/>
          <w:szCs w:val="22"/>
          <w:lang w:val="en-US"/>
        </w:rPr>
        <w:t xml:space="preserve">The Eurozone economy </w:t>
      </w:r>
      <w:r>
        <w:rPr>
          <w:rFonts w:ascii="Palatino Linotype" w:eastAsia="Times New Roman" w:hAnsi="Palatino Linotype"/>
          <w:sz w:val="22"/>
          <w:szCs w:val="22"/>
          <w:lang w:val="en-US"/>
        </w:rPr>
        <w:t>grew</w:t>
      </w:r>
      <w:r w:rsidRPr="00F235B7">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2</w:t>
      </w:r>
      <w:r w:rsidR="00214741">
        <w:rPr>
          <w:rFonts w:ascii="Palatino Linotype" w:eastAsia="Times New Roman" w:hAnsi="Palatino Linotype"/>
          <w:sz w:val="22"/>
          <w:szCs w:val="22"/>
          <w:lang w:val="en-US"/>
        </w:rPr>
        <w:t>.0</w:t>
      </w:r>
      <w:r w:rsidRPr="00F235B7">
        <w:rPr>
          <w:rFonts w:ascii="Palatino Linotype" w:eastAsia="Times New Roman" w:hAnsi="Palatino Linotype"/>
          <w:sz w:val="22"/>
          <w:szCs w:val="22"/>
          <w:lang w:val="en-US"/>
        </w:rPr>
        <w:t xml:space="preserve"> per cent Q-o-Q in Q</w:t>
      </w:r>
      <w:r>
        <w:rPr>
          <w:rFonts w:ascii="Palatino Linotype" w:eastAsia="Times New Roman" w:hAnsi="Palatino Linotype"/>
          <w:sz w:val="22"/>
          <w:szCs w:val="22"/>
          <w:lang w:val="en-US"/>
        </w:rPr>
        <w:t>2</w:t>
      </w:r>
      <w:r w:rsidRPr="00F235B7">
        <w:rPr>
          <w:rFonts w:ascii="Palatino Linotype" w:eastAsia="Times New Roman" w:hAnsi="Palatino Linotype"/>
          <w:sz w:val="22"/>
          <w:szCs w:val="22"/>
          <w:lang w:val="en-US"/>
        </w:rPr>
        <w:t xml:space="preserve"> of 2021, after shrinking by </w:t>
      </w:r>
      <w:r>
        <w:rPr>
          <w:rFonts w:ascii="Palatino Linotype" w:eastAsia="Times New Roman" w:hAnsi="Palatino Linotype"/>
          <w:sz w:val="22"/>
          <w:szCs w:val="22"/>
          <w:lang w:val="en-US"/>
        </w:rPr>
        <w:t>0.3</w:t>
      </w:r>
      <w:r w:rsidRPr="00F235B7">
        <w:rPr>
          <w:rFonts w:ascii="Palatino Linotype" w:eastAsia="Times New Roman" w:hAnsi="Palatino Linotype"/>
          <w:sz w:val="22"/>
          <w:szCs w:val="22"/>
          <w:lang w:val="en-US"/>
        </w:rPr>
        <w:t xml:space="preserve"> per cent in previous quarter. Amongst the largest economies of Eurozone</w:t>
      </w:r>
      <w:r w:rsidR="00214741">
        <w:rPr>
          <w:rFonts w:ascii="Palatino Linotype" w:eastAsia="Times New Roman" w:hAnsi="Palatino Linotype"/>
          <w:sz w:val="22"/>
          <w:szCs w:val="22"/>
          <w:lang w:val="en-US"/>
        </w:rPr>
        <w:t>,</w:t>
      </w:r>
      <w:r w:rsidRPr="00F235B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the growth rate was -</w:t>
      </w:r>
      <w:r w:rsidRPr="00F235B7">
        <w:rPr>
          <w:rFonts w:ascii="Palatino Linotype" w:eastAsia="Times New Roman" w:hAnsi="Palatino Linotype"/>
          <w:sz w:val="22"/>
          <w:szCs w:val="22"/>
          <w:lang w:val="en-US"/>
        </w:rPr>
        <w:t xml:space="preserve"> Germany (</w:t>
      </w:r>
      <w:r>
        <w:rPr>
          <w:rFonts w:ascii="Palatino Linotype" w:eastAsia="Times New Roman" w:hAnsi="Palatino Linotype"/>
          <w:sz w:val="22"/>
          <w:szCs w:val="22"/>
          <w:lang w:val="en-US"/>
        </w:rPr>
        <w:t>1.5</w:t>
      </w:r>
      <w:r w:rsidRPr="00F235B7">
        <w:rPr>
          <w:rFonts w:ascii="Palatino Linotype" w:eastAsia="Times New Roman" w:hAnsi="Palatino Linotype"/>
          <w:sz w:val="22"/>
          <w:szCs w:val="22"/>
          <w:lang w:val="en-US"/>
        </w:rPr>
        <w:t xml:space="preserve"> per cent), France (</w:t>
      </w:r>
      <w:r>
        <w:rPr>
          <w:rFonts w:ascii="Palatino Linotype" w:eastAsia="Times New Roman" w:hAnsi="Palatino Linotype"/>
          <w:sz w:val="22"/>
          <w:szCs w:val="22"/>
          <w:lang w:val="en-US"/>
        </w:rPr>
        <w:t>0.9</w:t>
      </w:r>
      <w:r w:rsidRPr="00F235B7">
        <w:rPr>
          <w:rFonts w:ascii="Palatino Linotype" w:eastAsia="Times New Roman" w:hAnsi="Palatino Linotype"/>
          <w:sz w:val="22"/>
          <w:szCs w:val="22"/>
          <w:lang w:val="en-US"/>
        </w:rPr>
        <w:t xml:space="preserve"> per cent), Netherlands (-0.</w:t>
      </w:r>
      <w:r>
        <w:rPr>
          <w:rFonts w:ascii="Palatino Linotype" w:eastAsia="Times New Roman" w:hAnsi="Palatino Linotype"/>
          <w:sz w:val="22"/>
          <w:szCs w:val="22"/>
          <w:lang w:val="en-US"/>
        </w:rPr>
        <w:t>8</w:t>
      </w:r>
      <w:r w:rsidRPr="00F235B7">
        <w:rPr>
          <w:rFonts w:ascii="Palatino Linotype" w:eastAsia="Times New Roman" w:hAnsi="Palatino Linotype"/>
          <w:sz w:val="22"/>
          <w:szCs w:val="22"/>
          <w:lang w:val="en-US"/>
        </w:rPr>
        <w:t xml:space="preserve"> per cent) and Spain (</w:t>
      </w:r>
      <w:r>
        <w:rPr>
          <w:rFonts w:ascii="Palatino Linotype" w:eastAsia="Times New Roman" w:hAnsi="Palatino Linotype"/>
          <w:sz w:val="22"/>
          <w:szCs w:val="22"/>
          <w:lang w:val="en-US"/>
        </w:rPr>
        <w:t>2.8</w:t>
      </w:r>
      <w:r w:rsidRPr="00F235B7">
        <w:rPr>
          <w:rFonts w:ascii="Palatino Linotype" w:eastAsia="Times New Roman" w:hAnsi="Palatino Linotype"/>
          <w:sz w:val="22"/>
          <w:szCs w:val="22"/>
          <w:lang w:val="en-US"/>
        </w:rPr>
        <w:t xml:space="preserve"> per cent). </w:t>
      </w:r>
    </w:p>
    <w:p w14:paraId="6E2265E1" w14:textId="77777777" w:rsidR="00D33F7C" w:rsidRPr="00BA758E"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38AB4B45" w14:textId="77777777" w:rsidR="00D33F7C" w:rsidRPr="00BA758E"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BA758E">
        <w:rPr>
          <w:rFonts w:ascii="Palatino Linotype" w:eastAsia="Times New Roman" w:hAnsi="Palatino Linotype"/>
          <w:sz w:val="22"/>
          <w:szCs w:val="22"/>
          <w:lang w:val="en-US"/>
        </w:rPr>
        <w:t xml:space="preserve">GDP growth of China was </w:t>
      </w:r>
      <w:r>
        <w:rPr>
          <w:rFonts w:ascii="Palatino Linotype" w:eastAsia="Times New Roman" w:hAnsi="Palatino Linotype"/>
          <w:sz w:val="22"/>
          <w:szCs w:val="22"/>
          <w:lang w:val="en-US"/>
        </w:rPr>
        <w:t>1.3</w:t>
      </w:r>
      <w:r w:rsidRPr="00BA758E">
        <w:rPr>
          <w:rFonts w:ascii="Palatino Linotype" w:eastAsia="Times New Roman" w:hAnsi="Palatino Linotype"/>
          <w:sz w:val="22"/>
          <w:szCs w:val="22"/>
          <w:lang w:val="en-US"/>
        </w:rPr>
        <w:t xml:space="preserve"> per cent in Q</w:t>
      </w:r>
      <w:r>
        <w:rPr>
          <w:rFonts w:ascii="Palatino Linotype" w:eastAsia="Times New Roman" w:hAnsi="Palatino Linotype"/>
          <w:sz w:val="22"/>
          <w:szCs w:val="22"/>
          <w:lang w:val="en-US"/>
        </w:rPr>
        <w:t>2</w:t>
      </w:r>
      <w:r w:rsidRPr="00BA758E">
        <w:rPr>
          <w:rFonts w:ascii="Palatino Linotype" w:eastAsia="Times New Roman" w:hAnsi="Palatino Linotype"/>
          <w:sz w:val="22"/>
          <w:szCs w:val="22"/>
          <w:lang w:val="en-US"/>
        </w:rPr>
        <w:t xml:space="preserve"> of 2021, however, it was </w:t>
      </w:r>
      <w:r>
        <w:rPr>
          <w:rFonts w:ascii="Palatino Linotype" w:eastAsia="Times New Roman" w:hAnsi="Palatino Linotype"/>
          <w:sz w:val="22"/>
          <w:szCs w:val="22"/>
          <w:lang w:val="en-US"/>
        </w:rPr>
        <w:t>higher</w:t>
      </w:r>
      <w:r w:rsidRPr="00BA758E">
        <w:rPr>
          <w:rFonts w:ascii="Palatino Linotype" w:eastAsia="Times New Roman" w:hAnsi="Palatino Linotype"/>
          <w:sz w:val="22"/>
          <w:szCs w:val="22"/>
          <w:lang w:val="en-US"/>
        </w:rPr>
        <w:t xml:space="preserve"> than the growth in the previous quarter. Growth rate in GDP was of </w:t>
      </w:r>
      <w:r>
        <w:rPr>
          <w:rFonts w:ascii="Palatino Linotype" w:eastAsia="Times New Roman" w:hAnsi="Palatino Linotype"/>
          <w:sz w:val="22"/>
          <w:szCs w:val="22"/>
          <w:lang w:val="en-US"/>
        </w:rPr>
        <w:t>0.4</w:t>
      </w:r>
      <w:r w:rsidRPr="00BA758E">
        <w:rPr>
          <w:rFonts w:ascii="Palatino Linotype" w:eastAsia="Times New Roman" w:hAnsi="Palatino Linotype"/>
          <w:sz w:val="22"/>
          <w:szCs w:val="22"/>
          <w:lang w:val="en-US"/>
        </w:rPr>
        <w:t xml:space="preserve"> per cent in Q</w:t>
      </w:r>
      <w:r>
        <w:rPr>
          <w:rFonts w:ascii="Palatino Linotype" w:eastAsia="Times New Roman" w:hAnsi="Palatino Linotype"/>
          <w:sz w:val="22"/>
          <w:szCs w:val="22"/>
          <w:lang w:val="en-US"/>
        </w:rPr>
        <w:t>1</w:t>
      </w:r>
      <w:r w:rsidRPr="00BA758E">
        <w:rPr>
          <w:rFonts w:ascii="Palatino Linotype" w:eastAsia="Times New Roman" w:hAnsi="Palatino Linotype"/>
          <w:sz w:val="22"/>
          <w:szCs w:val="22"/>
          <w:lang w:val="en-US"/>
        </w:rPr>
        <w:t xml:space="preserve"> of 202</w:t>
      </w:r>
      <w:r>
        <w:rPr>
          <w:rFonts w:ascii="Palatino Linotype" w:eastAsia="Times New Roman" w:hAnsi="Palatino Linotype"/>
          <w:sz w:val="22"/>
          <w:szCs w:val="22"/>
          <w:lang w:val="en-US"/>
        </w:rPr>
        <w:t>1</w:t>
      </w:r>
      <w:r w:rsidRPr="00BA758E">
        <w:rPr>
          <w:rFonts w:ascii="Palatino Linotype" w:eastAsia="Times New Roman" w:hAnsi="Palatino Linotype"/>
          <w:sz w:val="22"/>
          <w:szCs w:val="22"/>
          <w:lang w:val="en-US"/>
        </w:rPr>
        <w:t xml:space="preserve"> in China.</w:t>
      </w:r>
    </w:p>
    <w:p w14:paraId="1E736A83" w14:textId="77777777" w:rsidR="00D33F7C" w:rsidRPr="00BA758E"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4CC9F244" w14:textId="77777777" w:rsidR="00D33F7C"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32349">
        <w:rPr>
          <w:rFonts w:ascii="Palatino Linotype" w:eastAsia="Times New Roman" w:hAnsi="Palatino Linotype"/>
          <w:sz w:val="22"/>
          <w:szCs w:val="22"/>
          <w:lang w:val="en-US"/>
        </w:rPr>
        <w:t>As per MOSPI, India’s GDP grew by 1.6 per cent Y-o-Y during Q4 of 2020-21 compared to a Y-o-Y growth rate of 1.6 per cent in Q3 of 2020-21.</w:t>
      </w:r>
    </w:p>
    <w:p w14:paraId="7A5FE9E6" w14:textId="77777777" w:rsidR="00D33F7C" w:rsidRDefault="00D33F7C" w:rsidP="00D33F7C">
      <w:pPr>
        <w:pStyle w:val="ListParagraph"/>
        <w:rPr>
          <w:rFonts w:ascii="Palatino Linotype" w:eastAsia="Times New Roman" w:hAnsi="Palatino Linotype"/>
          <w:sz w:val="22"/>
          <w:szCs w:val="22"/>
        </w:rPr>
      </w:pPr>
    </w:p>
    <w:p w14:paraId="4C9D1C88" w14:textId="14458290" w:rsidR="00D33F7C" w:rsidRPr="00BA758E" w:rsidRDefault="00D33F7C" w:rsidP="00D33F7C">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BA758E">
        <w:rPr>
          <w:rFonts w:ascii="Palatino Linotype" w:eastAsia="Times New Roman" w:hAnsi="Palatino Linotype"/>
          <w:sz w:val="22"/>
          <w:szCs w:val="22"/>
          <w:lang w:val="en-US"/>
        </w:rPr>
        <w:lastRenderedPageBreak/>
        <w:t>According to the second advance estimates released by MOSPI on 31 May 2021, GDP is estimated to fall by 7.3 per cent during the 2020-21 as compared to 4</w:t>
      </w:r>
      <w:r w:rsidR="00214741">
        <w:rPr>
          <w:rFonts w:ascii="Palatino Linotype" w:eastAsia="Times New Roman" w:hAnsi="Palatino Linotype"/>
          <w:sz w:val="22"/>
          <w:szCs w:val="22"/>
          <w:lang w:val="en-US"/>
        </w:rPr>
        <w:t>.0</w:t>
      </w:r>
      <w:r w:rsidRPr="00BA758E">
        <w:rPr>
          <w:rFonts w:ascii="Palatino Linotype" w:eastAsia="Times New Roman" w:hAnsi="Palatino Linotype"/>
          <w:sz w:val="22"/>
          <w:szCs w:val="22"/>
          <w:lang w:val="en-US"/>
        </w:rPr>
        <w:t xml:space="preserve"> per cent expansion in 2019-20. World Bank </w:t>
      </w:r>
      <w:r w:rsidR="004D10FC">
        <w:rPr>
          <w:rFonts w:ascii="Palatino Linotype" w:eastAsia="Times New Roman" w:hAnsi="Palatino Linotype"/>
          <w:sz w:val="22"/>
          <w:szCs w:val="22"/>
          <w:lang w:val="en-US"/>
        </w:rPr>
        <w:t xml:space="preserve">has </w:t>
      </w:r>
      <w:r w:rsidRPr="00BA758E">
        <w:rPr>
          <w:rFonts w:ascii="Palatino Linotype" w:eastAsia="Times New Roman" w:hAnsi="Palatino Linotype"/>
          <w:sz w:val="22"/>
          <w:szCs w:val="22"/>
          <w:lang w:val="en-US"/>
        </w:rPr>
        <w:t xml:space="preserve">estimated India’s GDP to grow by -7.3 per cent in 2020. According to IMF projections, the Indian economy is expected to grow by -7.3 per cent in 2020 and 9.5 per cent in 2021. </w:t>
      </w:r>
    </w:p>
    <w:p w14:paraId="425C7089" w14:textId="77777777" w:rsidR="00D33F7C" w:rsidRPr="009A04D1" w:rsidRDefault="00D33F7C" w:rsidP="00D33F7C">
      <w:pPr>
        <w:spacing w:before="100" w:beforeAutospacing="1" w:line="276" w:lineRule="auto"/>
        <w:ind w:left="360" w:right="107"/>
        <w:contextualSpacing/>
        <w:jc w:val="both"/>
        <w:rPr>
          <w:rFonts w:ascii="Palatino Linotype" w:eastAsia="Times New Roman" w:hAnsi="Palatino Linotype"/>
          <w:sz w:val="22"/>
          <w:szCs w:val="22"/>
          <w:lang w:val="en-US"/>
        </w:rPr>
      </w:pPr>
    </w:p>
    <w:p w14:paraId="6F561D85" w14:textId="77777777" w:rsidR="00D33F7C" w:rsidRPr="009A04D1" w:rsidRDefault="00D33F7C" w:rsidP="00D33F7C">
      <w:pPr>
        <w:spacing w:line="23" w:lineRule="atLeast"/>
        <w:ind w:left="720"/>
        <w:contextualSpacing/>
        <w:rPr>
          <w:rFonts w:ascii="Garamond" w:eastAsia="Times New Roman" w:hAnsi="Garamond"/>
          <w:b/>
          <w:lang w:val="en-US" w:eastAsia="en-GB"/>
        </w:rPr>
      </w:pPr>
    </w:p>
    <w:p w14:paraId="55B76AC8" w14:textId="77777777" w:rsidR="00D33F7C" w:rsidRPr="009A04D1" w:rsidRDefault="00D33F7C" w:rsidP="00D33F7C">
      <w:pPr>
        <w:spacing w:line="23" w:lineRule="atLeast"/>
        <w:ind w:left="720"/>
        <w:contextualSpacing/>
        <w:rPr>
          <w:rFonts w:ascii="Garamond" w:eastAsia="Times New Roman" w:hAnsi="Garamond"/>
          <w:b/>
          <w:lang w:val="en-US" w:eastAsia="en-GB"/>
        </w:rPr>
      </w:pPr>
    </w:p>
    <w:p w14:paraId="7888510C" w14:textId="77777777" w:rsidR="00D33F7C" w:rsidRPr="00ED58C0" w:rsidRDefault="00D33F7C" w:rsidP="00D33F7C">
      <w:pPr>
        <w:spacing w:line="23" w:lineRule="atLeast"/>
        <w:ind w:left="18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lang w:val="en-US" w:eastAsia="en-GB"/>
        </w:rPr>
        <w:t>Market Trends</w:t>
      </w:r>
      <w:r w:rsidRPr="00ED58C0">
        <w:rPr>
          <w:rFonts w:ascii="Palatino Linotype" w:eastAsia="Times New Roman" w:hAnsi="Palatino Linotype"/>
          <w:b/>
          <w:sz w:val="22"/>
          <w:szCs w:val="22"/>
          <w:vertAlign w:val="superscript"/>
          <w:lang w:val="en-US" w:eastAsia="en-GB"/>
        </w:rPr>
        <w:footnoteReference w:id="2"/>
      </w:r>
      <w:r w:rsidRPr="00ED58C0">
        <w:rPr>
          <w:rFonts w:ascii="Palatino Linotype" w:eastAsia="Times New Roman" w:hAnsi="Palatino Linotype"/>
          <w:b/>
          <w:sz w:val="22"/>
          <w:szCs w:val="22"/>
          <w:lang w:val="en-US" w:eastAsia="en-GB"/>
        </w:rPr>
        <w:t xml:space="preserve"> – </w:t>
      </w:r>
    </w:p>
    <w:p w14:paraId="209A23C3" w14:textId="77777777" w:rsidR="00D33F7C" w:rsidRPr="00ED58C0" w:rsidRDefault="00D33F7C" w:rsidP="00D33F7C">
      <w:pPr>
        <w:spacing w:line="23" w:lineRule="atLeast"/>
        <w:ind w:left="180"/>
        <w:contextualSpacing/>
        <w:rPr>
          <w:rFonts w:ascii="Palatino Linotype" w:eastAsia="Times New Roman" w:hAnsi="Palatino Linotype"/>
          <w:b/>
          <w:sz w:val="22"/>
          <w:szCs w:val="22"/>
          <w:lang w:val="en-US" w:eastAsia="en-GB"/>
        </w:rPr>
      </w:pPr>
    </w:p>
    <w:p w14:paraId="545AA09E" w14:textId="77777777" w:rsidR="00D33F7C" w:rsidRPr="008C1016" w:rsidRDefault="00D33F7C" w:rsidP="00D33F7C">
      <w:pPr>
        <w:spacing w:line="360" w:lineRule="auto"/>
        <w:ind w:left="72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u w:val="single"/>
          <w:lang w:val="en-US" w:eastAsia="en-GB"/>
        </w:rPr>
        <w:t>Equity Markets (Figures 1-2, Table A1)</w:t>
      </w:r>
      <w:r w:rsidRPr="00ED58C0">
        <w:rPr>
          <w:rFonts w:ascii="Palatino Linotype" w:eastAsia="Times New Roman" w:hAnsi="Palatino Linotype"/>
          <w:b/>
          <w:sz w:val="22"/>
          <w:szCs w:val="22"/>
          <w:lang w:val="en-US" w:eastAsia="en-GB"/>
        </w:rPr>
        <w:t>-</w:t>
      </w:r>
    </w:p>
    <w:p w14:paraId="33D0B0C1" w14:textId="77777777" w:rsidR="00D33F7C" w:rsidRPr="00BC0641" w:rsidRDefault="00D33F7C" w:rsidP="00D33F7C">
      <w:pPr>
        <w:numPr>
          <w:ilvl w:val="0"/>
          <w:numId w:val="8"/>
        </w:numPr>
        <w:spacing w:line="276" w:lineRule="auto"/>
        <w:jc w:val="both"/>
        <w:rPr>
          <w:rFonts w:ascii="Palatino Linotype" w:eastAsia="Times New Roman" w:hAnsi="Palatino Linotype"/>
          <w:bCs/>
          <w:color w:val="FF0000"/>
          <w:sz w:val="22"/>
          <w:szCs w:val="22"/>
          <w:lang w:val="en-US" w:eastAsia="en-GB"/>
        </w:rPr>
      </w:pPr>
      <w:r w:rsidRPr="00D83536">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June</w:t>
      </w:r>
      <w:r w:rsidRPr="00D83536">
        <w:rPr>
          <w:rFonts w:ascii="Palatino Linotype" w:eastAsia="Times New Roman" w:hAnsi="Palatino Linotype"/>
          <w:bCs/>
          <w:sz w:val="22"/>
          <w:szCs w:val="22"/>
          <w:lang w:val="en-US" w:eastAsia="en-GB"/>
        </w:rPr>
        <w:t xml:space="preserve"> 2021, highest annualized monthly volatility amongst the BRICS countries was observed in Russian Traded (14.5 per cent) followed by South Africa FTSE (</w:t>
      </w:r>
      <w:r w:rsidRPr="00D83536">
        <w:rPr>
          <w:rFonts w:ascii="Palatino Linotype" w:eastAsia="Times New Roman" w:hAnsi="Palatino Linotype"/>
          <w:sz w:val="22"/>
          <w:szCs w:val="22"/>
          <w:lang w:val="en-IN" w:eastAsia="en-IN"/>
        </w:rPr>
        <w:t>11.7 per cent)</w:t>
      </w:r>
      <w:r w:rsidRPr="006642E5">
        <w:rPr>
          <w:rFonts w:ascii="Palatino Linotype" w:eastAsia="Times New Roman" w:hAnsi="Palatino Linotype"/>
          <w:bCs/>
          <w:sz w:val="22"/>
          <w:szCs w:val="22"/>
          <w:lang w:val="en-US" w:eastAsia="en-GB"/>
        </w:rPr>
        <w:t xml:space="preserve"> </w:t>
      </w:r>
      <w:r w:rsidRPr="00D83536">
        <w:rPr>
          <w:rFonts w:ascii="Palatino Linotype" w:eastAsia="Times New Roman" w:hAnsi="Palatino Linotype"/>
          <w:bCs/>
          <w:sz w:val="22"/>
          <w:szCs w:val="22"/>
          <w:lang w:val="en-US" w:eastAsia="en-GB"/>
        </w:rPr>
        <w:t>and</w:t>
      </w:r>
      <w:r w:rsidRPr="006642E5">
        <w:rPr>
          <w:rFonts w:ascii="Palatino Linotype" w:eastAsia="Times New Roman" w:hAnsi="Palatino Linotype"/>
          <w:bCs/>
          <w:sz w:val="22"/>
          <w:szCs w:val="22"/>
          <w:lang w:val="en-US" w:eastAsia="en-GB"/>
        </w:rPr>
        <w:t xml:space="preserve"> </w:t>
      </w:r>
      <w:r w:rsidRPr="00D83536">
        <w:rPr>
          <w:rFonts w:ascii="Palatino Linotype" w:eastAsia="Times New Roman" w:hAnsi="Palatino Linotype"/>
          <w:bCs/>
          <w:sz w:val="22"/>
          <w:szCs w:val="22"/>
          <w:lang w:val="en-US" w:eastAsia="en-GB"/>
        </w:rPr>
        <w:t>Brazil IBOVESPA</w:t>
      </w:r>
      <w:r>
        <w:rPr>
          <w:rFonts w:ascii="Palatino Linotype" w:eastAsia="Times New Roman" w:hAnsi="Palatino Linotype"/>
          <w:bCs/>
          <w:sz w:val="22"/>
          <w:szCs w:val="22"/>
          <w:lang w:val="en-US" w:eastAsia="en-GB"/>
        </w:rPr>
        <w:t xml:space="preserve"> </w:t>
      </w:r>
      <w:r w:rsidRPr="00D83536">
        <w:rPr>
          <w:rFonts w:ascii="Palatino Linotype" w:eastAsia="Times New Roman" w:hAnsi="Palatino Linotype"/>
          <w:bCs/>
          <w:sz w:val="22"/>
          <w:szCs w:val="22"/>
          <w:lang w:val="en-US" w:eastAsia="en-GB"/>
        </w:rPr>
        <w:t>(</w:t>
      </w:r>
      <w:r w:rsidRPr="006642E5">
        <w:rPr>
          <w:rFonts w:ascii="Palatino Linotype" w:eastAsia="Times New Roman" w:hAnsi="Palatino Linotype"/>
          <w:bCs/>
          <w:sz w:val="22"/>
          <w:szCs w:val="22"/>
          <w:lang w:val="en-US" w:eastAsia="en-GB"/>
        </w:rPr>
        <w:t>11.4</w:t>
      </w:r>
      <w:r w:rsidRPr="00D83536">
        <w:rPr>
          <w:rFonts w:ascii="Palatino Linotype" w:eastAsia="Times New Roman" w:hAnsi="Palatino Linotype"/>
          <w:bCs/>
          <w:sz w:val="22"/>
          <w:szCs w:val="22"/>
          <w:lang w:val="en-US" w:eastAsia="en-GB"/>
        </w:rPr>
        <w:t xml:space="preserve"> per cent). The lowest annualized volatility among BRICS was observed for India (Sensex</w:t>
      </w:r>
      <w:r>
        <w:rPr>
          <w:rFonts w:ascii="Palatino Linotype" w:eastAsia="Times New Roman" w:hAnsi="Palatino Linotype"/>
          <w:bCs/>
          <w:sz w:val="22"/>
          <w:szCs w:val="22"/>
          <w:lang w:val="en-US" w:eastAsia="en-GB"/>
        </w:rPr>
        <w:t>-</w:t>
      </w:r>
      <w:r w:rsidRPr="00D83536">
        <w:rPr>
          <w:rFonts w:ascii="Palatino Linotype" w:eastAsia="Times New Roman" w:hAnsi="Palatino Linotype"/>
          <w:bCs/>
          <w:sz w:val="22"/>
          <w:szCs w:val="22"/>
          <w:lang w:val="en-US" w:eastAsia="en-GB"/>
        </w:rPr>
        <w:t xml:space="preserve"> </w:t>
      </w:r>
      <w:r w:rsidRPr="006642E5">
        <w:rPr>
          <w:rFonts w:ascii="Palatino Linotype" w:eastAsia="Times New Roman" w:hAnsi="Palatino Linotype"/>
          <w:bCs/>
          <w:sz w:val="22"/>
          <w:szCs w:val="22"/>
          <w:lang w:val="en-US" w:eastAsia="en-GB"/>
        </w:rPr>
        <w:t>6.6</w:t>
      </w:r>
      <w:r w:rsidRPr="00D83536">
        <w:rPr>
          <w:rFonts w:ascii="Palatino Linotype" w:eastAsia="Times New Roman" w:hAnsi="Palatino Linotype"/>
          <w:bCs/>
          <w:sz w:val="22"/>
          <w:szCs w:val="22"/>
          <w:lang w:val="en-US" w:eastAsia="en-GB"/>
        </w:rPr>
        <w:t xml:space="preserve"> per cent and Nifty</w:t>
      </w:r>
      <w:r>
        <w:rPr>
          <w:rFonts w:ascii="Palatino Linotype" w:eastAsia="Times New Roman" w:hAnsi="Palatino Linotype"/>
          <w:bCs/>
          <w:sz w:val="22"/>
          <w:szCs w:val="22"/>
          <w:lang w:val="en-US" w:eastAsia="en-GB"/>
        </w:rPr>
        <w:t xml:space="preserve"> -</w:t>
      </w:r>
      <w:r w:rsidRPr="00D83536">
        <w:rPr>
          <w:rFonts w:ascii="Palatino Linotype" w:eastAsia="Times New Roman" w:hAnsi="Palatino Linotype"/>
          <w:bCs/>
          <w:sz w:val="22"/>
          <w:szCs w:val="22"/>
          <w:lang w:val="en-US" w:eastAsia="en-GB"/>
        </w:rPr>
        <w:t xml:space="preserve"> </w:t>
      </w:r>
      <w:r w:rsidRPr="006642E5">
        <w:rPr>
          <w:rFonts w:ascii="Palatino Linotype" w:eastAsia="Times New Roman" w:hAnsi="Palatino Linotype"/>
          <w:bCs/>
          <w:sz w:val="22"/>
          <w:szCs w:val="22"/>
          <w:lang w:val="en-US" w:eastAsia="en-GB"/>
        </w:rPr>
        <w:t>6.8</w:t>
      </w:r>
      <w:r w:rsidRPr="00D83536">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D83536">
        <w:rPr>
          <w:rFonts w:ascii="Palatino Linotype" w:eastAsia="Times New Roman" w:hAnsi="Palatino Linotype"/>
          <w:bCs/>
          <w:sz w:val="22"/>
          <w:szCs w:val="22"/>
          <w:lang w:val="en-US" w:eastAsia="en-GB"/>
        </w:rPr>
        <w:t>followed by Shanghai Composite (</w:t>
      </w:r>
      <w:r w:rsidRPr="000D609E">
        <w:rPr>
          <w:rFonts w:ascii="Palatino Linotype" w:eastAsia="Times New Roman" w:hAnsi="Palatino Linotype"/>
          <w:bCs/>
          <w:sz w:val="22"/>
          <w:szCs w:val="22"/>
          <w:lang w:val="en-US" w:eastAsia="en-GB"/>
        </w:rPr>
        <w:t>9</w:t>
      </w:r>
      <w:r w:rsidRPr="00D83536">
        <w:rPr>
          <w:rFonts w:ascii="Palatino Linotype" w:eastAsia="Times New Roman" w:hAnsi="Palatino Linotype"/>
          <w:bCs/>
          <w:sz w:val="22"/>
          <w:szCs w:val="22"/>
          <w:lang w:val="en-US" w:eastAsia="en-GB"/>
        </w:rPr>
        <w:t xml:space="preserve"> per cent). </w:t>
      </w:r>
    </w:p>
    <w:p w14:paraId="6819B068" w14:textId="77777777" w:rsidR="00D33F7C" w:rsidRPr="00BC0641" w:rsidRDefault="00D33F7C" w:rsidP="00D33F7C">
      <w:pPr>
        <w:spacing w:line="276" w:lineRule="auto"/>
        <w:ind w:left="360"/>
        <w:jc w:val="both"/>
        <w:rPr>
          <w:rFonts w:ascii="Palatino Linotype" w:eastAsia="Times New Roman" w:hAnsi="Palatino Linotype"/>
          <w:bCs/>
          <w:color w:val="FF0000"/>
          <w:sz w:val="22"/>
          <w:szCs w:val="22"/>
          <w:lang w:val="en-US" w:eastAsia="en-GB"/>
        </w:rPr>
      </w:pPr>
    </w:p>
    <w:p w14:paraId="3C916CE2" w14:textId="77777777" w:rsidR="00D33F7C" w:rsidRPr="00D83536" w:rsidRDefault="00D33F7C" w:rsidP="00D33F7C">
      <w:pPr>
        <w:numPr>
          <w:ilvl w:val="0"/>
          <w:numId w:val="8"/>
        </w:numPr>
        <w:spacing w:line="276" w:lineRule="auto"/>
        <w:jc w:val="both"/>
        <w:rPr>
          <w:rFonts w:ascii="Palatino Linotype" w:eastAsia="Times New Roman" w:hAnsi="Palatino Linotype"/>
          <w:bCs/>
          <w:color w:val="FF0000"/>
          <w:sz w:val="22"/>
          <w:szCs w:val="22"/>
          <w:lang w:val="en-US" w:eastAsia="en-GB"/>
        </w:rPr>
      </w:pPr>
      <w:r w:rsidRPr="00D83536">
        <w:rPr>
          <w:rFonts w:ascii="Palatino Linotype" w:eastAsia="Times New Roman" w:hAnsi="Palatino Linotype"/>
          <w:bCs/>
          <w:sz w:val="22"/>
          <w:szCs w:val="22"/>
          <w:lang w:val="en-US" w:eastAsia="en-GB"/>
        </w:rPr>
        <w:t>Among the developed markets, highest annualized volatility was observed in Japan Nikkei (</w:t>
      </w:r>
      <w:r w:rsidRPr="000D609E">
        <w:rPr>
          <w:rFonts w:ascii="Palatino Linotype" w:eastAsia="Times New Roman" w:hAnsi="Palatino Linotype"/>
          <w:bCs/>
          <w:sz w:val="22"/>
          <w:szCs w:val="22"/>
          <w:lang w:val="en-US" w:eastAsia="en-GB"/>
        </w:rPr>
        <w:t>17</w:t>
      </w:r>
      <w:r w:rsidRPr="00D83536">
        <w:rPr>
          <w:rFonts w:ascii="Palatino Linotype" w:eastAsia="Times New Roman" w:hAnsi="Palatino Linotype"/>
          <w:bCs/>
          <w:sz w:val="22"/>
          <w:szCs w:val="22"/>
          <w:lang w:val="en-US" w:eastAsia="en-GB"/>
        </w:rPr>
        <w:t xml:space="preserve"> per cent) and the lowest was observed at South Korea KOSPI (</w:t>
      </w:r>
      <w:r w:rsidRPr="000D609E">
        <w:rPr>
          <w:rFonts w:ascii="Palatino Linotype" w:eastAsia="Times New Roman" w:hAnsi="Palatino Linotype"/>
          <w:bCs/>
          <w:sz w:val="22"/>
          <w:szCs w:val="22"/>
          <w:lang w:val="en-US" w:eastAsia="en-GB"/>
        </w:rPr>
        <w:t>7.5</w:t>
      </w:r>
      <w:r w:rsidRPr="00D83536">
        <w:rPr>
          <w:rFonts w:ascii="Palatino Linotype" w:eastAsia="Times New Roman" w:hAnsi="Palatino Linotype"/>
          <w:bCs/>
          <w:sz w:val="22"/>
          <w:szCs w:val="22"/>
          <w:lang w:val="en-US" w:eastAsia="en-GB"/>
        </w:rPr>
        <w:t xml:space="preserve"> per cent). </w:t>
      </w:r>
    </w:p>
    <w:p w14:paraId="320AF18B" w14:textId="77777777" w:rsidR="00D33F7C" w:rsidRPr="00D83536" w:rsidRDefault="00D33F7C" w:rsidP="00D33F7C">
      <w:pPr>
        <w:spacing w:line="276" w:lineRule="auto"/>
        <w:ind w:left="357"/>
        <w:jc w:val="both"/>
        <w:rPr>
          <w:rFonts w:ascii="Garamond" w:eastAsia="Times New Roman" w:hAnsi="Garamond"/>
          <w:bCs/>
          <w:color w:val="FF0000"/>
          <w:lang w:val="en-US" w:eastAsia="en-GB"/>
        </w:rPr>
      </w:pPr>
    </w:p>
    <w:p w14:paraId="68E13A5C" w14:textId="77777777" w:rsidR="00D33F7C" w:rsidRPr="00D83536" w:rsidRDefault="00D33F7C" w:rsidP="00D33F7C">
      <w:pPr>
        <w:numPr>
          <w:ilvl w:val="0"/>
          <w:numId w:val="8"/>
        </w:numPr>
        <w:spacing w:line="276" w:lineRule="auto"/>
        <w:jc w:val="both"/>
        <w:rPr>
          <w:rFonts w:ascii="Palatino Linotype" w:eastAsia="Times New Roman" w:hAnsi="Palatino Linotype"/>
          <w:bCs/>
          <w:color w:val="FF0000"/>
          <w:sz w:val="22"/>
          <w:szCs w:val="22"/>
          <w:lang w:val="en-US" w:eastAsia="en-GB"/>
        </w:rPr>
      </w:pPr>
      <w:r w:rsidRPr="00D83536">
        <w:rPr>
          <w:rFonts w:ascii="Palatino Linotype" w:eastAsia="Times New Roman" w:hAnsi="Palatino Linotype"/>
          <w:bCs/>
          <w:sz w:val="22"/>
          <w:szCs w:val="22"/>
          <w:lang w:val="en-US" w:eastAsia="en-GB"/>
        </w:rPr>
        <w:t>In most of the analyzed markets</w:t>
      </w:r>
      <w:r w:rsidRPr="00D83536">
        <w:rPr>
          <w:rFonts w:ascii="Palatino Linotype" w:eastAsia="Times New Roman" w:hAnsi="Palatino Linotype"/>
          <w:bCs/>
          <w:sz w:val="22"/>
          <w:szCs w:val="22"/>
          <w:vertAlign w:val="superscript"/>
          <w:lang w:val="en-US" w:eastAsia="en-GB"/>
        </w:rPr>
        <w:footnoteReference w:id="3"/>
      </w:r>
      <w:r w:rsidRPr="00D83536">
        <w:rPr>
          <w:rFonts w:ascii="Palatino Linotype" w:eastAsia="Times New Roman" w:hAnsi="Palatino Linotype"/>
          <w:bCs/>
          <w:sz w:val="22"/>
          <w:szCs w:val="22"/>
          <w:lang w:val="en-US" w:eastAsia="en-GB"/>
        </w:rPr>
        <w:t xml:space="preserve">, an increase was observed in the indices during </w:t>
      </w:r>
      <w:r>
        <w:rPr>
          <w:rFonts w:ascii="Palatino Linotype" w:eastAsia="Times New Roman" w:hAnsi="Palatino Linotype"/>
          <w:bCs/>
          <w:sz w:val="22"/>
          <w:szCs w:val="22"/>
          <w:lang w:val="en-US" w:eastAsia="en-GB"/>
        </w:rPr>
        <w:t>June</w:t>
      </w:r>
      <w:r w:rsidRPr="00D83536">
        <w:rPr>
          <w:rFonts w:ascii="Palatino Linotype" w:eastAsia="Times New Roman" w:hAnsi="Palatino Linotype"/>
          <w:bCs/>
          <w:sz w:val="22"/>
          <w:szCs w:val="22"/>
          <w:lang w:val="en-US" w:eastAsia="en-GB"/>
        </w:rPr>
        <w:t xml:space="preserve"> 2021 over the previous month. Amongst BRICS nations, an increase was observed in Russian Traded (</w:t>
      </w:r>
      <w:r w:rsidRPr="006E44A7">
        <w:rPr>
          <w:rFonts w:ascii="Palatino Linotype" w:eastAsia="Times New Roman" w:hAnsi="Palatino Linotype"/>
          <w:bCs/>
          <w:sz w:val="22"/>
          <w:szCs w:val="22"/>
          <w:lang w:val="en-US" w:eastAsia="en-GB"/>
        </w:rPr>
        <w:t>4.4</w:t>
      </w:r>
      <w:r w:rsidRPr="00D83536">
        <w:rPr>
          <w:rFonts w:ascii="Palatino Linotype" w:eastAsia="Times New Roman" w:hAnsi="Palatino Linotype"/>
          <w:bCs/>
          <w:sz w:val="22"/>
          <w:szCs w:val="22"/>
          <w:lang w:val="en-US" w:eastAsia="en-GB"/>
        </w:rPr>
        <w:t xml:space="preserve"> per cent), followed by India’s Nifty 50 &amp; S&amp;P BSE SENSEX (</w:t>
      </w:r>
      <w:r w:rsidRPr="006E44A7">
        <w:rPr>
          <w:rFonts w:ascii="Palatino Linotype" w:eastAsia="Times New Roman" w:hAnsi="Palatino Linotype"/>
          <w:bCs/>
          <w:sz w:val="22"/>
          <w:szCs w:val="22"/>
          <w:lang w:val="en-US" w:eastAsia="en-GB"/>
        </w:rPr>
        <w:t>0.9</w:t>
      </w:r>
      <w:r>
        <w:rPr>
          <w:rFonts w:ascii="Palatino Linotype" w:eastAsia="Times New Roman" w:hAnsi="Palatino Linotype"/>
          <w:bCs/>
          <w:sz w:val="22"/>
          <w:szCs w:val="22"/>
          <w:lang w:val="en-US" w:eastAsia="en-GB"/>
        </w:rPr>
        <w:t xml:space="preserve"> and </w:t>
      </w:r>
      <w:r w:rsidRPr="006E44A7">
        <w:rPr>
          <w:rFonts w:ascii="Palatino Linotype" w:eastAsia="Times New Roman" w:hAnsi="Palatino Linotype"/>
          <w:bCs/>
          <w:sz w:val="22"/>
          <w:szCs w:val="22"/>
          <w:lang w:val="en-US" w:eastAsia="en-GB"/>
        </w:rPr>
        <w:t>1</w:t>
      </w:r>
      <w:r w:rsidRPr="00D83536">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respectively</w:t>
      </w:r>
      <w:r w:rsidRPr="00D83536">
        <w:rPr>
          <w:rFonts w:ascii="Palatino Linotype" w:eastAsia="Times New Roman" w:hAnsi="Palatino Linotype"/>
          <w:bCs/>
          <w:sz w:val="22"/>
          <w:szCs w:val="22"/>
          <w:lang w:val="en-US" w:eastAsia="en-GB"/>
        </w:rPr>
        <w:t xml:space="preserve">) and Brazil IBOVESPA by </w:t>
      </w:r>
      <w:r w:rsidRPr="006E44A7">
        <w:rPr>
          <w:rFonts w:ascii="Palatino Linotype" w:eastAsia="Times New Roman" w:hAnsi="Palatino Linotype"/>
          <w:bCs/>
          <w:sz w:val="22"/>
          <w:szCs w:val="22"/>
          <w:lang w:val="en-US" w:eastAsia="en-GB"/>
        </w:rPr>
        <w:t>0.5</w:t>
      </w:r>
      <w:r w:rsidRPr="00D83536">
        <w:rPr>
          <w:rFonts w:ascii="Palatino Linotype" w:eastAsia="Times New Roman" w:hAnsi="Palatino Linotype"/>
          <w:bCs/>
          <w:sz w:val="22"/>
          <w:szCs w:val="22"/>
          <w:lang w:val="en-US" w:eastAsia="en-GB"/>
        </w:rPr>
        <w:t xml:space="preserve"> per cent. Shanghai Composite </w:t>
      </w:r>
      <w:r>
        <w:rPr>
          <w:rFonts w:ascii="Palatino Linotype" w:eastAsia="Times New Roman" w:hAnsi="Palatino Linotype"/>
          <w:bCs/>
          <w:sz w:val="22"/>
          <w:szCs w:val="22"/>
          <w:lang w:val="en-US" w:eastAsia="en-GB"/>
        </w:rPr>
        <w:t>contracted</w:t>
      </w:r>
      <w:r w:rsidRPr="00D83536">
        <w:rPr>
          <w:rFonts w:ascii="Palatino Linotype" w:eastAsia="Times New Roman" w:hAnsi="Palatino Linotype"/>
          <w:bCs/>
          <w:sz w:val="22"/>
          <w:szCs w:val="22"/>
          <w:lang w:val="en-US" w:eastAsia="en-GB"/>
        </w:rPr>
        <w:t xml:space="preserve"> by </w:t>
      </w:r>
      <w:r w:rsidRPr="006E44A7">
        <w:rPr>
          <w:rFonts w:ascii="Palatino Linotype" w:eastAsia="Times New Roman" w:hAnsi="Palatino Linotype"/>
          <w:bCs/>
          <w:sz w:val="22"/>
          <w:szCs w:val="22"/>
          <w:lang w:val="en-US" w:eastAsia="en-GB"/>
        </w:rPr>
        <w:t>0.7</w:t>
      </w:r>
      <w:r w:rsidRPr="00D83536">
        <w:rPr>
          <w:rFonts w:ascii="Palatino Linotype" w:eastAsia="Times New Roman" w:hAnsi="Palatino Linotype"/>
          <w:bCs/>
          <w:sz w:val="22"/>
          <w:szCs w:val="22"/>
          <w:lang w:val="en-US" w:eastAsia="en-GB"/>
        </w:rPr>
        <w:t xml:space="preserve"> per cent whereas South Africa FTSE </w:t>
      </w:r>
      <w:r>
        <w:rPr>
          <w:rFonts w:ascii="Palatino Linotype" w:eastAsia="Times New Roman" w:hAnsi="Palatino Linotype"/>
          <w:bCs/>
          <w:sz w:val="22"/>
          <w:szCs w:val="22"/>
          <w:lang w:val="en-US" w:eastAsia="en-GB"/>
        </w:rPr>
        <w:t>declined</w:t>
      </w:r>
      <w:r w:rsidRPr="00D83536">
        <w:rPr>
          <w:rFonts w:ascii="Palatino Linotype" w:eastAsia="Times New Roman" w:hAnsi="Palatino Linotype"/>
          <w:bCs/>
          <w:sz w:val="22"/>
          <w:szCs w:val="22"/>
          <w:lang w:val="en-US" w:eastAsia="en-GB"/>
        </w:rPr>
        <w:t xml:space="preserve"> by </w:t>
      </w:r>
      <w:r w:rsidRPr="006E44A7">
        <w:rPr>
          <w:rFonts w:ascii="Palatino Linotype" w:eastAsia="Times New Roman" w:hAnsi="Palatino Linotype"/>
          <w:bCs/>
          <w:sz w:val="22"/>
          <w:szCs w:val="22"/>
          <w:lang w:val="en-US" w:eastAsia="en-GB"/>
        </w:rPr>
        <w:t>2.5</w:t>
      </w:r>
      <w:r w:rsidRPr="00D83536">
        <w:rPr>
          <w:rFonts w:ascii="Palatino Linotype" w:eastAsia="Times New Roman" w:hAnsi="Palatino Linotype"/>
          <w:bCs/>
          <w:sz w:val="22"/>
          <w:szCs w:val="22"/>
          <w:lang w:val="en-US" w:eastAsia="en-GB"/>
        </w:rPr>
        <w:t xml:space="preserve">. </w:t>
      </w:r>
    </w:p>
    <w:p w14:paraId="2388C599" w14:textId="77777777" w:rsidR="00D33F7C" w:rsidRPr="00D83536" w:rsidRDefault="00D33F7C" w:rsidP="00D33F7C">
      <w:pPr>
        <w:spacing w:line="276" w:lineRule="auto"/>
        <w:ind w:left="357"/>
        <w:jc w:val="both"/>
        <w:rPr>
          <w:rFonts w:ascii="Garamond" w:eastAsia="Times New Roman" w:hAnsi="Garamond"/>
          <w:bCs/>
          <w:color w:val="FF0000"/>
          <w:lang w:val="en-US" w:eastAsia="en-GB"/>
        </w:rPr>
      </w:pPr>
    </w:p>
    <w:p w14:paraId="511140D1" w14:textId="77777777" w:rsidR="00D33F7C" w:rsidRPr="00D83536" w:rsidRDefault="00D33F7C" w:rsidP="00D33F7C">
      <w:pPr>
        <w:numPr>
          <w:ilvl w:val="0"/>
          <w:numId w:val="8"/>
        </w:numPr>
        <w:spacing w:line="276" w:lineRule="auto"/>
        <w:contextualSpacing/>
        <w:jc w:val="both"/>
        <w:rPr>
          <w:rFonts w:ascii="Palatino Linotype" w:eastAsia="Times New Roman" w:hAnsi="Palatino Linotype"/>
          <w:bCs/>
          <w:sz w:val="22"/>
          <w:szCs w:val="22"/>
          <w:lang w:val="en-US" w:eastAsia="en-GB"/>
        </w:rPr>
      </w:pPr>
      <w:r w:rsidRPr="00D83536">
        <w:rPr>
          <w:rFonts w:ascii="Palatino Linotype" w:eastAsia="Times New Roman" w:hAnsi="Palatino Linotype"/>
          <w:bCs/>
          <w:sz w:val="22"/>
          <w:szCs w:val="22"/>
          <w:lang w:val="en-US" w:eastAsia="en-GB"/>
        </w:rPr>
        <w:t xml:space="preserve">Among the developed economies, in the month of </w:t>
      </w:r>
      <w:r>
        <w:rPr>
          <w:rFonts w:ascii="Palatino Linotype" w:eastAsia="Times New Roman" w:hAnsi="Palatino Linotype"/>
          <w:bCs/>
          <w:sz w:val="22"/>
          <w:szCs w:val="22"/>
          <w:lang w:val="en-US" w:eastAsia="en-GB"/>
        </w:rPr>
        <w:t>June</w:t>
      </w:r>
      <w:r w:rsidRPr="00D83536">
        <w:rPr>
          <w:rFonts w:ascii="Palatino Linotype" w:eastAsia="Times New Roman" w:hAnsi="Palatino Linotype"/>
          <w:bCs/>
          <w:sz w:val="22"/>
          <w:szCs w:val="22"/>
          <w:lang w:val="en-US" w:eastAsia="en-GB"/>
        </w:rPr>
        <w:t xml:space="preserve"> 2021, highest indices growth was observed for Nasdaq COMPOSITE (</w:t>
      </w:r>
      <w:r w:rsidRPr="00A5514D">
        <w:rPr>
          <w:rFonts w:ascii="Palatino Linotype" w:eastAsia="Times New Roman" w:hAnsi="Palatino Linotype"/>
          <w:bCs/>
          <w:sz w:val="22"/>
          <w:szCs w:val="22"/>
          <w:lang w:val="en-US" w:eastAsia="en-GB"/>
        </w:rPr>
        <w:t>5.5</w:t>
      </w:r>
      <w:r w:rsidRPr="00D83536">
        <w:rPr>
          <w:rFonts w:ascii="Palatino Linotype" w:eastAsia="Times New Roman" w:hAnsi="Palatino Linotype"/>
          <w:bCs/>
          <w:sz w:val="22"/>
          <w:szCs w:val="22"/>
          <w:lang w:val="en-US" w:eastAsia="en-GB"/>
        </w:rPr>
        <w:t xml:space="preserve"> per cent) followed by</w:t>
      </w:r>
      <w:r>
        <w:rPr>
          <w:rFonts w:ascii="Palatino Linotype" w:eastAsia="Times New Roman" w:hAnsi="Palatino Linotype"/>
          <w:bCs/>
          <w:sz w:val="22"/>
          <w:szCs w:val="22"/>
          <w:lang w:val="en-US" w:eastAsia="en-GB"/>
        </w:rPr>
        <w:t xml:space="preserve"> South Korea KOSPI </w:t>
      </w:r>
      <w:r w:rsidRPr="00D83536">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2.9</w:t>
      </w:r>
      <w:r w:rsidRPr="00D83536">
        <w:rPr>
          <w:rFonts w:ascii="Palatino Linotype" w:eastAsia="Times New Roman" w:hAnsi="Palatino Linotype"/>
          <w:bCs/>
          <w:sz w:val="22"/>
          <w:szCs w:val="22"/>
          <w:lang w:val="en-US" w:eastAsia="en-GB"/>
        </w:rPr>
        <w:t xml:space="preserve"> per cent). A decrease in monthly growth was observed in and Singapore STI (1</w:t>
      </w:r>
      <w:r>
        <w:rPr>
          <w:rFonts w:ascii="Palatino Linotype" w:eastAsia="Times New Roman" w:hAnsi="Palatino Linotype"/>
          <w:bCs/>
          <w:sz w:val="22"/>
          <w:szCs w:val="22"/>
          <w:lang w:val="en-US" w:eastAsia="en-GB"/>
        </w:rPr>
        <w:t>.1</w:t>
      </w:r>
      <w:r w:rsidRPr="00D83536">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followed by</w:t>
      </w:r>
      <w:r w:rsidRPr="00707549">
        <w:rPr>
          <w:rFonts w:ascii="Palatino Linotype" w:eastAsia="Times New Roman" w:hAnsi="Palatino Linotype"/>
          <w:bCs/>
          <w:sz w:val="22"/>
          <w:szCs w:val="22"/>
          <w:lang w:val="en-US" w:eastAsia="en-GB"/>
        </w:rPr>
        <w:t xml:space="preserve"> </w:t>
      </w:r>
      <w:r w:rsidRPr="00D83536">
        <w:rPr>
          <w:rFonts w:ascii="Palatino Linotype" w:eastAsia="Times New Roman" w:hAnsi="Palatino Linotype"/>
          <w:bCs/>
          <w:sz w:val="22"/>
          <w:szCs w:val="22"/>
          <w:lang w:val="en-US" w:eastAsia="en-GB"/>
        </w:rPr>
        <w:t>Japan Nikkei (</w:t>
      </w:r>
      <w:r>
        <w:rPr>
          <w:rFonts w:ascii="Palatino Linotype" w:eastAsia="Times New Roman" w:hAnsi="Palatino Linotype"/>
          <w:bCs/>
          <w:sz w:val="22"/>
          <w:szCs w:val="22"/>
          <w:lang w:val="en-US" w:eastAsia="en-GB"/>
        </w:rPr>
        <w:t>0.2</w:t>
      </w:r>
      <w:r w:rsidRPr="00D83536">
        <w:rPr>
          <w:rFonts w:ascii="Palatino Linotype" w:eastAsia="Times New Roman" w:hAnsi="Palatino Linotype"/>
          <w:bCs/>
          <w:sz w:val="22"/>
          <w:szCs w:val="22"/>
          <w:lang w:val="en-US" w:eastAsia="en-GB"/>
        </w:rPr>
        <w:t xml:space="preserve"> per cent). Growth </w:t>
      </w:r>
      <w:r>
        <w:rPr>
          <w:rFonts w:ascii="Palatino Linotype" w:eastAsia="Times New Roman" w:hAnsi="Palatino Linotype"/>
          <w:bCs/>
          <w:sz w:val="22"/>
          <w:szCs w:val="22"/>
          <w:lang w:val="en-US" w:eastAsia="en-GB"/>
        </w:rPr>
        <w:t xml:space="preserve">rate </w:t>
      </w:r>
      <w:r w:rsidRPr="00D83536">
        <w:rPr>
          <w:rFonts w:ascii="Palatino Linotype" w:eastAsia="Times New Roman" w:hAnsi="Palatino Linotype"/>
          <w:bCs/>
          <w:sz w:val="22"/>
          <w:szCs w:val="22"/>
          <w:lang w:val="en-US" w:eastAsia="en-GB"/>
        </w:rPr>
        <w:t>in UK FTSE 100, France CAC 40</w:t>
      </w:r>
      <w:r>
        <w:rPr>
          <w:rFonts w:ascii="Palatino Linotype" w:eastAsia="Times New Roman" w:hAnsi="Palatino Linotype"/>
          <w:bCs/>
          <w:sz w:val="22"/>
          <w:szCs w:val="22"/>
          <w:lang w:val="en-US" w:eastAsia="en-GB"/>
        </w:rPr>
        <w:t xml:space="preserve">, </w:t>
      </w:r>
      <w:r w:rsidRPr="00D83536">
        <w:rPr>
          <w:rFonts w:ascii="Palatino Linotype" w:eastAsia="Times New Roman" w:hAnsi="Palatino Linotype"/>
          <w:bCs/>
          <w:sz w:val="22"/>
          <w:szCs w:val="22"/>
          <w:lang w:val="en-US" w:eastAsia="en-GB"/>
        </w:rPr>
        <w:t>USA Dow Jones and German DAX were</w:t>
      </w:r>
      <w:r>
        <w:rPr>
          <w:rFonts w:ascii="Palatino Linotype" w:eastAsia="Times New Roman" w:hAnsi="Palatino Linotype"/>
          <w:bCs/>
          <w:sz w:val="22"/>
          <w:szCs w:val="22"/>
          <w:lang w:val="en-US" w:eastAsia="en-GB"/>
        </w:rPr>
        <w:t xml:space="preserve"> 0.2,</w:t>
      </w:r>
      <w:r w:rsidRPr="00D83536">
        <w:rPr>
          <w:rFonts w:ascii="Palatino Linotype" w:eastAsia="Times New Roman" w:hAnsi="Palatino Linotype"/>
          <w:bCs/>
          <w:sz w:val="22"/>
          <w:szCs w:val="22"/>
          <w:lang w:val="en-US" w:eastAsia="en-GB"/>
        </w:rPr>
        <w:t xml:space="preserve"> 0.</w:t>
      </w:r>
      <w:r>
        <w:rPr>
          <w:rFonts w:ascii="Palatino Linotype" w:eastAsia="Times New Roman" w:hAnsi="Palatino Linotype"/>
          <w:bCs/>
          <w:sz w:val="22"/>
          <w:szCs w:val="22"/>
          <w:lang w:val="en-US" w:eastAsia="en-GB"/>
        </w:rPr>
        <w:t>9</w:t>
      </w:r>
      <w:r w:rsidRPr="00D83536">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-0.1</w:t>
      </w:r>
      <w:r w:rsidRPr="00D83536">
        <w:rPr>
          <w:rFonts w:ascii="Palatino Linotype" w:eastAsia="Times New Roman" w:hAnsi="Palatino Linotype"/>
          <w:bCs/>
          <w:sz w:val="22"/>
          <w:szCs w:val="22"/>
          <w:lang w:val="en-US" w:eastAsia="en-GB"/>
        </w:rPr>
        <w:t xml:space="preserve"> and </w:t>
      </w:r>
      <w:r>
        <w:rPr>
          <w:rFonts w:ascii="Palatino Linotype" w:eastAsia="Times New Roman" w:hAnsi="Palatino Linotype"/>
          <w:bCs/>
          <w:sz w:val="22"/>
          <w:szCs w:val="22"/>
          <w:lang w:val="en-US" w:eastAsia="en-GB"/>
        </w:rPr>
        <w:t>0.7</w:t>
      </w:r>
      <w:r w:rsidRPr="00D83536">
        <w:rPr>
          <w:rFonts w:ascii="Palatino Linotype" w:eastAsia="Times New Roman" w:hAnsi="Palatino Linotype"/>
          <w:bCs/>
          <w:sz w:val="22"/>
          <w:szCs w:val="22"/>
          <w:lang w:val="en-US" w:eastAsia="en-GB"/>
        </w:rPr>
        <w:t xml:space="preserve"> per cent respec</w:t>
      </w:r>
      <w:r>
        <w:rPr>
          <w:rFonts w:ascii="Palatino Linotype" w:eastAsia="Times New Roman" w:hAnsi="Palatino Linotype"/>
          <w:bCs/>
          <w:sz w:val="22"/>
          <w:szCs w:val="22"/>
          <w:lang w:val="en-US" w:eastAsia="en-GB"/>
        </w:rPr>
        <w:t>tively over the previous month.</w:t>
      </w:r>
    </w:p>
    <w:p w14:paraId="1DF081A5" w14:textId="77777777" w:rsidR="00D33F7C" w:rsidRDefault="00D33F7C" w:rsidP="00D33F7C">
      <w:pPr>
        <w:spacing w:line="23" w:lineRule="atLeast"/>
        <w:jc w:val="both"/>
        <w:outlineLvl w:val="0"/>
        <w:rPr>
          <w:rFonts w:ascii="Garamond" w:hAnsi="Garamond"/>
          <w:b/>
          <w:bCs/>
          <w:noProof/>
          <w:lang w:val="en-US"/>
        </w:rPr>
      </w:pPr>
    </w:p>
    <w:p w14:paraId="2EAA6A1D" w14:textId="77777777" w:rsidR="00D33F7C" w:rsidRDefault="00D33F7C" w:rsidP="00D33F7C">
      <w:pPr>
        <w:spacing w:line="23" w:lineRule="atLeast"/>
        <w:jc w:val="both"/>
        <w:outlineLvl w:val="0"/>
        <w:rPr>
          <w:rFonts w:ascii="Garamond" w:hAnsi="Garamond"/>
          <w:b/>
          <w:bCs/>
          <w:noProof/>
          <w:lang w:val="en-US"/>
        </w:rPr>
      </w:pPr>
    </w:p>
    <w:p w14:paraId="5AB5A5D6" w14:textId="77777777" w:rsidR="00D33F7C" w:rsidRDefault="00D33F7C" w:rsidP="00D33F7C">
      <w:pPr>
        <w:spacing w:line="23" w:lineRule="atLeast"/>
        <w:jc w:val="both"/>
        <w:outlineLvl w:val="0"/>
        <w:rPr>
          <w:rFonts w:ascii="Garamond" w:hAnsi="Garamond"/>
          <w:b/>
          <w:bCs/>
          <w:noProof/>
          <w:lang w:val="en-US"/>
        </w:rPr>
      </w:pPr>
    </w:p>
    <w:p w14:paraId="05A7F1A4" w14:textId="77777777" w:rsidR="00D33F7C" w:rsidRDefault="00D33F7C" w:rsidP="00D33F7C">
      <w:pPr>
        <w:spacing w:line="23" w:lineRule="atLeast"/>
        <w:jc w:val="both"/>
        <w:outlineLvl w:val="0"/>
        <w:rPr>
          <w:rFonts w:ascii="Garamond" w:hAnsi="Garamond"/>
          <w:b/>
          <w:bCs/>
          <w:noProof/>
          <w:lang w:val="en-US"/>
        </w:rPr>
      </w:pPr>
    </w:p>
    <w:p w14:paraId="16EDCD77" w14:textId="77777777" w:rsidR="00D33F7C" w:rsidRDefault="00D33F7C" w:rsidP="00D33F7C">
      <w:pPr>
        <w:spacing w:line="23" w:lineRule="atLeast"/>
        <w:jc w:val="both"/>
        <w:outlineLvl w:val="0"/>
        <w:rPr>
          <w:rFonts w:ascii="Garamond" w:hAnsi="Garamond"/>
          <w:b/>
          <w:bCs/>
          <w:noProof/>
          <w:lang w:val="en-US"/>
        </w:rPr>
      </w:pPr>
    </w:p>
    <w:p w14:paraId="3BEFFA24" w14:textId="77777777" w:rsidR="00D33F7C" w:rsidRDefault="00D33F7C" w:rsidP="00D33F7C">
      <w:pPr>
        <w:spacing w:line="23" w:lineRule="atLeast"/>
        <w:jc w:val="both"/>
        <w:outlineLvl w:val="0"/>
        <w:rPr>
          <w:rFonts w:ascii="Garamond" w:hAnsi="Garamond"/>
          <w:b/>
          <w:bCs/>
          <w:noProof/>
          <w:lang w:val="en-US"/>
        </w:rPr>
      </w:pPr>
    </w:p>
    <w:p w14:paraId="005BFB7E" w14:textId="77777777" w:rsidR="00D33F7C" w:rsidRDefault="00D33F7C" w:rsidP="00D33F7C">
      <w:pPr>
        <w:spacing w:line="23" w:lineRule="atLeast"/>
        <w:jc w:val="both"/>
        <w:outlineLvl w:val="0"/>
        <w:rPr>
          <w:rFonts w:ascii="Garamond" w:hAnsi="Garamond"/>
          <w:b/>
          <w:bCs/>
          <w:noProof/>
          <w:lang w:val="en-US"/>
        </w:rPr>
      </w:pPr>
    </w:p>
    <w:p w14:paraId="63CBBE07" w14:textId="77777777" w:rsidR="00D33F7C" w:rsidRDefault="00D33F7C" w:rsidP="00D33F7C">
      <w:pPr>
        <w:spacing w:line="23" w:lineRule="atLeast"/>
        <w:jc w:val="both"/>
        <w:outlineLvl w:val="0"/>
        <w:rPr>
          <w:rFonts w:ascii="Garamond" w:hAnsi="Garamond"/>
          <w:b/>
          <w:bCs/>
          <w:noProof/>
          <w:lang w:val="en-US"/>
        </w:rPr>
      </w:pPr>
    </w:p>
    <w:p w14:paraId="1A4607A9" w14:textId="77777777" w:rsidR="00D33F7C" w:rsidRDefault="00D33F7C" w:rsidP="00D33F7C">
      <w:pPr>
        <w:spacing w:line="23" w:lineRule="atLeast"/>
        <w:jc w:val="both"/>
        <w:outlineLvl w:val="0"/>
        <w:rPr>
          <w:rFonts w:ascii="Garamond" w:hAnsi="Garamond"/>
          <w:b/>
          <w:bCs/>
          <w:noProof/>
          <w:lang w:val="en-US"/>
        </w:rPr>
      </w:pPr>
    </w:p>
    <w:p w14:paraId="0BA09C97" w14:textId="77777777" w:rsidR="00D33F7C" w:rsidRDefault="00D33F7C" w:rsidP="00D33F7C">
      <w:pPr>
        <w:spacing w:line="23" w:lineRule="atLeast"/>
        <w:jc w:val="both"/>
        <w:outlineLvl w:val="0"/>
        <w:rPr>
          <w:rFonts w:ascii="Garamond" w:hAnsi="Garamond"/>
          <w:b/>
          <w:bCs/>
          <w:noProof/>
          <w:lang w:val="en-US"/>
        </w:rPr>
      </w:pPr>
    </w:p>
    <w:p w14:paraId="2BA3F731" w14:textId="77777777" w:rsidR="004D10FC" w:rsidRDefault="004D10FC" w:rsidP="00D33F7C">
      <w:pPr>
        <w:spacing w:line="23" w:lineRule="atLeast"/>
        <w:jc w:val="both"/>
        <w:outlineLvl w:val="0"/>
        <w:rPr>
          <w:rFonts w:ascii="Garamond" w:hAnsi="Garamond"/>
          <w:b/>
          <w:bCs/>
          <w:noProof/>
          <w:lang w:val="en-US"/>
        </w:rPr>
      </w:pPr>
    </w:p>
    <w:p w14:paraId="4C4EDE54" w14:textId="77777777" w:rsidR="00D33F7C" w:rsidRDefault="00D33F7C" w:rsidP="00D33F7C">
      <w:pPr>
        <w:spacing w:line="23" w:lineRule="atLeast"/>
        <w:jc w:val="both"/>
        <w:outlineLvl w:val="0"/>
        <w:rPr>
          <w:rFonts w:ascii="Garamond" w:hAnsi="Garamond"/>
          <w:b/>
          <w:bCs/>
          <w:noProof/>
          <w:lang w:val="en-US"/>
        </w:rPr>
      </w:pPr>
    </w:p>
    <w:p w14:paraId="08B419F4" w14:textId="77777777" w:rsidR="00D33F7C" w:rsidRDefault="00D33F7C" w:rsidP="00D33F7C">
      <w:pPr>
        <w:spacing w:line="23" w:lineRule="atLeast"/>
        <w:jc w:val="both"/>
        <w:outlineLvl w:val="0"/>
        <w:rPr>
          <w:rFonts w:ascii="Garamond" w:hAnsi="Garamond"/>
          <w:b/>
          <w:bCs/>
          <w:noProof/>
          <w:lang w:val="en-US"/>
        </w:rPr>
      </w:pPr>
    </w:p>
    <w:p w14:paraId="00546C87" w14:textId="77777777" w:rsidR="00D33F7C" w:rsidRPr="002622E2" w:rsidRDefault="00D33F7C" w:rsidP="00D33F7C">
      <w:pPr>
        <w:spacing w:line="23" w:lineRule="atLeast"/>
        <w:jc w:val="both"/>
        <w:outlineLvl w:val="0"/>
        <w:rPr>
          <w:rFonts w:ascii="Garamond" w:hAnsi="Garamond"/>
          <w:b/>
          <w:bCs/>
          <w:szCs w:val="22"/>
        </w:rPr>
      </w:pPr>
      <w:r w:rsidRPr="002622E2">
        <w:rPr>
          <w:rFonts w:ascii="Garamond" w:hAnsi="Garamond"/>
          <w:b/>
          <w:bCs/>
          <w:noProof/>
          <w:lang w:val="en-US"/>
        </w:rPr>
        <w:lastRenderedPageBreak/>
        <w:t>Figure</w:t>
      </w:r>
      <w:r w:rsidRPr="002622E2">
        <w:rPr>
          <w:rFonts w:ascii="Garamond" w:hAnsi="Garamond"/>
          <w:b/>
          <w:bCs/>
          <w:szCs w:val="22"/>
        </w:rPr>
        <w:t xml:space="preserve"> 1: Stock Market Trends in Selected Developed Markets</w:t>
      </w:r>
    </w:p>
    <w:p w14:paraId="41D42413" w14:textId="77777777" w:rsidR="00D33F7C" w:rsidRPr="002622E2" w:rsidRDefault="00D33F7C" w:rsidP="00D33F7C">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33079FBB" wp14:editId="46879F40">
            <wp:extent cx="5645785" cy="35312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5785" cy="3531235"/>
                    </a:xfrm>
                    <a:prstGeom prst="rect">
                      <a:avLst/>
                    </a:prstGeom>
                    <a:noFill/>
                  </pic:spPr>
                </pic:pic>
              </a:graphicData>
            </a:graphic>
          </wp:inline>
        </w:drawing>
      </w:r>
    </w:p>
    <w:p w14:paraId="0278CD1E" w14:textId="77777777" w:rsidR="00D33F7C" w:rsidRPr="002622E2" w:rsidRDefault="00D33F7C" w:rsidP="00D33F7C">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30 June 2020</w:t>
      </w:r>
      <w:r w:rsidRPr="002622E2">
        <w:rPr>
          <w:rFonts w:ascii="Garamond" w:hAnsi="Garamond"/>
          <w:bCs/>
          <w:sz w:val="18"/>
          <w:szCs w:val="18"/>
        </w:rPr>
        <w:t>.</w:t>
      </w:r>
    </w:p>
    <w:p w14:paraId="6F619C16" w14:textId="77777777" w:rsidR="00D33F7C" w:rsidRPr="002622E2" w:rsidRDefault="00D33F7C" w:rsidP="00D33F7C">
      <w:pPr>
        <w:spacing w:line="23" w:lineRule="atLeast"/>
        <w:jc w:val="both"/>
        <w:outlineLvl w:val="0"/>
        <w:rPr>
          <w:rFonts w:ascii="Garamond" w:hAnsi="Garamond"/>
          <w:bCs/>
          <w:sz w:val="18"/>
          <w:szCs w:val="18"/>
        </w:rPr>
      </w:pPr>
      <w:r w:rsidRPr="002622E2">
        <w:rPr>
          <w:rFonts w:ascii="Garamond" w:hAnsi="Garamond"/>
          <w:bCs/>
          <w:sz w:val="18"/>
          <w:szCs w:val="18"/>
        </w:rPr>
        <w:t>Source: Refinitiv</w:t>
      </w:r>
    </w:p>
    <w:p w14:paraId="0EADEDEF" w14:textId="77777777" w:rsidR="00D33F7C" w:rsidRPr="00073FE2" w:rsidRDefault="00D33F7C" w:rsidP="00D33F7C">
      <w:pPr>
        <w:spacing w:line="23" w:lineRule="atLeast"/>
        <w:rPr>
          <w:rFonts w:ascii="Garamond" w:hAnsi="Garamond"/>
          <w:bCs/>
          <w:strike/>
          <w:sz w:val="22"/>
          <w:szCs w:val="22"/>
        </w:rPr>
      </w:pPr>
    </w:p>
    <w:p w14:paraId="418DB0A2" w14:textId="77777777" w:rsidR="00D33F7C" w:rsidRPr="002622E2" w:rsidRDefault="00D33F7C" w:rsidP="00D33F7C">
      <w:pPr>
        <w:spacing w:line="23" w:lineRule="atLeast"/>
        <w:rPr>
          <w:rFonts w:ascii="Garamond" w:hAnsi="Garamond"/>
          <w:b/>
          <w:bCs/>
          <w:szCs w:val="22"/>
        </w:rPr>
      </w:pPr>
    </w:p>
    <w:p w14:paraId="73BE0347" w14:textId="77777777" w:rsidR="00D33F7C" w:rsidRPr="002622E2" w:rsidRDefault="00D33F7C" w:rsidP="00D33F7C">
      <w:pPr>
        <w:rPr>
          <w:rFonts w:ascii="Garamond" w:hAnsi="Garamond"/>
          <w:b/>
          <w:bCs/>
          <w:szCs w:val="22"/>
        </w:rPr>
      </w:pPr>
      <w:r w:rsidRPr="002622E2">
        <w:rPr>
          <w:rFonts w:ascii="Garamond" w:hAnsi="Garamond"/>
          <w:b/>
          <w:bCs/>
          <w:szCs w:val="22"/>
        </w:rPr>
        <w:t>Figure 2: Stock Market Trends in Selected Emerging Markets</w:t>
      </w:r>
    </w:p>
    <w:p w14:paraId="5B909F1F" w14:textId="77777777" w:rsidR="00D33F7C" w:rsidRPr="002622E2" w:rsidRDefault="00D33F7C" w:rsidP="00D33F7C">
      <w:pPr>
        <w:spacing w:line="23" w:lineRule="atLeast"/>
        <w:rPr>
          <w:rFonts w:ascii="Garamond" w:hAnsi="Garamond"/>
          <w:bCs/>
          <w:sz w:val="22"/>
          <w:szCs w:val="22"/>
        </w:rPr>
      </w:pPr>
      <w:r>
        <w:rPr>
          <w:rFonts w:ascii="Garamond" w:hAnsi="Garamond"/>
          <w:bCs/>
          <w:noProof/>
          <w:sz w:val="22"/>
          <w:szCs w:val="22"/>
          <w:lang w:val="en-IN" w:eastAsia="en-IN" w:bidi="hi-IN"/>
        </w:rPr>
        <w:drawing>
          <wp:inline distT="0" distB="0" distL="0" distR="0" wp14:anchorId="5BF53DAE" wp14:editId="6A4C1779">
            <wp:extent cx="5648325" cy="3197225"/>
            <wp:effectExtent l="0" t="0" r="9525"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48325" cy="3197225"/>
                    </a:xfrm>
                    <a:prstGeom prst="rect">
                      <a:avLst/>
                    </a:prstGeom>
                    <a:noFill/>
                  </pic:spPr>
                </pic:pic>
              </a:graphicData>
            </a:graphic>
          </wp:inline>
        </w:drawing>
      </w:r>
    </w:p>
    <w:p w14:paraId="56354A7E" w14:textId="77777777" w:rsidR="00D33F7C" w:rsidRPr="002622E2" w:rsidRDefault="00D33F7C" w:rsidP="00D33F7C">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30 June</w:t>
      </w:r>
      <w:r w:rsidRPr="00483369">
        <w:rPr>
          <w:rFonts w:ascii="Garamond" w:hAnsi="Garamond"/>
          <w:bCs/>
          <w:sz w:val="18"/>
          <w:szCs w:val="18"/>
        </w:rPr>
        <w:t xml:space="preserve"> </w:t>
      </w:r>
      <w:r>
        <w:rPr>
          <w:rFonts w:ascii="Garamond" w:hAnsi="Garamond"/>
          <w:bCs/>
          <w:sz w:val="18"/>
          <w:szCs w:val="18"/>
        </w:rPr>
        <w:t>2020</w:t>
      </w:r>
      <w:r w:rsidRPr="002622E2">
        <w:rPr>
          <w:rFonts w:ascii="Garamond" w:hAnsi="Garamond"/>
          <w:bCs/>
          <w:sz w:val="18"/>
          <w:szCs w:val="18"/>
        </w:rPr>
        <w:t>.</w:t>
      </w:r>
    </w:p>
    <w:p w14:paraId="5577A2A2" w14:textId="77777777" w:rsidR="00D33F7C" w:rsidRPr="0066149F" w:rsidRDefault="00D33F7C" w:rsidP="00D33F7C">
      <w:pPr>
        <w:spacing w:line="23" w:lineRule="atLeast"/>
        <w:jc w:val="both"/>
        <w:outlineLvl w:val="0"/>
        <w:rPr>
          <w:rFonts w:ascii="Garamond" w:eastAsia="Times New Roman" w:hAnsi="Garamond"/>
          <w:b/>
          <w:szCs w:val="22"/>
          <w:u w:val="single"/>
          <w:lang w:val="en-US" w:eastAsia="en-GB"/>
        </w:rPr>
      </w:pPr>
      <w:r w:rsidRPr="002622E2">
        <w:rPr>
          <w:rFonts w:ascii="Garamond" w:hAnsi="Garamond"/>
          <w:bCs/>
          <w:sz w:val="18"/>
          <w:szCs w:val="18"/>
        </w:rPr>
        <w:t>Source: Refinitiv</w:t>
      </w:r>
    </w:p>
    <w:p w14:paraId="69A6F90A" w14:textId="77777777" w:rsidR="00D33F7C" w:rsidRPr="008977C1" w:rsidRDefault="00D33F7C" w:rsidP="00D33F7C">
      <w:pPr>
        <w:spacing w:line="276" w:lineRule="auto"/>
        <w:ind w:left="720"/>
        <w:contextualSpacing/>
        <w:rPr>
          <w:rFonts w:ascii="Garamond" w:hAnsi="Garamond"/>
          <w:bCs/>
          <w:sz w:val="22"/>
          <w:szCs w:val="22"/>
          <w:lang w:val="en-US"/>
        </w:rPr>
      </w:pPr>
      <w:r w:rsidRPr="0066149F">
        <w:rPr>
          <w:rFonts w:ascii="Garamond" w:eastAsia="Times New Roman" w:hAnsi="Garamond"/>
          <w:b/>
          <w:sz w:val="22"/>
          <w:szCs w:val="22"/>
          <w:u w:val="single"/>
          <w:lang w:val="en-US" w:eastAsia="en-GB"/>
        </w:rPr>
        <w:t>B</w:t>
      </w:r>
      <w:r>
        <w:rPr>
          <w:rFonts w:ascii="Garamond" w:eastAsia="Times New Roman" w:hAnsi="Garamond"/>
          <w:b/>
          <w:sz w:val="22"/>
          <w:szCs w:val="22"/>
          <w:u w:val="single"/>
          <w:lang w:val="en-US" w:eastAsia="en-GB"/>
        </w:rPr>
        <w:t>ond</w:t>
      </w:r>
      <w:r w:rsidRPr="0066149F">
        <w:rPr>
          <w:rFonts w:ascii="Garamond" w:eastAsia="Times New Roman" w:hAnsi="Garamond"/>
          <w:b/>
          <w:sz w:val="22"/>
          <w:szCs w:val="22"/>
          <w:u w:val="single"/>
          <w:lang w:val="en-US" w:eastAsia="en-GB"/>
        </w:rPr>
        <w:t xml:space="preserve"> Market (Figures 3-4)</w:t>
      </w:r>
    </w:p>
    <w:p w14:paraId="45ACECD1" w14:textId="77777777" w:rsidR="00D33F7C" w:rsidRPr="00507BC0" w:rsidRDefault="00D33F7C" w:rsidP="00D33F7C">
      <w:pPr>
        <w:numPr>
          <w:ilvl w:val="0"/>
          <w:numId w:val="8"/>
        </w:numPr>
        <w:spacing w:line="276" w:lineRule="auto"/>
        <w:contextualSpacing/>
        <w:jc w:val="both"/>
        <w:rPr>
          <w:rFonts w:ascii="Palatino Linotype" w:hAnsi="Palatino Linotype"/>
          <w:bCs/>
          <w:color w:val="FF0000"/>
          <w:sz w:val="22"/>
          <w:szCs w:val="22"/>
          <w:lang w:val="en-US"/>
        </w:rPr>
      </w:pPr>
      <w:r w:rsidRPr="00507BC0">
        <w:rPr>
          <w:rFonts w:ascii="Palatino Linotype" w:eastAsia="Times New Roman" w:hAnsi="Palatino Linotype"/>
          <w:bCs/>
          <w:color w:val="000000"/>
          <w:sz w:val="22"/>
          <w:szCs w:val="22"/>
          <w:lang w:val="en-US" w:eastAsia="en-GB"/>
        </w:rPr>
        <w:t>Among the countries analysed</w:t>
      </w:r>
      <w:r w:rsidRPr="00507BC0">
        <w:rPr>
          <w:rFonts w:ascii="Palatino Linotype" w:eastAsia="Times New Roman" w:hAnsi="Palatino Linotype"/>
          <w:bCs/>
          <w:color w:val="000000"/>
          <w:sz w:val="22"/>
          <w:szCs w:val="22"/>
          <w:vertAlign w:val="superscript"/>
          <w:lang w:val="en-US" w:eastAsia="en-GB"/>
        </w:rPr>
        <w:footnoteReference w:id="4"/>
      </w:r>
      <w:r w:rsidRPr="00507BC0">
        <w:rPr>
          <w:rFonts w:ascii="Palatino Linotype" w:eastAsia="Times New Roman" w:hAnsi="Palatino Linotype"/>
          <w:bCs/>
          <w:color w:val="000000"/>
          <w:sz w:val="22"/>
          <w:szCs w:val="22"/>
          <w:lang w:val="en-US" w:eastAsia="en-GB"/>
        </w:rPr>
        <w:t xml:space="preserve">, for bond yield, 10-year bond yield in </w:t>
      </w:r>
      <w:r>
        <w:rPr>
          <w:rFonts w:ascii="Palatino Linotype" w:eastAsia="Times New Roman" w:hAnsi="Palatino Linotype"/>
          <w:bCs/>
          <w:color w:val="000000"/>
          <w:sz w:val="22"/>
          <w:szCs w:val="22"/>
          <w:lang w:val="en-US" w:eastAsia="en-GB"/>
        </w:rPr>
        <w:t>June</w:t>
      </w:r>
      <w:r w:rsidRPr="00507BC0">
        <w:rPr>
          <w:rFonts w:ascii="Palatino Linotype" w:eastAsia="Times New Roman" w:hAnsi="Palatino Linotype"/>
          <w:bCs/>
          <w:color w:val="000000"/>
          <w:sz w:val="22"/>
          <w:szCs w:val="22"/>
          <w:lang w:val="en-US" w:eastAsia="en-GB"/>
        </w:rPr>
        <w:t xml:space="preserve"> 2021, a negative change was observed for most developed and developing economies (</w:t>
      </w:r>
      <w:r w:rsidRPr="00BC0641">
        <w:rPr>
          <w:rFonts w:ascii="Palatino Linotype" w:eastAsia="Times New Roman" w:hAnsi="Palatino Linotype"/>
          <w:b/>
          <w:color w:val="000000"/>
          <w:sz w:val="22"/>
          <w:szCs w:val="22"/>
          <w:lang w:val="en-US" w:eastAsia="en-GB"/>
        </w:rPr>
        <w:t>Chart 3 &amp; 4</w:t>
      </w:r>
      <w:r w:rsidRPr="00507BC0">
        <w:rPr>
          <w:rFonts w:ascii="Palatino Linotype" w:eastAsia="Times New Roman" w:hAnsi="Palatino Linotype"/>
          <w:bCs/>
          <w:color w:val="000000"/>
          <w:sz w:val="22"/>
          <w:szCs w:val="22"/>
          <w:lang w:val="en-US" w:eastAsia="en-GB"/>
        </w:rPr>
        <w:t>).</w:t>
      </w:r>
    </w:p>
    <w:p w14:paraId="1605F541" w14:textId="77777777" w:rsidR="00D33F7C" w:rsidRPr="0066149F" w:rsidRDefault="00D33F7C" w:rsidP="00D33F7C">
      <w:pPr>
        <w:spacing w:line="23" w:lineRule="atLeast"/>
        <w:rPr>
          <w:rFonts w:ascii="Garamond" w:hAnsi="Garamond"/>
          <w:bCs/>
          <w:sz w:val="22"/>
          <w:szCs w:val="22"/>
        </w:rPr>
      </w:pPr>
    </w:p>
    <w:p w14:paraId="7D9E8498" w14:textId="77777777" w:rsidR="00D33F7C" w:rsidRDefault="00D33F7C" w:rsidP="00D33F7C">
      <w:pPr>
        <w:rPr>
          <w:rFonts w:ascii="Garamond" w:hAnsi="Garamond"/>
          <w:b/>
          <w:bCs/>
          <w:szCs w:val="22"/>
        </w:rPr>
      </w:pPr>
    </w:p>
    <w:p w14:paraId="4551AE15" w14:textId="77777777" w:rsidR="00D33F7C" w:rsidRPr="004C4151" w:rsidRDefault="00D33F7C" w:rsidP="00D33F7C">
      <w:pPr>
        <w:rPr>
          <w:rFonts w:ascii="Garamond" w:hAnsi="Garamond"/>
          <w:b/>
          <w:bCs/>
          <w:szCs w:val="22"/>
        </w:rPr>
      </w:pPr>
      <w:r w:rsidRPr="004C4151">
        <w:rPr>
          <w:rFonts w:ascii="Garamond" w:hAnsi="Garamond"/>
          <w:b/>
          <w:bCs/>
          <w:szCs w:val="22"/>
        </w:rPr>
        <w:lastRenderedPageBreak/>
        <w:t>Figure 3: Movement of 10-year Government Bond Yields in Developed Nations</w:t>
      </w:r>
    </w:p>
    <w:p w14:paraId="69904700" w14:textId="77777777" w:rsidR="00D33F7C" w:rsidRPr="004C4151" w:rsidRDefault="00D33F7C" w:rsidP="00D33F7C">
      <w:pPr>
        <w:rPr>
          <w:rFonts w:ascii="Garamond" w:hAnsi="Garamond"/>
          <w:bCs/>
          <w:sz w:val="22"/>
          <w:szCs w:val="22"/>
        </w:rPr>
      </w:pPr>
    </w:p>
    <w:p w14:paraId="5F00B000" w14:textId="77777777" w:rsidR="00D33F7C" w:rsidRPr="004C4151" w:rsidRDefault="00D33F7C" w:rsidP="00D33F7C">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042D5FF1" wp14:editId="5BC65201">
            <wp:extent cx="5624830" cy="281432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24830" cy="2814320"/>
                    </a:xfrm>
                    <a:prstGeom prst="rect">
                      <a:avLst/>
                    </a:prstGeom>
                    <a:noFill/>
                  </pic:spPr>
                </pic:pic>
              </a:graphicData>
            </a:graphic>
          </wp:inline>
        </w:drawing>
      </w:r>
    </w:p>
    <w:p w14:paraId="386CEA82" w14:textId="77777777" w:rsidR="00D33F7C" w:rsidRPr="004C4151" w:rsidRDefault="00D33F7C" w:rsidP="00D33F7C">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14:paraId="456D5664" w14:textId="77777777" w:rsidR="00D33F7C" w:rsidRPr="004C4151" w:rsidRDefault="00D33F7C" w:rsidP="00D33F7C">
      <w:pPr>
        <w:spacing w:line="23" w:lineRule="atLeast"/>
        <w:jc w:val="both"/>
        <w:outlineLvl w:val="0"/>
        <w:rPr>
          <w:rFonts w:ascii="Garamond" w:hAnsi="Garamond"/>
          <w:bCs/>
          <w:sz w:val="22"/>
          <w:szCs w:val="22"/>
        </w:rPr>
      </w:pPr>
    </w:p>
    <w:p w14:paraId="0E981A04" w14:textId="77777777" w:rsidR="00D33F7C" w:rsidRPr="004C4151" w:rsidRDefault="00D33F7C" w:rsidP="00D33F7C">
      <w:pPr>
        <w:rPr>
          <w:rFonts w:ascii="Garamond" w:hAnsi="Garamond"/>
          <w:bCs/>
          <w:sz w:val="22"/>
          <w:szCs w:val="22"/>
        </w:rPr>
      </w:pPr>
    </w:p>
    <w:p w14:paraId="7C2ABD34" w14:textId="77777777" w:rsidR="00D33F7C" w:rsidRPr="004C4151" w:rsidRDefault="00D33F7C" w:rsidP="00D33F7C">
      <w:pPr>
        <w:spacing w:line="23" w:lineRule="atLeast"/>
        <w:jc w:val="both"/>
        <w:outlineLvl w:val="0"/>
        <w:rPr>
          <w:rFonts w:ascii="Garamond" w:hAnsi="Garamond"/>
          <w:b/>
          <w:bCs/>
          <w:szCs w:val="22"/>
        </w:rPr>
      </w:pPr>
      <w:r w:rsidRPr="004C4151">
        <w:rPr>
          <w:rFonts w:ascii="Garamond" w:hAnsi="Garamond"/>
          <w:b/>
          <w:bCs/>
          <w:szCs w:val="22"/>
        </w:rPr>
        <w:t>Figure 4: Movement of 10-year Government Bond Yields in BRIC Nations</w:t>
      </w:r>
    </w:p>
    <w:p w14:paraId="0EA9651C" w14:textId="77777777" w:rsidR="00D33F7C" w:rsidRPr="004C4151" w:rsidRDefault="00D33F7C" w:rsidP="00D33F7C">
      <w:pPr>
        <w:spacing w:line="23" w:lineRule="atLeast"/>
        <w:jc w:val="both"/>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6244C5B4" wp14:editId="03618653">
            <wp:extent cx="5628640" cy="2820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28640" cy="2820035"/>
                    </a:xfrm>
                    <a:prstGeom prst="rect">
                      <a:avLst/>
                    </a:prstGeom>
                    <a:noFill/>
                  </pic:spPr>
                </pic:pic>
              </a:graphicData>
            </a:graphic>
          </wp:inline>
        </w:drawing>
      </w:r>
    </w:p>
    <w:p w14:paraId="1398A855" w14:textId="77777777" w:rsidR="00D33F7C" w:rsidRPr="004C4151" w:rsidRDefault="00D33F7C" w:rsidP="00D33F7C">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14:paraId="627E9174" w14:textId="77777777" w:rsidR="00D33F7C" w:rsidRPr="004C4151" w:rsidRDefault="00D33F7C" w:rsidP="00D33F7C">
      <w:pPr>
        <w:spacing w:line="23" w:lineRule="atLeast"/>
        <w:jc w:val="both"/>
        <w:rPr>
          <w:rFonts w:ascii="Garamond" w:eastAsia="Times New Roman" w:hAnsi="Garamond"/>
          <w:bCs/>
          <w:sz w:val="22"/>
          <w:szCs w:val="22"/>
          <w:lang w:val="en-US"/>
        </w:rPr>
      </w:pPr>
    </w:p>
    <w:p w14:paraId="2C9F0168" w14:textId="77777777" w:rsidR="00D33F7C" w:rsidRDefault="00D33F7C" w:rsidP="00D33F7C">
      <w:pPr>
        <w:spacing w:line="360" w:lineRule="auto"/>
        <w:jc w:val="both"/>
        <w:rPr>
          <w:rFonts w:ascii="Palatino Linotype" w:eastAsia="Times New Roman" w:hAnsi="Palatino Linotype"/>
          <w:b/>
          <w:sz w:val="22"/>
          <w:szCs w:val="22"/>
          <w:u w:val="single"/>
          <w:lang w:val="en-US"/>
        </w:rPr>
      </w:pPr>
    </w:p>
    <w:p w14:paraId="6B05CCB1" w14:textId="77777777" w:rsidR="00D33F7C" w:rsidRPr="006D42D9" w:rsidRDefault="00D33F7C" w:rsidP="00D33F7C">
      <w:pPr>
        <w:spacing w:line="360" w:lineRule="auto"/>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Fund Mobilisation by Issuance of Equity and Bonds (Table A2)</w:t>
      </w:r>
      <w:r w:rsidRPr="006D42D9">
        <w:rPr>
          <w:rFonts w:ascii="Palatino Linotype" w:eastAsia="Times New Roman" w:hAnsi="Palatino Linotype"/>
          <w:b/>
          <w:sz w:val="22"/>
          <w:szCs w:val="22"/>
          <w:lang w:val="en-US"/>
        </w:rPr>
        <w:t xml:space="preserve"> – </w:t>
      </w:r>
    </w:p>
    <w:p w14:paraId="588AA14E" w14:textId="77777777" w:rsidR="00D33F7C" w:rsidRPr="00507BC0"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507BC0">
        <w:rPr>
          <w:rFonts w:ascii="Palatino Linotype" w:eastAsia="Times New Roman" w:hAnsi="Palatino Linotype"/>
          <w:bCs/>
          <w:sz w:val="22"/>
          <w:szCs w:val="22"/>
          <w:lang w:val="en-US" w:eastAsia="en-GB"/>
        </w:rPr>
        <w:t xml:space="preserve">There was 37.4 per cent decrease in the fund mobilization at the selected analyzed exchanges world-wide during </w:t>
      </w:r>
      <w:r>
        <w:rPr>
          <w:rFonts w:ascii="Palatino Linotype" w:eastAsia="Times New Roman" w:hAnsi="Palatino Linotype"/>
          <w:bCs/>
          <w:sz w:val="22"/>
          <w:szCs w:val="22"/>
          <w:lang w:val="en-US" w:eastAsia="en-GB"/>
        </w:rPr>
        <w:t>May 2021 (at</w:t>
      </w:r>
      <w:r w:rsidRPr="00507BC0">
        <w:rPr>
          <w:rFonts w:ascii="Palatino Linotype" w:eastAsia="Times New Roman" w:hAnsi="Palatino Linotype"/>
          <w:bCs/>
          <w:sz w:val="22"/>
          <w:szCs w:val="22"/>
          <w:lang w:val="en-US" w:eastAsia="en-GB"/>
        </w:rPr>
        <w:t xml:space="preserve"> 293,683 million </w:t>
      </w:r>
      <w:r>
        <w:rPr>
          <w:rFonts w:ascii="Palatino Linotype" w:eastAsia="Times New Roman" w:hAnsi="Palatino Linotype"/>
          <w:bCs/>
          <w:sz w:val="22"/>
          <w:szCs w:val="22"/>
          <w:lang w:val="en-US" w:eastAsia="en-GB"/>
        </w:rPr>
        <w:t>USD) against previous month (at</w:t>
      </w:r>
      <w:r w:rsidRPr="00507BC0">
        <w:rPr>
          <w:rFonts w:ascii="Palatino Linotype" w:eastAsia="Times New Roman" w:hAnsi="Palatino Linotype"/>
          <w:bCs/>
          <w:sz w:val="22"/>
          <w:szCs w:val="22"/>
          <w:lang w:val="en-US" w:eastAsia="en-GB"/>
        </w:rPr>
        <w:t xml:space="preserve"> 468,934</w:t>
      </w:r>
      <w:r>
        <w:rPr>
          <w:rFonts w:ascii="Palatino Linotype" w:eastAsia="Times New Roman" w:hAnsi="Palatino Linotype"/>
          <w:bCs/>
          <w:sz w:val="22"/>
          <w:szCs w:val="22"/>
          <w:lang w:val="en-US" w:eastAsia="en-GB"/>
        </w:rPr>
        <w:t xml:space="preserve"> </w:t>
      </w:r>
      <w:r w:rsidRPr="00507BC0">
        <w:rPr>
          <w:rFonts w:ascii="Palatino Linotype" w:eastAsia="Times New Roman" w:hAnsi="Palatino Linotype"/>
          <w:bCs/>
          <w:sz w:val="22"/>
          <w:szCs w:val="22"/>
          <w:lang w:val="en-US" w:eastAsia="en-GB"/>
        </w:rPr>
        <w:t xml:space="preserve">million USD). Only </w:t>
      </w:r>
      <w:r>
        <w:rPr>
          <w:rFonts w:ascii="Palatino Linotype" w:eastAsia="Times New Roman" w:hAnsi="Palatino Linotype"/>
          <w:bCs/>
          <w:sz w:val="22"/>
          <w:szCs w:val="22"/>
          <w:lang w:val="en-US" w:eastAsia="en-GB"/>
        </w:rPr>
        <w:t>12.4</w:t>
      </w:r>
      <w:r w:rsidRPr="00507BC0">
        <w:rPr>
          <w:rFonts w:ascii="Palatino Linotype" w:eastAsia="Times New Roman" w:hAnsi="Palatino Linotype"/>
          <w:bCs/>
          <w:sz w:val="22"/>
          <w:szCs w:val="22"/>
          <w:lang w:val="en-US" w:eastAsia="en-GB"/>
        </w:rPr>
        <w:t xml:space="preserve"> per cent of the total fund mobilization in </w:t>
      </w:r>
      <w:r>
        <w:rPr>
          <w:rFonts w:ascii="Palatino Linotype" w:eastAsia="Times New Roman" w:hAnsi="Palatino Linotype"/>
          <w:bCs/>
          <w:color w:val="000000"/>
          <w:sz w:val="22"/>
          <w:szCs w:val="22"/>
          <w:lang w:val="en-US" w:eastAsia="en-GB"/>
        </w:rPr>
        <w:t>May</w:t>
      </w:r>
      <w:r w:rsidRPr="00507BC0">
        <w:rPr>
          <w:rFonts w:ascii="Palatino Linotype" w:eastAsia="Times New Roman" w:hAnsi="Palatino Linotype"/>
          <w:bCs/>
          <w:color w:val="000000"/>
          <w:sz w:val="22"/>
          <w:szCs w:val="22"/>
          <w:lang w:val="en-US" w:eastAsia="en-GB"/>
        </w:rPr>
        <w:t xml:space="preserve"> 2021 </w:t>
      </w:r>
      <w:r w:rsidRPr="00507BC0">
        <w:rPr>
          <w:rFonts w:ascii="Palatino Linotype" w:eastAsia="Times New Roman" w:hAnsi="Palatino Linotype"/>
          <w:bCs/>
          <w:sz w:val="22"/>
          <w:szCs w:val="22"/>
          <w:lang w:val="en-US" w:eastAsia="en-GB"/>
        </w:rPr>
        <w:t>was in equity and remaining was in debt.</w:t>
      </w:r>
    </w:p>
    <w:p w14:paraId="595B02AE" w14:textId="77777777" w:rsidR="00D33F7C" w:rsidRPr="00507BC0"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507BC0">
        <w:rPr>
          <w:rFonts w:ascii="Palatino Linotype" w:eastAsia="Times New Roman" w:hAnsi="Palatino Linotype"/>
          <w:bCs/>
          <w:sz w:val="22"/>
          <w:szCs w:val="22"/>
          <w:lang w:val="en-US" w:eastAsia="en-GB"/>
        </w:rPr>
        <w:t>As per the data available on World Federation of Exchanges (WFE)</w:t>
      </w:r>
      <w:r w:rsidRPr="00507BC0">
        <w:rPr>
          <w:rFonts w:ascii="Palatino Linotype" w:eastAsia="Times New Roman" w:hAnsi="Palatino Linotype"/>
          <w:bCs/>
          <w:sz w:val="22"/>
          <w:szCs w:val="22"/>
          <w:vertAlign w:val="superscript"/>
          <w:lang w:val="en-US" w:eastAsia="en-GB"/>
        </w:rPr>
        <w:footnoteReference w:id="5"/>
      </w:r>
      <w:r w:rsidRPr="00507BC0">
        <w:rPr>
          <w:rFonts w:ascii="Palatino Linotype" w:eastAsia="Times New Roman" w:hAnsi="Palatino Linotype"/>
          <w:bCs/>
          <w:sz w:val="22"/>
          <w:szCs w:val="22"/>
          <w:lang w:val="en-US" w:eastAsia="en-GB"/>
        </w:rPr>
        <w:t xml:space="preserve">, highest amount mobilized through equities and bonds in </w:t>
      </w:r>
      <w:r>
        <w:rPr>
          <w:rFonts w:ascii="Palatino Linotype" w:eastAsia="Times New Roman" w:hAnsi="Palatino Linotype"/>
          <w:bCs/>
          <w:sz w:val="22"/>
          <w:szCs w:val="22"/>
          <w:lang w:val="en-US" w:eastAsia="en-GB"/>
        </w:rPr>
        <w:t>May</w:t>
      </w:r>
      <w:r w:rsidRPr="00507BC0">
        <w:rPr>
          <w:rFonts w:ascii="Palatino Linotype" w:eastAsia="Times New Roman" w:hAnsi="Palatino Linotype"/>
          <w:bCs/>
          <w:sz w:val="22"/>
          <w:szCs w:val="22"/>
          <w:lang w:val="en-US" w:eastAsia="en-GB"/>
        </w:rPr>
        <w:t xml:space="preserve"> 2021 was at LSE Group London Stock Exchange (63,087 million </w:t>
      </w:r>
      <w:r w:rsidRPr="00507BC0">
        <w:rPr>
          <w:rFonts w:ascii="Palatino Linotype" w:eastAsia="Times New Roman" w:hAnsi="Palatino Linotype"/>
          <w:bCs/>
          <w:sz w:val="22"/>
          <w:szCs w:val="22"/>
          <w:lang w:val="en-US" w:eastAsia="en-GB"/>
        </w:rPr>
        <w:lastRenderedPageBreak/>
        <w:t>USD) Korea Exchange</w:t>
      </w:r>
      <w:r w:rsidRPr="00507BC0">
        <w:rPr>
          <w:rFonts w:ascii="Palatino Linotype" w:hAnsi="Palatino Linotype"/>
          <w:sz w:val="22"/>
          <w:szCs w:val="22"/>
        </w:rPr>
        <w:t xml:space="preserve"> </w:t>
      </w:r>
      <w:r w:rsidRPr="00507BC0">
        <w:rPr>
          <w:rFonts w:ascii="Palatino Linotype" w:eastAsia="Times New Roman" w:hAnsi="Palatino Linotype"/>
          <w:bCs/>
          <w:sz w:val="22"/>
          <w:szCs w:val="22"/>
          <w:lang w:val="en-US" w:eastAsia="en-GB"/>
        </w:rPr>
        <w:t>(59,489 million USD) followed by</w:t>
      </w:r>
      <w:r w:rsidRPr="00507BC0">
        <w:rPr>
          <w:rFonts w:ascii="Palatino Linotype" w:hAnsi="Palatino Linotype"/>
          <w:sz w:val="22"/>
          <w:szCs w:val="22"/>
        </w:rPr>
        <w:t xml:space="preserve"> </w:t>
      </w:r>
      <w:r w:rsidRPr="00507BC0">
        <w:rPr>
          <w:rFonts w:ascii="Palatino Linotype" w:eastAsia="Times New Roman" w:hAnsi="Palatino Linotype"/>
          <w:bCs/>
          <w:sz w:val="22"/>
          <w:szCs w:val="22"/>
          <w:lang w:val="en-US" w:eastAsia="en-GB"/>
        </w:rPr>
        <w:t xml:space="preserve">and Shanghai Stock Exchange (56,663 million USD). </w:t>
      </w:r>
    </w:p>
    <w:p w14:paraId="1382A2C8" w14:textId="77777777" w:rsidR="00D33F7C" w:rsidRPr="00507BC0"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507BC0">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May</w:t>
      </w:r>
      <w:r w:rsidRPr="00507BC0">
        <w:rPr>
          <w:rFonts w:ascii="Palatino Linotype" w:eastAsia="Times New Roman" w:hAnsi="Palatino Linotype"/>
          <w:bCs/>
          <w:sz w:val="22"/>
          <w:szCs w:val="22"/>
          <w:lang w:val="en-US" w:eastAsia="en-GB"/>
        </w:rPr>
        <w:t xml:space="preserve"> 2021, at LSE Group London Stock Exchange</w:t>
      </w:r>
      <w:r>
        <w:rPr>
          <w:rFonts w:ascii="Palatino Linotype" w:eastAsia="Times New Roman" w:hAnsi="Palatino Linotype"/>
          <w:bCs/>
          <w:sz w:val="22"/>
          <w:szCs w:val="22"/>
          <w:lang w:val="en-US" w:eastAsia="en-GB"/>
        </w:rPr>
        <w:t>, only</w:t>
      </w:r>
      <w:r w:rsidRPr="00C4251F">
        <w:rPr>
          <w:rFonts w:ascii="Palatino Linotype" w:eastAsia="Times New Roman" w:hAnsi="Palatino Linotype"/>
          <w:bCs/>
          <w:sz w:val="22"/>
          <w:szCs w:val="22"/>
          <w:lang w:val="en-US" w:eastAsia="en-GB"/>
        </w:rPr>
        <w:t xml:space="preserve"> 3,851</w:t>
      </w:r>
      <w:r w:rsidRPr="00507BC0">
        <w:rPr>
          <w:rFonts w:ascii="Palatino Linotype" w:eastAsia="Times New Roman" w:hAnsi="Palatino Linotype"/>
          <w:bCs/>
          <w:sz w:val="22"/>
          <w:szCs w:val="22"/>
          <w:lang w:val="en-US" w:eastAsia="en-GB"/>
        </w:rPr>
        <w:t xml:space="preserve"> million USD were raised through equity and the remaining amount was raised through bonds whereas fund </w:t>
      </w:r>
      <w:r>
        <w:rPr>
          <w:rFonts w:ascii="Palatino Linotype" w:eastAsia="Times New Roman" w:hAnsi="Palatino Linotype"/>
          <w:bCs/>
          <w:sz w:val="22"/>
          <w:szCs w:val="22"/>
          <w:lang w:val="en-US" w:eastAsia="en-GB"/>
        </w:rPr>
        <w:t>mobilization through equity was</w:t>
      </w:r>
      <w:r w:rsidRPr="00C4251F">
        <w:rPr>
          <w:rFonts w:ascii="Palatino Linotype" w:eastAsia="Times New Roman" w:hAnsi="Palatino Linotype"/>
          <w:bCs/>
          <w:sz w:val="22"/>
          <w:szCs w:val="22"/>
          <w:lang w:val="en-US" w:eastAsia="en-GB"/>
        </w:rPr>
        <w:t xml:space="preserve"> 1,028</w:t>
      </w:r>
      <w:r>
        <w:rPr>
          <w:rFonts w:ascii="Palatino Linotype" w:eastAsia="Times New Roman" w:hAnsi="Palatino Linotype"/>
          <w:bCs/>
          <w:sz w:val="22"/>
          <w:szCs w:val="22"/>
          <w:lang w:val="en-US" w:eastAsia="en-GB"/>
        </w:rPr>
        <w:t xml:space="preserve"> million USD and</w:t>
      </w:r>
      <w:r w:rsidRPr="00C4251F">
        <w:rPr>
          <w:rFonts w:ascii="Palatino Linotype" w:eastAsia="Times New Roman" w:hAnsi="Palatino Linotype"/>
          <w:bCs/>
          <w:sz w:val="22"/>
          <w:szCs w:val="22"/>
          <w:lang w:val="en-US" w:eastAsia="en-GB"/>
        </w:rPr>
        <w:t xml:space="preserve"> 9,240</w:t>
      </w:r>
      <w:r>
        <w:rPr>
          <w:rFonts w:ascii="Palatino Linotype" w:eastAsia="Times New Roman" w:hAnsi="Palatino Linotype"/>
          <w:bCs/>
          <w:sz w:val="22"/>
          <w:szCs w:val="22"/>
          <w:lang w:val="en-US" w:eastAsia="en-GB"/>
        </w:rPr>
        <w:t xml:space="preserve"> </w:t>
      </w:r>
      <w:r w:rsidRPr="00507BC0">
        <w:rPr>
          <w:rFonts w:ascii="Palatino Linotype" w:eastAsia="Times New Roman" w:hAnsi="Palatino Linotype"/>
          <w:bCs/>
          <w:sz w:val="22"/>
          <w:szCs w:val="22"/>
          <w:lang w:val="en-US" w:eastAsia="en-GB"/>
        </w:rPr>
        <w:t>million USD respectively at Shanghai Stock Exchange</w:t>
      </w:r>
      <w:r w:rsidRPr="00507BC0">
        <w:rPr>
          <w:rFonts w:ascii="Palatino Linotype" w:hAnsi="Palatino Linotype"/>
          <w:sz w:val="22"/>
          <w:szCs w:val="22"/>
        </w:rPr>
        <w:t xml:space="preserve"> </w:t>
      </w:r>
      <w:r w:rsidRPr="00507BC0">
        <w:rPr>
          <w:rFonts w:ascii="Palatino Linotype" w:eastAsia="Times New Roman" w:hAnsi="Palatino Linotype"/>
          <w:bCs/>
          <w:sz w:val="22"/>
          <w:szCs w:val="22"/>
          <w:lang w:val="en-US" w:eastAsia="en-GB"/>
        </w:rPr>
        <w:t>and</w:t>
      </w:r>
      <w:r w:rsidRPr="00C4251F">
        <w:rPr>
          <w:rFonts w:ascii="Palatino Linotype" w:hAnsi="Palatino Linotype"/>
          <w:sz w:val="22"/>
          <w:szCs w:val="22"/>
        </w:rPr>
        <w:t xml:space="preserve"> </w:t>
      </w:r>
      <w:r w:rsidRPr="00507BC0">
        <w:rPr>
          <w:rFonts w:ascii="Palatino Linotype" w:hAnsi="Palatino Linotype"/>
          <w:sz w:val="22"/>
          <w:szCs w:val="22"/>
        </w:rPr>
        <w:t>Korea Exchange</w:t>
      </w:r>
      <w:r>
        <w:rPr>
          <w:rFonts w:ascii="Palatino Linotype" w:hAnsi="Palatino Linotype"/>
          <w:sz w:val="22"/>
          <w:szCs w:val="22"/>
        </w:rPr>
        <w:t xml:space="preserve"> respectively</w:t>
      </w:r>
      <w:r w:rsidRPr="00507BC0">
        <w:rPr>
          <w:rFonts w:ascii="Palatino Linotype" w:hAnsi="Palatino Linotype"/>
          <w:sz w:val="22"/>
          <w:szCs w:val="22"/>
        </w:rPr>
        <w:t>.</w:t>
      </w:r>
    </w:p>
    <w:p w14:paraId="15AB96C5" w14:textId="77777777" w:rsidR="00D33F7C" w:rsidRPr="00507BC0"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507BC0">
        <w:rPr>
          <w:rFonts w:ascii="Palatino Linotype" w:eastAsia="Times New Roman" w:hAnsi="Palatino Linotype"/>
          <w:bCs/>
          <w:sz w:val="22"/>
          <w:szCs w:val="22"/>
          <w:lang w:val="en-US" w:eastAsia="en-GB"/>
        </w:rPr>
        <w:t xml:space="preserve">Maximum fund mobilization through equities in </w:t>
      </w:r>
      <w:r>
        <w:rPr>
          <w:rFonts w:ascii="Palatino Linotype" w:eastAsia="Times New Roman" w:hAnsi="Palatino Linotype"/>
          <w:bCs/>
          <w:sz w:val="22"/>
          <w:szCs w:val="22"/>
          <w:lang w:val="en-US" w:eastAsia="en-GB"/>
        </w:rPr>
        <w:t>May</w:t>
      </w:r>
      <w:r w:rsidRPr="00507BC0">
        <w:rPr>
          <w:rFonts w:ascii="Palatino Linotype" w:eastAsia="Times New Roman" w:hAnsi="Palatino Linotype"/>
          <w:bCs/>
          <w:sz w:val="22"/>
          <w:szCs w:val="22"/>
          <w:lang w:val="en-US" w:eastAsia="en-GB"/>
        </w:rPr>
        <w:t xml:space="preserve"> 2021 was at </w:t>
      </w:r>
      <w:r w:rsidRPr="002903EF">
        <w:rPr>
          <w:rFonts w:ascii="Palatino Linotype" w:eastAsia="Times New Roman" w:hAnsi="Palatino Linotype"/>
          <w:bCs/>
          <w:sz w:val="22"/>
          <w:szCs w:val="22"/>
          <w:lang w:val="en-US" w:eastAsia="en-GB"/>
        </w:rPr>
        <w:t>Shanghai Stock Exchange</w:t>
      </w:r>
      <w:r w:rsidRPr="00507BC0">
        <w:rPr>
          <w:rFonts w:ascii="Palatino Linotype" w:eastAsia="Times New Roman" w:hAnsi="Palatino Linotype"/>
          <w:bCs/>
          <w:sz w:val="22"/>
          <w:szCs w:val="22"/>
          <w:lang w:val="en-US" w:eastAsia="en-GB"/>
        </w:rPr>
        <w:t xml:space="preserve"> (</w:t>
      </w:r>
      <w:r w:rsidRPr="002903EF">
        <w:rPr>
          <w:rFonts w:ascii="Palatino Linotype" w:eastAsia="Times New Roman" w:hAnsi="Palatino Linotype"/>
          <w:bCs/>
          <w:sz w:val="22"/>
          <w:szCs w:val="22"/>
          <w:lang w:val="en-US" w:eastAsia="en-GB"/>
        </w:rPr>
        <w:t xml:space="preserve">9,240 </w:t>
      </w:r>
      <w:r w:rsidRPr="00507BC0">
        <w:rPr>
          <w:rFonts w:ascii="Palatino Linotype" w:eastAsia="Times New Roman" w:hAnsi="Palatino Linotype"/>
          <w:bCs/>
          <w:sz w:val="22"/>
          <w:szCs w:val="22"/>
          <w:lang w:val="en-US" w:eastAsia="en-GB"/>
        </w:rPr>
        <w:t>million USD) followed by</w:t>
      </w:r>
      <w:r w:rsidRPr="00507BC0">
        <w:t xml:space="preserve"> </w:t>
      </w:r>
      <w:r w:rsidRPr="002903EF">
        <w:rPr>
          <w:rFonts w:ascii="Palatino Linotype" w:eastAsia="Times New Roman" w:hAnsi="Palatino Linotype"/>
          <w:bCs/>
          <w:sz w:val="22"/>
          <w:szCs w:val="22"/>
          <w:lang w:val="en-US" w:eastAsia="en-GB"/>
        </w:rPr>
        <w:t>Hong Kong Exchanges and Clearing</w:t>
      </w:r>
      <w:r w:rsidRPr="00507BC0">
        <w:rPr>
          <w:rFonts w:ascii="Palatino Linotype" w:eastAsia="Times New Roman" w:hAnsi="Palatino Linotype"/>
          <w:bCs/>
          <w:sz w:val="22"/>
          <w:szCs w:val="22"/>
          <w:lang w:val="en-US" w:eastAsia="en-GB"/>
        </w:rPr>
        <w:t xml:space="preserve"> (</w:t>
      </w:r>
      <w:r w:rsidRPr="002903EF">
        <w:rPr>
          <w:rFonts w:ascii="Palatino Linotype" w:eastAsia="Times New Roman" w:hAnsi="Palatino Linotype"/>
          <w:bCs/>
          <w:sz w:val="22"/>
          <w:szCs w:val="22"/>
          <w:lang w:val="en-US" w:eastAsia="en-GB"/>
        </w:rPr>
        <w:t xml:space="preserve">7,555 </w:t>
      </w:r>
      <w:r w:rsidRPr="00507BC0">
        <w:rPr>
          <w:rFonts w:ascii="Palatino Linotype" w:eastAsia="Times New Roman" w:hAnsi="Palatino Linotype"/>
          <w:bCs/>
          <w:sz w:val="22"/>
          <w:szCs w:val="22"/>
          <w:lang w:val="en-US" w:eastAsia="en-GB"/>
        </w:rPr>
        <w:t xml:space="preserve">million USD).   </w:t>
      </w:r>
    </w:p>
    <w:p w14:paraId="72C3BB4F" w14:textId="77777777" w:rsidR="00D33F7C" w:rsidRPr="006D42D9" w:rsidRDefault="00D33F7C" w:rsidP="00D33F7C">
      <w:pPr>
        <w:spacing w:line="276" w:lineRule="auto"/>
        <w:jc w:val="both"/>
        <w:rPr>
          <w:rFonts w:ascii="Palatino Linotype" w:eastAsia="Times New Roman" w:hAnsi="Palatino Linotype"/>
          <w:bCs/>
          <w:sz w:val="22"/>
          <w:szCs w:val="22"/>
          <w:lang w:val="en-US"/>
        </w:rPr>
      </w:pPr>
    </w:p>
    <w:p w14:paraId="59F5CB4C" w14:textId="77777777" w:rsidR="00D33F7C" w:rsidRPr="006D42D9" w:rsidRDefault="00D33F7C" w:rsidP="00D33F7C">
      <w:pPr>
        <w:spacing w:line="276" w:lineRule="auto"/>
        <w:ind w:left="284"/>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Market Capitalisation of Major</w:t>
      </w:r>
      <w:r w:rsidRPr="00BC0641">
        <w:rPr>
          <w:rFonts w:ascii="Palatino Linotype" w:eastAsia="Times New Roman" w:hAnsi="Palatino Linotype"/>
          <w:b/>
          <w:sz w:val="22"/>
          <w:szCs w:val="22"/>
          <w:u w:val="single"/>
          <w:lang w:val="en-US"/>
        </w:rPr>
        <w:t xml:space="preserve"> Exchanges </w:t>
      </w:r>
      <w:r w:rsidRPr="006D42D9">
        <w:rPr>
          <w:rFonts w:ascii="Palatino Linotype" w:eastAsia="Times New Roman" w:hAnsi="Palatino Linotype"/>
          <w:b/>
          <w:sz w:val="22"/>
          <w:szCs w:val="22"/>
          <w:lang w:val="en-US"/>
        </w:rPr>
        <w:t>(Table A3) –</w:t>
      </w:r>
    </w:p>
    <w:p w14:paraId="4584F75A" w14:textId="77777777" w:rsidR="00D33F7C" w:rsidRPr="007554B6" w:rsidRDefault="00D33F7C" w:rsidP="00D33F7C">
      <w:pPr>
        <w:spacing w:line="276" w:lineRule="auto"/>
        <w:ind w:left="360"/>
        <w:contextualSpacing/>
        <w:jc w:val="both"/>
        <w:rPr>
          <w:rFonts w:ascii="Palatino Linotype" w:eastAsia="Times New Roman" w:hAnsi="Palatino Linotype"/>
          <w:b/>
          <w:sz w:val="22"/>
          <w:szCs w:val="22"/>
          <w:lang w:val="en-US" w:eastAsia="en-GB"/>
        </w:rPr>
      </w:pPr>
    </w:p>
    <w:p w14:paraId="1912223F" w14:textId="77777777" w:rsidR="00D33F7C" w:rsidRPr="007554B6" w:rsidRDefault="00D33F7C" w:rsidP="00D33F7C">
      <w:pPr>
        <w:numPr>
          <w:ilvl w:val="0"/>
          <w:numId w:val="8"/>
        </w:numPr>
        <w:spacing w:line="276" w:lineRule="auto"/>
        <w:ind w:left="357" w:hanging="357"/>
        <w:jc w:val="both"/>
        <w:rPr>
          <w:rFonts w:ascii="Palatino Linotype" w:eastAsia="Times New Roman" w:hAnsi="Palatino Linotype"/>
          <w:bCs/>
          <w:sz w:val="22"/>
          <w:szCs w:val="22"/>
          <w:lang w:val="en-US" w:eastAsia="en-GB"/>
        </w:rPr>
      </w:pPr>
      <w:r w:rsidRPr="007554B6">
        <w:rPr>
          <w:rFonts w:ascii="Palatino Linotype" w:eastAsia="Times New Roman" w:hAnsi="Palatino Linotype"/>
          <w:bCs/>
          <w:sz w:val="22"/>
          <w:szCs w:val="22"/>
          <w:lang w:val="en-US" w:eastAsia="en-GB"/>
        </w:rPr>
        <w:t>Most of the analysed exchanges of selected markets</w:t>
      </w:r>
      <w:r w:rsidRPr="007554B6">
        <w:rPr>
          <w:rFonts w:ascii="Palatino Linotype" w:eastAsia="Times New Roman" w:hAnsi="Palatino Linotype"/>
          <w:bCs/>
          <w:sz w:val="22"/>
          <w:szCs w:val="22"/>
          <w:vertAlign w:val="superscript"/>
          <w:lang w:val="en-US" w:eastAsia="en-GB"/>
        </w:rPr>
        <w:footnoteReference w:id="6"/>
      </w:r>
      <w:r w:rsidRPr="007554B6">
        <w:rPr>
          <w:rFonts w:ascii="Palatino Linotype" w:eastAsia="Times New Roman" w:hAnsi="Palatino Linotype"/>
          <w:bCs/>
          <w:sz w:val="22"/>
          <w:szCs w:val="22"/>
          <w:lang w:val="en-US" w:eastAsia="en-GB"/>
        </w:rPr>
        <w:t xml:space="preserve">, reflected a rise in market capitalization in the month of </w:t>
      </w:r>
      <w:r>
        <w:rPr>
          <w:rFonts w:ascii="Palatino Linotype" w:eastAsia="Times New Roman" w:hAnsi="Palatino Linotype"/>
          <w:bCs/>
          <w:sz w:val="22"/>
          <w:szCs w:val="22"/>
          <w:lang w:val="en-US" w:eastAsia="en-GB"/>
        </w:rPr>
        <w:t>May</w:t>
      </w:r>
      <w:r w:rsidRPr="007554B6">
        <w:rPr>
          <w:rFonts w:ascii="Palatino Linotype" w:eastAsia="Times New Roman" w:hAnsi="Palatino Linotype"/>
          <w:bCs/>
          <w:sz w:val="22"/>
          <w:szCs w:val="22"/>
          <w:lang w:val="en-US" w:eastAsia="en-GB"/>
        </w:rPr>
        <w:t xml:space="preserve"> 2021 as compared to previous month.</w:t>
      </w:r>
    </w:p>
    <w:p w14:paraId="67B88999" w14:textId="77777777" w:rsidR="00D33F7C" w:rsidRPr="007554B6" w:rsidRDefault="00D33F7C" w:rsidP="00D33F7C">
      <w:pPr>
        <w:numPr>
          <w:ilvl w:val="0"/>
          <w:numId w:val="8"/>
        </w:numPr>
        <w:spacing w:line="276" w:lineRule="auto"/>
        <w:contextualSpacing/>
        <w:jc w:val="both"/>
        <w:rPr>
          <w:rFonts w:ascii="Palatino Linotype" w:eastAsia="Times New Roman" w:hAnsi="Palatino Linotype"/>
          <w:b/>
          <w:sz w:val="22"/>
          <w:szCs w:val="22"/>
          <w:u w:val="single"/>
          <w:lang w:val="en-US"/>
        </w:rPr>
      </w:pPr>
      <w:r w:rsidRPr="007554B6">
        <w:rPr>
          <w:rFonts w:ascii="Palatino Linotype" w:eastAsia="Times New Roman" w:hAnsi="Palatino Linotype"/>
          <w:bCs/>
          <w:sz w:val="22"/>
          <w:szCs w:val="22"/>
          <w:lang w:val="en-US" w:eastAsia="en-GB"/>
        </w:rPr>
        <w:t xml:space="preserve">Among the exchanges which registered highest increase in market capitalization were B3 - Brasil Bolsa Balcão, </w:t>
      </w:r>
      <w:r>
        <w:rPr>
          <w:rFonts w:ascii="Palatino Linotype" w:eastAsia="Times New Roman" w:hAnsi="Palatino Linotype"/>
          <w:bCs/>
          <w:sz w:val="22"/>
          <w:szCs w:val="22"/>
          <w:lang w:val="en-US" w:eastAsia="en-GB"/>
        </w:rPr>
        <w:t>NSE</w:t>
      </w:r>
      <w:r w:rsidRPr="007554B6">
        <w:rPr>
          <w:rFonts w:ascii="Palatino Linotype" w:eastAsia="Times New Roman" w:hAnsi="Palatino Linotype"/>
          <w:bCs/>
          <w:sz w:val="22"/>
          <w:szCs w:val="22"/>
          <w:lang w:val="en-US" w:eastAsia="en-GB"/>
        </w:rPr>
        <w:t>, and Shanghai Stock Exchange (10.6, 10.0 and 8.0 per cent respectively). Among the analysed exchanges, a decline in market capitalization was observed for Singapore Exchange and</w:t>
      </w:r>
      <w:r w:rsidRPr="007554B6">
        <w:t xml:space="preserve"> </w:t>
      </w:r>
      <w:r w:rsidRPr="00BF5EC5">
        <w:rPr>
          <w:rFonts w:ascii="Palatino Linotype" w:eastAsia="Times New Roman" w:hAnsi="Palatino Linotype"/>
          <w:bCs/>
          <w:sz w:val="22"/>
          <w:szCs w:val="22"/>
          <w:lang w:val="en-US" w:eastAsia="en-GB"/>
        </w:rPr>
        <w:t>Nasdaq - US</w:t>
      </w:r>
      <w:r w:rsidRPr="007554B6">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0.6</w:t>
      </w:r>
      <w:r w:rsidRPr="007554B6">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each</w:t>
      </w:r>
      <w:r w:rsidRPr="007554B6">
        <w:rPr>
          <w:rFonts w:ascii="Palatino Linotype" w:eastAsia="Times New Roman" w:hAnsi="Palatino Linotype"/>
          <w:bCs/>
          <w:sz w:val="22"/>
          <w:szCs w:val="22"/>
          <w:lang w:val="en-US" w:eastAsia="en-GB"/>
        </w:rPr>
        <w:t xml:space="preserve">).  </w:t>
      </w:r>
    </w:p>
    <w:p w14:paraId="2D83B40F" w14:textId="77777777" w:rsidR="00D33F7C" w:rsidRPr="007554B6" w:rsidRDefault="00D33F7C" w:rsidP="00D33F7C">
      <w:pPr>
        <w:spacing w:line="276" w:lineRule="auto"/>
        <w:ind w:left="360"/>
        <w:contextualSpacing/>
        <w:jc w:val="both"/>
        <w:rPr>
          <w:rFonts w:ascii="Palatino Linotype" w:eastAsia="Times New Roman" w:hAnsi="Palatino Linotype"/>
          <w:b/>
          <w:sz w:val="22"/>
          <w:szCs w:val="22"/>
          <w:u w:val="single"/>
          <w:lang w:val="en-US"/>
        </w:rPr>
      </w:pPr>
    </w:p>
    <w:p w14:paraId="309F787E" w14:textId="77777777" w:rsidR="00D33F7C" w:rsidRPr="007554B6" w:rsidRDefault="00D33F7C" w:rsidP="00D33F7C">
      <w:pPr>
        <w:spacing w:line="276" w:lineRule="auto"/>
        <w:ind w:left="360"/>
        <w:contextualSpacing/>
        <w:jc w:val="both"/>
        <w:rPr>
          <w:rFonts w:ascii="Palatino Linotype" w:eastAsia="Times New Roman" w:hAnsi="Palatino Linotype"/>
          <w:b/>
          <w:sz w:val="22"/>
          <w:szCs w:val="22"/>
          <w:u w:val="single"/>
          <w:lang w:val="en-US"/>
        </w:rPr>
      </w:pPr>
    </w:p>
    <w:p w14:paraId="70DE59D4" w14:textId="77777777" w:rsidR="00D33F7C" w:rsidRPr="00497662" w:rsidRDefault="00D33F7C" w:rsidP="00D33F7C">
      <w:pPr>
        <w:spacing w:line="276" w:lineRule="auto"/>
        <w:ind w:left="360"/>
        <w:contextualSpacing/>
        <w:jc w:val="both"/>
        <w:rPr>
          <w:rFonts w:ascii="Palatino Linotype" w:eastAsia="Times New Roman" w:hAnsi="Palatino Linotype"/>
          <w:b/>
          <w:sz w:val="22"/>
          <w:szCs w:val="22"/>
          <w:lang w:val="en-US" w:eastAsia="en-GB"/>
        </w:rPr>
      </w:pPr>
      <w:r w:rsidRPr="00497662">
        <w:rPr>
          <w:rFonts w:ascii="Palatino Linotype" w:eastAsia="Times New Roman" w:hAnsi="Palatino Linotype"/>
          <w:b/>
          <w:sz w:val="22"/>
          <w:szCs w:val="22"/>
          <w:u w:val="single"/>
          <w:lang w:val="en-US"/>
        </w:rPr>
        <w:t xml:space="preserve">Derivatives </w:t>
      </w:r>
      <w:r w:rsidRPr="00497662">
        <w:rPr>
          <w:rFonts w:ascii="Palatino Linotype" w:eastAsia="Times New Roman" w:hAnsi="Palatino Linotype"/>
          <w:b/>
          <w:sz w:val="22"/>
          <w:szCs w:val="22"/>
          <w:lang w:val="en-US" w:eastAsia="en-GB"/>
        </w:rPr>
        <w:t xml:space="preserve">(Figures 5-6, Table A4–A8) – </w:t>
      </w:r>
    </w:p>
    <w:p w14:paraId="1D2914FA" w14:textId="77777777" w:rsidR="00D33F7C" w:rsidRPr="00DC5A27" w:rsidRDefault="00D33F7C" w:rsidP="00D33F7C">
      <w:pPr>
        <w:spacing w:line="276" w:lineRule="auto"/>
        <w:ind w:left="360"/>
        <w:contextualSpacing/>
        <w:jc w:val="both"/>
        <w:rPr>
          <w:rFonts w:ascii="Palatino Linotype" w:eastAsia="Times New Roman" w:hAnsi="Palatino Linotype"/>
          <w:b/>
          <w:sz w:val="22"/>
          <w:szCs w:val="22"/>
          <w:lang w:val="en-US" w:eastAsia="en-GB"/>
        </w:rPr>
      </w:pPr>
    </w:p>
    <w:p w14:paraId="4C167125" w14:textId="77777777" w:rsidR="00D33F7C" w:rsidRPr="00DC5A27"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DC5A27">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May</w:t>
      </w:r>
      <w:r w:rsidRPr="00DC5A27">
        <w:rPr>
          <w:rFonts w:ascii="Palatino Linotype" w:eastAsia="Times New Roman" w:hAnsi="Palatino Linotype"/>
          <w:bCs/>
          <w:sz w:val="22"/>
          <w:szCs w:val="22"/>
          <w:lang w:val="en-US" w:eastAsia="en-GB"/>
        </w:rPr>
        <w:t xml:space="preserve"> 2021, the highest number of single stock futures contracts traded was at</w:t>
      </w:r>
      <w:r w:rsidRPr="00A05FF4">
        <w:rPr>
          <w:rFonts w:ascii="Palatino Linotype" w:eastAsia="Times New Roman" w:hAnsi="Palatino Linotype"/>
          <w:bCs/>
          <w:sz w:val="22"/>
          <w:szCs w:val="22"/>
          <w:lang w:val="en-US" w:eastAsia="en-GB"/>
        </w:rPr>
        <w:t xml:space="preserve"> </w:t>
      </w:r>
      <w:r w:rsidRPr="00DC5A27">
        <w:rPr>
          <w:rFonts w:ascii="Palatino Linotype" w:eastAsia="Times New Roman" w:hAnsi="Palatino Linotype"/>
          <w:bCs/>
          <w:sz w:val="22"/>
          <w:szCs w:val="22"/>
          <w:lang w:val="en-US" w:eastAsia="en-GB"/>
        </w:rPr>
        <w:t>Korea Exchange</w:t>
      </w:r>
      <w:r w:rsidRPr="00DC5A27">
        <w:t xml:space="preserve"> </w:t>
      </w:r>
      <w:r w:rsidRPr="00DC5A27">
        <w:rPr>
          <w:rFonts w:ascii="Palatino Linotype" w:eastAsia="Times New Roman" w:hAnsi="Palatino Linotype"/>
          <w:bCs/>
          <w:sz w:val="22"/>
          <w:szCs w:val="22"/>
          <w:lang w:val="en-US" w:eastAsia="en-GB"/>
        </w:rPr>
        <w:t>(</w:t>
      </w:r>
      <w:r w:rsidRPr="00A05FF4">
        <w:rPr>
          <w:rFonts w:ascii="Palatino Linotype" w:eastAsia="Times New Roman" w:hAnsi="Palatino Linotype"/>
          <w:bCs/>
          <w:sz w:val="22"/>
          <w:szCs w:val="22"/>
          <w:lang w:val="en-US" w:eastAsia="en-GB"/>
        </w:rPr>
        <w:t>100,445,723)</w:t>
      </w:r>
      <w:r w:rsidRPr="00DC5A27">
        <w:rPr>
          <w:rFonts w:ascii="Palatino Linotype" w:eastAsia="Times New Roman" w:hAnsi="Palatino Linotype"/>
          <w:bCs/>
          <w:sz w:val="22"/>
          <w:szCs w:val="22"/>
          <w:lang w:val="en-US" w:eastAsia="en-GB"/>
        </w:rPr>
        <w:t xml:space="preserve"> followed by Borsa Istanbul (</w:t>
      </w:r>
      <w:r w:rsidRPr="00A05FF4">
        <w:rPr>
          <w:rFonts w:ascii="Palatino Linotype" w:eastAsia="Times New Roman" w:hAnsi="Palatino Linotype"/>
          <w:bCs/>
          <w:sz w:val="22"/>
          <w:szCs w:val="22"/>
          <w:lang w:val="en-US" w:eastAsia="en-GB"/>
        </w:rPr>
        <w:t>97,287,362)</w:t>
      </w:r>
      <w:r w:rsidRPr="00DC5A27">
        <w:rPr>
          <w:rFonts w:ascii="Palatino Linotype" w:eastAsia="Times New Roman" w:hAnsi="Palatino Linotype"/>
          <w:bCs/>
          <w:sz w:val="22"/>
          <w:szCs w:val="22"/>
          <w:lang w:val="en-US" w:eastAsia="en-GB"/>
        </w:rPr>
        <w:t>. The highest number of single stock options were traded at Nasdaq - US (</w:t>
      </w:r>
      <w:r w:rsidRPr="00A05FF4">
        <w:rPr>
          <w:rFonts w:ascii="Palatino Linotype" w:eastAsia="Times New Roman" w:hAnsi="Palatino Linotype"/>
          <w:bCs/>
          <w:sz w:val="22"/>
          <w:szCs w:val="22"/>
          <w:lang w:val="en-US" w:eastAsia="en-GB"/>
        </w:rPr>
        <w:t>177,729,693)</w:t>
      </w:r>
      <w:r w:rsidRPr="00DC5A27">
        <w:rPr>
          <w:rFonts w:ascii="Palatino Linotype" w:eastAsia="Times New Roman" w:hAnsi="Palatino Linotype"/>
          <w:bCs/>
          <w:sz w:val="22"/>
          <w:szCs w:val="22"/>
          <w:lang w:val="en-US" w:eastAsia="en-GB"/>
        </w:rPr>
        <w:t xml:space="preserve"> followed by Cboe Global Markets (</w:t>
      </w:r>
      <w:r w:rsidRPr="00A05FF4">
        <w:rPr>
          <w:rFonts w:ascii="Palatino Linotype" w:eastAsia="Times New Roman" w:hAnsi="Palatino Linotype"/>
          <w:bCs/>
          <w:sz w:val="22"/>
          <w:szCs w:val="22"/>
          <w:lang w:val="en-US" w:eastAsia="en-GB"/>
        </w:rPr>
        <w:t>158,595,348)</w:t>
      </w:r>
      <w:r w:rsidRPr="00DC5A27">
        <w:rPr>
          <w:rFonts w:ascii="Palatino Linotype" w:eastAsia="Times New Roman" w:hAnsi="Palatino Linotype"/>
          <w:bCs/>
          <w:sz w:val="22"/>
          <w:szCs w:val="22"/>
          <w:lang w:val="en-US" w:eastAsia="en-GB"/>
        </w:rPr>
        <w:t>.</w:t>
      </w:r>
      <w:r>
        <w:rPr>
          <w:rFonts w:ascii="Palatino Linotype" w:eastAsia="Times New Roman" w:hAnsi="Palatino Linotype"/>
          <w:bCs/>
          <w:sz w:val="22"/>
          <w:szCs w:val="22"/>
          <w:lang w:val="en-US" w:eastAsia="en-GB"/>
        </w:rPr>
        <w:t xml:space="preserve"> Highest notional turnover in single stock futures and options was at NSE (</w:t>
      </w:r>
      <w:r w:rsidRPr="009A31CA">
        <w:rPr>
          <w:rFonts w:ascii="Palatino Linotype" w:eastAsia="Times New Roman" w:hAnsi="Palatino Linotype"/>
          <w:bCs/>
          <w:sz w:val="22"/>
          <w:szCs w:val="22"/>
          <w:lang w:val="en-US" w:eastAsia="en-GB"/>
        </w:rPr>
        <w:t>239,100</w:t>
      </w:r>
      <w:r>
        <w:rPr>
          <w:rFonts w:ascii="Palatino Linotype" w:eastAsia="Times New Roman" w:hAnsi="Palatino Linotype"/>
          <w:bCs/>
          <w:sz w:val="22"/>
          <w:szCs w:val="22"/>
          <w:lang w:val="en-US" w:eastAsia="en-GB"/>
        </w:rPr>
        <w:t xml:space="preserve"> million USD) and MIAX Exchange Group (</w:t>
      </w:r>
      <w:r w:rsidRPr="009A31CA">
        <w:rPr>
          <w:rFonts w:ascii="Palatino Linotype" w:eastAsia="Times New Roman" w:hAnsi="Palatino Linotype"/>
          <w:bCs/>
          <w:sz w:val="22"/>
          <w:szCs w:val="22"/>
          <w:lang w:val="en-US" w:eastAsia="en-GB"/>
        </w:rPr>
        <w:t>1,440,145</w:t>
      </w:r>
      <w:r>
        <w:rPr>
          <w:rFonts w:ascii="Palatino Linotype" w:eastAsia="Times New Roman" w:hAnsi="Palatino Linotype"/>
          <w:bCs/>
          <w:sz w:val="22"/>
          <w:szCs w:val="22"/>
          <w:lang w:val="en-US" w:eastAsia="en-GB"/>
        </w:rPr>
        <w:t xml:space="preserve"> million USD) respectively.</w:t>
      </w:r>
    </w:p>
    <w:p w14:paraId="13FF665F" w14:textId="77777777" w:rsidR="00D33F7C" w:rsidRPr="00DC5A27"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DC5A27">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May</w:t>
      </w:r>
      <w:r w:rsidRPr="00DC5A27">
        <w:rPr>
          <w:rFonts w:ascii="Palatino Linotype" w:eastAsia="Times New Roman" w:hAnsi="Palatino Linotype"/>
          <w:bCs/>
          <w:sz w:val="22"/>
          <w:szCs w:val="22"/>
          <w:lang w:val="en-US" w:eastAsia="en-GB"/>
        </w:rPr>
        <w:t xml:space="preserve"> 2021, the highest number of stock index futures contracts traded was at B3 - Brasil Bolsa Balcão (</w:t>
      </w:r>
      <w:r w:rsidRPr="00335E88">
        <w:rPr>
          <w:rFonts w:ascii="Palatino Linotype" w:eastAsia="Times New Roman" w:hAnsi="Palatino Linotype"/>
          <w:bCs/>
          <w:sz w:val="22"/>
          <w:szCs w:val="22"/>
          <w:lang w:val="en-US" w:eastAsia="en-GB"/>
        </w:rPr>
        <w:t>324,939,722)</w:t>
      </w:r>
      <w:r w:rsidRPr="00DC5A27">
        <w:rPr>
          <w:rFonts w:ascii="Palatino Linotype" w:eastAsia="Times New Roman" w:hAnsi="Palatino Linotype"/>
          <w:bCs/>
          <w:sz w:val="22"/>
          <w:szCs w:val="22"/>
          <w:lang w:val="en-US" w:eastAsia="en-GB"/>
        </w:rPr>
        <w:t xml:space="preserve"> followed by CME Group (</w:t>
      </w:r>
      <w:r w:rsidRPr="00335E88">
        <w:rPr>
          <w:rFonts w:ascii="Palatino Linotype" w:eastAsia="Times New Roman" w:hAnsi="Palatino Linotype"/>
          <w:bCs/>
          <w:sz w:val="22"/>
          <w:szCs w:val="22"/>
          <w:lang w:val="en-US" w:eastAsia="en-GB"/>
        </w:rPr>
        <w:t>97,150,859)</w:t>
      </w:r>
      <w:r w:rsidRPr="00DC5A27">
        <w:rPr>
          <w:rFonts w:ascii="Palatino Linotype" w:eastAsia="Times New Roman" w:hAnsi="Palatino Linotype"/>
          <w:bCs/>
          <w:sz w:val="22"/>
          <w:szCs w:val="22"/>
          <w:lang w:val="en-US" w:eastAsia="en-GB"/>
        </w:rPr>
        <w:t>. The highest number of stock index options were traded at NSE (</w:t>
      </w:r>
      <w:r w:rsidRPr="00335E88">
        <w:rPr>
          <w:rFonts w:ascii="Palatino Linotype" w:eastAsia="Times New Roman" w:hAnsi="Palatino Linotype"/>
          <w:bCs/>
          <w:sz w:val="22"/>
          <w:szCs w:val="22"/>
          <w:lang w:val="en-US" w:eastAsia="en-GB"/>
        </w:rPr>
        <w:t>856,255,549)</w:t>
      </w:r>
      <w:r w:rsidRPr="00DC5A27">
        <w:rPr>
          <w:rFonts w:ascii="Palatino Linotype" w:eastAsia="Times New Roman" w:hAnsi="Palatino Linotype"/>
          <w:bCs/>
          <w:sz w:val="22"/>
          <w:szCs w:val="22"/>
          <w:lang w:val="en-US" w:eastAsia="en-GB"/>
        </w:rPr>
        <w:t xml:space="preserve"> which also recorded the highest notional turnover in this segment. Second highest number of stock index options were traded at Korea Exchange (</w:t>
      </w:r>
      <w:r w:rsidRPr="00335E88">
        <w:rPr>
          <w:rFonts w:ascii="Palatino Linotype" w:eastAsia="Times New Roman" w:hAnsi="Palatino Linotype"/>
          <w:bCs/>
          <w:sz w:val="22"/>
          <w:szCs w:val="22"/>
          <w:lang w:val="en-US" w:eastAsia="en-GB"/>
        </w:rPr>
        <w:t>57,354,862)</w:t>
      </w:r>
      <w:r w:rsidRPr="00DC5A27">
        <w:rPr>
          <w:rFonts w:ascii="Palatino Linotype" w:eastAsia="Times New Roman" w:hAnsi="Palatino Linotype"/>
          <w:bCs/>
          <w:sz w:val="22"/>
          <w:szCs w:val="22"/>
          <w:lang w:val="en-US" w:eastAsia="en-GB"/>
        </w:rPr>
        <w:t>.</w:t>
      </w:r>
    </w:p>
    <w:p w14:paraId="4806FA64" w14:textId="77777777" w:rsidR="00D33F7C" w:rsidRPr="00DC5A27"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DC5A27">
        <w:rPr>
          <w:rFonts w:ascii="Palatino Linotype" w:eastAsia="Times New Roman" w:hAnsi="Palatino Linotype"/>
          <w:bCs/>
          <w:sz w:val="22"/>
          <w:szCs w:val="22"/>
          <w:lang w:val="en-US" w:eastAsia="en-GB"/>
        </w:rPr>
        <w:t xml:space="preserve">Highest number of currency futures contracts were traded at </w:t>
      </w:r>
      <w:r w:rsidRPr="00B46612">
        <w:rPr>
          <w:rFonts w:ascii="Palatino Linotype" w:eastAsia="Times New Roman" w:hAnsi="Palatino Linotype"/>
          <w:bCs/>
          <w:sz w:val="22"/>
          <w:szCs w:val="22"/>
          <w:lang w:val="en-US" w:eastAsia="en-GB"/>
        </w:rPr>
        <w:t>B3 - Brasil Bolsa Balcão</w:t>
      </w:r>
      <w:r w:rsidRPr="00DC5A27">
        <w:rPr>
          <w:rFonts w:ascii="Palatino Linotype" w:eastAsia="Times New Roman" w:hAnsi="Palatino Linotype"/>
          <w:bCs/>
          <w:sz w:val="22"/>
          <w:szCs w:val="22"/>
          <w:lang w:val="en-US" w:eastAsia="en-GB"/>
        </w:rPr>
        <w:t xml:space="preserve"> (</w:t>
      </w:r>
      <w:r w:rsidRPr="00B46612">
        <w:rPr>
          <w:rFonts w:ascii="Palatino Linotype" w:eastAsia="Times New Roman" w:hAnsi="Palatino Linotype"/>
          <w:bCs/>
          <w:sz w:val="22"/>
          <w:szCs w:val="22"/>
          <w:lang w:val="en-US" w:eastAsia="en-GB"/>
        </w:rPr>
        <w:t>69,395,443)</w:t>
      </w:r>
      <w:r w:rsidRPr="00DC5A27">
        <w:rPr>
          <w:rFonts w:ascii="Palatino Linotype" w:eastAsia="Times New Roman" w:hAnsi="Palatino Linotype"/>
          <w:bCs/>
          <w:sz w:val="22"/>
          <w:szCs w:val="22"/>
          <w:lang w:val="en-US" w:eastAsia="en-GB"/>
        </w:rPr>
        <w:t xml:space="preserve"> followed by </w:t>
      </w:r>
      <w:r w:rsidRPr="00B46612">
        <w:rPr>
          <w:rFonts w:ascii="Palatino Linotype" w:eastAsia="Times New Roman" w:hAnsi="Palatino Linotype"/>
          <w:bCs/>
          <w:sz w:val="22"/>
          <w:szCs w:val="22"/>
          <w:lang w:val="en-US" w:eastAsia="en-GB"/>
        </w:rPr>
        <w:t xml:space="preserve">Moscow Exchange </w:t>
      </w:r>
      <w:r w:rsidRPr="00DC5A27">
        <w:rPr>
          <w:rFonts w:ascii="Palatino Linotype" w:eastAsia="Times New Roman" w:hAnsi="Palatino Linotype"/>
          <w:bCs/>
          <w:sz w:val="22"/>
          <w:szCs w:val="22"/>
          <w:lang w:val="en-US" w:eastAsia="en-GB"/>
        </w:rPr>
        <w:t>(</w:t>
      </w:r>
      <w:r w:rsidRPr="00B46612">
        <w:rPr>
          <w:rFonts w:ascii="Palatino Linotype" w:eastAsia="Times New Roman" w:hAnsi="Palatino Linotype"/>
          <w:bCs/>
          <w:sz w:val="22"/>
          <w:szCs w:val="22"/>
          <w:lang w:val="en-US" w:eastAsia="en-GB"/>
        </w:rPr>
        <w:t>58,018,143)</w:t>
      </w:r>
      <w:r w:rsidRPr="00DC5A27">
        <w:rPr>
          <w:rFonts w:ascii="Palatino Linotype" w:eastAsia="Times New Roman" w:hAnsi="Palatino Linotype"/>
          <w:bCs/>
          <w:sz w:val="22"/>
          <w:szCs w:val="22"/>
          <w:lang w:val="en-US" w:eastAsia="en-GB"/>
        </w:rPr>
        <w:t>. The highest number of currency options were traded at NSE (</w:t>
      </w:r>
      <w:r w:rsidRPr="005D70F0">
        <w:rPr>
          <w:rFonts w:ascii="Palatino Linotype" w:eastAsia="Times New Roman" w:hAnsi="Palatino Linotype"/>
          <w:bCs/>
          <w:sz w:val="22"/>
          <w:szCs w:val="22"/>
          <w:lang w:val="en-US" w:eastAsia="en-GB"/>
        </w:rPr>
        <w:t>90,313,872)</w:t>
      </w:r>
      <w:r w:rsidRPr="00DC5A27">
        <w:rPr>
          <w:rFonts w:ascii="Palatino Linotype" w:eastAsia="Times New Roman" w:hAnsi="Palatino Linotype"/>
          <w:bCs/>
          <w:sz w:val="22"/>
          <w:szCs w:val="22"/>
          <w:lang w:val="en-US" w:eastAsia="en-GB"/>
        </w:rPr>
        <w:t xml:space="preserve"> which also recorded the highest notional turnover in this segment. NSE was followed by Moscow Exchange (</w:t>
      </w:r>
      <w:r w:rsidRPr="005D70F0">
        <w:rPr>
          <w:rFonts w:ascii="Palatino Linotype" w:eastAsia="Times New Roman" w:hAnsi="Palatino Linotype"/>
          <w:bCs/>
          <w:sz w:val="22"/>
          <w:szCs w:val="22"/>
          <w:lang w:val="en-US" w:eastAsia="en-GB"/>
        </w:rPr>
        <w:t>1,244,014)</w:t>
      </w:r>
      <w:r w:rsidRPr="00DC5A27">
        <w:rPr>
          <w:rFonts w:ascii="Palatino Linotype" w:eastAsia="Times New Roman" w:hAnsi="Palatino Linotype"/>
          <w:bCs/>
          <w:sz w:val="22"/>
          <w:szCs w:val="22"/>
          <w:lang w:val="en-US" w:eastAsia="en-GB"/>
        </w:rPr>
        <w:t xml:space="preserve"> in the currency options segment.</w:t>
      </w:r>
    </w:p>
    <w:p w14:paraId="4EC0AACA" w14:textId="77777777" w:rsidR="00D33F7C" w:rsidRPr="00DC5A27"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DC5A27">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May</w:t>
      </w:r>
      <w:r w:rsidRPr="00DC5A27">
        <w:rPr>
          <w:rFonts w:ascii="Palatino Linotype" w:eastAsia="Times New Roman" w:hAnsi="Palatino Linotype"/>
          <w:bCs/>
          <w:sz w:val="22"/>
          <w:szCs w:val="22"/>
          <w:lang w:val="en-US" w:eastAsia="en-GB"/>
        </w:rPr>
        <w:t xml:space="preserve"> 2021, the highest number of interest rate futures were traded at CME Group (</w:t>
      </w:r>
      <w:r w:rsidRPr="00184C2A">
        <w:rPr>
          <w:rFonts w:ascii="Palatino Linotype" w:eastAsia="Times New Roman" w:hAnsi="Palatino Linotype"/>
          <w:bCs/>
          <w:sz w:val="22"/>
          <w:szCs w:val="22"/>
          <w:lang w:val="en-US" w:eastAsia="en-GB"/>
        </w:rPr>
        <w:t>166,416,486)</w:t>
      </w:r>
      <w:r w:rsidRPr="00DC5A27">
        <w:rPr>
          <w:rFonts w:ascii="Palatino Linotype" w:eastAsia="Times New Roman" w:hAnsi="Palatino Linotype"/>
          <w:bCs/>
          <w:sz w:val="22"/>
          <w:szCs w:val="22"/>
          <w:lang w:val="en-US" w:eastAsia="en-GB"/>
        </w:rPr>
        <w:t xml:space="preserve"> followed by </w:t>
      </w:r>
      <w:r w:rsidRPr="00184C2A">
        <w:rPr>
          <w:rFonts w:ascii="Palatino Linotype" w:eastAsia="Times New Roman" w:hAnsi="Palatino Linotype"/>
          <w:bCs/>
          <w:sz w:val="22"/>
          <w:szCs w:val="22"/>
          <w:lang w:val="en-US" w:eastAsia="en-GB"/>
        </w:rPr>
        <w:t>Deutsche Boerse AG</w:t>
      </w:r>
      <w:r w:rsidRPr="00DC5A27">
        <w:rPr>
          <w:rFonts w:ascii="Palatino Linotype" w:eastAsia="Times New Roman" w:hAnsi="Palatino Linotype"/>
          <w:bCs/>
          <w:sz w:val="22"/>
          <w:szCs w:val="22"/>
          <w:lang w:val="en-US" w:eastAsia="en-GB"/>
        </w:rPr>
        <w:t xml:space="preserve"> (</w:t>
      </w:r>
      <w:r w:rsidRPr="00184C2A">
        <w:rPr>
          <w:rFonts w:ascii="Palatino Linotype" w:eastAsia="Times New Roman" w:hAnsi="Palatino Linotype"/>
          <w:bCs/>
          <w:sz w:val="22"/>
          <w:szCs w:val="22"/>
          <w:lang w:val="en-US" w:eastAsia="en-GB"/>
        </w:rPr>
        <w:t>44,838,937)</w:t>
      </w:r>
      <w:r w:rsidRPr="00DC5A27">
        <w:rPr>
          <w:rFonts w:ascii="Palatino Linotype" w:eastAsia="Times New Roman" w:hAnsi="Palatino Linotype"/>
          <w:bCs/>
          <w:sz w:val="22"/>
          <w:szCs w:val="22"/>
          <w:lang w:val="en-US" w:eastAsia="en-GB"/>
        </w:rPr>
        <w:t>. Highest number of interest rate options were traded at CME Group (</w:t>
      </w:r>
      <w:r w:rsidRPr="00184C2A">
        <w:rPr>
          <w:rFonts w:ascii="Palatino Linotype" w:eastAsia="Times New Roman" w:hAnsi="Palatino Linotype"/>
          <w:bCs/>
          <w:sz w:val="22"/>
          <w:szCs w:val="22"/>
          <w:lang w:val="en-US" w:eastAsia="en-GB"/>
        </w:rPr>
        <w:t>37,441,724)</w:t>
      </w:r>
      <w:r w:rsidRPr="00DC5A27">
        <w:rPr>
          <w:rFonts w:ascii="Palatino Linotype" w:eastAsia="Times New Roman" w:hAnsi="Palatino Linotype"/>
          <w:bCs/>
          <w:sz w:val="22"/>
          <w:szCs w:val="22"/>
          <w:lang w:val="en-US" w:eastAsia="en-GB"/>
        </w:rPr>
        <w:t xml:space="preserve"> followed by B3 - Brasil Bolsa Balcão (</w:t>
      </w:r>
      <w:r w:rsidRPr="00184C2A">
        <w:rPr>
          <w:rFonts w:ascii="Palatino Linotype" w:eastAsia="Times New Roman" w:hAnsi="Palatino Linotype"/>
          <w:bCs/>
          <w:sz w:val="22"/>
          <w:szCs w:val="22"/>
          <w:lang w:val="en-US" w:eastAsia="en-GB"/>
        </w:rPr>
        <w:t>10,098,780)</w:t>
      </w:r>
      <w:r w:rsidRPr="00DC5A27">
        <w:rPr>
          <w:rFonts w:ascii="Palatino Linotype" w:eastAsia="Times New Roman" w:hAnsi="Palatino Linotype"/>
          <w:bCs/>
          <w:sz w:val="22"/>
          <w:szCs w:val="22"/>
          <w:lang w:val="en-US" w:eastAsia="en-GB"/>
        </w:rPr>
        <w:t xml:space="preserve">. </w:t>
      </w:r>
    </w:p>
    <w:p w14:paraId="5064E6C4" w14:textId="77777777" w:rsidR="00D33F7C" w:rsidRPr="00DC5A27" w:rsidRDefault="00D33F7C" w:rsidP="00D33F7C">
      <w:pPr>
        <w:numPr>
          <w:ilvl w:val="0"/>
          <w:numId w:val="8"/>
        </w:numPr>
        <w:spacing w:line="276" w:lineRule="auto"/>
        <w:jc w:val="both"/>
        <w:rPr>
          <w:rFonts w:ascii="Palatino Linotype" w:eastAsia="Times New Roman" w:hAnsi="Palatino Linotype"/>
          <w:bCs/>
          <w:sz w:val="22"/>
          <w:szCs w:val="22"/>
          <w:lang w:val="en-US" w:eastAsia="en-GB"/>
        </w:rPr>
      </w:pPr>
      <w:r w:rsidRPr="00DC5A27">
        <w:rPr>
          <w:rFonts w:ascii="Palatino Linotype" w:eastAsia="Times New Roman" w:hAnsi="Palatino Linotype"/>
          <w:bCs/>
          <w:sz w:val="22"/>
          <w:szCs w:val="22"/>
          <w:lang w:val="en-US" w:eastAsia="en-GB"/>
        </w:rPr>
        <w:t>The highest number of commodity futures contracts were traded at Zhengzhou Commodity Exchange (</w:t>
      </w:r>
      <w:r w:rsidRPr="00BF4308">
        <w:rPr>
          <w:rFonts w:ascii="Palatino Linotype" w:eastAsia="Times New Roman" w:hAnsi="Palatino Linotype"/>
          <w:bCs/>
          <w:sz w:val="22"/>
          <w:szCs w:val="22"/>
          <w:lang w:val="en-US" w:eastAsia="en-GB"/>
        </w:rPr>
        <w:t>229,658,618)</w:t>
      </w:r>
      <w:r w:rsidRPr="00DC5A27">
        <w:rPr>
          <w:rFonts w:ascii="Palatino Linotype" w:eastAsia="Times New Roman" w:hAnsi="Palatino Linotype"/>
          <w:bCs/>
          <w:sz w:val="22"/>
          <w:szCs w:val="22"/>
          <w:lang w:val="en-US" w:eastAsia="en-GB"/>
        </w:rPr>
        <w:t xml:space="preserve"> followed by Shanghai Futures Exchange (</w:t>
      </w:r>
      <w:r w:rsidRPr="00BF4308">
        <w:rPr>
          <w:rFonts w:ascii="Palatino Linotype" w:eastAsia="Times New Roman" w:hAnsi="Palatino Linotype"/>
          <w:bCs/>
          <w:sz w:val="22"/>
          <w:szCs w:val="22"/>
          <w:lang w:val="en-US" w:eastAsia="en-GB"/>
        </w:rPr>
        <w:t>218,064,267)</w:t>
      </w:r>
      <w:r w:rsidRPr="00DC5A27">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May</w:t>
      </w:r>
      <w:r w:rsidRPr="00DC5A27">
        <w:rPr>
          <w:rFonts w:ascii="Palatino Linotype" w:eastAsia="Times New Roman" w:hAnsi="Palatino Linotype"/>
          <w:bCs/>
          <w:sz w:val="22"/>
          <w:szCs w:val="22"/>
          <w:lang w:val="en-US" w:eastAsia="en-GB"/>
        </w:rPr>
        <w:t xml:space="preserve"> 2021. Among </w:t>
      </w:r>
      <w:r w:rsidRPr="00DC5A27">
        <w:rPr>
          <w:rFonts w:ascii="Palatino Linotype" w:eastAsia="Times New Roman" w:hAnsi="Palatino Linotype"/>
          <w:bCs/>
          <w:sz w:val="22"/>
          <w:szCs w:val="22"/>
          <w:lang w:val="en-US" w:eastAsia="en-GB"/>
        </w:rPr>
        <w:lastRenderedPageBreak/>
        <w:t>the commodity options the highest number of contracts were traded at CME Group (</w:t>
      </w:r>
      <w:r w:rsidRPr="00BF4308">
        <w:rPr>
          <w:rFonts w:ascii="Palatino Linotype" w:eastAsia="Times New Roman" w:hAnsi="Palatino Linotype"/>
          <w:bCs/>
          <w:sz w:val="22"/>
          <w:szCs w:val="22"/>
          <w:lang w:val="en-US" w:eastAsia="en-GB"/>
        </w:rPr>
        <w:t>12,527,714)</w:t>
      </w:r>
      <w:r w:rsidRPr="00DC5A27">
        <w:rPr>
          <w:rFonts w:ascii="Palatino Linotype" w:eastAsia="Times New Roman" w:hAnsi="Palatino Linotype"/>
          <w:bCs/>
          <w:sz w:val="22"/>
          <w:szCs w:val="22"/>
          <w:lang w:val="en-US" w:eastAsia="en-GB"/>
        </w:rPr>
        <w:t xml:space="preserve"> followed by Zhengzhou Commodity Exchange (</w:t>
      </w:r>
      <w:r w:rsidRPr="00BF4308">
        <w:rPr>
          <w:rFonts w:ascii="Palatino Linotype" w:eastAsia="Times New Roman" w:hAnsi="Palatino Linotype"/>
          <w:bCs/>
          <w:sz w:val="22"/>
          <w:szCs w:val="22"/>
          <w:lang w:val="en-US" w:eastAsia="en-GB"/>
        </w:rPr>
        <w:t>6,304,894)</w:t>
      </w:r>
      <w:r w:rsidRPr="00DC5A27">
        <w:rPr>
          <w:rFonts w:ascii="Palatino Linotype" w:eastAsia="Times New Roman" w:hAnsi="Palatino Linotype"/>
          <w:bCs/>
          <w:sz w:val="22"/>
          <w:szCs w:val="22"/>
          <w:lang w:val="en-US" w:eastAsia="en-GB"/>
        </w:rPr>
        <w:t xml:space="preserve"> during the same period.</w:t>
      </w:r>
    </w:p>
    <w:p w14:paraId="49F5CFCF" w14:textId="77777777" w:rsidR="00D33F7C" w:rsidRPr="00DC5A27" w:rsidRDefault="00D33F7C" w:rsidP="00D33F7C">
      <w:pPr>
        <w:numPr>
          <w:ilvl w:val="0"/>
          <w:numId w:val="8"/>
        </w:numPr>
        <w:spacing w:line="276" w:lineRule="auto"/>
        <w:ind w:hanging="357"/>
        <w:contextualSpacing/>
        <w:jc w:val="both"/>
        <w:rPr>
          <w:rFonts w:ascii="Palatino Linotype" w:hAnsi="Palatino Linotype"/>
          <w:bCs/>
          <w:sz w:val="22"/>
          <w:szCs w:val="22"/>
          <w:lang w:val="en-US"/>
        </w:rPr>
      </w:pPr>
      <w:r w:rsidRPr="00DC5A27">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June</w:t>
      </w:r>
      <w:r w:rsidRPr="00DC5A27">
        <w:rPr>
          <w:rFonts w:ascii="Palatino Linotype" w:eastAsia="Times New Roman" w:hAnsi="Palatino Linotype"/>
          <w:bCs/>
          <w:sz w:val="22"/>
          <w:szCs w:val="22"/>
          <w:lang w:val="en-US" w:eastAsia="en-GB"/>
        </w:rPr>
        <w:t xml:space="preserve"> 2021, most of the analysed</w:t>
      </w:r>
      <w:r w:rsidRPr="00DC5A27">
        <w:rPr>
          <w:rFonts w:ascii="Palatino Linotype" w:eastAsia="Times New Roman" w:hAnsi="Palatino Linotype"/>
          <w:bCs/>
          <w:sz w:val="22"/>
          <w:szCs w:val="22"/>
          <w:vertAlign w:val="superscript"/>
          <w:lang w:val="en-US" w:eastAsia="en-GB"/>
        </w:rPr>
        <w:footnoteReference w:id="7"/>
      </w:r>
      <w:r w:rsidRPr="00DC5A27">
        <w:rPr>
          <w:rFonts w:ascii="Palatino Linotype" w:eastAsia="Times New Roman" w:hAnsi="Palatino Linotype"/>
          <w:bCs/>
          <w:sz w:val="22"/>
          <w:szCs w:val="22"/>
          <w:lang w:val="en-US" w:eastAsia="en-GB"/>
        </w:rPr>
        <w:t xml:space="preserve"> currencies appreciated against dollar. Yen was the only currency to depreciate among the analysed currencies.</w:t>
      </w:r>
    </w:p>
    <w:p w14:paraId="76321389" w14:textId="77777777" w:rsidR="00D33F7C" w:rsidRPr="00DC5A27" w:rsidRDefault="00D33F7C" w:rsidP="00D33F7C">
      <w:pPr>
        <w:spacing w:line="276" w:lineRule="auto"/>
        <w:outlineLvl w:val="0"/>
        <w:rPr>
          <w:rFonts w:ascii="Palatino Linotype" w:eastAsia="Times New Roman" w:hAnsi="Palatino Linotype"/>
          <w:b/>
          <w:sz w:val="22"/>
          <w:szCs w:val="22"/>
          <w:u w:val="single"/>
        </w:rPr>
      </w:pPr>
    </w:p>
    <w:p w14:paraId="7A2458B7" w14:textId="77777777" w:rsidR="00D33F7C" w:rsidRPr="0024165F" w:rsidRDefault="00D33F7C" w:rsidP="00D33F7C">
      <w:pPr>
        <w:spacing w:line="276" w:lineRule="auto"/>
        <w:outlineLvl w:val="0"/>
        <w:rPr>
          <w:rFonts w:ascii="Palatino Linotype" w:eastAsia="Times New Roman" w:hAnsi="Palatino Linotype"/>
          <w:b/>
          <w:sz w:val="22"/>
          <w:szCs w:val="22"/>
          <w:lang w:eastAsia="en-GB"/>
        </w:rPr>
      </w:pPr>
      <w:r w:rsidRPr="0024165F">
        <w:rPr>
          <w:rFonts w:ascii="Palatino Linotype" w:eastAsia="Times New Roman" w:hAnsi="Palatino Linotype"/>
          <w:b/>
          <w:sz w:val="22"/>
          <w:szCs w:val="22"/>
          <w:u w:val="single"/>
        </w:rPr>
        <w:t xml:space="preserve">US Treasury Securities </w:t>
      </w:r>
      <w:r w:rsidRPr="0024165F">
        <w:rPr>
          <w:rFonts w:ascii="Palatino Linotype" w:eastAsia="Times New Roman" w:hAnsi="Palatino Linotype"/>
          <w:b/>
          <w:sz w:val="22"/>
          <w:szCs w:val="22"/>
          <w:lang w:eastAsia="en-GB"/>
        </w:rPr>
        <w:t>(Table A9)</w:t>
      </w:r>
    </w:p>
    <w:p w14:paraId="5F6C5EB0" w14:textId="77777777" w:rsidR="00D33F7C" w:rsidRPr="00D02A3E" w:rsidRDefault="00D33F7C" w:rsidP="00D33F7C">
      <w:pPr>
        <w:spacing w:line="276" w:lineRule="auto"/>
        <w:outlineLvl w:val="0"/>
        <w:rPr>
          <w:rFonts w:ascii="Palatino Linotype" w:hAnsi="Palatino Linotype"/>
          <w:bCs/>
          <w:sz w:val="22"/>
          <w:szCs w:val="22"/>
        </w:rPr>
      </w:pPr>
    </w:p>
    <w:p w14:paraId="5B7969AA" w14:textId="21D56593" w:rsidR="00D33F7C" w:rsidRPr="00930D54" w:rsidRDefault="00D33F7C" w:rsidP="00D33F7C">
      <w:pPr>
        <w:numPr>
          <w:ilvl w:val="0"/>
          <w:numId w:val="8"/>
        </w:numPr>
        <w:spacing w:line="276" w:lineRule="auto"/>
        <w:contextualSpacing/>
        <w:jc w:val="both"/>
        <w:rPr>
          <w:rFonts w:ascii="Palatino Linotype" w:hAnsi="Palatino Linotype"/>
          <w:bCs/>
          <w:strike/>
          <w:sz w:val="22"/>
          <w:szCs w:val="22"/>
          <w:lang w:val="en-US"/>
        </w:rPr>
      </w:pPr>
      <w:r w:rsidRPr="00D02A3E">
        <w:rPr>
          <w:rFonts w:ascii="Palatino Linotype" w:eastAsia="Times New Roman" w:hAnsi="Palatino Linotype"/>
          <w:bCs/>
          <w:sz w:val="22"/>
          <w:szCs w:val="22"/>
          <w:lang w:val="en-US" w:eastAsia="en-GB"/>
        </w:rPr>
        <w:t xml:space="preserve">At the end of May 2021, Japan was the </w:t>
      </w:r>
      <w:r w:rsidR="004D10FC">
        <w:rPr>
          <w:rFonts w:ascii="Palatino Linotype" w:eastAsia="Times New Roman" w:hAnsi="Palatino Linotype"/>
          <w:bCs/>
          <w:sz w:val="22"/>
          <w:szCs w:val="22"/>
          <w:lang w:val="en-US" w:eastAsia="en-GB"/>
        </w:rPr>
        <w:t>highest</w:t>
      </w:r>
      <w:r w:rsidR="004D10FC" w:rsidRPr="00D02A3E">
        <w:rPr>
          <w:rFonts w:ascii="Palatino Linotype" w:eastAsia="Times New Roman" w:hAnsi="Palatino Linotype"/>
          <w:bCs/>
          <w:sz w:val="22"/>
          <w:szCs w:val="22"/>
          <w:lang w:val="en-US" w:eastAsia="en-GB"/>
        </w:rPr>
        <w:t xml:space="preserve"> </w:t>
      </w:r>
      <w:r w:rsidRPr="00D02A3E">
        <w:rPr>
          <w:rFonts w:ascii="Palatino Linotype" w:eastAsia="Times New Roman" w:hAnsi="Palatino Linotype"/>
          <w:bCs/>
          <w:sz w:val="22"/>
          <w:szCs w:val="22"/>
          <w:lang w:val="en-US" w:eastAsia="en-GB"/>
        </w:rPr>
        <w:t xml:space="preserve">foreign holder of US Treasury Securities holding 17.7 per cent of the total US </w:t>
      </w:r>
      <w:r w:rsidR="004D10FC">
        <w:rPr>
          <w:rFonts w:ascii="Palatino Linotype" w:eastAsia="Times New Roman" w:hAnsi="Palatino Linotype"/>
          <w:bCs/>
          <w:sz w:val="22"/>
          <w:szCs w:val="22"/>
          <w:lang w:val="en-US" w:eastAsia="en-GB"/>
        </w:rPr>
        <w:t>T</w:t>
      </w:r>
      <w:r w:rsidR="004D10FC" w:rsidRPr="00D02A3E">
        <w:rPr>
          <w:rFonts w:ascii="Palatino Linotype" w:eastAsia="Times New Roman" w:hAnsi="Palatino Linotype"/>
          <w:bCs/>
          <w:sz w:val="22"/>
          <w:szCs w:val="22"/>
          <w:lang w:val="en-US" w:eastAsia="en-GB"/>
        </w:rPr>
        <w:t xml:space="preserve">reasury </w:t>
      </w:r>
      <w:r w:rsidR="004D10FC">
        <w:rPr>
          <w:rFonts w:ascii="Palatino Linotype" w:eastAsia="Times New Roman" w:hAnsi="Palatino Linotype"/>
          <w:bCs/>
          <w:sz w:val="22"/>
          <w:szCs w:val="22"/>
          <w:lang w:val="en-US" w:eastAsia="en-GB"/>
        </w:rPr>
        <w:t>S</w:t>
      </w:r>
      <w:r w:rsidR="004D10FC" w:rsidRPr="00D02A3E">
        <w:rPr>
          <w:rFonts w:ascii="Palatino Linotype" w:eastAsia="Times New Roman" w:hAnsi="Palatino Linotype"/>
          <w:bCs/>
          <w:sz w:val="22"/>
          <w:szCs w:val="22"/>
          <w:lang w:val="en-US" w:eastAsia="en-GB"/>
        </w:rPr>
        <w:t xml:space="preserve">ecurities </w:t>
      </w:r>
      <w:r w:rsidRPr="00D02A3E">
        <w:rPr>
          <w:rFonts w:ascii="Palatino Linotype" w:eastAsia="Times New Roman" w:hAnsi="Palatino Linotype"/>
          <w:bCs/>
          <w:sz w:val="22"/>
          <w:szCs w:val="22"/>
          <w:lang w:val="en-US" w:eastAsia="en-GB"/>
        </w:rPr>
        <w:t>followed by China with 15.1 per cent. The total foreign holding of US Treasury Securities at the end of May 2021 was USD 7,135 billion. The holdings of US Treasury Securities by India remained at 3 per cent at the end of May 2021.</w:t>
      </w:r>
    </w:p>
    <w:p w14:paraId="5BD795E4" w14:textId="77777777" w:rsidR="00D33F7C" w:rsidRPr="0024165F" w:rsidRDefault="00D33F7C" w:rsidP="00D33F7C">
      <w:pPr>
        <w:rPr>
          <w:rFonts w:ascii="Garamond" w:hAnsi="Garamond"/>
          <w:b/>
          <w:bCs/>
          <w:szCs w:val="22"/>
        </w:rPr>
      </w:pPr>
    </w:p>
    <w:p w14:paraId="789E44AF" w14:textId="77777777" w:rsidR="00D33F7C" w:rsidRPr="0024165F" w:rsidRDefault="00D33F7C" w:rsidP="00D33F7C">
      <w:pPr>
        <w:rPr>
          <w:rFonts w:ascii="Garamond" w:hAnsi="Garamond"/>
          <w:b/>
          <w:bCs/>
          <w:szCs w:val="22"/>
        </w:rPr>
      </w:pPr>
    </w:p>
    <w:p w14:paraId="6ABDED40" w14:textId="77777777" w:rsidR="00D33F7C" w:rsidRDefault="00D33F7C" w:rsidP="00D33F7C">
      <w:pPr>
        <w:rPr>
          <w:rFonts w:ascii="Garamond" w:hAnsi="Garamond"/>
          <w:b/>
          <w:bCs/>
          <w:szCs w:val="22"/>
        </w:rPr>
      </w:pPr>
    </w:p>
    <w:p w14:paraId="13439DE0" w14:textId="77777777" w:rsidR="00D33F7C" w:rsidRPr="002A058E" w:rsidRDefault="00D33F7C" w:rsidP="00D33F7C">
      <w:pPr>
        <w:rPr>
          <w:rFonts w:ascii="Garamond" w:hAnsi="Garamond"/>
          <w:bCs/>
          <w:szCs w:val="22"/>
        </w:rPr>
      </w:pPr>
      <w:r w:rsidRPr="002A058E">
        <w:rPr>
          <w:rFonts w:ascii="Garamond" w:hAnsi="Garamond"/>
          <w:b/>
          <w:bCs/>
          <w:szCs w:val="22"/>
        </w:rPr>
        <w:t>Figure 5: Movement of the Major Currencies against USD</w:t>
      </w:r>
    </w:p>
    <w:p w14:paraId="240C43E3" w14:textId="77777777" w:rsidR="00D33F7C" w:rsidRPr="002A058E" w:rsidRDefault="00D33F7C" w:rsidP="00D33F7C">
      <w:pPr>
        <w:spacing w:line="23" w:lineRule="atLeast"/>
        <w:jc w:val="both"/>
        <w:rPr>
          <w:rFonts w:ascii="Garamond" w:hAnsi="Garamond"/>
          <w:bCs/>
          <w:sz w:val="18"/>
          <w:szCs w:val="18"/>
        </w:rPr>
      </w:pPr>
      <w:r>
        <w:rPr>
          <w:rFonts w:ascii="Garamond" w:hAnsi="Garamond"/>
          <w:bCs/>
          <w:noProof/>
          <w:sz w:val="18"/>
          <w:szCs w:val="18"/>
          <w:lang w:val="en-IN" w:eastAsia="en-IN" w:bidi="hi-IN"/>
        </w:rPr>
        <w:drawing>
          <wp:inline distT="0" distB="0" distL="0" distR="0" wp14:anchorId="4F6AE243" wp14:editId="52770273">
            <wp:extent cx="5721985" cy="3581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1985" cy="3581400"/>
                    </a:xfrm>
                    <a:prstGeom prst="rect">
                      <a:avLst/>
                    </a:prstGeom>
                    <a:noFill/>
                  </pic:spPr>
                </pic:pic>
              </a:graphicData>
            </a:graphic>
          </wp:inline>
        </w:drawing>
      </w:r>
    </w:p>
    <w:p w14:paraId="05952712" w14:textId="77777777" w:rsidR="00D33F7C" w:rsidRPr="002A058E" w:rsidRDefault="00D33F7C" w:rsidP="00D33F7C">
      <w:pPr>
        <w:spacing w:line="23" w:lineRule="atLeast"/>
        <w:jc w:val="both"/>
        <w:rPr>
          <w:rFonts w:ascii="Garamond" w:hAnsi="Garamond"/>
          <w:bCs/>
          <w:sz w:val="18"/>
          <w:szCs w:val="18"/>
        </w:rPr>
      </w:pPr>
      <w:r w:rsidRPr="002A058E">
        <w:rPr>
          <w:rFonts w:ascii="Garamond" w:hAnsi="Garamond"/>
          <w:bCs/>
          <w:sz w:val="18"/>
          <w:szCs w:val="18"/>
        </w:rPr>
        <w:t xml:space="preserve">Note: All indices have been </w:t>
      </w:r>
      <w:r>
        <w:rPr>
          <w:rFonts w:ascii="Garamond" w:hAnsi="Garamond"/>
          <w:bCs/>
          <w:sz w:val="18"/>
          <w:szCs w:val="18"/>
        </w:rPr>
        <w:t>normalised to 100 on 30 June</w:t>
      </w:r>
      <w:r w:rsidRPr="00483369">
        <w:rPr>
          <w:rFonts w:ascii="Garamond" w:hAnsi="Garamond"/>
          <w:bCs/>
          <w:sz w:val="18"/>
          <w:szCs w:val="18"/>
        </w:rPr>
        <w:t xml:space="preserve"> </w:t>
      </w:r>
      <w:r>
        <w:rPr>
          <w:rFonts w:ascii="Garamond" w:hAnsi="Garamond"/>
          <w:bCs/>
          <w:sz w:val="18"/>
          <w:szCs w:val="18"/>
        </w:rPr>
        <w:t>2020</w:t>
      </w:r>
      <w:r w:rsidRPr="002A058E">
        <w:rPr>
          <w:rFonts w:ascii="Garamond" w:hAnsi="Garamond"/>
          <w:bCs/>
          <w:sz w:val="18"/>
          <w:szCs w:val="18"/>
        </w:rPr>
        <w:t>.</w:t>
      </w:r>
    </w:p>
    <w:p w14:paraId="46089B94" w14:textId="77777777" w:rsidR="00D33F7C" w:rsidRPr="002A058E" w:rsidRDefault="00D33F7C" w:rsidP="00D33F7C">
      <w:pPr>
        <w:spacing w:line="23" w:lineRule="atLeast"/>
        <w:outlineLvl w:val="0"/>
        <w:rPr>
          <w:rFonts w:ascii="Garamond" w:hAnsi="Garamond"/>
          <w:bCs/>
          <w:sz w:val="18"/>
          <w:szCs w:val="18"/>
        </w:rPr>
      </w:pPr>
      <w:r w:rsidRPr="002A058E">
        <w:rPr>
          <w:rFonts w:ascii="Garamond" w:hAnsi="Garamond"/>
          <w:bCs/>
          <w:sz w:val="18"/>
          <w:szCs w:val="18"/>
        </w:rPr>
        <w:t>Source: Refinitiv</w:t>
      </w:r>
    </w:p>
    <w:p w14:paraId="534565E4" w14:textId="77777777" w:rsidR="00D33F7C" w:rsidRPr="002A058E" w:rsidRDefault="00D33F7C" w:rsidP="00D33F7C">
      <w:pPr>
        <w:rPr>
          <w:rFonts w:ascii="Garamond" w:hAnsi="Garamond"/>
          <w:b/>
          <w:bCs/>
          <w:szCs w:val="22"/>
        </w:rPr>
      </w:pPr>
    </w:p>
    <w:p w14:paraId="2862AF9A" w14:textId="77777777" w:rsidR="00D33F7C" w:rsidRPr="002A058E" w:rsidRDefault="00D33F7C" w:rsidP="00D33F7C">
      <w:pPr>
        <w:rPr>
          <w:rFonts w:ascii="Garamond" w:hAnsi="Garamond"/>
          <w:b/>
          <w:bCs/>
          <w:szCs w:val="22"/>
        </w:rPr>
      </w:pPr>
    </w:p>
    <w:p w14:paraId="6CF75D44" w14:textId="77777777" w:rsidR="00D33F7C" w:rsidRPr="002A058E" w:rsidRDefault="00D33F7C" w:rsidP="00D33F7C">
      <w:pPr>
        <w:rPr>
          <w:rFonts w:ascii="Garamond" w:hAnsi="Garamond"/>
          <w:b/>
          <w:bCs/>
          <w:szCs w:val="22"/>
        </w:rPr>
      </w:pPr>
    </w:p>
    <w:p w14:paraId="68C1EDFD" w14:textId="77777777" w:rsidR="00D33F7C" w:rsidRPr="002A058E" w:rsidRDefault="00D33F7C" w:rsidP="00D33F7C">
      <w:pPr>
        <w:rPr>
          <w:rFonts w:ascii="Garamond" w:hAnsi="Garamond"/>
          <w:b/>
          <w:bCs/>
          <w:szCs w:val="22"/>
        </w:rPr>
      </w:pPr>
    </w:p>
    <w:p w14:paraId="72D3FF83" w14:textId="77777777" w:rsidR="00D33F7C" w:rsidRPr="002A058E" w:rsidRDefault="00D33F7C" w:rsidP="00D33F7C">
      <w:pPr>
        <w:rPr>
          <w:rFonts w:ascii="Garamond" w:hAnsi="Garamond"/>
          <w:b/>
          <w:bCs/>
          <w:szCs w:val="22"/>
        </w:rPr>
      </w:pPr>
      <w:r>
        <w:rPr>
          <w:rFonts w:ascii="Garamond" w:hAnsi="Garamond"/>
          <w:b/>
          <w:bCs/>
          <w:szCs w:val="22"/>
        </w:rPr>
        <w:br w:type="page"/>
      </w:r>
      <w:r w:rsidRPr="002A058E">
        <w:rPr>
          <w:rFonts w:ascii="Garamond" w:hAnsi="Garamond"/>
          <w:b/>
          <w:bCs/>
          <w:szCs w:val="22"/>
        </w:rPr>
        <w:lastRenderedPageBreak/>
        <w:t>Figure 6: Movement of the US Dollar Index and MSCI EM Currency Index</w:t>
      </w:r>
    </w:p>
    <w:p w14:paraId="49FE476A" w14:textId="77777777" w:rsidR="00D33F7C" w:rsidRPr="002A058E" w:rsidRDefault="00D33F7C" w:rsidP="00D33F7C">
      <w:pPr>
        <w:spacing w:line="23" w:lineRule="atLeast"/>
        <w:outlineLvl w:val="0"/>
        <w:rPr>
          <w:rFonts w:ascii="Garamond" w:hAnsi="Garamond"/>
          <w:bCs/>
          <w:sz w:val="22"/>
          <w:szCs w:val="22"/>
        </w:rPr>
      </w:pPr>
    </w:p>
    <w:p w14:paraId="3B068D0B" w14:textId="77777777" w:rsidR="00D33F7C" w:rsidRPr="002A058E" w:rsidRDefault="00D33F7C" w:rsidP="00D33F7C">
      <w:pPr>
        <w:spacing w:line="23" w:lineRule="atLeast"/>
        <w:outlineLvl w:val="0"/>
        <w:rPr>
          <w:rFonts w:ascii="Garamond" w:hAnsi="Garamond"/>
          <w:bCs/>
          <w:sz w:val="22"/>
          <w:szCs w:val="22"/>
        </w:rPr>
      </w:pPr>
      <w:r>
        <w:rPr>
          <w:rFonts w:ascii="Garamond" w:hAnsi="Garamond"/>
          <w:bCs/>
          <w:noProof/>
          <w:sz w:val="22"/>
          <w:szCs w:val="22"/>
          <w:lang w:val="en-IN" w:eastAsia="en-IN" w:bidi="hi-IN"/>
        </w:rPr>
        <w:drawing>
          <wp:inline distT="0" distB="0" distL="0" distR="0" wp14:anchorId="3AA5D503" wp14:editId="06E9A8C3">
            <wp:extent cx="5868035" cy="31775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68035" cy="3177540"/>
                    </a:xfrm>
                    <a:prstGeom prst="rect">
                      <a:avLst/>
                    </a:prstGeom>
                    <a:noFill/>
                  </pic:spPr>
                </pic:pic>
              </a:graphicData>
            </a:graphic>
          </wp:inline>
        </w:drawing>
      </w:r>
    </w:p>
    <w:p w14:paraId="055DA92E" w14:textId="77777777" w:rsidR="00D33F7C" w:rsidRPr="002A058E" w:rsidRDefault="00D33F7C" w:rsidP="00D33F7C">
      <w:pPr>
        <w:tabs>
          <w:tab w:val="left" w:pos="3760"/>
        </w:tabs>
        <w:spacing w:line="23" w:lineRule="atLeast"/>
        <w:rPr>
          <w:rFonts w:ascii="Garamond" w:hAnsi="Garamond"/>
          <w:bCs/>
          <w:sz w:val="18"/>
          <w:szCs w:val="18"/>
        </w:rPr>
      </w:pPr>
      <w:r w:rsidRPr="002A058E">
        <w:rPr>
          <w:rFonts w:ascii="Garamond" w:hAnsi="Garamond"/>
          <w:bCs/>
          <w:sz w:val="18"/>
          <w:szCs w:val="18"/>
        </w:rPr>
        <w:t>Note:</w:t>
      </w:r>
    </w:p>
    <w:p w14:paraId="752FF671" w14:textId="77777777" w:rsidR="00D33F7C" w:rsidRPr="002A058E" w:rsidRDefault="00D33F7C" w:rsidP="00D33F7C">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 xml:space="preserve">All indices have been </w:t>
      </w:r>
      <w:r>
        <w:rPr>
          <w:rFonts w:ascii="Garamond" w:eastAsia="Times New Roman" w:hAnsi="Garamond"/>
          <w:bCs/>
          <w:sz w:val="18"/>
          <w:szCs w:val="18"/>
        </w:rPr>
        <w:t>normalised to 100 on 30 June 2020</w:t>
      </w:r>
      <w:r w:rsidRPr="002A058E">
        <w:rPr>
          <w:rFonts w:ascii="Garamond" w:eastAsia="Times New Roman" w:hAnsi="Garamond"/>
          <w:bCs/>
          <w:sz w:val="18"/>
          <w:szCs w:val="18"/>
        </w:rPr>
        <w:t>.</w:t>
      </w:r>
    </w:p>
    <w:p w14:paraId="4C0E37C0" w14:textId="77777777" w:rsidR="00D33F7C" w:rsidRPr="002A058E" w:rsidRDefault="00D33F7C" w:rsidP="00D33F7C">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14:paraId="587D8D67" w14:textId="77777777" w:rsidR="00D33F7C" w:rsidRPr="002A058E" w:rsidRDefault="00D33F7C" w:rsidP="00D33F7C">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MSCI Emerging Markets (EM) Currency Index tracks the performance of twenty-five emerging-market currencies relative to the US Dollar.</w:t>
      </w:r>
    </w:p>
    <w:p w14:paraId="63A67B49" w14:textId="77777777" w:rsidR="00D33F7C" w:rsidRPr="002A058E" w:rsidRDefault="00D33F7C" w:rsidP="00D33F7C">
      <w:pPr>
        <w:spacing w:line="23" w:lineRule="atLeast"/>
        <w:outlineLvl w:val="0"/>
        <w:rPr>
          <w:rFonts w:ascii="Garamond" w:hAnsi="Garamond"/>
          <w:bCs/>
          <w:sz w:val="18"/>
          <w:szCs w:val="18"/>
        </w:rPr>
      </w:pPr>
      <w:r w:rsidRPr="002A058E">
        <w:rPr>
          <w:rFonts w:ascii="Garamond" w:hAnsi="Garamond"/>
          <w:bCs/>
          <w:sz w:val="18"/>
          <w:szCs w:val="18"/>
        </w:rPr>
        <w:t>Source: Refinitiv</w:t>
      </w:r>
    </w:p>
    <w:p w14:paraId="04D49BAE" w14:textId="77777777" w:rsidR="00D33F7C" w:rsidRPr="002A058E" w:rsidRDefault="00D33F7C" w:rsidP="00D33F7C">
      <w:pPr>
        <w:spacing w:after="240" w:line="23" w:lineRule="atLeast"/>
        <w:jc w:val="both"/>
        <w:rPr>
          <w:rFonts w:ascii="Garamond" w:eastAsia="Times New Roman" w:hAnsi="Garamond"/>
          <w:bCs/>
          <w:sz w:val="18"/>
          <w:szCs w:val="18"/>
          <w:lang w:eastAsia="en-GB"/>
        </w:rPr>
      </w:pPr>
    </w:p>
    <w:p w14:paraId="6B6514DC" w14:textId="77777777" w:rsidR="00D33F7C" w:rsidRPr="002A058E" w:rsidRDefault="00D33F7C" w:rsidP="00D33F7C">
      <w:pPr>
        <w:spacing w:after="240" w:line="23" w:lineRule="atLeast"/>
        <w:jc w:val="both"/>
        <w:rPr>
          <w:rFonts w:ascii="Garamond" w:eastAsia="Times New Roman" w:hAnsi="Garamond"/>
          <w:bCs/>
          <w:sz w:val="18"/>
          <w:szCs w:val="18"/>
          <w:lang w:eastAsia="en-GB"/>
        </w:rPr>
      </w:pPr>
    </w:p>
    <w:p w14:paraId="1FDE3409" w14:textId="77777777" w:rsidR="00D33F7C" w:rsidRPr="002A058E" w:rsidRDefault="00D33F7C" w:rsidP="00D33F7C">
      <w:pPr>
        <w:rPr>
          <w:rFonts w:ascii="Garamond" w:hAnsi="Garamond"/>
          <w:b/>
          <w:bCs/>
          <w:szCs w:val="22"/>
        </w:rPr>
      </w:pPr>
    </w:p>
    <w:p w14:paraId="2A7EF757" w14:textId="77777777" w:rsidR="00D33F7C" w:rsidRPr="00073FE2" w:rsidRDefault="00D33F7C" w:rsidP="00D33F7C">
      <w:pPr>
        <w:rPr>
          <w:rFonts w:ascii="Garamond" w:hAnsi="Garamond"/>
          <w:b/>
          <w:bCs/>
          <w:strike/>
          <w:szCs w:val="22"/>
        </w:rPr>
        <w:sectPr w:rsidR="00D33F7C" w:rsidRPr="00073FE2"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pPr>
    </w:p>
    <w:p w14:paraId="63E395AD" w14:textId="77777777" w:rsidR="00D33F7C" w:rsidRPr="001972CA" w:rsidRDefault="00D33F7C" w:rsidP="00D33F7C">
      <w:pPr>
        <w:rPr>
          <w:rFonts w:ascii="Garamond" w:hAnsi="Garamond"/>
          <w:b/>
          <w:bCs/>
          <w:szCs w:val="22"/>
        </w:rPr>
      </w:pPr>
      <w:r w:rsidRPr="001972CA">
        <w:rPr>
          <w:rFonts w:ascii="Garamond" w:hAnsi="Garamond"/>
          <w:b/>
          <w:bCs/>
          <w:szCs w:val="22"/>
        </w:rPr>
        <w:lastRenderedPageBreak/>
        <w:t>Table A1: Performance of Stock Indices</w:t>
      </w:r>
    </w:p>
    <w:tbl>
      <w:tblPr>
        <w:tblW w:w="4794" w:type="pct"/>
        <w:tblLook w:val="04A0" w:firstRow="1" w:lastRow="0" w:firstColumn="1" w:lastColumn="0" w:noHBand="0" w:noVBand="1"/>
      </w:tblPr>
      <w:tblGrid>
        <w:gridCol w:w="1316"/>
        <w:gridCol w:w="3392"/>
        <w:gridCol w:w="2373"/>
        <w:gridCol w:w="1285"/>
        <w:gridCol w:w="1285"/>
        <w:gridCol w:w="1285"/>
        <w:gridCol w:w="1171"/>
        <w:gridCol w:w="1928"/>
        <w:gridCol w:w="982"/>
      </w:tblGrid>
      <w:tr w:rsidR="00D33F7C" w:rsidRPr="001210D0" w14:paraId="765A329F" w14:textId="77777777" w:rsidTr="00E213CE">
        <w:trPr>
          <w:trHeight w:val="279"/>
        </w:trPr>
        <w:tc>
          <w:tcPr>
            <w:tcW w:w="438"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14:paraId="2CF1FC38"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Country</w:t>
            </w:r>
          </w:p>
        </w:tc>
        <w:tc>
          <w:tcPr>
            <w:tcW w:w="1129"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14:paraId="5A65B92C"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Name of the Index</w:t>
            </w:r>
          </w:p>
        </w:tc>
        <w:tc>
          <w:tcPr>
            <w:tcW w:w="790" w:type="pct"/>
            <w:tcBorders>
              <w:top w:val="single" w:sz="8" w:space="0" w:color="auto"/>
              <w:left w:val="nil"/>
              <w:bottom w:val="nil"/>
              <w:right w:val="single" w:sz="8" w:space="0" w:color="auto"/>
            </w:tcBorders>
            <w:shd w:val="clear" w:color="000000" w:fill="B4C6E7"/>
            <w:noWrap/>
            <w:hideMark/>
          </w:tcPr>
          <w:p w14:paraId="0B7DBC1B"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Closing Value as on</w:t>
            </w:r>
          </w:p>
        </w:tc>
        <w:tc>
          <w:tcPr>
            <w:tcW w:w="1674" w:type="pct"/>
            <w:gridSpan w:val="4"/>
            <w:tcBorders>
              <w:top w:val="single" w:sz="8" w:space="0" w:color="auto"/>
              <w:left w:val="nil"/>
              <w:bottom w:val="single" w:sz="8" w:space="0" w:color="auto"/>
              <w:right w:val="single" w:sz="8" w:space="0" w:color="000000"/>
            </w:tcBorders>
            <w:shd w:val="clear" w:color="000000" w:fill="B4C6E7"/>
            <w:hideMark/>
          </w:tcPr>
          <w:p w14:paraId="71A61998"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Closing Value before</w:t>
            </w:r>
          </w:p>
        </w:tc>
        <w:tc>
          <w:tcPr>
            <w:tcW w:w="642"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14:paraId="0C30C87E"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Monthly Volatility (Annualised)</w:t>
            </w:r>
          </w:p>
        </w:tc>
        <w:tc>
          <w:tcPr>
            <w:tcW w:w="327" w:type="pct"/>
            <w:vMerge w:val="restart"/>
            <w:tcBorders>
              <w:top w:val="single" w:sz="8" w:space="0" w:color="auto"/>
              <w:left w:val="single" w:sz="8" w:space="0" w:color="auto"/>
              <w:bottom w:val="single" w:sz="8" w:space="0" w:color="000000"/>
              <w:right w:val="single" w:sz="8" w:space="0" w:color="auto"/>
            </w:tcBorders>
            <w:shd w:val="clear" w:color="000000" w:fill="B4C6E7"/>
            <w:hideMark/>
          </w:tcPr>
          <w:p w14:paraId="46884F62"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P/E Ratio</w:t>
            </w:r>
          </w:p>
        </w:tc>
      </w:tr>
      <w:tr w:rsidR="00D33F7C" w:rsidRPr="001210D0" w14:paraId="13E4369F" w14:textId="77777777" w:rsidTr="00E213CE">
        <w:trPr>
          <w:trHeight w:val="425"/>
        </w:trPr>
        <w:tc>
          <w:tcPr>
            <w:tcW w:w="438" w:type="pct"/>
            <w:vMerge/>
            <w:tcBorders>
              <w:top w:val="single" w:sz="8" w:space="0" w:color="auto"/>
              <w:left w:val="single" w:sz="8" w:space="0" w:color="auto"/>
              <w:bottom w:val="single" w:sz="8" w:space="0" w:color="000000"/>
              <w:right w:val="single" w:sz="8" w:space="0" w:color="auto"/>
            </w:tcBorders>
            <w:vAlign w:val="center"/>
            <w:hideMark/>
          </w:tcPr>
          <w:p w14:paraId="7D54FDA9" w14:textId="77777777" w:rsidR="00D33F7C" w:rsidRPr="001210D0" w:rsidRDefault="00D33F7C" w:rsidP="00E213CE">
            <w:pPr>
              <w:rPr>
                <w:rFonts w:ascii="Garamond" w:eastAsia="Times New Roman" w:hAnsi="Garamond"/>
                <w:b/>
                <w:bCs/>
                <w:color w:val="000000"/>
                <w:sz w:val="20"/>
                <w:szCs w:val="20"/>
                <w:lang w:val="en-IN" w:eastAsia="en-IN" w:bidi="hi-IN"/>
              </w:rPr>
            </w:pPr>
          </w:p>
        </w:tc>
        <w:tc>
          <w:tcPr>
            <w:tcW w:w="1129" w:type="pct"/>
            <w:vMerge/>
            <w:tcBorders>
              <w:top w:val="single" w:sz="8" w:space="0" w:color="auto"/>
              <w:left w:val="single" w:sz="8" w:space="0" w:color="auto"/>
              <w:bottom w:val="single" w:sz="8" w:space="0" w:color="000000"/>
              <w:right w:val="single" w:sz="8" w:space="0" w:color="auto"/>
            </w:tcBorders>
            <w:vAlign w:val="center"/>
            <w:hideMark/>
          </w:tcPr>
          <w:p w14:paraId="40943EFF" w14:textId="77777777" w:rsidR="00D33F7C" w:rsidRPr="001210D0" w:rsidRDefault="00D33F7C" w:rsidP="00E213CE">
            <w:pPr>
              <w:rPr>
                <w:rFonts w:ascii="Garamond" w:eastAsia="Times New Roman" w:hAnsi="Garamond"/>
                <w:b/>
                <w:bCs/>
                <w:color w:val="000000"/>
                <w:sz w:val="20"/>
                <w:szCs w:val="20"/>
                <w:lang w:val="en-IN" w:eastAsia="en-IN" w:bidi="hi-IN"/>
              </w:rPr>
            </w:pPr>
          </w:p>
        </w:tc>
        <w:tc>
          <w:tcPr>
            <w:tcW w:w="790" w:type="pct"/>
            <w:tcBorders>
              <w:top w:val="nil"/>
              <w:left w:val="nil"/>
              <w:bottom w:val="single" w:sz="8" w:space="0" w:color="auto"/>
              <w:right w:val="single" w:sz="8" w:space="0" w:color="auto"/>
            </w:tcBorders>
            <w:shd w:val="clear" w:color="000000" w:fill="B4C6E7"/>
            <w:noWrap/>
            <w:hideMark/>
          </w:tcPr>
          <w:p w14:paraId="12418732" w14:textId="77777777" w:rsidR="00D33F7C" w:rsidRPr="004813C2" w:rsidRDefault="00D33F7C" w:rsidP="00E213CE">
            <w:pPr>
              <w:jc w:val="center"/>
              <w:rPr>
                <w:rFonts w:ascii="Garamond" w:eastAsia="Times New Roman" w:hAnsi="Garamond"/>
                <w:b/>
                <w:bCs/>
                <w:color w:val="000000"/>
                <w:sz w:val="20"/>
                <w:szCs w:val="20"/>
                <w:lang w:val="en-IN" w:eastAsia="en-IN" w:bidi="hi-IN"/>
              </w:rPr>
            </w:pPr>
            <w:r>
              <w:rPr>
                <w:rFonts w:ascii="Garamond" w:eastAsia="Times New Roman" w:hAnsi="Garamond"/>
                <w:b/>
                <w:bCs/>
                <w:color w:val="000000"/>
                <w:sz w:val="20"/>
                <w:szCs w:val="20"/>
                <w:lang w:val="en-IN" w:eastAsia="en-IN" w:bidi="hi-IN"/>
              </w:rPr>
              <w:t>30-Jun-21</w:t>
            </w:r>
          </w:p>
        </w:tc>
        <w:tc>
          <w:tcPr>
            <w:tcW w:w="428" w:type="pct"/>
            <w:tcBorders>
              <w:top w:val="nil"/>
              <w:left w:val="nil"/>
              <w:bottom w:val="single" w:sz="8" w:space="0" w:color="auto"/>
              <w:right w:val="single" w:sz="8" w:space="0" w:color="auto"/>
            </w:tcBorders>
            <w:shd w:val="clear" w:color="000000" w:fill="B4C6E7"/>
            <w:noWrap/>
            <w:hideMark/>
          </w:tcPr>
          <w:p w14:paraId="76EC325F"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1-Month</w:t>
            </w:r>
          </w:p>
        </w:tc>
        <w:tc>
          <w:tcPr>
            <w:tcW w:w="428" w:type="pct"/>
            <w:tcBorders>
              <w:top w:val="nil"/>
              <w:left w:val="nil"/>
              <w:bottom w:val="single" w:sz="8" w:space="0" w:color="auto"/>
              <w:right w:val="single" w:sz="8" w:space="0" w:color="auto"/>
            </w:tcBorders>
            <w:shd w:val="clear" w:color="000000" w:fill="B4C6E7"/>
            <w:noWrap/>
            <w:hideMark/>
          </w:tcPr>
          <w:p w14:paraId="5E5562F7"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3-Month</w:t>
            </w:r>
          </w:p>
        </w:tc>
        <w:tc>
          <w:tcPr>
            <w:tcW w:w="428" w:type="pct"/>
            <w:tcBorders>
              <w:top w:val="nil"/>
              <w:left w:val="nil"/>
              <w:bottom w:val="single" w:sz="8" w:space="0" w:color="auto"/>
              <w:right w:val="single" w:sz="8" w:space="0" w:color="auto"/>
            </w:tcBorders>
            <w:shd w:val="clear" w:color="000000" w:fill="B4C6E7"/>
            <w:noWrap/>
            <w:hideMark/>
          </w:tcPr>
          <w:p w14:paraId="0CC292B2"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6-Month</w:t>
            </w:r>
          </w:p>
        </w:tc>
        <w:tc>
          <w:tcPr>
            <w:tcW w:w="390" w:type="pct"/>
            <w:tcBorders>
              <w:top w:val="nil"/>
              <w:left w:val="nil"/>
              <w:bottom w:val="single" w:sz="8" w:space="0" w:color="auto"/>
              <w:right w:val="single" w:sz="8" w:space="0" w:color="auto"/>
            </w:tcBorders>
            <w:shd w:val="clear" w:color="000000" w:fill="B4C6E7"/>
            <w:noWrap/>
            <w:hideMark/>
          </w:tcPr>
          <w:p w14:paraId="1F827EE6"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1-Year</w:t>
            </w:r>
          </w:p>
        </w:tc>
        <w:tc>
          <w:tcPr>
            <w:tcW w:w="642" w:type="pct"/>
            <w:vMerge/>
            <w:tcBorders>
              <w:top w:val="single" w:sz="8" w:space="0" w:color="auto"/>
              <w:left w:val="single" w:sz="8" w:space="0" w:color="auto"/>
              <w:bottom w:val="single" w:sz="8" w:space="0" w:color="000000"/>
              <w:right w:val="single" w:sz="8" w:space="0" w:color="auto"/>
            </w:tcBorders>
            <w:vAlign w:val="center"/>
            <w:hideMark/>
          </w:tcPr>
          <w:p w14:paraId="6C4AF4ED" w14:textId="77777777" w:rsidR="00D33F7C" w:rsidRPr="001210D0" w:rsidRDefault="00D33F7C" w:rsidP="00E213CE">
            <w:pPr>
              <w:rPr>
                <w:rFonts w:ascii="Garamond" w:eastAsia="Times New Roman" w:hAnsi="Garamond"/>
                <w:b/>
                <w:bCs/>
                <w:color w:val="000000"/>
                <w:sz w:val="20"/>
                <w:szCs w:val="20"/>
                <w:lang w:val="en-IN" w:eastAsia="en-IN" w:bidi="hi-IN"/>
              </w:rPr>
            </w:pPr>
          </w:p>
        </w:tc>
        <w:tc>
          <w:tcPr>
            <w:tcW w:w="327" w:type="pct"/>
            <w:vMerge/>
            <w:tcBorders>
              <w:top w:val="single" w:sz="8" w:space="0" w:color="auto"/>
              <w:left w:val="single" w:sz="8" w:space="0" w:color="auto"/>
              <w:bottom w:val="single" w:sz="8" w:space="0" w:color="000000"/>
              <w:right w:val="single" w:sz="8" w:space="0" w:color="auto"/>
            </w:tcBorders>
            <w:vAlign w:val="center"/>
            <w:hideMark/>
          </w:tcPr>
          <w:p w14:paraId="12A30ADB" w14:textId="77777777" w:rsidR="00D33F7C" w:rsidRPr="001210D0" w:rsidRDefault="00D33F7C" w:rsidP="00E213CE">
            <w:pPr>
              <w:rPr>
                <w:rFonts w:ascii="Garamond" w:eastAsia="Times New Roman" w:hAnsi="Garamond"/>
                <w:b/>
                <w:bCs/>
                <w:color w:val="000000"/>
                <w:sz w:val="20"/>
                <w:szCs w:val="20"/>
                <w:lang w:val="en-IN" w:eastAsia="en-IN" w:bidi="hi-IN"/>
              </w:rPr>
            </w:pPr>
          </w:p>
        </w:tc>
      </w:tr>
      <w:tr w:rsidR="00D33F7C" w:rsidRPr="001210D0" w14:paraId="4AB5E133" w14:textId="77777777" w:rsidTr="00E213CE">
        <w:trPr>
          <w:trHeight w:val="279"/>
        </w:trPr>
        <w:tc>
          <w:tcPr>
            <w:tcW w:w="5000" w:type="pct"/>
            <w:gridSpan w:val="9"/>
            <w:tcBorders>
              <w:top w:val="single" w:sz="8" w:space="0" w:color="auto"/>
              <w:left w:val="single" w:sz="8" w:space="0" w:color="auto"/>
              <w:bottom w:val="single" w:sz="8" w:space="0" w:color="auto"/>
              <w:right w:val="single" w:sz="8" w:space="0" w:color="000000"/>
            </w:tcBorders>
            <w:shd w:val="clear" w:color="000000" w:fill="D9E1F2"/>
            <w:noWrap/>
            <w:hideMark/>
          </w:tcPr>
          <w:p w14:paraId="35103B0B"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BRICS Nations</w:t>
            </w:r>
          </w:p>
        </w:tc>
      </w:tr>
      <w:tr w:rsidR="00D33F7C" w:rsidRPr="001210D0" w14:paraId="6C8D35EA"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3E8D30F4"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Brazil</w:t>
            </w:r>
          </w:p>
        </w:tc>
        <w:tc>
          <w:tcPr>
            <w:tcW w:w="1129" w:type="pct"/>
            <w:tcBorders>
              <w:top w:val="nil"/>
              <w:left w:val="nil"/>
              <w:bottom w:val="nil"/>
              <w:right w:val="single" w:sz="8" w:space="0" w:color="auto"/>
            </w:tcBorders>
            <w:shd w:val="clear" w:color="000000" w:fill="D9E1F2"/>
            <w:noWrap/>
            <w:hideMark/>
          </w:tcPr>
          <w:p w14:paraId="499BC8CC"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BRAZIL IBOVESPA </w:t>
            </w:r>
          </w:p>
        </w:tc>
        <w:tc>
          <w:tcPr>
            <w:tcW w:w="790" w:type="pct"/>
            <w:tcBorders>
              <w:top w:val="nil"/>
              <w:left w:val="nil"/>
              <w:bottom w:val="nil"/>
              <w:right w:val="single" w:sz="8" w:space="0" w:color="auto"/>
            </w:tcBorders>
            <w:shd w:val="clear" w:color="auto" w:fill="auto"/>
            <w:noWrap/>
            <w:hideMark/>
          </w:tcPr>
          <w:p w14:paraId="787310E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126801.7</w:t>
            </w:r>
          </w:p>
        </w:tc>
        <w:tc>
          <w:tcPr>
            <w:tcW w:w="428" w:type="pct"/>
            <w:tcBorders>
              <w:top w:val="nil"/>
              <w:left w:val="nil"/>
              <w:bottom w:val="nil"/>
              <w:right w:val="single" w:sz="8" w:space="0" w:color="auto"/>
            </w:tcBorders>
            <w:shd w:val="clear" w:color="auto" w:fill="auto"/>
            <w:noWrap/>
            <w:hideMark/>
          </w:tcPr>
          <w:p w14:paraId="715B484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126215.7</w:t>
            </w:r>
          </w:p>
        </w:tc>
        <w:tc>
          <w:tcPr>
            <w:tcW w:w="428" w:type="pct"/>
            <w:tcBorders>
              <w:top w:val="nil"/>
              <w:left w:val="nil"/>
              <w:bottom w:val="nil"/>
              <w:right w:val="single" w:sz="8" w:space="0" w:color="auto"/>
            </w:tcBorders>
            <w:shd w:val="clear" w:color="auto" w:fill="auto"/>
            <w:noWrap/>
            <w:hideMark/>
          </w:tcPr>
          <w:p w14:paraId="55EFA839"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116633.7</w:t>
            </w:r>
          </w:p>
        </w:tc>
        <w:tc>
          <w:tcPr>
            <w:tcW w:w="428" w:type="pct"/>
            <w:tcBorders>
              <w:top w:val="nil"/>
              <w:left w:val="nil"/>
              <w:bottom w:val="nil"/>
              <w:right w:val="single" w:sz="8" w:space="0" w:color="auto"/>
            </w:tcBorders>
            <w:shd w:val="clear" w:color="auto" w:fill="auto"/>
            <w:noWrap/>
            <w:hideMark/>
          </w:tcPr>
          <w:p w14:paraId="66157EFA"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119017.2</w:t>
            </w:r>
          </w:p>
        </w:tc>
        <w:tc>
          <w:tcPr>
            <w:tcW w:w="390" w:type="pct"/>
            <w:tcBorders>
              <w:top w:val="nil"/>
              <w:left w:val="nil"/>
              <w:bottom w:val="nil"/>
              <w:right w:val="single" w:sz="8" w:space="0" w:color="auto"/>
            </w:tcBorders>
            <w:shd w:val="clear" w:color="auto" w:fill="auto"/>
            <w:noWrap/>
            <w:hideMark/>
          </w:tcPr>
          <w:p w14:paraId="61B528B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95055.8</w:t>
            </w:r>
          </w:p>
        </w:tc>
        <w:tc>
          <w:tcPr>
            <w:tcW w:w="642" w:type="pct"/>
            <w:tcBorders>
              <w:top w:val="nil"/>
              <w:left w:val="nil"/>
              <w:bottom w:val="nil"/>
              <w:right w:val="single" w:sz="8" w:space="0" w:color="auto"/>
            </w:tcBorders>
            <w:shd w:val="clear" w:color="auto" w:fill="auto"/>
            <w:noWrap/>
            <w:hideMark/>
          </w:tcPr>
          <w:p w14:paraId="7DE7E3E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11.4</w:t>
            </w:r>
          </w:p>
        </w:tc>
        <w:tc>
          <w:tcPr>
            <w:tcW w:w="327" w:type="pct"/>
            <w:tcBorders>
              <w:top w:val="nil"/>
              <w:left w:val="nil"/>
              <w:bottom w:val="nil"/>
              <w:right w:val="single" w:sz="8" w:space="0" w:color="auto"/>
            </w:tcBorders>
            <w:shd w:val="clear" w:color="auto" w:fill="auto"/>
            <w:noWrap/>
            <w:hideMark/>
          </w:tcPr>
          <w:p w14:paraId="441ECC3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13.5</w:t>
            </w:r>
          </w:p>
        </w:tc>
      </w:tr>
      <w:tr w:rsidR="00D33F7C" w:rsidRPr="001210D0" w14:paraId="73E25B2C"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005A4D58"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Russia</w:t>
            </w:r>
          </w:p>
        </w:tc>
        <w:tc>
          <w:tcPr>
            <w:tcW w:w="1129" w:type="pct"/>
            <w:tcBorders>
              <w:top w:val="nil"/>
              <w:left w:val="nil"/>
              <w:bottom w:val="nil"/>
              <w:right w:val="single" w:sz="8" w:space="0" w:color="auto"/>
            </w:tcBorders>
            <w:shd w:val="clear" w:color="000000" w:fill="D9E1F2"/>
            <w:noWrap/>
            <w:hideMark/>
          </w:tcPr>
          <w:p w14:paraId="2355DBD9"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RUSSIAN TRADED </w:t>
            </w:r>
          </w:p>
        </w:tc>
        <w:tc>
          <w:tcPr>
            <w:tcW w:w="790" w:type="pct"/>
            <w:tcBorders>
              <w:top w:val="nil"/>
              <w:left w:val="nil"/>
              <w:bottom w:val="nil"/>
              <w:right w:val="single" w:sz="8" w:space="0" w:color="auto"/>
            </w:tcBorders>
            <w:shd w:val="clear" w:color="auto" w:fill="auto"/>
            <w:noWrap/>
            <w:hideMark/>
          </w:tcPr>
          <w:p w14:paraId="2FDFD42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2161.7</w:t>
            </w:r>
          </w:p>
        </w:tc>
        <w:tc>
          <w:tcPr>
            <w:tcW w:w="428" w:type="pct"/>
            <w:tcBorders>
              <w:top w:val="nil"/>
              <w:left w:val="nil"/>
              <w:bottom w:val="nil"/>
              <w:right w:val="single" w:sz="8" w:space="0" w:color="auto"/>
            </w:tcBorders>
            <w:shd w:val="clear" w:color="auto" w:fill="auto"/>
            <w:noWrap/>
            <w:hideMark/>
          </w:tcPr>
          <w:p w14:paraId="38D98BA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2070.5</w:t>
            </w:r>
          </w:p>
        </w:tc>
        <w:tc>
          <w:tcPr>
            <w:tcW w:w="428" w:type="pct"/>
            <w:tcBorders>
              <w:top w:val="nil"/>
              <w:left w:val="nil"/>
              <w:bottom w:val="nil"/>
              <w:right w:val="single" w:sz="8" w:space="0" w:color="auto"/>
            </w:tcBorders>
            <w:shd w:val="clear" w:color="auto" w:fill="auto"/>
            <w:noWrap/>
            <w:hideMark/>
          </w:tcPr>
          <w:p w14:paraId="0CCEFF6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1936.4</w:t>
            </w:r>
          </w:p>
        </w:tc>
        <w:tc>
          <w:tcPr>
            <w:tcW w:w="428" w:type="pct"/>
            <w:tcBorders>
              <w:top w:val="nil"/>
              <w:left w:val="nil"/>
              <w:bottom w:val="nil"/>
              <w:right w:val="single" w:sz="8" w:space="0" w:color="auto"/>
            </w:tcBorders>
            <w:shd w:val="clear" w:color="auto" w:fill="auto"/>
            <w:noWrap/>
            <w:hideMark/>
          </w:tcPr>
          <w:p w14:paraId="7C27D5D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1802.3</w:t>
            </w:r>
          </w:p>
        </w:tc>
        <w:tc>
          <w:tcPr>
            <w:tcW w:w="390" w:type="pct"/>
            <w:tcBorders>
              <w:top w:val="nil"/>
              <w:left w:val="nil"/>
              <w:bottom w:val="nil"/>
              <w:right w:val="single" w:sz="8" w:space="0" w:color="auto"/>
            </w:tcBorders>
            <w:shd w:val="clear" w:color="auto" w:fill="auto"/>
            <w:noWrap/>
            <w:hideMark/>
          </w:tcPr>
          <w:p w14:paraId="1F42D23A"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1628.3</w:t>
            </w:r>
          </w:p>
        </w:tc>
        <w:tc>
          <w:tcPr>
            <w:tcW w:w="642" w:type="pct"/>
            <w:tcBorders>
              <w:top w:val="nil"/>
              <w:left w:val="nil"/>
              <w:bottom w:val="nil"/>
              <w:right w:val="single" w:sz="8" w:space="0" w:color="auto"/>
            </w:tcBorders>
            <w:shd w:val="clear" w:color="auto" w:fill="auto"/>
            <w:noWrap/>
            <w:hideMark/>
          </w:tcPr>
          <w:p w14:paraId="6187B523"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14.5</w:t>
            </w:r>
          </w:p>
        </w:tc>
        <w:tc>
          <w:tcPr>
            <w:tcW w:w="327" w:type="pct"/>
            <w:tcBorders>
              <w:top w:val="nil"/>
              <w:left w:val="nil"/>
              <w:bottom w:val="nil"/>
              <w:right w:val="single" w:sz="8" w:space="0" w:color="auto"/>
            </w:tcBorders>
            <w:shd w:val="clear" w:color="auto" w:fill="auto"/>
            <w:noWrap/>
            <w:hideMark/>
          </w:tcPr>
          <w:p w14:paraId="2E3CF72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12.4</w:t>
            </w:r>
          </w:p>
        </w:tc>
      </w:tr>
      <w:tr w:rsidR="00D33F7C" w:rsidRPr="001210D0" w14:paraId="076E2733"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4DD0962D"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India</w:t>
            </w:r>
          </w:p>
        </w:tc>
        <w:tc>
          <w:tcPr>
            <w:tcW w:w="1129" w:type="pct"/>
            <w:tcBorders>
              <w:top w:val="nil"/>
              <w:left w:val="nil"/>
              <w:bottom w:val="nil"/>
              <w:right w:val="single" w:sz="8" w:space="0" w:color="auto"/>
            </w:tcBorders>
            <w:shd w:val="clear" w:color="000000" w:fill="D9E1F2"/>
            <w:noWrap/>
            <w:hideMark/>
          </w:tcPr>
          <w:p w14:paraId="561E2B77"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Nifty 50</w:t>
            </w:r>
          </w:p>
        </w:tc>
        <w:tc>
          <w:tcPr>
            <w:tcW w:w="790" w:type="pct"/>
            <w:tcBorders>
              <w:top w:val="nil"/>
              <w:left w:val="nil"/>
              <w:bottom w:val="nil"/>
              <w:right w:val="single" w:sz="8" w:space="0" w:color="auto"/>
            </w:tcBorders>
            <w:shd w:val="clear" w:color="auto" w:fill="auto"/>
            <w:noWrap/>
            <w:hideMark/>
          </w:tcPr>
          <w:p w14:paraId="5E765C6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15721.5</w:t>
            </w:r>
          </w:p>
        </w:tc>
        <w:tc>
          <w:tcPr>
            <w:tcW w:w="428" w:type="pct"/>
            <w:tcBorders>
              <w:top w:val="nil"/>
              <w:left w:val="nil"/>
              <w:bottom w:val="nil"/>
              <w:right w:val="single" w:sz="8" w:space="0" w:color="auto"/>
            </w:tcBorders>
            <w:shd w:val="clear" w:color="auto" w:fill="auto"/>
            <w:noWrap/>
            <w:hideMark/>
          </w:tcPr>
          <w:p w14:paraId="7DC2E18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15582.8</w:t>
            </w:r>
          </w:p>
        </w:tc>
        <w:tc>
          <w:tcPr>
            <w:tcW w:w="428" w:type="pct"/>
            <w:tcBorders>
              <w:top w:val="nil"/>
              <w:left w:val="nil"/>
              <w:bottom w:val="nil"/>
              <w:right w:val="single" w:sz="8" w:space="0" w:color="auto"/>
            </w:tcBorders>
            <w:shd w:val="clear" w:color="auto" w:fill="auto"/>
            <w:noWrap/>
            <w:hideMark/>
          </w:tcPr>
          <w:p w14:paraId="3852242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14690.7</w:t>
            </w:r>
          </w:p>
        </w:tc>
        <w:tc>
          <w:tcPr>
            <w:tcW w:w="428" w:type="pct"/>
            <w:tcBorders>
              <w:top w:val="nil"/>
              <w:left w:val="nil"/>
              <w:bottom w:val="nil"/>
              <w:right w:val="single" w:sz="8" w:space="0" w:color="auto"/>
            </w:tcBorders>
            <w:shd w:val="clear" w:color="auto" w:fill="auto"/>
            <w:noWrap/>
            <w:hideMark/>
          </w:tcPr>
          <w:p w14:paraId="4240A8AE"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13981.8</w:t>
            </w:r>
          </w:p>
        </w:tc>
        <w:tc>
          <w:tcPr>
            <w:tcW w:w="390" w:type="pct"/>
            <w:tcBorders>
              <w:top w:val="nil"/>
              <w:left w:val="nil"/>
              <w:bottom w:val="nil"/>
              <w:right w:val="single" w:sz="8" w:space="0" w:color="auto"/>
            </w:tcBorders>
            <w:shd w:val="clear" w:color="auto" w:fill="auto"/>
            <w:noWrap/>
            <w:hideMark/>
          </w:tcPr>
          <w:p w14:paraId="4593F8DF"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10302.1</w:t>
            </w:r>
          </w:p>
        </w:tc>
        <w:tc>
          <w:tcPr>
            <w:tcW w:w="642" w:type="pct"/>
            <w:tcBorders>
              <w:top w:val="nil"/>
              <w:left w:val="nil"/>
              <w:bottom w:val="nil"/>
              <w:right w:val="single" w:sz="8" w:space="0" w:color="auto"/>
            </w:tcBorders>
            <w:shd w:val="clear" w:color="auto" w:fill="auto"/>
            <w:noWrap/>
            <w:hideMark/>
          </w:tcPr>
          <w:p w14:paraId="58BF5ECC"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6.8</w:t>
            </w:r>
          </w:p>
        </w:tc>
        <w:tc>
          <w:tcPr>
            <w:tcW w:w="327" w:type="pct"/>
            <w:tcBorders>
              <w:top w:val="nil"/>
              <w:left w:val="nil"/>
              <w:bottom w:val="nil"/>
              <w:right w:val="single" w:sz="8" w:space="0" w:color="auto"/>
            </w:tcBorders>
            <w:shd w:val="clear" w:color="auto" w:fill="auto"/>
            <w:noWrap/>
            <w:hideMark/>
          </w:tcPr>
          <w:p w14:paraId="40A4A58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28.3</w:t>
            </w:r>
          </w:p>
        </w:tc>
      </w:tr>
      <w:tr w:rsidR="00D33F7C" w:rsidRPr="001210D0" w14:paraId="3FD7CC26"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27E28122"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India</w:t>
            </w:r>
          </w:p>
        </w:tc>
        <w:tc>
          <w:tcPr>
            <w:tcW w:w="1129" w:type="pct"/>
            <w:tcBorders>
              <w:top w:val="nil"/>
              <w:left w:val="nil"/>
              <w:bottom w:val="nil"/>
              <w:right w:val="single" w:sz="8" w:space="0" w:color="auto"/>
            </w:tcBorders>
            <w:shd w:val="clear" w:color="000000" w:fill="D9E1F2"/>
            <w:noWrap/>
            <w:hideMark/>
          </w:tcPr>
          <w:p w14:paraId="3780B245"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S&amp;P BSE SENSEX </w:t>
            </w:r>
          </w:p>
        </w:tc>
        <w:tc>
          <w:tcPr>
            <w:tcW w:w="790" w:type="pct"/>
            <w:tcBorders>
              <w:top w:val="nil"/>
              <w:left w:val="nil"/>
              <w:bottom w:val="nil"/>
              <w:right w:val="single" w:sz="8" w:space="0" w:color="auto"/>
            </w:tcBorders>
            <w:shd w:val="clear" w:color="auto" w:fill="auto"/>
            <w:noWrap/>
            <w:hideMark/>
          </w:tcPr>
          <w:p w14:paraId="5F43CE64"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52482.7</w:t>
            </w:r>
          </w:p>
        </w:tc>
        <w:tc>
          <w:tcPr>
            <w:tcW w:w="428" w:type="pct"/>
            <w:tcBorders>
              <w:top w:val="nil"/>
              <w:left w:val="nil"/>
              <w:bottom w:val="nil"/>
              <w:right w:val="single" w:sz="8" w:space="0" w:color="auto"/>
            </w:tcBorders>
            <w:shd w:val="clear" w:color="auto" w:fill="auto"/>
            <w:noWrap/>
            <w:hideMark/>
          </w:tcPr>
          <w:p w14:paraId="4751BD8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51937.4</w:t>
            </w:r>
          </w:p>
        </w:tc>
        <w:tc>
          <w:tcPr>
            <w:tcW w:w="428" w:type="pct"/>
            <w:tcBorders>
              <w:top w:val="nil"/>
              <w:left w:val="nil"/>
              <w:bottom w:val="nil"/>
              <w:right w:val="single" w:sz="8" w:space="0" w:color="auto"/>
            </w:tcBorders>
            <w:shd w:val="clear" w:color="auto" w:fill="auto"/>
            <w:noWrap/>
            <w:hideMark/>
          </w:tcPr>
          <w:p w14:paraId="25E1A14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49509.2</w:t>
            </w:r>
          </w:p>
        </w:tc>
        <w:tc>
          <w:tcPr>
            <w:tcW w:w="428" w:type="pct"/>
            <w:tcBorders>
              <w:top w:val="nil"/>
              <w:left w:val="nil"/>
              <w:bottom w:val="nil"/>
              <w:right w:val="single" w:sz="8" w:space="0" w:color="auto"/>
            </w:tcBorders>
            <w:shd w:val="clear" w:color="auto" w:fill="auto"/>
            <w:noWrap/>
            <w:hideMark/>
          </w:tcPr>
          <w:p w14:paraId="5BF5704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47751.3</w:t>
            </w:r>
          </w:p>
        </w:tc>
        <w:tc>
          <w:tcPr>
            <w:tcW w:w="390" w:type="pct"/>
            <w:tcBorders>
              <w:top w:val="nil"/>
              <w:left w:val="nil"/>
              <w:bottom w:val="nil"/>
              <w:right w:val="single" w:sz="8" w:space="0" w:color="auto"/>
            </w:tcBorders>
            <w:shd w:val="clear" w:color="auto" w:fill="auto"/>
            <w:noWrap/>
            <w:hideMark/>
          </w:tcPr>
          <w:p w14:paraId="71E0DF7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34915.8</w:t>
            </w:r>
          </w:p>
        </w:tc>
        <w:tc>
          <w:tcPr>
            <w:tcW w:w="642" w:type="pct"/>
            <w:tcBorders>
              <w:top w:val="nil"/>
              <w:left w:val="nil"/>
              <w:bottom w:val="nil"/>
              <w:right w:val="single" w:sz="8" w:space="0" w:color="auto"/>
            </w:tcBorders>
            <w:shd w:val="clear" w:color="auto" w:fill="auto"/>
            <w:noWrap/>
            <w:hideMark/>
          </w:tcPr>
          <w:p w14:paraId="5AEA5869"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6.6</w:t>
            </w:r>
          </w:p>
        </w:tc>
        <w:tc>
          <w:tcPr>
            <w:tcW w:w="327" w:type="pct"/>
            <w:tcBorders>
              <w:top w:val="nil"/>
              <w:left w:val="nil"/>
              <w:bottom w:val="nil"/>
              <w:right w:val="single" w:sz="8" w:space="0" w:color="auto"/>
            </w:tcBorders>
            <w:shd w:val="clear" w:color="auto" w:fill="auto"/>
            <w:noWrap/>
            <w:hideMark/>
          </w:tcPr>
          <w:p w14:paraId="6B4E8F2E"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32.0</w:t>
            </w:r>
          </w:p>
        </w:tc>
      </w:tr>
      <w:tr w:rsidR="00D33F7C" w:rsidRPr="001210D0" w14:paraId="2CA20E52"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54BFB222"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China</w:t>
            </w:r>
          </w:p>
        </w:tc>
        <w:tc>
          <w:tcPr>
            <w:tcW w:w="1129" w:type="pct"/>
            <w:tcBorders>
              <w:top w:val="nil"/>
              <w:left w:val="nil"/>
              <w:bottom w:val="nil"/>
              <w:right w:val="single" w:sz="8" w:space="0" w:color="auto"/>
            </w:tcBorders>
            <w:shd w:val="clear" w:color="000000" w:fill="D9E1F2"/>
            <w:noWrap/>
            <w:hideMark/>
          </w:tcPr>
          <w:p w14:paraId="5921A482"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SHANGHAI SE COMPOSITE</w:t>
            </w:r>
          </w:p>
        </w:tc>
        <w:tc>
          <w:tcPr>
            <w:tcW w:w="790" w:type="pct"/>
            <w:tcBorders>
              <w:top w:val="nil"/>
              <w:left w:val="nil"/>
              <w:bottom w:val="nil"/>
              <w:right w:val="single" w:sz="8" w:space="0" w:color="auto"/>
            </w:tcBorders>
            <w:shd w:val="clear" w:color="auto" w:fill="auto"/>
            <w:noWrap/>
            <w:hideMark/>
          </w:tcPr>
          <w:p w14:paraId="7AB0E71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3591.2</w:t>
            </w:r>
          </w:p>
        </w:tc>
        <w:tc>
          <w:tcPr>
            <w:tcW w:w="428" w:type="pct"/>
            <w:tcBorders>
              <w:top w:val="nil"/>
              <w:left w:val="nil"/>
              <w:bottom w:val="nil"/>
              <w:right w:val="single" w:sz="8" w:space="0" w:color="auto"/>
            </w:tcBorders>
            <w:shd w:val="clear" w:color="auto" w:fill="auto"/>
            <w:noWrap/>
            <w:hideMark/>
          </w:tcPr>
          <w:p w14:paraId="6F9F463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3615.5</w:t>
            </w:r>
          </w:p>
        </w:tc>
        <w:tc>
          <w:tcPr>
            <w:tcW w:w="428" w:type="pct"/>
            <w:tcBorders>
              <w:top w:val="nil"/>
              <w:left w:val="nil"/>
              <w:bottom w:val="nil"/>
              <w:right w:val="single" w:sz="8" w:space="0" w:color="auto"/>
            </w:tcBorders>
            <w:shd w:val="clear" w:color="auto" w:fill="auto"/>
            <w:noWrap/>
            <w:hideMark/>
          </w:tcPr>
          <w:p w14:paraId="4C55571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3441.9</w:t>
            </w:r>
          </w:p>
        </w:tc>
        <w:tc>
          <w:tcPr>
            <w:tcW w:w="428" w:type="pct"/>
            <w:tcBorders>
              <w:top w:val="nil"/>
              <w:left w:val="nil"/>
              <w:bottom w:val="nil"/>
              <w:right w:val="single" w:sz="8" w:space="0" w:color="auto"/>
            </w:tcBorders>
            <w:shd w:val="clear" w:color="auto" w:fill="auto"/>
            <w:noWrap/>
            <w:hideMark/>
          </w:tcPr>
          <w:p w14:paraId="00F9EBB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3473.1</w:t>
            </w:r>
          </w:p>
        </w:tc>
        <w:tc>
          <w:tcPr>
            <w:tcW w:w="390" w:type="pct"/>
            <w:tcBorders>
              <w:top w:val="nil"/>
              <w:left w:val="nil"/>
              <w:bottom w:val="nil"/>
              <w:right w:val="single" w:sz="8" w:space="0" w:color="auto"/>
            </w:tcBorders>
            <w:shd w:val="clear" w:color="auto" w:fill="auto"/>
            <w:noWrap/>
            <w:hideMark/>
          </w:tcPr>
          <w:p w14:paraId="0ED56CD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2984.7</w:t>
            </w:r>
          </w:p>
        </w:tc>
        <w:tc>
          <w:tcPr>
            <w:tcW w:w="642" w:type="pct"/>
            <w:tcBorders>
              <w:top w:val="nil"/>
              <w:left w:val="nil"/>
              <w:bottom w:val="nil"/>
              <w:right w:val="single" w:sz="8" w:space="0" w:color="auto"/>
            </w:tcBorders>
            <w:shd w:val="clear" w:color="auto" w:fill="auto"/>
            <w:noWrap/>
            <w:hideMark/>
          </w:tcPr>
          <w:p w14:paraId="2CBDD41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9.0</w:t>
            </w:r>
          </w:p>
        </w:tc>
        <w:tc>
          <w:tcPr>
            <w:tcW w:w="327" w:type="pct"/>
            <w:tcBorders>
              <w:top w:val="nil"/>
              <w:left w:val="nil"/>
              <w:bottom w:val="nil"/>
              <w:right w:val="single" w:sz="8" w:space="0" w:color="auto"/>
            </w:tcBorders>
            <w:shd w:val="clear" w:color="auto" w:fill="auto"/>
            <w:noWrap/>
            <w:hideMark/>
          </w:tcPr>
          <w:p w14:paraId="097D7299"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12.8</w:t>
            </w:r>
          </w:p>
        </w:tc>
      </w:tr>
      <w:tr w:rsidR="00D33F7C" w:rsidRPr="001210D0" w14:paraId="1CA8CA20" w14:textId="77777777" w:rsidTr="00E213CE">
        <w:trPr>
          <w:trHeight w:val="279"/>
        </w:trPr>
        <w:tc>
          <w:tcPr>
            <w:tcW w:w="438" w:type="pct"/>
            <w:tcBorders>
              <w:top w:val="nil"/>
              <w:left w:val="single" w:sz="8" w:space="0" w:color="auto"/>
              <w:bottom w:val="single" w:sz="8" w:space="0" w:color="auto"/>
              <w:right w:val="single" w:sz="8" w:space="0" w:color="auto"/>
            </w:tcBorders>
            <w:shd w:val="clear" w:color="000000" w:fill="D9E1F2"/>
            <w:noWrap/>
            <w:hideMark/>
          </w:tcPr>
          <w:p w14:paraId="600C1A7E"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South Africa</w:t>
            </w:r>
          </w:p>
        </w:tc>
        <w:tc>
          <w:tcPr>
            <w:tcW w:w="1129" w:type="pct"/>
            <w:tcBorders>
              <w:top w:val="nil"/>
              <w:left w:val="nil"/>
              <w:bottom w:val="single" w:sz="8" w:space="0" w:color="auto"/>
              <w:right w:val="single" w:sz="8" w:space="0" w:color="auto"/>
            </w:tcBorders>
            <w:shd w:val="clear" w:color="000000" w:fill="D9E1F2"/>
            <w:noWrap/>
            <w:hideMark/>
          </w:tcPr>
          <w:p w14:paraId="4B614CE5"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FTSE/JSE AFRICA ALL SHR</w:t>
            </w:r>
          </w:p>
        </w:tc>
        <w:tc>
          <w:tcPr>
            <w:tcW w:w="790" w:type="pct"/>
            <w:tcBorders>
              <w:top w:val="nil"/>
              <w:left w:val="nil"/>
              <w:bottom w:val="single" w:sz="8" w:space="0" w:color="auto"/>
              <w:right w:val="single" w:sz="8" w:space="0" w:color="auto"/>
            </w:tcBorders>
            <w:shd w:val="clear" w:color="auto" w:fill="auto"/>
            <w:noWrap/>
            <w:hideMark/>
          </w:tcPr>
          <w:p w14:paraId="6ECFCBC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66248.7</w:t>
            </w:r>
          </w:p>
        </w:tc>
        <w:tc>
          <w:tcPr>
            <w:tcW w:w="428" w:type="pct"/>
            <w:tcBorders>
              <w:top w:val="nil"/>
              <w:left w:val="nil"/>
              <w:bottom w:val="single" w:sz="8" w:space="0" w:color="auto"/>
              <w:right w:val="single" w:sz="8" w:space="0" w:color="auto"/>
            </w:tcBorders>
            <w:shd w:val="clear" w:color="auto" w:fill="auto"/>
            <w:noWrap/>
            <w:hideMark/>
          </w:tcPr>
          <w:p w14:paraId="34C8676E"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67964.0</w:t>
            </w:r>
          </w:p>
        </w:tc>
        <w:tc>
          <w:tcPr>
            <w:tcW w:w="428" w:type="pct"/>
            <w:tcBorders>
              <w:top w:val="nil"/>
              <w:left w:val="nil"/>
              <w:bottom w:val="single" w:sz="8" w:space="0" w:color="auto"/>
              <w:right w:val="single" w:sz="8" w:space="0" w:color="auto"/>
            </w:tcBorders>
            <w:shd w:val="clear" w:color="auto" w:fill="auto"/>
            <w:noWrap/>
            <w:hideMark/>
          </w:tcPr>
          <w:p w14:paraId="0734C95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66485.3</w:t>
            </w:r>
          </w:p>
        </w:tc>
        <w:tc>
          <w:tcPr>
            <w:tcW w:w="428" w:type="pct"/>
            <w:tcBorders>
              <w:top w:val="nil"/>
              <w:left w:val="nil"/>
              <w:bottom w:val="single" w:sz="8" w:space="0" w:color="auto"/>
              <w:right w:val="single" w:sz="8" w:space="0" w:color="auto"/>
            </w:tcBorders>
            <w:shd w:val="clear" w:color="auto" w:fill="auto"/>
            <w:noWrap/>
            <w:hideMark/>
          </w:tcPr>
          <w:p w14:paraId="0F1CFB6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59408.7</w:t>
            </w:r>
          </w:p>
        </w:tc>
        <w:tc>
          <w:tcPr>
            <w:tcW w:w="390" w:type="pct"/>
            <w:tcBorders>
              <w:top w:val="nil"/>
              <w:left w:val="nil"/>
              <w:bottom w:val="single" w:sz="8" w:space="0" w:color="auto"/>
              <w:right w:val="single" w:sz="8" w:space="0" w:color="auto"/>
            </w:tcBorders>
            <w:shd w:val="clear" w:color="auto" w:fill="auto"/>
            <w:noWrap/>
            <w:hideMark/>
          </w:tcPr>
          <w:p w14:paraId="65E56E5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54362.4</w:t>
            </w:r>
          </w:p>
        </w:tc>
        <w:tc>
          <w:tcPr>
            <w:tcW w:w="642" w:type="pct"/>
            <w:tcBorders>
              <w:top w:val="nil"/>
              <w:left w:val="nil"/>
              <w:bottom w:val="nil"/>
              <w:right w:val="single" w:sz="8" w:space="0" w:color="auto"/>
            </w:tcBorders>
            <w:shd w:val="clear" w:color="auto" w:fill="auto"/>
            <w:noWrap/>
            <w:hideMark/>
          </w:tcPr>
          <w:p w14:paraId="2DC7DEB9"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11.7</w:t>
            </w:r>
          </w:p>
        </w:tc>
        <w:tc>
          <w:tcPr>
            <w:tcW w:w="327" w:type="pct"/>
            <w:tcBorders>
              <w:top w:val="nil"/>
              <w:left w:val="nil"/>
              <w:bottom w:val="nil"/>
              <w:right w:val="single" w:sz="8" w:space="0" w:color="auto"/>
            </w:tcBorders>
            <w:shd w:val="clear" w:color="auto" w:fill="auto"/>
            <w:noWrap/>
            <w:hideMark/>
          </w:tcPr>
          <w:p w14:paraId="67B8192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14.9</w:t>
            </w:r>
          </w:p>
        </w:tc>
      </w:tr>
      <w:tr w:rsidR="00D33F7C" w:rsidRPr="001210D0" w14:paraId="613E4274" w14:textId="77777777" w:rsidTr="00E213CE">
        <w:trPr>
          <w:trHeight w:val="279"/>
        </w:trPr>
        <w:tc>
          <w:tcPr>
            <w:tcW w:w="5000" w:type="pct"/>
            <w:gridSpan w:val="9"/>
            <w:tcBorders>
              <w:top w:val="single" w:sz="8" w:space="0" w:color="auto"/>
              <w:left w:val="single" w:sz="8" w:space="0" w:color="auto"/>
              <w:bottom w:val="single" w:sz="8" w:space="0" w:color="auto"/>
              <w:right w:val="single" w:sz="8" w:space="0" w:color="000000"/>
            </w:tcBorders>
            <w:shd w:val="clear" w:color="000000" w:fill="D9E1F2"/>
            <w:hideMark/>
          </w:tcPr>
          <w:p w14:paraId="125EFDE0" w14:textId="77777777" w:rsidR="00D33F7C" w:rsidRPr="001210D0" w:rsidRDefault="00D33F7C" w:rsidP="00E213CE">
            <w:pPr>
              <w:jc w:val="cente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Developed Markets</w:t>
            </w:r>
          </w:p>
        </w:tc>
      </w:tr>
      <w:tr w:rsidR="00D33F7C" w:rsidRPr="001210D0" w14:paraId="5E8BEDB3"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2C88524E"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USA</w:t>
            </w:r>
          </w:p>
        </w:tc>
        <w:tc>
          <w:tcPr>
            <w:tcW w:w="1129" w:type="pct"/>
            <w:tcBorders>
              <w:top w:val="nil"/>
              <w:left w:val="nil"/>
              <w:bottom w:val="nil"/>
              <w:right w:val="single" w:sz="8" w:space="0" w:color="auto"/>
            </w:tcBorders>
            <w:shd w:val="clear" w:color="000000" w:fill="D9E1F2"/>
            <w:noWrap/>
            <w:hideMark/>
          </w:tcPr>
          <w:p w14:paraId="04CA3EF9"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NASDAQ COMPOSITE </w:t>
            </w:r>
          </w:p>
        </w:tc>
        <w:tc>
          <w:tcPr>
            <w:tcW w:w="790" w:type="pct"/>
            <w:tcBorders>
              <w:top w:val="nil"/>
              <w:left w:val="nil"/>
              <w:bottom w:val="nil"/>
              <w:right w:val="single" w:sz="8" w:space="0" w:color="auto"/>
            </w:tcBorders>
            <w:shd w:val="clear" w:color="auto" w:fill="auto"/>
            <w:noWrap/>
            <w:hideMark/>
          </w:tcPr>
          <w:p w14:paraId="5DDE989E"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14504.0</w:t>
            </w:r>
          </w:p>
        </w:tc>
        <w:tc>
          <w:tcPr>
            <w:tcW w:w="428" w:type="pct"/>
            <w:tcBorders>
              <w:top w:val="nil"/>
              <w:left w:val="nil"/>
              <w:bottom w:val="nil"/>
              <w:right w:val="single" w:sz="8" w:space="0" w:color="auto"/>
            </w:tcBorders>
            <w:shd w:val="clear" w:color="auto" w:fill="auto"/>
            <w:noWrap/>
            <w:hideMark/>
          </w:tcPr>
          <w:p w14:paraId="3F91CE26"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13748.7</w:t>
            </w:r>
          </w:p>
        </w:tc>
        <w:tc>
          <w:tcPr>
            <w:tcW w:w="428" w:type="pct"/>
            <w:tcBorders>
              <w:top w:val="nil"/>
              <w:left w:val="nil"/>
              <w:bottom w:val="nil"/>
              <w:right w:val="single" w:sz="8" w:space="0" w:color="auto"/>
            </w:tcBorders>
            <w:shd w:val="clear" w:color="auto" w:fill="auto"/>
            <w:noWrap/>
            <w:hideMark/>
          </w:tcPr>
          <w:p w14:paraId="579E5F1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13246.9</w:t>
            </w:r>
          </w:p>
        </w:tc>
        <w:tc>
          <w:tcPr>
            <w:tcW w:w="428" w:type="pct"/>
            <w:tcBorders>
              <w:top w:val="nil"/>
              <w:left w:val="nil"/>
              <w:bottom w:val="nil"/>
              <w:right w:val="single" w:sz="8" w:space="0" w:color="auto"/>
            </w:tcBorders>
            <w:shd w:val="clear" w:color="auto" w:fill="auto"/>
            <w:noWrap/>
            <w:hideMark/>
          </w:tcPr>
          <w:p w14:paraId="71B30D0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12888.3</w:t>
            </w:r>
          </w:p>
        </w:tc>
        <w:tc>
          <w:tcPr>
            <w:tcW w:w="390" w:type="pct"/>
            <w:tcBorders>
              <w:top w:val="nil"/>
              <w:left w:val="nil"/>
              <w:bottom w:val="nil"/>
              <w:right w:val="single" w:sz="8" w:space="0" w:color="auto"/>
            </w:tcBorders>
            <w:shd w:val="clear" w:color="auto" w:fill="auto"/>
            <w:noWrap/>
            <w:hideMark/>
          </w:tcPr>
          <w:p w14:paraId="7D06F823"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10058.8</w:t>
            </w:r>
          </w:p>
        </w:tc>
        <w:tc>
          <w:tcPr>
            <w:tcW w:w="642" w:type="pct"/>
            <w:tcBorders>
              <w:top w:val="nil"/>
              <w:left w:val="nil"/>
              <w:bottom w:val="nil"/>
              <w:right w:val="single" w:sz="8" w:space="0" w:color="auto"/>
            </w:tcBorders>
            <w:shd w:val="clear" w:color="auto" w:fill="auto"/>
            <w:noWrap/>
            <w:hideMark/>
          </w:tcPr>
          <w:p w14:paraId="0F6A650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9.8</w:t>
            </w:r>
          </w:p>
        </w:tc>
        <w:tc>
          <w:tcPr>
            <w:tcW w:w="327" w:type="pct"/>
            <w:tcBorders>
              <w:top w:val="nil"/>
              <w:left w:val="nil"/>
              <w:bottom w:val="nil"/>
              <w:right w:val="single" w:sz="8" w:space="0" w:color="auto"/>
            </w:tcBorders>
            <w:shd w:val="clear" w:color="auto" w:fill="auto"/>
            <w:noWrap/>
            <w:hideMark/>
          </w:tcPr>
          <w:p w14:paraId="7FB1AEC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NA</w:t>
            </w:r>
          </w:p>
        </w:tc>
      </w:tr>
      <w:tr w:rsidR="00D33F7C" w:rsidRPr="001210D0" w14:paraId="236A7AAB"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392AD65A"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USA</w:t>
            </w:r>
          </w:p>
        </w:tc>
        <w:tc>
          <w:tcPr>
            <w:tcW w:w="1129" w:type="pct"/>
            <w:tcBorders>
              <w:top w:val="nil"/>
              <w:left w:val="nil"/>
              <w:bottom w:val="nil"/>
              <w:right w:val="single" w:sz="8" w:space="0" w:color="auto"/>
            </w:tcBorders>
            <w:shd w:val="clear" w:color="000000" w:fill="D9E1F2"/>
            <w:noWrap/>
            <w:hideMark/>
          </w:tcPr>
          <w:p w14:paraId="3B6E0ADF"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DOW JONES INDUS. AVG</w:t>
            </w:r>
          </w:p>
        </w:tc>
        <w:tc>
          <w:tcPr>
            <w:tcW w:w="790" w:type="pct"/>
            <w:tcBorders>
              <w:top w:val="nil"/>
              <w:left w:val="nil"/>
              <w:bottom w:val="nil"/>
              <w:right w:val="single" w:sz="8" w:space="0" w:color="auto"/>
            </w:tcBorders>
            <w:shd w:val="clear" w:color="auto" w:fill="auto"/>
            <w:noWrap/>
            <w:hideMark/>
          </w:tcPr>
          <w:p w14:paraId="07A3CE2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34502.5</w:t>
            </w:r>
          </w:p>
        </w:tc>
        <w:tc>
          <w:tcPr>
            <w:tcW w:w="428" w:type="pct"/>
            <w:tcBorders>
              <w:top w:val="nil"/>
              <w:left w:val="nil"/>
              <w:bottom w:val="nil"/>
              <w:right w:val="single" w:sz="8" w:space="0" w:color="auto"/>
            </w:tcBorders>
            <w:shd w:val="clear" w:color="auto" w:fill="auto"/>
            <w:noWrap/>
            <w:hideMark/>
          </w:tcPr>
          <w:p w14:paraId="3227758C"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34529.5</w:t>
            </w:r>
          </w:p>
        </w:tc>
        <w:tc>
          <w:tcPr>
            <w:tcW w:w="428" w:type="pct"/>
            <w:tcBorders>
              <w:top w:val="nil"/>
              <w:left w:val="nil"/>
              <w:bottom w:val="nil"/>
              <w:right w:val="single" w:sz="8" w:space="0" w:color="auto"/>
            </w:tcBorders>
            <w:shd w:val="clear" w:color="auto" w:fill="auto"/>
            <w:noWrap/>
            <w:hideMark/>
          </w:tcPr>
          <w:p w14:paraId="2ED5401F"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32981.6</w:t>
            </w:r>
          </w:p>
        </w:tc>
        <w:tc>
          <w:tcPr>
            <w:tcW w:w="428" w:type="pct"/>
            <w:tcBorders>
              <w:top w:val="nil"/>
              <w:left w:val="nil"/>
              <w:bottom w:val="nil"/>
              <w:right w:val="single" w:sz="8" w:space="0" w:color="auto"/>
            </w:tcBorders>
            <w:shd w:val="clear" w:color="auto" w:fill="auto"/>
            <w:noWrap/>
            <w:hideMark/>
          </w:tcPr>
          <w:p w14:paraId="4609AAF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30606.5</w:t>
            </w:r>
          </w:p>
        </w:tc>
        <w:tc>
          <w:tcPr>
            <w:tcW w:w="390" w:type="pct"/>
            <w:tcBorders>
              <w:top w:val="nil"/>
              <w:left w:val="nil"/>
              <w:bottom w:val="nil"/>
              <w:right w:val="single" w:sz="8" w:space="0" w:color="auto"/>
            </w:tcBorders>
            <w:shd w:val="clear" w:color="auto" w:fill="auto"/>
            <w:noWrap/>
            <w:hideMark/>
          </w:tcPr>
          <w:p w14:paraId="7BEFDCE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25812.9</w:t>
            </w:r>
          </w:p>
        </w:tc>
        <w:tc>
          <w:tcPr>
            <w:tcW w:w="642" w:type="pct"/>
            <w:tcBorders>
              <w:top w:val="nil"/>
              <w:left w:val="nil"/>
              <w:bottom w:val="nil"/>
              <w:right w:val="single" w:sz="8" w:space="0" w:color="auto"/>
            </w:tcBorders>
            <w:shd w:val="clear" w:color="auto" w:fill="auto"/>
            <w:noWrap/>
            <w:hideMark/>
          </w:tcPr>
          <w:p w14:paraId="3BFA85B3"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10.4</w:t>
            </w:r>
          </w:p>
        </w:tc>
        <w:tc>
          <w:tcPr>
            <w:tcW w:w="327" w:type="pct"/>
            <w:tcBorders>
              <w:top w:val="nil"/>
              <w:left w:val="nil"/>
              <w:bottom w:val="nil"/>
              <w:right w:val="single" w:sz="8" w:space="0" w:color="auto"/>
            </w:tcBorders>
            <w:shd w:val="clear" w:color="auto" w:fill="auto"/>
            <w:noWrap/>
            <w:hideMark/>
          </w:tcPr>
          <w:p w14:paraId="14E8009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22.6</w:t>
            </w:r>
          </w:p>
        </w:tc>
      </w:tr>
      <w:tr w:rsidR="00D33F7C" w:rsidRPr="001210D0" w14:paraId="554D13BF"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46F0AA3E"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France</w:t>
            </w:r>
          </w:p>
        </w:tc>
        <w:tc>
          <w:tcPr>
            <w:tcW w:w="1129" w:type="pct"/>
            <w:tcBorders>
              <w:top w:val="nil"/>
              <w:left w:val="nil"/>
              <w:bottom w:val="nil"/>
              <w:right w:val="single" w:sz="8" w:space="0" w:color="auto"/>
            </w:tcBorders>
            <w:shd w:val="clear" w:color="000000" w:fill="D9E1F2"/>
            <w:noWrap/>
            <w:hideMark/>
          </w:tcPr>
          <w:p w14:paraId="19BFE83D"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CAC 40 </w:t>
            </w:r>
          </w:p>
        </w:tc>
        <w:tc>
          <w:tcPr>
            <w:tcW w:w="790" w:type="pct"/>
            <w:tcBorders>
              <w:top w:val="nil"/>
              <w:left w:val="nil"/>
              <w:bottom w:val="nil"/>
              <w:right w:val="single" w:sz="8" w:space="0" w:color="auto"/>
            </w:tcBorders>
            <w:shd w:val="clear" w:color="auto" w:fill="auto"/>
            <w:noWrap/>
            <w:hideMark/>
          </w:tcPr>
          <w:p w14:paraId="723D2C39"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6507.8</w:t>
            </w:r>
          </w:p>
        </w:tc>
        <w:tc>
          <w:tcPr>
            <w:tcW w:w="428" w:type="pct"/>
            <w:tcBorders>
              <w:top w:val="nil"/>
              <w:left w:val="nil"/>
              <w:bottom w:val="nil"/>
              <w:right w:val="single" w:sz="8" w:space="0" w:color="auto"/>
            </w:tcBorders>
            <w:shd w:val="clear" w:color="auto" w:fill="auto"/>
            <w:noWrap/>
            <w:hideMark/>
          </w:tcPr>
          <w:p w14:paraId="2FD66C29"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6447.2</w:t>
            </w:r>
          </w:p>
        </w:tc>
        <w:tc>
          <w:tcPr>
            <w:tcW w:w="428" w:type="pct"/>
            <w:tcBorders>
              <w:top w:val="nil"/>
              <w:left w:val="nil"/>
              <w:bottom w:val="nil"/>
              <w:right w:val="single" w:sz="8" w:space="0" w:color="auto"/>
            </w:tcBorders>
            <w:shd w:val="clear" w:color="auto" w:fill="auto"/>
            <w:noWrap/>
            <w:hideMark/>
          </w:tcPr>
          <w:p w14:paraId="500038A3"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6067.2</w:t>
            </w:r>
          </w:p>
        </w:tc>
        <w:tc>
          <w:tcPr>
            <w:tcW w:w="428" w:type="pct"/>
            <w:tcBorders>
              <w:top w:val="nil"/>
              <w:left w:val="nil"/>
              <w:bottom w:val="nil"/>
              <w:right w:val="single" w:sz="8" w:space="0" w:color="auto"/>
            </w:tcBorders>
            <w:shd w:val="clear" w:color="auto" w:fill="auto"/>
            <w:noWrap/>
            <w:hideMark/>
          </w:tcPr>
          <w:p w14:paraId="3389939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5551.4</w:t>
            </w:r>
          </w:p>
        </w:tc>
        <w:tc>
          <w:tcPr>
            <w:tcW w:w="390" w:type="pct"/>
            <w:tcBorders>
              <w:top w:val="nil"/>
              <w:left w:val="nil"/>
              <w:bottom w:val="nil"/>
              <w:right w:val="single" w:sz="8" w:space="0" w:color="auto"/>
            </w:tcBorders>
            <w:shd w:val="clear" w:color="auto" w:fill="auto"/>
            <w:noWrap/>
            <w:hideMark/>
          </w:tcPr>
          <w:p w14:paraId="3FEFE18C"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4936.0</w:t>
            </w:r>
          </w:p>
        </w:tc>
        <w:tc>
          <w:tcPr>
            <w:tcW w:w="642" w:type="pct"/>
            <w:tcBorders>
              <w:top w:val="nil"/>
              <w:left w:val="nil"/>
              <w:bottom w:val="nil"/>
              <w:right w:val="single" w:sz="8" w:space="0" w:color="auto"/>
            </w:tcBorders>
            <w:shd w:val="clear" w:color="auto" w:fill="auto"/>
            <w:noWrap/>
            <w:hideMark/>
          </w:tcPr>
          <w:p w14:paraId="70AC7B9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9.9</w:t>
            </w:r>
          </w:p>
        </w:tc>
        <w:tc>
          <w:tcPr>
            <w:tcW w:w="327" w:type="pct"/>
            <w:tcBorders>
              <w:top w:val="nil"/>
              <w:left w:val="nil"/>
              <w:bottom w:val="nil"/>
              <w:right w:val="single" w:sz="8" w:space="0" w:color="auto"/>
            </w:tcBorders>
            <w:shd w:val="clear" w:color="auto" w:fill="auto"/>
            <w:noWrap/>
            <w:hideMark/>
          </w:tcPr>
          <w:p w14:paraId="240E57DA"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27.5</w:t>
            </w:r>
          </w:p>
        </w:tc>
      </w:tr>
      <w:tr w:rsidR="00D33F7C" w:rsidRPr="001210D0" w14:paraId="352AEEAB"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08FB6028"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Germany</w:t>
            </w:r>
          </w:p>
        </w:tc>
        <w:tc>
          <w:tcPr>
            <w:tcW w:w="1129" w:type="pct"/>
            <w:tcBorders>
              <w:top w:val="nil"/>
              <w:left w:val="nil"/>
              <w:bottom w:val="nil"/>
              <w:right w:val="single" w:sz="8" w:space="0" w:color="auto"/>
            </w:tcBorders>
            <w:shd w:val="clear" w:color="000000" w:fill="D9E1F2"/>
            <w:noWrap/>
            <w:hideMark/>
          </w:tcPr>
          <w:p w14:paraId="2EA482DF"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DAX </w:t>
            </w:r>
          </w:p>
        </w:tc>
        <w:tc>
          <w:tcPr>
            <w:tcW w:w="790" w:type="pct"/>
            <w:tcBorders>
              <w:top w:val="nil"/>
              <w:left w:val="nil"/>
              <w:bottom w:val="nil"/>
              <w:right w:val="single" w:sz="8" w:space="0" w:color="auto"/>
            </w:tcBorders>
            <w:shd w:val="clear" w:color="auto" w:fill="auto"/>
            <w:noWrap/>
            <w:hideMark/>
          </w:tcPr>
          <w:p w14:paraId="783D828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15531.0</w:t>
            </w:r>
          </w:p>
        </w:tc>
        <w:tc>
          <w:tcPr>
            <w:tcW w:w="428" w:type="pct"/>
            <w:tcBorders>
              <w:top w:val="nil"/>
              <w:left w:val="nil"/>
              <w:bottom w:val="nil"/>
              <w:right w:val="single" w:sz="8" w:space="0" w:color="auto"/>
            </w:tcBorders>
            <w:shd w:val="clear" w:color="auto" w:fill="auto"/>
            <w:noWrap/>
            <w:hideMark/>
          </w:tcPr>
          <w:p w14:paraId="6AC51C8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15421.1</w:t>
            </w:r>
          </w:p>
        </w:tc>
        <w:tc>
          <w:tcPr>
            <w:tcW w:w="428" w:type="pct"/>
            <w:tcBorders>
              <w:top w:val="nil"/>
              <w:left w:val="nil"/>
              <w:bottom w:val="nil"/>
              <w:right w:val="single" w:sz="8" w:space="0" w:color="auto"/>
            </w:tcBorders>
            <w:shd w:val="clear" w:color="auto" w:fill="auto"/>
            <w:noWrap/>
            <w:hideMark/>
          </w:tcPr>
          <w:p w14:paraId="26E45CC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15008.3</w:t>
            </w:r>
          </w:p>
        </w:tc>
        <w:tc>
          <w:tcPr>
            <w:tcW w:w="428" w:type="pct"/>
            <w:tcBorders>
              <w:top w:val="nil"/>
              <w:left w:val="nil"/>
              <w:bottom w:val="nil"/>
              <w:right w:val="single" w:sz="8" w:space="0" w:color="auto"/>
            </w:tcBorders>
            <w:shd w:val="clear" w:color="auto" w:fill="auto"/>
            <w:noWrap/>
            <w:hideMark/>
          </w:tcPr>
          <w:p w14:paraId="21C73FBE"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13718.8</w:t>
            </w:r>
          </w:p>
        </w:tc>
        <w:tc>
          <w:tcPr>
            <w:tcW w:w="390" w:type="pct"/>
            <w:tcBorders>
              <w:top w:val="nil"/>
              <w:left w:val="nil"/>
              <w:bottom w:val="nil"/>
              <w:right w:val="single" w:sz="8" w:space="0" w:color="auto"/>
            </w:tcBorders>
            <w:shd w:val="clear" w:color="auto" w:fill="auto"/>
            <w:noWrap/>
            <w:hideMark/>
          </w:tcPr>
          <w:p w14:paraId="73E51783"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12310.9</w:t>
            </w:r>
          </w:p>
        </w:tc>
        <w:tc>
          <w:tcPr>
            <w:tcW w:w="642" w:type="pct"/>
            <w:tcBorders>
              <w:top w:val="nil"/>
              <w:left w:val="nil"/>
              <w:bottom w:val="nil"/>
              <w:right w:val="single" w:sz="8" w:space="0" w:color="auto"/>
            </w:tcBorders>
            <w:shd w:val="clear" w:color="auto" w:fill="auto"/>
            <w:noWrap/>
            <w:hideMark/>
          </w:tcPr>
          <w:p w14:paraId="36C40556"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10.9</w:t>
            </w:r>
          </w:p>
        </w:tc>
        <w:tc>
          <w:tcPr>
            <w:tcW w:w="327" w:type="pct"/>
            <w:tcBorders>
              <w:top w:val="nil"/>
              <w:left w:val="nil"/>
              <w:bottom w:val="nil"/>
              <w:right w:val="single" w:sz="8" w:space="0" w:color="auto"/>
            </w:tcBorders>
            <w:shd w:val="clear" w:color="auto" w:fill="auto"/>
            <w:noWrap/>
            <w:hideMark/>
          </w:tcPr>
          <w:p w14:paraId="190D7AC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18.9</w:t>
            </w:r>
          </w:p>
        </w:tc>
      </w:tr>
      <w:tr w:rsidR="00D33F7C" w:rsidRPr="001210D0" w14:paraId="5F0915E7"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4B12E492"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UK</w:t>
            </w:r>
          </w:p>
        </w:tc>
        <w:tc>
          <w:tcPr>
            <w:tcW w:w="1129" w:type="pct"/>
            <w:tcBorders>
              <w:top w:val="nil"/>
              <w:left w:val="nil"/>
              <w:bottom w:val="nil"/>
              <w:right w:val="single" w:sz="8" w:space="0" w:color="auto"/>
            </w:tcBorders>
            <w:shd w:val="clear" w:color="000000" w:fill="D9E1F2"/>
            <w:noWrap/>
            <w:hideMark/>
          </w:tcPr>
          <w:p w14:paraId="2ED795B3"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FTSE 100 </w:t>
            </w:r>
          </w:p>
        </w:tc>
        <w:tc>
          <w:tcPr>
            <w:tcW w:w="790" w:type="pct"/>
            <w:tcBorders>
              <w:top w:val="nil"/>
              <w:left w:val="nil"/>
              <w:bottom w:val="nil"/>
              <w:right w:val="single" w:sz="8" w:space="0" w:color="auto"/>
            </w:tcBorders>
            <w:shd w:val="clear" w:color="auto" w:fill="auto"/>
            <w:noWrap/>
            <w:hideMark/>
          </w:tcPr>
          <w:p w14:paraId="1F96B3A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7037.5</w:t>
            </w:r>
          </w:p>
        </w:tc>
        <w:tc>
          <w:tcPr>
            <w:tcW w:w="428" w:type="pct"/>
            <w:tcBorders>
              <w:top w:val="nil"/>
              <w:left w:val="nil"/>
              <w:bottom w:val="nil"/>
              <w:right w:val="single" w:sz="8" w:space="0" w:color="auto"/>
            </w:tcBorders>
            <w:shd w:val="clear" w:color="auto" w:fill="auto"/>
            <w:noWrap/>
            <w:hideMark/>
          </w:tcPr>
          <w:p w14:paraId="73767C9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7022.6</w:t>
            </w:r>
          </w:p>
        </w:tc>
        <w:tc>
          <w:tcPr>
            <w:tcW w:w="428" w:type="pct"/>
            <w:tcBorders>
              <w:top w:val="nil"/>
              <w:left w:val="nil"/>
              <w:bottom w:val="nil"/>
              <w:right w:val="single" w:sz="8" w:space="0" w:color="auto"/>
            </w:tcBorders>
            <w:shd w:val="clear" w:color="auto" w:fill="auto"/>
            <w:noWrap/>
            <w:hideMark/>
          </w:tcPr>
          <w:p w14:paraId="23965073"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6713.6</w:t>
            </w:r>
          </w:p>
        </w:tc>
        <w:tc>
          <w:tcPr>
            <w:tcW w:w="428" w:type="pct"/>
            <w:tcBorders>
              <w:top w:val="nil"/>
              <w:left w:val="nil"/>
              <w:bottom w:val="nil"/>
              <w:right w:val="single" w:sz="8" w:space="0" w:color="auto"/>
            </w:tcBorders>
            <w:shd w:val="clear" w:color="auto" w:fill="auto"/>
            <w:noWrap/>
            <w:hideMark/>
          </w:tcPr>
          <w:p w14:paraId="58990A0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6460.5</w:t>
            </w:r>
          </w:p>
        </w:tc>
        <w:tc>
          <w:tcPr>
            <w:tcW w:w="390" w:type="pct"/>
            <w:tcBorders>
              <w:top w:val="nil"/>
              <w:left w:val="nil"/>
              <w:bottom w:val="nil"/>
              <w:right w:val="single" w:sz="8" w:space="0" w:color="auto"/>
            </w:tcBorders>
            <w:shd w:val="clear" w:color="auto" w:fill="auto"/>
            <w:noWrap/>
            <w:hideMark/>
          </w:tcPr>
          <w:p w14:paraId="02231FA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6169.7</w:t>
            </w:r>
          </w:p>
        </w:tc>
        <w:tc>
          <w:tcPr>
            <w:tcW w:w="642" w:type="pct"/>
            <w:tcBorders>
              <w:top w:val="nil"/>
              <w:left w:val="nil"/>
              <w:bottom w:val="nil"/>
              <w:right w:val="single" w:sz="8" w:space="0" w:color="auto"/>
            </w:tcBorders>
            <w:shd w:val="clear" w:color="auto" w:fill="auto"/>
            <w:noWrap/>
            <w:hideMark/>
          </w:tcPr>
          <w:p w14:paraId="1882842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9.7</w:t>
            </w:r>
          </w:p>
        </w:tc>
        <w:tc>
          <w:tcPr>
            <w:tcW w:w="327" w:type="pct"/>
            <w:tcBorders>
              <w:top w:val="nil"/>
              <w:left w:val="nil"/>
              <w:bottom w:val="nil"/>
              <w:right w:val="single" w:sz="8" w:space="0" w:color="auto"/>
            </w:tcBorders>
            <w:shd w:val="clear" w:color="auto" w:fill="auto"/>
            <w:noWrap/>
            <w:hideMark/>
          </w:tcPr>
          <w:p w14:paraId="62151D12"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17.6</w:t>
            </w:r>
          </w:p>
        </w:tc>
      </w:tr>
      <w:tr w:rsidR="00D33F7C" w:rsidRPr="001210D0" w14:paraId="4BE838DB"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7A9A1B00"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Hong Kong</w:t>
            </w:r>
          </w:p>
        </w:tc>
        <w:tc>
          <w:tcPr>
            <w:tcW w:w="1129" w:type="pct"/>
            <w:tcBorders>
              <w:top w:val="nil"/>
              <w:left w:val="nil"/>
              <w:bottom w:val="nil"/>
              <w:right w:val="single" w:sz="8" w:space="0" w:color="auto"/>
            </w:tcBorders>
            <w:shd w:val="clear" w:color="000000" w:fill="D9E1F2"/>
            <w:noWrap/>
            <w:hideMark/>
          </w:tcPr>
          <w:p w14:paraId="050AD846"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HANG SENG </w:t>
            </w:r>
          </w:p>
        </w:tc>
        <w:tc>
          <w:tcPr>
            <w:tcW w:w="790" w:type="pct"/>
            <w:tcBorders>
              <w:top w:val="nil"/>
              <w:left w:val="nil"/>
              <w:bottom w:val="nil"/>
              <w:right w:val="single" w:sz="8" w:space="0" w:color="auto"/>
            </w:tcBorders>
            <w:shd w:val="clear" w:color="auto" w:fill="auto"/>
            <w:noWrap/>
            <w:hideMark/>
          </w:tcPr>
          <w:p w14:paraId="0C179FE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28828.0</w:t>
            </w:r>
          </w:p>
        </w:tc>
        <w:tc>
          <w:tcPr>
            <w:tcW w:w="428" w:type="pct"/>
            <w:tcBorders>
              <w:top w:val="nil"/>
              <w:left w:val="nil"/>
              <w:bottom w:val="nil"/>
              <w:right w:val="single" w:sz="8" w:space="0" w:color="auto"/>
            </w:tcBorders>
            <w:shd w:val="clear" w:color="auto" w:fill="auto"/>
            <w:noWrap/>
            <w:hideMark/>
          </w:tcPr>
          <w:p w14:paraId="015EAD7A"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29151.8</w:t>
            </w:r>
          </w:p>
        </w:tc>
        <w:tc>
          <w:tcPr>
            <w:tcW w:w="428" w:type="pct"/>
            <w:tcBorders>
              <w:top w:val="nil"/>
              <w:left w:val="nil"/>
              <w:bottom w:val="nil"/>
              <w:right w:val="single" w:sz="8" w:space="0" w:color="auto"/>
            </w:tcBorders>
            <w:shd w:val="clear" w:color="auto" w:fill="auto"/>
            <w:noWrap/>
            <w:hideMark/>
          </w:tcPr>
          <w:p w14:paraId="2831D02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28378.4</w:t>
            </w:r>
          </w:p>
        </w:tc>
        <w:tc>
          <w:tcPr>
            <w:tcW w:w="428" w:type="pct"/>
            <w:tcBorders>
              <w:top w:val="nil"/>
              <w:left w:val="nil"/>
              <w:bottom w:val="nil"/>
              <w:right w:val="single" w:sz="8" w:space="0" w:color="auto"/>
            </w:tcBorders>
            <w:shd w:val="clear" w:color="auto" w:fill="auto"/>
            <w:noWrap/>
            <w:hideMark/>
          </w:tcPr>
          <w:p w14:paraId="1A0B2FCE"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27231.1</w:t>
            </w:r>
          </w:p>
        </w:tc>
        <w:tc>
          <w:tcPr>
            <w:tcW w:w="390" w:type="pct"/>
            <w:tcBorders>
              <w:top w:val="nil"/>
              <w:left w:val="nil"/>
              <w:bottom w:val="nil"/>
              <w:right w:val="single" w:sz="8" w:space="0" w:color="auto"/>
            </w:tcBorders>
            <w:shd w:val="clear" w:color="auto" w:fill="auto"/>
            <w:noWrap/>
            <w:hideMark/>
          </w:tcPr>
          <w:p w14:paraId="3A35A354"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24427.2</w:t>
            </w:r>
          </w:p>
        </w:tc>
        <w:tc>
          <w:tcPr>
            <w:tcW w:w="642" w:type="pct"/>
            <w:tcBorders>
              <w:top w:val="nil"/>
              <w:left w:val="nil"/>
              <w:bottom w:val="nil"/>
              <w:right w:val="single" w:sz="8" w:space="0" w:color="auto"/>
            </w:tcBorders>
            <w:shd w:val="clear" w:color="auto" w:fill="auto"/>
            <w:noWrap/>
            <w:hideMark/>
          </w:tcPr>
          <w:p w14:paraId="36C7932A"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12.2</w:t>
            </w:r>
          </w:p>
        </w:tc>
        <w:tc>
          <w:tcPr>
            <w:tcW w:w="327" w:type="pct"/>
            <w:tcBorders>
              <w:top w:val="nil"/>
              <w:left w:val="nil"/>
              <w:bottom w:val="nil"/>
              <w:right w:val="single" w:sz="8" w:space="0" w:color="auto"/>
            </w:tcBorders>
            <w:shd w:val="clear" w:color="auto" w:fill="auto"/>
            <w:noWrap/>
            <w:hideMark/>
          </w:tcPr>
          <w:p w14:paraId="2165728C"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15.2</w:t>
            </w:r>
          </w:p>
        </w:tc>
      </w:tr>
      <w:tr w:rsidR="00D33F7C" w:rsidRPr="001210D0" w14:paraId="0C98A08F"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26D9F4CA"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South Korea</w:t>
            </w:r>
          </w:p>
        </w:tc>
        <w:tc>
          <w:tcPr>
            <w:tcW w:w="1129" w:type="pct"/>
            <w:tcBorders>
              <w:top w:val="nil"/>
              <w:left w:val="nil"/>
              <w:bottom w:val="nil"/>
              <w:right w:val="single" w:sz="8" w:space="0" w:color="auto"/>
            </w:tcBorders>
            <w:shd w:val="clear" w:color="000000" w:fill="D9E1F2"/>
            <w:noWrap/>
            <w:hideMark/>
          </w:tcPr>
          <w:p w14:paraId="1290AAF3"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KOSPI </w:t>
            </w:r>
          </w:p>
        </w:tc>
        <w:tc>
          <w:tcPr>
            <w:tcW w:w="790" w:type="pct"/>
            <w:tcBorders>
              <w:top w:val="nil"/>
              <w:left w:val="nil"/>
              <w:bottom w:val="nil"/>
              <w:right w:val="single" w:sz="8" w:space="0" w:color="auto"/>
            </w:tcBorders>
            <w:shd w:val="clear" w:color="auto" w:fill="auto"/>
            <w:noWrap/>
            <w:hideMark/>
          </w:tcPr>
          <w:p w14:paraId="52FADD4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3296.7</w:t>
            </w:r>
          </w:p>
        </w:tc>
        <w:tc>
          <w:tcPr>
            <w:tcW w:w="428" w:type="pct"/>
            <w:tcBorders>
              <w:top w:val="nil"/>
              <w:left w:val="nil"/>
              <w:bottom w:val="nil"/>
              <w:right w:val="single" w:sz="8" w:space="0" w:color="auto"/>
            </w:tcBorders>
            <w:shd w:val="clear" w:color="auto" w:fill="auto"/>
            <w:noWrap/>
            <w:hideMark/>
          </w:tcPr>
          <w:p w14:paraId="7D07E50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3203.9</w:t>
            </w:r>
          </w:p>
        </w:tc>
        <w:tc>
          <w:tcPr>
            <w:tcW w:w="428" w:type="pct"/>
            <w:tcBorders>
              <w:top w:val="nil"/>
              <w:left w:val="nil"/>
              <w:bottom w:val="nil"/>
              <w:right w:val="single" w:sz="8" w:space="0" w:color="auto"/>
            </w:tcBorders>
            <w:shd w:val="clear" w:color="auto" w:fill="auto"/>
            <w:noWrap/>
            <w:hideMark/>
          </w:tcPr>
          <w:p w14:paraId="32EB120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3061.4</w:t>
            </w:r>
          </w:p>
        </w:tc>
        <w:tc>
          <w:tcPr>
            <w:tcW w:w="428" w:type="pct"/>
            <w:tcBorders>
              <w:top w:val="nil"/>
              <w:left w:val="nil"/>
              <w:bottom w:val="nil"/>
              <w:right w:val="single" w:sz="8" w:space="0" w:color="auto"/>
            </w:tcBorders>
            <w:shd w:val="clear" w:color="auto" w:fill="auto"/>
            <w:noWrap/>
            <w:hideMark/>
          </w:tcPr>
          <w:p w14:paraId="7F1F0BA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2873.5</w:t>
            </w:r>
          </w:p>
        </w:tc>
        <w:tc>
          <w:tcPr>
            <w:tcW w:w="390" w:type="pct"/>
            <w:tcBorders>
              <w:top w:val="nil"/>
              <w:left w:val="nil"/>
              <w:bottom w:val="nil"/>
              <w:right w:val="single" w:sz="8" w:space="0" w:color="auto"/>
            </w:tcBorders>
            <w:shd w:val="clear" w:color="auto" w:fill="auto"/>
            <w:noWrap/>
            <w:hideMark/>
          </w:tcPr>
          <w:p w14:paraId="650FDF16"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2108.3</w:t>
            </w:r>
          </w:p>
        </w:tc>
        <w:tc>
          <w:tcPr>
            <w:tcW w:w="642" w:type="pct"/>
            <w:tcBorders>
              <w:top w:val="nil"/>
              <w:left w:val="nil"/>
              <w:bottom w:val="nil"/>
              <w:right w:val="single" w:sz="8" w:space="0" w:color="auto"/>
            </w:tcBorders>
            <w:shd w:val="clear" w:color="auto" w:fill="auto"/>
            <w:noWrap/>
            <w:hideMark/>
          </w:tcPr>
          <w:p w14:paraId="2CEE36E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7.5</w:t>
            </w:r>
          </w:p>
        </w:tc>
        <w:tc>
          <w:tcPr>
            <w:tcW w:w="327" w:type="pct"/>
            <w:tcBorders>
              <w:top w:val="nil"/>
              <w:left w:val="nil"/>
              <w:bottom w:val="nil"/>
              <w:right w:val="single" w:sz="8" w:space="0" w:color="auto"/>
            </w:tcBorders>
            <w:shd w:val="clear" w:color="auto" w:fill="auto"/>
            <w:noWrap/>
            <w:hideMark/>
          </w:tcPr>
          <w:p w14:paraId="49BDACB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NA</w:t>
            </w:r>
          </w:p>
        </w:tc>
      </w:tr>
      <w:tr w:rsidR="00D33F7C" w:rsidRPr="001210D0" w14:paraId="36188CFF"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565455E1"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Japan</w:t>
            </w:r>
          </w:p>
        </w:tc>
        <w:tc>
          <w:tcPr>
            <w:tcW w:w="1129" w:type="pct"/>
            <w:tcBorders>
              <w:top w:val="nil"/>
              <w:left w:val="nil"/>
              <w:bottom w:val="nil"/>
              <w:right w:val="single" w:sz="8" w:space="0" w:color="auto"/>
            </w:tcBorders>
            <w:shd w:val="clear" w:color="000000" w:fill="D9E1F2"/>
            <w:noWrap/>
            <w:hideMark/>
          </w:tcPr>
          <w:p w14:paraId="7C6F80F6"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NIKKEI 225</w:t>
            </w:r>
          </w:p>
        </w:tc>
        <w:tc>
          <w:tcPr>
            <w:tcW w:w="790" w:type="pct"/>
            <w:tcBorders>
              <w:top w:val="nil"/>
              <w:left w:val="nil"/>
              <w:bottom w:val="nil"/>
              <w:right w:val="single" w:sz="8" w:space="0" w:color="auto"/>
            </w:tcBorders>
            <w:shd w:val="clear" w:color="auto" w:fill="auto"/>
            <w:noWrap/>
            <w:hideMark/>
          </w:tcPr>
          <w:p w14:paraId="5CB3509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28791.5</w:t>
            </w:r>
          </w:p>
        </w:tc>
        <w:tc>
          <w:tcPr>
            <w:tcW w:w="428" w:type="pct"/>
            <w:tcBorders>
              <w:top w:val="nil"/>
              <w:left w:val="nil"/>
              <w:bottom w:val="nil"/>
              <w:right w:val="single" w:sz="8" w:space="0" w:color="auto"/>
            </w:tcBorders>
            <w:shd w:val="clear" w:color="auto" w:fill="auto"/>
            <w:noWrap/>
            <w:hideMark/>
          </w:tcPr>
          <w:p w14:paraId="6628323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28860.1</w:t>
            </w:r>
          </w:p>
        </w:tc>
        <w:tc>
          <w:tcPr>
            <w:tcW w:w="428" w:type="pct"/>
            <w:tcBorders>
              <w:top w:val="nil"/>
              <w:left w:val="nil"/>
              <w:bottom w:val="nil"/>
              <w:right w:val="single" w:sz="8" w:space="0" w:color="auto"/>
            </w:tcBorders>
            <w:shd w:val="clear" w:color="auto" w:fill="auto"/>
            <w:noWrap/>
            <w:hideMark/>
          </w:tcPr>
          <w:p w14:paraId="2F1BFF2A"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29178.8</w:t>
            </w:r>
          </w:p>
        </w:tc>
        <w:tc>
          <w:tcPr>
            <w:tcW w:w="428" w:type="pct"/>
            <w:tcBorders>
              <w:top w:val="nil"/>
              <w:left w:val="nil"/>
              <w:bottom w:val="nil"/>
              <w:right w:val="single" w:sz="8" w:space="0" w:color="auto"/>
            </w:tcBorders>
            <w:shd w:val="clear" w:color="auto" w:fill="auto"/>
            <w:noWrap/>
            <w:hideMark/>
          </w:tcPr>
          <w:p w14:paraId="6018C02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27444.2</w:t>
            </w:r>
          </w:p>
        </w:tc>
        <w:tc>
          <w:tcPr>
            <w:tcW w:w="390" w:type="pct"/>
            <w:tcBorders>
              <w:top w:val="nil"/>
              <w:left w:val="nil"/>
              <w:bottom w:val="nil"/>
              <w:right w:val="single" w:sz="8" w:space="0" w:color="auto"/>
            </w:tcBorders>
            <w:shd w:val="clear" w:color="auto" w:fill="auto"/>
            <w:noWrap/>
            <w:hideMark/>
          </w:tcPr>
          <w:p w14:paraId="30908677"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22288.1</w:t>
            </w:r>
          </w:p>
        </w:tc>
        <w:tc>
          <w:tcPr>
            <w:tcW w:w="642" w:type="pct"/>
            <w:tcBorders>
              <w:top w:val="nil"/>
              <w:left w:val="nil"/>
              <w:bottom w:val="nil"/>
              <w:right w:val="single" w:sz="8" w:space="0" w:color="auto"/>
            </w:tcBorders>
            <w:shd w:val="clear" w:color="auto" w:fill="auto"/>
            <w:noWrap/>
            <w:hideMark/>
          </w:tcPr>
          <w:p w14:paraId="3383451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17.0</w:t>
            </w:r>
          </w:p>
        </w:tc>
        <w:tc>
          <w:tcPr>
            <w:tcW w:w="327" w:type="pct"/>
            <w:tcBorders>
              <w:top w:val="nil"/>
              <w:left w:val="nil"/>
              <w:bottom w:val="nil"/>
              <w:right w:val="single" w:sz="8" w:space="0" w:color="auto"/>
            </w:tcBorders>
            <w:shd w:val="clear" w:color="auto" w:fill="auto"/>
            <w:noWrap/>
            <w:hideMark/>
          </w:tcPr>
          <w:p w14:paraId="4DFE769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17.0</w:t>
            </w:r>
          </w:p>
        </w:tc>
      </w:tr>
      <w:tr w:rsidR="00D33F7C" w:rsidRPr="001210D0" w14:paraId="72815021" w14:textId="77777777" w:rsidTr="00E213CE">
        <w:trPr>
          <w:trHeight w:val="266"/>
        </w:trPr>
        <w:tc>
          <w:tcPr>
            <w:tcW w:w="438" w:type="pct"/>
            <w:tcBorders>
              <w:top w:val="nil"/>
              <w:left w:val="single" w:sz="8" w:space="0" w:color="auto"/>
              <w:bottom w:val="nil"/>
              <w:right w:val="single" w:sz="8" w:space="0" w:color="auto"/>
            </w:tcBorders>
            <w:shd w:val="clear" w:color="000000" w:fill="D9E1F2"/>
            <w:noWrap/>
            <w:hideMark/>
          </w:tcPr>
          <w:p w14:paraId="66E5DC10"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Singapore</w:t>
            </w:r>
          </w:p>
        </w:tc>
        <w:tc>
          <w:tcPr>
            <w:tcW w:w="1129" w:type="pct"/>
            <w:tcBorders>
              <w:top w:val="nil"/>
              <w:left w:val="nil"/>
              <w:bottom w:val="nil"/>
              <w:right w:val="single" w:sz="8" w:space="0" w:color="auto"/>
            </w:tcBorders>
            <w:shd w:val="clear" w:color="000000" w:fill="D9E1F2"/>
            <w:noWrap/>
            <w:hideMark/>
          </w:tcPr>
          <w:p w14:paraId="1B385251"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STRAITS TIMES  STI</w:t>
            </w:r>
          </w:p>
        </w:tc>
        <w:tc>
          <w:tcPr>
            <w:tcW w:w="790" w:type="pct"/>
            <w:tcBorders>
              <w:top w:val="nil"/>
              <w:left w:val="nil"/>
              <w:bottom w:val="nil"/>
              <w:right w:val="single" w:sz="8" w:space="0" w:color="auto"/>
            </w:tcBorders>
            <w:shd w:val="clear" w:color="auto" w:fill="auto"/>
            <w:noWrap/>
            <w:hideMark/>
          </w:tcPr>
          <w:p w14:paraId="5ABAB49B"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3130.5</w:t>
            </w:r>
          </w:p>
        </w:tc>
        <w:tc>
          <w:tcPr>
            <w:tcW w:w="428" w:type="pct"/>
            <w:tcBorders>
              <w:top w:val="nil"/>
              <w:left w:val="nil"/>
              <w:bottom w:val="nil"/>
              <w:right w:val="single" w:sz="8" w:space="0" w:color="auto"/>
            </w:tcBorders>
            <w:shd w:val="clear" w:color="auto" w:fill="auto"/>
            <w:noWrap/>
            <w:hideMark/>
          </w:tcPr>
          <w:p w14:paraId="47AF8D94"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3164.3</w:t>
            </w:r>
          </w:p>
        </w:tc>
        <w:tc>
          <w:tcPr>
            <w:tcW w:w="428" w:type="pct"/>
            <w:tcBorders>
              <w:top w:val="nil"/>
              <w:left w:val="nil"/>
              <w:bottom w:val="nil"/>
              <w:right w:val="single" w:sz="8" w:space="0" w:color="auto"/>
            </w:tcBorders>
            <w:shd w:val="clear" w:color="auto" w:fill="auto"/>
            <w:noWrap/>
            <w:hideMark/>
          </w:tcPr>
          <w:p w14:paraId="34D7367E"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3165.3</w:t>
            </w:r>
          </w:p>
        </w:tc>
        <w:tc>
          <w:tcPr>
            <w:tcW w:w="428" w:type="pct"/>
            <w:tcBorders>
              <w:top w:val="nil"/>
              <w:left w:val="nil"/>
              <w:bottom w:val="nil"/>
              <w:right w:val="single" w:sz="8" w:space="0" w:color="auto"/>
            </w:tcBorders>
            <w:shd w:val="clear" w:color="auto" w:fill="auto"/>
            <w:noWrap/>
            <w:hideMark/>
          </w:tcPr>
          <w:p w14:paraId="3F523D7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2843.8</w:t>
            </w:r>
          </w:p>
        </w:tc>
        <w:tc>
          <w:tcPr>
            <w:tcW w:w="390" w:type="pct"/>
            <w:tcBorders>
              <w:top w:val="nil"/>
              <w:left w:val="nil"/>
              <w:bottom w:val="nil"/>
              <w:right w:val="single" w:sz="8" w:space="0" w:color="auto"/>
            </w:tcBorders>
            <w:shd w:val="clear" w:color="auto" w:fill="auto"/>
            <w:noWrap/>
            <w:hideMark/>
          </w:tcPr>
          <w:p w14:paraId="510BDE5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2589.9</w:t>
            </w:r>
          </w:p>
        </w:tc>
        <w:tc>
          <w:tcPr>
            <w:tcW w:w="642" w:type="pct"/>
            <w:tcBorders>
              <w:top w:val="nil"/>
              <w:left w:val="nil"/>
              <w:bottom w:val="nil"/>
              <w:right w:val="single" w:sz="8" w:space="0" w:color="auto"/>
            </w:tcBorders>
            <w:shd w:val="clear" w:color="auto" w:fill="auto"/>
            <w:noWrap/>
            <w:hideMark/>
          </w:tcPr>
          <w:p w14:paraId="4F5D4B4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9.7</w:t>
            </w:r>
          </w:p>
        </w:tc>
        <w:tc>
          <w:tcPr>
            <w:tcW w:w="327" w:type="pct"/>
            <w:tcBorders>
              <w:top w:val="nil"/>
              <w:left w:val="nil"/>
              <w:bottom w:val="nil"/>
              <w:right w:val="single" w:sz="8" w:space="0" w:color="auto"/>
            </w:tcBorders>
            <w:shd w:val="clear" w:color="auto" w:fill="auto"/>
            <w:noWrap/>
            <w:hideMark/>
          </w:tcPr>
          <w:p w14:paraId="491CD76D"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13.6</w:t>
            </w:r>
          </w:p>
        </w:tc>
      </w:tr>
      <w:tr w:rsidR="00D33F7C" w:rsidRPr="001210D0" w14:paraId="23CB5AD7" w14:textId="77777777" w:rsidTr="00E213CE">
        <w:trPr>
          <w:trHeight w:val="279"/>
        </w:trPr>
        <w:tc>
          <w:tcPr>
            <w:tcW w:w="438" w:type="pct"/>
            <w:tcBorders>
              <w:top w:val="nil"/>
              <w:left w:val="single" w:sz="8" w:space="0" w:color="auto"/>
              <w:bottom w:val="single" w:sz="8" w:space="0" w:color="auto"/>
              <w:right w:val="single" w:sz="8" w:space="0" w:color="auto"/>
            </w:tcBorders>
            <w:shd w:val="clear" w:color="000000" w:fill="D9E1F2"/>
            <w:noWrap/>
            <w:hideMark/>
          </w:tcPr>
          <w:p w14:paraId="65EBF287"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Taiwan</w:t>
            </w:r>
          </w:p>
        </w:tc>
        <w:tc>
          <w:tcPr>
            <w:tcW w:w="1129" w:type="pct"/>
            <w:tcBorders>
              <w:top w:val="nil"/>
              <w:left w:val="nil"/>
              <w:bottom w:val="single" w:sz="8" w:space="0" w:color="auto"/>
              <w:right w:val="single" w:sz="8" w:space="0" w:color="auto"/>
            </w:tcBorders>
            <w:shd w:val="clear" w:color="000000" w:fill="D9E1F2"/>
            <w:noWrap/>
            <w:hideMark/>
          </w:tcPr>
          <w:p w14:paraId="27C41EA7" w14:textId="77777777" w:rsidR="00D33F7C" w:rsidRPr="001210D0" w:rsidRDefault="00D33F7C" w:rsidP="00E213CE">
            <w:pPr>
              <w:rPr>
                <w:rFonts w:ascii="Garamond" w:eastAsia="Times New Roman" w:hAnsi="Garamond"/>
                <w:color w:val="000000"/>
                <w:sz w:val="18"/>
                <w:szCs w:val="18"/>
                <w:lang w:val="en-IN" w:eastAsia="en-IN" w:bidi="hi-IN"/>
              </w:rPr>
            </w:pPr>
            <w:r w:rsidRPr="001210D0">
              <w:rPr>
                <w:rFonts w:ascii="Garamond" w:eastAsia="Times New Roman" w:hAnsi="Garamond"/>
                <w:color w:val="000000"/>
                <w:sz w:val="18"/>
                <w:szCs w:val="18"/>
                <w:lang w:val="en-IN" w:eastAsia="en-IN" w:bidi="hi-IN"/>
              </w:rPr>
              <w:t xml:space="preserve">TAIWAN TAIEX </w:t>
            </w:r>
          </w:p>
        </w:tc>
        <w:tc>
          <w:tcPr>
            <w:tcW w:w="790" w:type="pct"/>
            <w:tcBorders>
              <w:top w:val="nil"/>
              <w:left w:val="nil"/>
              <w:bottom w:val="single" w:sz="8" w:space="0" w:color="auto"/>
              <w:right w:val="single" w:sz="8" w:space="0" w:color="auto"/>
            </w:tcBorders>
            <w:shd w:val="clear" w:color="auto" w:fill="auto"/>
            <w:noWrap/>
            <w:hideMark/>
          </w:tcPr>
          <w:p w14:paraId="29D8BEF1"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17755.5</w:t>
            </w:r>
          </w:p>
        </w:tc>
        <w:tc>
          <w:tcPr>
            <w:tcW w:w="428" w:type="pct"/>
            <w:tcBorders>
              <w:top w:val="nil"/>
              <w:left w:val="nil"/>
              <w:bottom w:val="single" w:sz="8" w:space="0" w:color="auto"/>
              <w:right w:val="single" w:sz="8" w:space="0" w:color="auto"/>
            </w:tcBorders>
            <w:shd w:val="clear" w:color="auto" w:fill="auto"/>
            <w:noWrap/>
            <w:hideMark/>
          </w:tcPr>
          <w:p w14:paraId="7B21E7F5"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17068.4</w:t>
            </w:r>
          </w:p>
        </w:tc>
        <w:tc>
          <w:tcPr>
            <w:tcW w:w="428" w:type="pct"/>
            <w:tcBorders>
              <w:top w:val="nil"/>
              <w:left w:val="nil"/>
              <w:bottom w:val="single" w:sz="8" w:space="0" w:color="auto"/>
              <w:right w:val="single" w:sz="8" w:space="0" w:color="auto"/>
            </w:tcBorders>
            <w:shd w:val="clear" w:color="auto" w:fill="auto"/>
            <w:noWrap/>
            <w:hideMark/>
          </w:tcPr>
          <w:p w14:paraId="5ECC9BFC"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16431.1</w:t>
            </w:r>
          </w:p>
        </w:tc>
        <w:tc>
          <w:tcPr>
            <w:tcW w:w="428" w:type="pct"/>
            <w:tcBorders>
              <w:top w:val="nil"/>
              <w:left w:val="nil"/>
              <w:bottom w:val="single" w:sz="8" w:space="0" w:color="auto"/>
              <w:right w:val="single" w:sz="8" w:space="0" w:color="auto"/>
            </w:tcBorders>
            <w:shd w:val="clear" w:color="auto" w:fill="auto"/>
            <w:noWrap/>
            <w:hideMark/>
          </w:tcPr>
          <w:p w14:paraId="6A8907A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14732.5</w:t>
            </w:r>
          </w:p>
        </w:tc>
        <w:tc>
          <w:tcPr>
            <w:tcW w:w="390" w:type="pct"/>
            <w:tcBorders>
              <w:top w:val="nil"/>
              <w:left w:val="nil"/>
              <w:bottom w:val="single" w:sz="8" w:space="0" w:color="auto"/>
              <w:right w:val="single" w:sz="8" w:space="0" w:color="auto"/>
            </w:tcBorders>
            <w:shd w:val="clear" w:color="auto" w:fill="auto"/>
            <w:noWrap/>
            <w:hideMark/>
          </w:tcPr>
          <w:p w14:paraId="25F7B490"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11621.2</w:t>
            </w:r>
          </w:p>
        </w:tc>
        <w:tc>
          <w:tcPr>
            <w:tcW w:w="642" w:type="pct"/>
            <w:tcBorders>
              <w:top w:val="nil"/>
              <w:left w:val="nil"/>
              <w:bottom w:val="single" w:sz="8" w:space="0" w:color="auto"/>
              <w:right w:val="single" w:sz="8" w:space="0" w:color="auto"/>
            </w:tcBorders>
            <w:shd w:val="clear" w:color="auto" w:fill="auto"/>
            <w:noWrap/>
            <w:hideMark/>
          </w:tcPr>
          <w:p w14:paraId="2AD6CDCF"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10.4</w:t>
            </w:r>
          </w:p>
        </w:tc>
        <w:tc>
          <w:tcPr>
            <w:tcW w:w="327" w:type="pct"/>
            <w:tcBorders>
              <w:top w:val="nil"/>
              <w:left w:val="nil"/>
              <w:bottom w:val="single" w:sz="8" w:space="0" w:color="auto"/>
              <w:right w:val="single" w:sz="8" w:space="0" w:color="auto"/>
            </w:tcBorders>
            <w:shd w:val="clear" w:color="auto" w:fill="auto"/>
            <w:noWrap/>
            <w:hideMark/>
          </w:tcPr>
          <w:p w14:paraId="0DA23B58" w14:textId="77777777" w:rsidR="00D33F7C" w:rsidRPr="001210D0" w:rsidRDefault="00D33F7C" w:rsidP="00E213CE">
            <w:pPr>
              <w:ind w:firstLineChars="100" w:firstLine="200"/>
              <w:jc w:val="right"/>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18.0</w:t>
            </w:r>
          </w:p>
        </w:tc>
      </w:tr>
    </w:tbl>
    <w:p w14:paraId="4B68A29A" w14:textId="77777777" w:rsidR="00D33F7C" w:rsidRDefault="00D33F7C" w:rsidP="00D33F7C">
      <w:pPr>
        <w:spacing w:line="23" w:lineRule="atLeast"/>
        <w:jc w:val="both"/>
        <w:rPr>
          <w:rFonts w:ascii="Garamond" w:hAnsi="Garamond"/>
          <w:bCs/>
          <w:sz w:val="18"/>
          <w:szCs w:val="18"/>
        </w:rPr>
      </w:pPr>
    </w:p>
    <w:p w14:paraId="0832C624" w14:textId="77777777" w:rsidR="00D33F7C" w:rsidRPr="001972CA" w:rsidRDefault="00D33F7C" w:rsidP="00D33F7C">
      <w:pPr>
        <w:spacing w:line="23" w:lineRule="atLeast"/>
        <w:jc w:val="both"/>
        <w:rPr>
          <w:rFonts w:ascii="Garamond" w:hAnsi="Garamond"/>
          <w:bCs/>
          <w:sz w:val="18"/>
          <w:szCs w:val="18"/>
        </w:rPr>
      </w:pPr>
      <w:r w:rsidRPr="001972CA">
        <w:rPr>
          <w:rFonts w:ascii="Garamond" w:hAnsi="Garamond"/>
          <w:bCs/>
          <w:sz w:val="18"/>
          <w:szCs w:val="18"/>
        </w:rPr>
        <w:t xml:space="preserve"> Note: </w:t>
      </w:r>
      <w:r>
        <w:rPr>
          <w:rFonts w:ascii="Garamond" w:hAnsi="Garamond"/>
          <w:bCs/>
          <w:sz w:val="18"/>
          <w:szCs w:val="18"/>
        </w:rPr>
        <w:t xml:space="preserve">* </w:t>
      </w:r>
      <w:r w:rsidRPr="001972CA">
        <w:rPr>
          <w:rFonts w:ascii="Garamond" w:hAnsi="Garamond"/>
          <w:bCs/>
          <w:sz w:val="18"/>
          <w:szCs w:val="18"/>
        </w:rPr>
        <w:t xml:space="preserve">P/E Ratios as on the last trading day of month. Trailing PE ratio has been used from Refinitiv for all Indices apart from Sensex, Nifty 50, Kospi, Nikkei and Taiwan Taiex. Data for Sensex and Nifty was taken from respective exchange website. </w:t>
      </w:r>
      <w:r w:rsidRPr="005D4199">
        <w:rPr>
          <w:rFonts w:ascii="Garamond" w:hAnsi="Garamond"/>
          <w:bCs/>
          <w:sz w:val="18"/>
          <w:szCs w:val="18"/>
        </w:rPr>
        <w:t xml:space="preserve">Refinitiv </w:t>
      </w:r>
      <w:r w:rsidRPr="001972CA">
        <w:rPr>
          <w:rFonts w:ascii="Garamond" w:hAnsi="Garamond"/>
          <w:bCs/>
          <w:sz w:val="18"/>
          <w:szCs w:val="18"/>
        </w:rPr>
        <w:t xml:space="preserve">data is as on </w:t>
      </w:r>
      <w:r>
        <w:rPr>
          <w:rFonts w:ascii="Garamond" w:hAnsi="Garamond"/>
          <w:bCs/>
          <w:sz w:val="18"/>
          <w:szCs w:val="18"/>
          <w:lang w:val="en-US"/>
        </w:rPr>
        <w:t xml:space="preserve">05 July </w:t>
      </w:r>
      <w:r w:rsidRPr="001972CA">
        <w:rPr>
          <w:rFonts w:ascii="Garamond" w:hAnsi="Garamond"/>
          <w:bCs/>
          <w:sz w:val="18"/>
          <w:szCs w:val="18"/>
          <w:lang w:val="en-US"/>
        </w:rPr>
        <w:t>2021</w:t>
      </w:r>
      <w:r>
        <w:rPr>
          <w:rFonts w:ascii="Garamond" w:hAnsi="Garamond"/>
          <w:bCs/>
          <w:sz w:val="18"/>
          <w:szCs w:val="18"/>
          <w:lang w:val="en-US"/>
        </w:rPr>
        <w:t>.</w:t>
      </w:r>
    </w:p>
    <w:p w14:paraId="1EE7FE8A" w14:textId="77777777" w:rsidR="00D33F7C" w:rsidRDefault="00D33F7C" w:rsidP="00D33F7C">
      <w:pPr>
        <w:spacing w:line="23" w:lineRule="atLeast"/>
        <w:jc w:val="both"/>
        <w:rPr>
          <w:rFonts w:ascii="Garamond" w:hAnsi="Garamond"/>
          <w:bCs/>
          <w:sz w:val="18"/>
          <w:szCs w:val="18"/>
        </w:rPr>
      </w:pPr>
      <w:r w:rsidRPr="001972CA">
        <w:rPr>
          <w:rFonts w:ascii="Garamond" w:hAnsi="Garamond"/>
          <w:bCs/>
          <w:sz w:val="18"/>
          <w:szCs w:val="18"/>
        </w:rPr>
        <w:t xml:space="preserve">Source: Refinitiv, BSE and National Stock Exchange </w:t>
      </w:r>
    </w:p>
    <w:p w14:paraId="451CB518" w14:textId="77777777" w:rsidR="00D33F7C" w:rsidRPr="00073FE2" w:rsidRDefault="00D33F7C" w:rsidP="00D33F7C">
      <w:pPr>
        <w:spacing w:line="23" w:lineRule="atLeast"/>
        <w:rPr>
          <w:rFonts w:ascii="Garamond" w:hAnsi="Garamond"/>
          <w:b/>
          <w:bCs/>
          <w:strike/>
          <w:szCs w:val="22"/>
        </w:rPr>
        <w:sectPr w:rsidR="00D33F7C" w:rsidRPr="00073FE2" w:rsidSect="00E213CE">
          <w:pgSz w:w="16838" w:h="11906" w:orient="landscape" w:code="9"/>
          <w:pgMar w:top="1009" w:right="578" w:bottom="1009" w:left="578" w:header="431" w:footer="431" w:gutter="0"/>
          <w:cols w:space="720"/>
          <w:docGrid w:linePitch="360"/>
        </w:sectPr>
      </w:pPr>
    </w:p>
    <w:p w14:paraId="795C4610" w14:textId="77777777" w:rsidR="00D33F7C" w:rsidRPr="00E25198" w:rsidRDefault="00D33F7C" w:rsidP="00D33F7C">
      <w:pPr>
        <w:spacing w:line="23" w:lineRule="atLeast"/>
        <w:jc w:val="both"/>
        <w:rPr>
          <w:rFonts w:ascii="Garamond" w:hAnsi="Garamond"/>
          <w:b/>
          <w:bCs/>
          <w:szCs w:val="22"/>
        </w:rPr>
      </w:pPr>
    </w:p>
    <w:p w14:paraId="63F8C6AD" w14:textId="77777777" w:rsidR="00D33F7C" w:rsidRPr="00E25198" w:rsidRDefault="00D33F7C" w:rsidP="00D33F7C">
      <w:pPr>
        <w:spacing w:line="23" w:lineRule="atLeast"/>
        <w:jc w:val="both"/>
        <w:rPr>
          <w:rFonts w:ascii="Garamond" w:hAnsi="Garamond"/>
          <w:b/>
          <w:bCs/>
          <w:szCs w:val="22"/>
        </w:rPr>
      </w:pPr>
      <w:r w:rsidRPr="00E25198">
        <w:rPr>
          <w:rFonts w:ascii="Garamond" w:hAnsi="Garamond"/>
          <w:b/>
          <w:bCs/>
          <w:szCs w:val="22"/>
        </w:rPr>
        <w:t>Table A2: Fund Mobilisation by Issuance of Equity and Bond in Major Exchanges (USD million)</w:t>
      </w:r>
    </w:p>
    <w:tbl>
      <w:tblPr>
        <w:tblW w:w="5000" w:type="pct"/>
        <w:tblLook w:val="04A0" w:firstRow="1" w:lastRow="0" w:firstColumn="1" w:lastColumn="0" w:noHBand="0" w:noVBand="1"/>
      </w:tblPr>
      <w:tblGrid>
        <w:gridCol w:w="3457"/>
        <w:gridCol w:w="1067"/>
        <w:gridCol w:w="1068"/>
        <w:gridCol w:w="1070"/>
        <w:gridCol w:w="1068"/>
        <w:gridCol w:w="1068"/>
        <w:gridCol w:w="1070"/>
      </w:tblGrid>
      <w:tr w:rsidR="00D33F7C" w:rsidRPr="001210D0" w14:paraId="25BD927D" w14:textId="77777777" w:rsidTr="00E213CE">
        <w:trPr>
          <w:trHeight w:val="315"/>
        </w:trPr>
        <w:tc>
          <w:tcPr>
            <w:tcW w:w="1752" w:type="pct"/>
            <w:tcBorders>
              <w:top w:val="single" w:sz="8" w:space="0" w:color="auto"/>
              <w:left w:val="single" w:sz="8" w:space="0" w:color="auto"/>
              <w:bottom w:val="nil"/>
              <w:right w:val="single" w:sz="8" w:space="0" w:color="auto"/>
            </w:tcBorders>
            <w:shd w:val="clear" w:color="000000" w:fill="2F5496"/>
            <w:vAlign w:val="center"/>
            <w:hideMark/>
          </w:tcPr>
          <w:p w14:paraId="59EAC638"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Month</w:t>
            </w:r>
          </w:p>
        </w:tc>
        <w:tc>
          <w:tcPr>
            <w:tcW w:w="1624" w:type="pct"/>
            <w:gridSpan w:val="3"/>
            <w:tcBorders>
              <w:top w:val="single" w:sz="8" w:space="0" w:color="auto"/>
              <w:left w:val="nil"/>
              <w:bottom w:val="nil"/>
              <w:right w:val="single" w:sz="8" w:space="0" w:color="000000"/>
            </w:tcBorders>
            <w:shd w:val="clear" w:color="000000" w:fill="2F5496"/>
            <w:vAlign w:val="center"/>
            <w:hideMark/>
          </w:tcPr>
          <w:p w14:paraId="1EC33759"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Apr-21</w:t>
            </w:r>
          </w:p>
        </w:tc>
        <w:tc>
          <w:tcPr>
            <w:tcW w:w="1624" w:type="pct"/>
            <w:gridSpan w:val="3"/>
            <w:tcBorders>
              <w:top w:val="single" w:sz="8" w:space="0" w:color="auto"/>
              <w:left w:val="nil"/>
              <w:bottom w:val="nil"/>
              <w:right w:val="single" w:sz="8" w:space="0" w:color="000000"/>
            </w:tcBorders>
            <w:shd w:val="clear" w:color="000000" w:fill="2F5496"/>
            <w:vAlign w:val="center"/>
            <w:hideMark/>
          </w:tcPr>
          <w:p w14:paraId="422F257A"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May-21</w:t>
            </w:r>
          </w:p>
        </w:tc>
      </w:tr>
      <w:tr w:rsidR="00D33F7C" w:rsidRPr="001210D0" w14:paraId="636BD507" w14:textId="77777777" w:rsidTr="00E213CE">
        <w:trPr>
          <w:trHeight w:val="300"/>
        </w:trPr>
        <w:tc>
          <w:tcPr>
            <w:tcW w:w="1752" w:type="pct"/>
            <w:tcBorders>
              <w:top w:val="single" w:sz="4" w:space="0" w:color="auto"/>
              <w:left w:val="single" w:sz="4" w:space="0" w:color="auto"/>
              <w:bottom w:val="single" w:sz="4" w:space="0" w:color="auto"/>
              <w:right w:val="single" w:sz="4" w:space="0" w:color="auto"/>
            </w:tcBorders>
            <w:shd w:val="clear" w:color="000000" w:fill="2F5496"/>
            <w:vAlign w:val="center"/>
            <w:hideMark/>
          </w:tcPr>
          <w:p w14:paraId="74A97EBA"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Exchange Name</w:t>
            </w:r>
          </w:p>
        </w:tc>
        <w:tc>
          <w:tcPr>
            <w:tcW w:w="541" w:type="pct"/>
            <w:tcBorders>
              <w:top w:val="single" w:sz="4" w:space="0" w:color="auto"/>
              <w:left w:val="nil"/>
              <w:bottom w:val="single" w:sz="4" w:space="0" w:color="auto"/>
              <w:right w:val="single" w:sz="4" w:space="0" w:color="auto"/>
            </w:tcBorders>
            <w:shd w:val="clear" w:color="000000" w:fill="2F5496"/>
            <w:vAlign w:val="center"/>
            <w:hideMark/>
          </w:tcPr>
          <w:p w14:paraId="256FA40D"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Bond</w:t>
            </w:r>
          </w:p>
        </w:tc>
        <w:tc>
          <w:tcPr>
            <w:tcW w:w="541" w:type="pct"/>
            <w:tcBorders>
              <w:top w:val="single" w:sz="4" w:space="0" w:color="auto"/>
              <w:left w:val="nil"/>
              <w:bottom w:val="single" w:sz="4" w:space="0" w:color="auto"/>
              <w:right w:val="single" w:sz="4" w:space="0" w:color="auto"/>
            </w:tcBorders>
            <w:shd w:val="clear" w:color="000000" w:fill="2F5496"/>
            <w:vAlign w:val="center"/>
            <w:hideMark/>
          </w:tcPr>
          <w:p w14:paraId="46F55193"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Equity</w:t>
            </w:r>
          </w:p>
        </w:tc>
        <w:tc>
          <w:tcPr>
            <w:tcW w:w="542" w:type="pct"/>
            <w:tcBorders>
              <w:top w:val="single" w:sz="4" w:space="0" w:color="auto"/>
              <w:left w:val="nil"/>
              <w:bottom w:val="single" w:sz="4" w:space="0" w:color="auto"/>
              <w:right w:val="single" w:sz="4" w:space="0" w:color="auto"/>
            </w:tcBorders>
            <w:shd w:val="clear" w:color="000000" w:fill="2F5496"/>
            <w:vAlign w:val="center"/>
            <w:hideMark/>
          </w:tcPr>
          <w:p w14:paraId="4C475FD9"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Total</w:t>
            </w:r>
          </w:p>
        </w:tc>
        <w:tc>
          <w:tcPr>
            <w:tcW w:w="541" w:type="pct"/>
            <w:tcBorders>
              <w:top w:val="single" w:sz="4" w:space="0" w:color="auto"/>
              <w:left w:val="nil"/>
              <w:bottom w:val="single" w:sz="4" w:space="0" w:color="auto"/>
              <w:right w:val="single" w:sz="4" w:space="0" w:color="auto"/>
            </w:tcBorders>
            <w:shd w:val="clear" w:color="000000" w:fill="2F5496"/>
            <w:vAlign w:val="center"/>
            <w:hideMark/>
          </w:tcPr>
          <w:p w14:paraId="6934F3CD"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Bond</w:t>
            </w:r>
          </w:p>
        </w:tc>
        <w:tc>
          <w:tcPr>
            <w:tcW w:w="541" w:type="pct"/>
            <w:tcBorders>
              <w:top w:val="single" w:sz="4" w:space="0" w:color="auto"/>
              <w:left w:val="nil"/>
              <w:bottom w:val="single" w:sz="4" w:space="0" w:color="auto"/>
              <w:right w:val="single" w:sz="4" w:space="0" w:color="auto"/>
            </w:tcBorders>
            <w:shd w:val="clear" w:color="000000" w:fill="2F5496"/>
            <w:vAlign w:val="center"/>
            <w:hideMark/>
          </w:tcPr>
          <w:p w14:paraId="2F79F5DC"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Equity</w:t>
            </w:r>
          </w:p>
        </w:tc>
        <w:tc>
          <w:tcPr>
            <w:tcW w:w="542" w:type="pct"/>
            <w:tcBorders>
              <w:top w:val="single" w:sz="4" w:space="0" w:color="auto"/>
              <w:left w:val="nil"/>
              <w:bottom w:val="single" w:sz="4" w:space="0" w:color="auto"/>
              <w:right w:val="single" w:sz="4" w:space="0" w:color="auto"/>
            </w:tcBorders>
            <w:shd w:val="clear" w:color="000000" w:fill="2F5496"/>
            <w:vAlign w:val="center"/>
            <w:hideMark/>
          </w:tcPr>
          <w:p w14:paraId="74D9D275" w14:textId="77777777" w:rsidR="00D33F7C" w:rsidRPr="001210D0" w:rsidRDefault="00D33F7C" w:rsidP="00E213CE">
            <w:pPr>
              <w:jc w:val="center"/>
              <w:rPr>
                <w:rFonts w:ascii="Garamond" w:eastAsia="Times New Roman" w:hAnsi="Garamond"/>
                <w:b/>
                <w:bCs/>
                <w:color w:val="FFFFFF"/>
                <w:sz w:val="20"/>
                <w:szCs w:val="20"/>
                <w:lang w:val="en-IN" w:eastAsia="en-IN" w:bidi="hi-IN"/>
              </w:rPr>
            </w:pPr>
            <w:r w:rsidRPr="001210D0">
              <w:rPr>
                <w:rFonts w:ascii="Garamond" w:eastAsia="Times New Roman" w:hAnsi="Garamond"/>
                <w:b/>
                <w:bCs/>
                <w:color w:val="FFFFFF"/>
                <w:sz w:val="20"/>
                <w:szCs w:val="20"/>
                <w:lang w:val="en-IN" w:eastAsia="en-IN" w:bidi="hi-IN"/>
              </w:rPr>
              <w:t>Total</w:t>
            </w:r>
          </w:p>
        </w:tc>
      </w:tr>
      <w:tr w:rsidR="00D33F7C" w:rsidRPr="001210D0" w14:paraId="23EF2DD6"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3AD85791"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NYSE</w:t>
            </w:r>
          </w:p>
        </w:tc>
        <w:tc>
          <w:tcPr>
            <w:tcW w:w="541" w:type="pct"/>
            <w:tcBorders>
              <w:top w:val="nil"/>
              <w:left w:val="nil"/>
              <w:bottom w:val="single" w:sz="4" w:space="0" w:color="auto"/>
              <w:right w:val="single" w:sz="4" w:space="0" w:color="auto"/>
            </w:tcBorders>
            <w:shd w:val="clear" w:color="auto" w:fill="auto"/>
            <w:vAlign w:val="center"/>
            <w:hideMark/>
          </w:tcPr>
          <w:p w14:paraId="18A4305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c>
          <w:tcPr>
            <w:tcW w:w="541" w:type="pct"/>
            <w:tcBorders>
              <w:top w:val="nil"/>
              <w:left w:val="nil"/>
              <w:bottom w:val="single" w:sz="4" w:space="0" w:color="auto"/>
              <w:right w:val="single" w:sz="4" w:space="0" w:color="auto"/>
            </w:tcBorders>
            <w:shd w:val="clear" w:color="auto" w:fill="auto"/>
            <w:vAlign w:val="center"/>
            <w:hideMark/>
          </w:tcPr>
          <w:p w14:paraId="6DDF4B3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3,840</w:t>
            </w:r>
          </w:p>
        </w:tc>
        <w:tc>
          <w:tcPr>
            <w:tcW w:w="542" w:type="pct"/>
            <w:tcBorders>
              <w:top w:val="nil"/>
              <w:left w:val="nil"/>
              <w:bottom w:val="single" w:sz="4" w:space="0" w:color="auto"/>
              <w:right w:val="single" w:sz="4" w:space="0" w:color="auto"/>
            </w:tcBorders>
            <w:shd w:val="clear" w:color="auto" w:fill="auto"/>
            <w:vAlign w:val="center"/>
            <w:hideMark/>
          </w:tcPr>
          <w:p w14:paraId="2A54DC5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3,840</w:t>
            </w:r>
          </w:p>
        </w:tc>
        <w:tc>
          <w:tcPr>
            <w:tcW w:w="541" w:type="pct"/>
            <w:tcBorders>
              <w:top w:val="nil"/>
              <w:left w:val="nil"/>
              <w:bottom w:val="single" w:sz="4" w:space="0" w:color="auto"/>
              <w:right w:val="single" w:sz="4" w:space="0" w:color="auto"/>
            </w:tcBorders>
            <w:shd w:val="clear" w:color="auto" w:fill="auto"/>
            <w:vAlign w:val="center"/>
            <w:hideMark/>
          </w:tcPr>
          <w:p w14:paraId="1494BB6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c>
          <w:tcPr>
            <w:tcW w:w="541" w:type="pct"/>
            <w:tcBorders>
              <w:top w:val="nil"/>
              <w:left w:val="nil"/>
              <w:bottom w:val="single" w:sz="4" w:space="0" w:color="auto"/>
              <w:right w:val="single" w:sz="4" w:space="0" w:color="auto"/>
            </w:tcBorders>
            <w:shd w:val="clear" w:color="auto" w:fill="auto"/>
            <w:vAlign w:val="center"/>
            <w:hideMark/>
          </w:tcPr>
          <w:p w14:paraId="28E67686"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c>
          <w:tcPr>
            <w:tcW w:w="542" w:type="pct"/>
            <w:tcBorders>
              <w:top w:val="nil"/>
              <w:left w:val="nil"/>
              <w:bottom w:val="single" w:sz="4" w:space="0" w:color="auto"/>
              <w:right w:val="single" w:sz="4" w:space="0" w:color="auto"/>
            </w:tcBorders>
            <w:shd w:val="clear" w:color="auto" w:fill="auto"/>
            <w:vAlign w:val="center"/>
            <w:hideMark/>
          </w:tcPr>
          <w:p w14:paraId="2C5DC22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r>
      <w:tr w:rsidR="00D33F7C" w:rsidRPr="001210D0" w14:paraId="73D91E42"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29BE3D64"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ASX Australian Securities Exchange</w:t>
            </w:r>
          </w:p>
        </w:tc>
        <w:tc>
          <w:tcPr>
            <w:tcW w:w="541" w:type="pct"/>
            <w:tcBorders>
              <w:top w:val="nil"/>
              <w:left w:val="nil"/>
              <w:bottom w:val="single" w:sz="4" w:space="0" w:color="auto"/>
              <w:right w:val="single" w:sz="4" w:space="0" w:color="auto"/>
            </w:tcBorders>
            <w:shd w:val="clear" w:color="auto" w:fill="auto"/>
            <w:vAlign w:val="center"/>
            <w:hideMark/>
          </w:tcPr>
          <w:p w14:paraId="0245E63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c>
          <w:tcPr>
            <w:tcW w:w="541" w:type="pct"/>
            <w:tcBorders>
              <w:top w:val="nil"/>
              <w:left w:val="nil"/>
              <w:bottom w:val="single" w:sz="4" w:space="0" w:color="auto"/>
              <w:right w:val="single" w:sz="4" w:space="0" w:color="auto"/>
            </w:tcBorders>
            <w:shd w:val="clear" w:color="auto" w:fill="auto"/>
            <w:vAlign w:val="center"/>
            <w:hideMark/>
          </w:tcPr>
          <w:p w14:paraId="4E9DB15C"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4,681</w:t>
            </w:r>
          </w:p>
        </w:tc>
        <w:tc>
          <w:tcPr>
            <w:tcW w:w="542" w:type="pct"/>
            <w:tcBorders>
              <w:top w:val="nil"/>
              <w:left w:val="nil"/>
              <w:bottom w:val="single" w:sz="4" w:space="0" w:color="auto"/>
              <w:right w:val="single" w:sz="4" w:space="0" w:color="auto"/>
            </w:tcBorders>
            <w:shd w:val="clear" w:color="auto" w:fill="auto"/>
            <w:vAlign w:val="center"/>
            <w:hideMark/>
          </w:tcPr>
          <w:p w14:paraId="12A9E70D"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4,681</w:t>
            </w:r>
          </w:p>
        </w:tc>
        <w:tc>
          <w:tcPr>
            <w:tcW w:w="541" w:type="pct"/>
            <w:tcBorders>
              <w:top w:val="nil"/>
              <w:left w:val="nil"/>
              <w:bottom w:val="single" w:sz="4" w:space="0" w:color="auto"/>
              <w:right w:val="single" w:sz="4" w:space="0" w:color="auto"/>
            </w:tcBorders>
            <w:shd w:val="clear" w:color="auto" w:fill="auto"/>
            <w:vAlign w:val="center"/>
            <w:hideMark/>
          </w:tcPr>
          <w:p w14:paraId="1B1192ED"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c>
          <w:tcPr>
            <w:tcW w:w="541" w:type="pct"/>
            <w:tcBorders>
              <w:top w:val="nil"/>
              <w:left w:val="nil"/>
              <w:bottom w:val="single" w:sz="4" w:space="0" w:color="auto"/>
              <w:right w:val="single" w:sz="4" w:space="0" w:color="auto"/>
            </w:tcBorders>
            <w:shd w:val="clear" w:color="auto" w:fill="auto"/>
            <w:vAlign w:val="center"/>
            <w:hideMark/>
          </w:tcPr>
          <w:p w14:paraId="0C3E403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3,715</w:t>
            </w:r>
          </w:p>
        </w:tc>
        <w:tc>
          <w:tcPr>
            <w:tcW w:w="542" w:type="pct"/>
            <w:tcBorders>
              <w:top w:val="nil"/>
              <w:left w:val="nil"/>
              <w:bottom w:val="single" w:sz="4" w:space="0" w:color="auto"/>
              <w:right w:val="single" w:sz="4" w:space="0" w:color="auto"/>
            </w:tcBorders>
            <w:shd w:val="clear" w:color="auto" w:fill="auto"/>
            <w:vAlign w:val="center"/>
            <w:hideMark/>
          </w:tcPr>
          <w:p w14:paraId="4B32B86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3,715</w:t>
            </w:r>
          </w:p>
        </w:tc>
      </w:tr>
      <w:tr w:rsidR="00D33F7C" w:rsidRPr="001210D0" w14:paraId="0247119B"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6B6AB7D2"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Hong Kong Exchanges and Clearing</w:t>
            </w:r>
          </w:p>
        </w:tc>
        <w:tc>
          <w:tcPr>
            <w:tcW w:w="541" w:type="pct"/>
            <w:tcBorders>
              <w:top w:val="nil"/>
              <w:left w:val="nil"/>
              <w:bottom w:val="single" w:sz="4" w:space="0" w:color="auto"/>
              <w:right w:val="single" w:sz="4" w:space="0" w:color="auto"/>
            </w:tcBorders>
            <w:shd w:val="clear" w:color="auto" w:fill="auto"/>
            <w:vAlign w:val="center"/>
            <w:hideMark/>
          </w:tcPr>
          <w:p w14:paraId="781AD83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24,892</w:t>
            </w:r>
          </w:p>
        </w:tc>
        <w:tc>
          <w:tcPr>
            <w:tcW w:w="541" w:type="pct"/>
            <w:tcBorders>
              <w:top w:val="nil"/>
              <w:left w:val="nil"/>
              <w:bottom w:val="single" w:sz="4" w:space="0" w:color="auto"/>
              <w:right w:val="single" w:sz="4" w:space="0" w:color="auto"/>
            </w:tcBorders>
            <w:shd w:val="clear" w:color="auto" w:fill="auto"/>
            <w:vAlign w:val="center"/>
            <w:hideMark/>
          </w:tcPr>
          <w:p w14:paraId="38E5A99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12,614</w:t>
            </w:r>
          </w:p>
        </w:tc>
        <w:tc>
          <w:tcPr>
            <w:tcW w:w="542" w:type="pct"/>
            <w:tcBorders>
              <w:top w:val="nil"/>
              <w:left w:val="nil"/>
              <w:bottom w:val="single" w:sz="4" w:space="0" w:color="auto"/>
              <w:right w:val="single" w:sz="4" w:space="0" w:color="auto"/>
            </w:tcBorders>
            <w:shd w:val="clear" w:color="auto" w:fill="auto"/>
            <w:vAlign w:val="center"/>
            <w:hideMark/>
          </w:tcPr>
          <w:p w14:paraId="5DA8108C"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37,506</w:t>
            </w:r>
          </w:p>
        </w:tc>
        <w:tc>
          <w:tcPr>
            <w:tcW w:w="541" w:type="pct"/>
            <w:tcBorders>
              <w:top w:val="nil"/>
              <w:left w:val="nil"/>
              <w:bottom w:val="single" w:sz="4" w:space="0" w:color="auto"/>
              <w:right w:val="single" w:sz="4" w:space="0" w:color="auto"/>
            </w:tcBorders>
            <w:shd w:val="clear" w:color="auto" w:fill="auto"/>
            <w:vAlign w:val="center"/>
            <w:hideMark/>
          </w:tcPr>
          <w:p w14:paraId="138FAD05"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7,370</w:t>
            </w:r>
          </w:p>
        </w:tc>
        <w:tc>
          <w:tcPr>
            <w:tcW w:w="541" w:type="pct"/>
            <w:tcBorders>
              <w:top w:val="nil"/>
              <w:left w:val="nil"/>
              <w:bottom w:val="single" w:sz="4" w:space="0" w:color="auto"/>
              <w:right w:val="single" w:sz="4" w:space="0" w:color="auto"/>
            </w:tcBorders>
            <w:shd w:val="clear" w:color="auto" w:fill="auto"/>
            <w:vAlign w:val="center"/>
            <w:hideMark/>
          </w:tcPr>
          <w:p w14:paraId="09ED4A5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7,555</w:t>
            </w:r>
          </w:p>
        </w:tc>
        <w:tc>
          <w:tcPr>
            <w:tcW w:w="542" w:type="pct"/>
            <w:tcBorders>
              <w:top w:val="nil"/>
              <w:left w:val="nil"/>
              <w:bottom w:val="single" w:sz="4" w:space="0" w:color="auto"/>
              <w:right w:val="single" w:sz="4" w:space="0" w:color="auto"/>
            </w:tcBorders>
            <w:shd w:val="clear" w:color="auto" w:fill="auto"/>
            <w:vAlign w:val="center"/>
            <w:hideMark/>
          </w:tcPr>
          <w:p w14:paraId="6F49EE4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14,925</w:t>
            </w:r>
          </w:p>
        </w:tc>
      </w:tr>
      <w:tr w:rsidR="00D33F7C" w:rsidRPr="001210D0" w14:paraId="02CBE88D"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7B7B2BDD"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Japan Exchange Group</w:t>
            </w:r>
          </w:p>
        </w:tc>
        <w:tc>
          <w:tcPr>
            <w:tcW w:w="541" w:type="pct"/>
            <w:tcBorders>
              <w:top w:val="nil"/>
              <w:left w:val="nil"/>
              <w:bottom w:val="single" w:sz="4" w:space="0" w:color="auto"/>
              <w:right w:val="single" w:sz="4" w:space="0" w:color="auto"/>
            </w:tcBorders>
            <w:shd w:val="clear" w:color="auto" w:fill="auto"/>
            <w:vAlign w:val="center"/>
            <w:hideMark/>
          </w:tcPr>
          <w:p w14:paraId="3F4EC535"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8,428</w:t>
            </w:r>
          </w:p>
        </w:tc>
        <w:tc>
          <w:tcPr>
            <w:tcW w:w="541" w:type="pct"/>
            <w:tcBorders>
              <w:top w:val="nil"/>
              <w:left w:val="nil"/>
              <w:bottom w:val="single" w:sz="4" w:space="0" w:color="auto"/>
              <w:right w:val="single" w:sz="4" w:space="0" w:color="auto"/>
            </w:tcBorders>
            <w:shd w:val="clear" w:color="auto" w:fill="auto"/>
            <w:vAlign w:val="center"/>
            <w:hideMark/>
          </w:tcPr>
          <w:p w14:paraId="4BF05FD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1,303</w:t>
            </w:r>
          </w:p>
        </w:tc>
        <w:tc>
          <w:tcPr>
            <w:tcW w:w="542" w:type="pct"/>
            <w:tcBorders>
              <w:top w:val="nil"/>
              <w:left w:val="nil"/>
              <w:bottom w:val="single" w:sz="4" w:space="0" w:color="auto"/>
              <w:right w:val="single" w:sz="4" w:space="0" w:color="auto"/>
            </w:tcBorders>
            <w:shd w:val="clear" w:color="auto" w:fill="auto"/>
            <w:vAlign w:val="center"/>
            <w:hideMark/>
          </w:tcPr>
          <w:p w14:paraId="5F998FEC"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9,731</w:t>
            </w:r>
          </w:p>
        </w:tc>
        <w:tc>
          <w:tcPr>
            <w:tcW w:w="541" w:type="pct"/>
            <w:tcBorders>
              <w:top w:val="nil"/>
              <w:left w:val="nil"/>
              <w:bottom w:val="single" w:sz="4" w:space="0" w:color="auto"/>
              <w:right w:val="single" w:sz="4" w:space="0" w:color="auto"/>
            </w:tcBorders>
            <w:shd w:val="clear" w:color="auto" w:fill="auto"/>
            <w:vAlign w:val="center"/>
            <w:hideMark/>
          </w:tcPr>
          <w:p w14:paraId="21334241"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2,201</w:t>
            </w:r>
          </w:p>
        </w:tc>
        <w:tc>
          <w:tcPr>
            <w:tcW w:w="541" w:type="pct"/>
            <w:tcBorders>
              <w:top w:val="nil"/>
              <w:left w:val="nil"/>
              <w:bottom w:val="single" w:sz="4" w:space="0" w:color="auto"/>
              <w:right w:val="single" w:sz="4" w:space="0" w:color="auto"/>
            </w:tcBorders>
            <w:shd w:val="clear" w:color="auto" w:fill="auto"/>
            <w:vAlign w:val="center"/>
            <w:hideMark/>
          </w:tcPr>
          <w:p w14:paraId="46817235"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806</w:t>
            </w:r>
          </w:p>
        </w:tc>
        <w:tc>
          <w:tcPr>
            <w:tcW w:w="542" w:type="pct"/>
            <w:tcBorders>
              <w:top w:val="nil"/>
              <w:left w:val="nil"/>
              <w:bottom w:val="single" w:sz="4" w:space="0" w:color="auto"/>
              <w:right w:val="single" w:sz="4" w:space="0" w:color="auto"/>
            </w:tcBorders>
            <w:shd w:val="clear" w:color="auto" w:fill="auto"/>
            <w:vAlign w:val="center"/>
            <w:hideMark/>
          </w:tcPr>
          <w:p w14:paraId="6F0736BD"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3,007</w:t>
            </w:r>
          </w:p>
        </w:tc>
      </w:tr>
      <w:tr w:rsidR="00D33F7C" w:rsidRPr="001210D0" w14:paraId="05B75023" w14:textId="77777777" w:rsidTr="00E213CE">
        <w:trPr>
          <w:trHeight w:val="300"/>
        </w:trPr>
        <w:tc>
          <w:tcPr>
            <w:tcW w:w="17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A50E4F" w14:textId="77777777" w:rsidR="00D33F7C" w:rsidRPr="001210D0" w:rsidRDefault="00D33F7C" w:rsidP="00E213CE">
            <w:pPr>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Korea Exchange</w:t>
            </w:r>
          </w:p>
        </w:tc>
        <w:tc>
          <w:tcPr>
            <w:tcW w:w="541" w:type="pct"/>
            <w:tcBorders>
              <w:top w:val="nil"/>
              <w:left w:val="nil"/>
              <w:bottom w:val="single" w:sz="4" w:space="0" w:color="auto"/>
              <w:right w:val="single" w:sz="4" w:space="0" w:color="auto"/>
            </w:tcBorders>
            <w:shd w:val="clear" w:color="auto" w:fill="auto"/>
            <w:vAlign w:val="center"/>
            <w:hideMark/>
          </w:tcPr>
          <w:p w14:paraId="4E22E98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68,913</w:t>
            </w:r>
          </w:p>
        </w:tc>
        <w:tc>
          <w:tcPr>
            <w:tcW w:w="541" w:type="pct"/>
            <w:tcBorders>
              <w:top w:val="nil"/>
              <w:left w:val="nil"/>
              <w:bottom w:val="single" w:sz="4" w:space="0" w:color="auto"/>
              <w:right w:val="single" w:sz="4" w:space="0" w:color="auto"/>
            </w:tcBorders>
            <w:shd w:val="clear" w:color="auto" w:fill="auto"/>
            <w:vAlign w:val="center"/>
            <w:hideMark/>
          </w:tcPr>
          <w:p w14:paraId="2C65E86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113</w:t>
            </w:r>
          </w:p>
        </w:tc>
        <w:tc>
          <w:tcPr>
            <w:tcW w:w="542" w:type="pct"/>
            <w:tcBorders>
              <w:top w:val="nil"/>
              <w:left w:val="nil"/>
              <w:bottom w:val="single" w:sz="4" w:space="0" w:color="auto"/>
              <w:right w:val="single" w:sz="4" w:space="0" w:color="auto"/>
            </w:tcBorders>
            <w:shd w:val="clear" w:color="auto" w:fill="auto"/>
            <w:vAlign w:val="center"/>
            <w:hideMark/>
          </w:tcPr>
          <w:p w14:paraId="5C91F476"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69,026</w:t>
            </w:r>
          </w:p>
        </w:tc>
        <w:tc>
          <w:tcPr>
            <w:tcW w:w="541" w:type="pct"/>
            <w:tcBorders>
              <w:top w:val="nil"/>
              <w:left w:val="nil"/>
              <w:bottom w:val="single" w:sz="4" w:space="0" w:color="auto"/>
              <w:right w:val="single" w:sz="4" w:space="0" w:color="auto"/>
            </w:tcBorders>
            <w:shd w:val="clear" w:color="auto" w:fill="auto"/>
            <w:vAlign w:val="center"/>
            <w:hideMark/>
          </w:tcPr>
          <w:p w14:paraId="665C376B"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58,461</w:t>
            </w:r>
          </w:p>
        </w:tc>
        <w:tc>
          <w:tcPr>
            <w:tcW w:w="541" w:type="pct"/>
            <w:tcBorders>
              <w:top w:val="nil"/>
              <w:left w:val="nil"/>
              <w:bottom w:val="single" w:sz="4" w:space="0" w:color="auto"/>
              <w:right w:val="single" w:sz="4" w:space="0" w:color="auto"/>
            </w:tcBorders>
            <w:shd w:val="clear" w:color="auto" w:fill="auto"/>
            <w:vAlign w:val="center"/>
            <w:hideMark/>
          </w:tcPr>
          <w:p w14:paraId="7AC6FAE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1,028</w:t>
            </w:r>
          </w:p>
        </w:tc>
        <w:tc>
          <w:tcPr>
            <w:tcW w:w="542" w:type="pct"/>
            <w:tcBorders>
              <w:top w:val="nil"/>
              <w:left w:val="nil"/>
              <w:bottom w:val="single" w:sz="4" w:space="0" w:color="auto"/>
              <w:right w:val="single" w:sz="4" w:space="0" w:color="auto"/>
            </w:tcBorders>
            <w:shd w:val="clear" w:color="auto" w:fill="auto"/>
            <w:vAlign w:val="center"/>
            <w:hideMark/>
          </w:tcPr>
          <w:p w14:paraId="3E956E5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59,489</w:t>
            </w:r>
          </w:p>
        </w:tc>
      </w:tr>
      <w:tr w:rsidR="00D33F7C" w:rsidRPr="001210D0" w14:paraId="4F7E68A9"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6489EF3B"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National Stock Exchange of India</w:t>
            </w:r>
          </w:p>
        </w:tc>
        <w:tc>
          <w:tcPr>
            <w:tcW w:w="541" w:type="pct"/>
            <w:tcBorders>
              <w:top w:val="nil"/>
              <w:left w:val="nil"/>
              <w:bottom w:val="single" w:sz="4" w:space="0" w:color="auto"/>
              <w:right w:val="single" w:sz="4" w:space="0" w:color="auto"/>
            </w:tcBorders>
            <w:shd w:val="clear" w:color="auto" w:fill="auto"/>
            <w:vAlign w:val="center"/>
            <w:hideMark/>
          </w:tcPr>
          <w:p w14:paraId="1AABA43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35,374</w:t>
            </w:r>
          </w:p>
        </w:tc>
        <w:tc>
          <w:tcPr>
            <w:tcW w:w="541" w:type="pct"/>
            <w:tcBorders>
              <w:top w:val="nil"/>
              <w:left w:val="nil"/>
              <w:bottom w:val="single" w:sz="4" w:space="0" w:color="auto"/>
              <w:right w:val="single" w:sz="4" w:space="0" w:color="auto"/>
            </w:tcBorders>
            <w:shd w:val="clear" w:color="auto" w:fill="auto"/>
            <w:vAlign w:val="center"/>
            <w:hideMark/>
          </w:tcPr>
          <w:p w14:paraId="45C6CC0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1,472</w:t>
            </w:r>
          </w:p>
        </w:tc>
        <w:tc>
          <w:tcPr>
            <w:tcW w:w="542" w:type="pct"/>
            <w:tcBorders>
              <w:top w:val="nil"/>
              <w:left w:val="nil"/>
              <w:bottom w:val="single" w:sz="4" w:space="0" w:color="auto"/>
              <w:right w:val="single" w:sz="4" w:space="0" w:color="auto"/>
            </w:tcBorders>
            <w:shd w:val="clear" w:color="auto" w:fill="auto"/>
            <w:vAlign w:val="center"/>
            <w:hideMark/>
          </w:tcPr>
          <w:p w14:paraId="768D4B41"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36,846</w:t>
            </w:r>
          </w:p>
        </w:tc>
        <w:tc>
          <w:tcPr>
            <w:tcW w:w="541" w:type="pct"/>
            <w:tcBorders>
              <w:top w:val="nil"/>
              <w:left w:val="nil"/>
              <w:bottom w:val="single" w:sz="4" w:space="0" w:color="auto"/>
              <w:right w:val="single" w:sz="4" w:space="0" w:color="auto"/>
            </w:tcBorders>
            <w:shd w:val="clear" w:color="auto" w:fill="auto"/>
            <w:vAlign w:val="center"/>
            <w:hideMark/>
          </w:tcPr>
          <w:p w14:paraId="258CF75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c>
          <w:tcPr>
            <w:tcW w:w="541" w:type="pct"/>
            <w:tcBorders>
              <w:top w:val="nil"/>
              <w:left w:val="nil"/>
              <w:bottom w:val="single" w:sz="4" w:space="0" w:color="auto"/>
              <w:right w:val="single" w:sz="4" w:space="0" w:color="auto"/>
            </w:tcBorders>
            <w:shd w:val="clear" w:color="auto" w:fill="auto"/>
            <w:vAlign w:val="center"/>
            <w:hideMark/>
          </w:tcPr>
          <w:p w14:paraId="2BF9D931"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1,210</w:t>
            </w:r>
          </w:p>
        </w:tc>
        <w:tc>
          <w:tcPr>
            <w:tcW w:w="542" w:type="pct"/>
            <w:tcBorders>
              <w:top w:val="nil"/>
              <w:left w:val="nil"/>
              <w:bottom w:val="single" w:sz="4" w:space="0" w:color="auto"/>
              <w:right w:val="single" w:sz="4" w:space="0" w:color="auto"/>
            </w:tcBorders>
            <w:shd w:val="clear" w:color="auto" w:fill="auto"/>
            <w:vAlign w:val="center"/>
            <w:hideMark/>
          </w:tcPr>
          <w:p w14:paraId="2B0DE7B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1,210</w:t>
            </w:r>
          </w:p>
        </w:tc>
      </w:tr>
      <w:tr w:rsidR="00D33F7C" w:rsidRPr="001210D0" w14:paraId="039DC127" w14:textId="77777777" w:rsidTr="00E213CE">
        <w:trPr>
          <w:trHeight w:val="300"/>
        </w:trPr>
        <w:tc>
          <w:tcPr>
            <w:tcW w:w="17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8202CC" w14:textId="77777777" w:rsidR="00D33F7C" w:rsidRPr="001210D0" w:rsidRDefault="00D33F7C" w:rsidP="00E213CE">
            <w:pPr>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Shanghai Stock Exchange</w:t>
            </w:r>
          </w:p>
        </w:tc>
        <w:tc>
          <w:tcPr>
            <w:tcW w:w="541" w:type="pct"/>
            <w:tcBorders>
              <w:top w:val="nil"/>
              <w:left w:val="nil"/>
              <w:bottom w:val="single" w:sz="4" w:space="0" w:color="auto"/>
              <w:right w:val="single" w:sz="4" w:space="0" w:color="auto"/>
            </w:tcBorders>
            <w:shd w:val="clear" w:color="auto" w:fill="auto"/>
            <w:vAlign w:val="center"/>
            <w:hideMark/>
          </w:tcPr>
          <w:p w14:paraId="79B2190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67,908</w:t>
            </w:r>
          </w:p>
        </w:tc>
        <w:tc>
          <w:tcPr>
            <w:tcW w:w="541" w:type="pct"/>
            <w:tcBorders>
              <w:top w:val="nil"/>
              <w:left w:val="nil"/>
              <w:bottom w:val="single" w:sz="4" w:space="0" w:color="auto"/>
              <w:right w:val="single" w:sz="4" w:space="0" w:color="auto"/>
            </w:tcBorders>
            <w:shd w:val="clear" w:color="auto" w:fill="auto"/>
            <w:vAlign w:val="center"/>
            <w:hideMark/>
          </w:tcPr>
          <w:p w14:paraId="4078433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7,217</w:t>
            </w:r>
          </w:p>
        </w:tc>
        <w:tc>
          <w:tcPr>
            <w:tcW w:w="542" w:type="pct"/>
            <w:tcBorders>
              <w:top w:val="nil"/>
              <w:left w:val="nil"/>
              <w:bottom w:val="single" w:sz="4" w:space="0" w:color="auto"/>
              <w:right w:val="single" w:sz="4" w:space="0" w:color="auto"/>
            </w:tcBorders>
            <w:shd w:val="clear" w:color="auto" w:fill="auto"/>
            <w:vAlign w:val="center"/>
            <w:hideMark/>
          </w:tcPr>
          <w:p w14:paraId="60B69A9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75,124</w:t>
            </w:r>
          </w:p>
        </w:tc>
        <w:tc>
          <w:tcPr>
            <w:tcW w:w="541" w:type="pct"/>
            <w:tcBorders>
              <w:top w:val="nil"/>
              <w:left w:val="nil"/>
              <w:bottom w:val="single" w:sz="4" w:space="0" w:color="auto"/>
              <w:right w:val="single" w:sz="4" w:space="0" w:color="auto"/>
            </w:tcBorders>
            <w:shd w:val="clear" w:color="auto" w:fill="auto"/>
            <w:vAlign w:val="center"/>
            <w:hideMark/>
          </w:tcPr>
          <w:p w14:paraId="5856AE36"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47,423</w:t>
            </w:r>
          </w:p>
        </w:tc>
        <w:tc>
          <w:tcPr>
            <w:tcW w:w="541" w:type="pct"/>
            <w:tcBorders>
              <w:top w:val="nil"/>
              <w:left w:val="nil"/>
              <w:bottom w:val="single" w:sz="4" w:space="0" w:color="auto"/>
              <w:right w:val="single" w:sz="4" w:space="0" w:color="auto"/>
            </w:tcBorders>
            <w:shd w:val="clear" w:color="auto" w:fill="auto"/>
            <w:vAlign w:val="center"/>
            <w:hideMark/>
          </w:tcPr>
          <w:p w14:paraId="10662F6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9,240</w:t>
            </w:r>
          </w:p>
        </w:tc>
        <w:tc>
          <w:tcPr>
            <w:tcW w:w="542" w:type="pct"/>
            <w:tcBorders>
              <w:top w:val="nil"/>
              <w:left w:val="nil"/>
              <w:bottom w:val="single" w:sz="4" w:space="0" w:color="auto"/>
              <w:right w:val="single" w:sz="4" w:space="0" w:color="auto"/>
            </w:tcBorders>
            <w:shd w:val="clear" w:color="auto" w:fill="auto"/>
            <w:vAlign w:val="center"/>
            <w:hideMark/>
          </w:tcPr>
          <w:p w14:paraId="3B35377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56,663</w:t>
            </w:r>
          </w:p>
        </w:tc>
      </w:tr>
      <w:tr w:rsidR="00D33F7C" w:rsidRPr="001210D0" w14:paraId="36453742"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56079E61"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Shenzhen Stock Exchange</w:t>
            </w:r>
          </w:p>
        </w:tc>
        <w:tc>
          <w:tcPr>
            <w:tcW w:w="541" w:type="pct"/>
            <w:tcBorders>
              <w:top w:val="nil"/>
              <w:left w:val="nil"/>
              <w:bottom w:val="single" w:sz="4" w:space="0" w:color="auto"/>
              <w:right w:val="single" w:sz="4" w:space="0" w:color="auto"/>
            </w:tcBorders>
            <w:shd w:val="clear" w:color="auto" w:fill="auto"/>
            <w:vAlign w:val="center"/>
            <w:hideMark/>
          </w:tcPr>
          <w:p w14:paraId="7D53C554"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45,123</w:t>
            </w:r>
          </w:p>
        </w:tc>
        <w:tc>
          <w:tcPr>
            <w:tcW w:w="541" w:type="pct"/>
            <w:tcBorders>
              <w:top w:val="nil"/>
              <w:left w:val="nil"/>
              <w:bottom w:val="single" w:sz="4" w:space="0" w:color="auto"/>
              <w:right w:val="single" w:sz="4" w:space="0" w:color="auto"/>
            </w:tcBorders>
            <w:shd w:val="clear" w:color="auto" w:fill="auto"/>
            <w:vAlign w:val="center"/>
            <w:hideMark/>
          </w:tcPr>
          <w:p w14:paraId="11C61C6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8,516</w:t>
            </w:r>
          </w:p>
        </w:tc>
        <w:tc>
          <w:tcPr>
            <w:tcW w:w="542" w:type="pct"/>
            <w:tcBorders>
              <w:top w:val="nil"/>
              <w:left w:val="nil"/>
              <w:bottom w:val="single" w:sz="4" w:space="0" w:color="auto"/>
              <w:right w:val="single" w:sz="4" w:space="0" w:color="auto"/>
            </w:tcBorders>
            <w:shd w:val="clear" w:color="auto" w:fill="auto"/>
            <w:vAlign w:val="center"/>
            <w:hideMark/>
          </w:tcPr>
          <w:p w14:paraId="783C830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53,639</w:t>
            </w:r>
          </w:p>
        </w:tc>
        <w:tc>
          <w:tcPr>
            <w:tcW w:w="541" w:type="pct"/>
            <w:tcBorders>
              <w:top w:val="nil"/>
              <w:left w:val="nil"/>
              <w:bottom w:val="single" w:sz="4" w:space="0" w:color="auto"/>
              <w:right w:val="single" w:sz="4" w:space="0" w:color="auto"/>
            </w:tcBorders>
            <w:shd w:val="clear" w:color="auto" w:fill="auto"/>
            <w:vAlign w:val="center"/>
            <w:hideMark/>
          </w:tcPr>
          <w:p w14:paraId="447C1ED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11,932</w:t>
            </w:r>
          </w:p>
        </w:tc>
        <w:tc>
          <w:tcPr>
            <w:tcW w:w="541" w:type="pct"/>
            <w:tcBorders>
              <w:top w:val="nil"/>
              <w:left w:val="nil"/>
              <w:bottom w:val="single" w:sz="4" w:space="0" w:color="auto"/>
              <w:right w:val="single" w:sz="4" w:space="0" w:color="auto"/>
            </w:tcBorders>
            <w:shd w:val="clear" w:color="auto" w:fill="auto"/>
            <w:vAlign w:val="center"/>
            <w:hideMark/>
          </w:tcPr>
          <w:p w14:paraId="68B873B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6,488</w:t>
            </w:r>
          </w:p>
        </w:tc>
        <w:tc>
          <w:tcPr>
            <w:tcW w:w="542" w:type="pct"/>
            <w:tcBorders>
              <w:top w:val="nil"/>
              <w:left w:val="nil"/>
              <w:bottom w:val="single" w:sz="4" w:space="0" w:color="auto"/>
              <w:right w:val="single" w:sz="4" w:space="0" w:color="auto"/>
            </w:tcBorders>
            <w:shd w:val="clear" w:color="auto" w:fill="auto"/>
            <w:vAlign w:val="center"/>
            <w:hideMark/>
          </w:tcPr>
          <w:p w14:paraId="073C7AF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18,420</w:t>
            </w:r>
          </w:p>
        </w:tc>
      </w:tr>
      <w:tr w:rsidR="00D33F7C" w:rsidRPr="001210D0" w14:paraId="1D7D113E"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1865B24D"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Singapore Exchange</w:t>
            </w:r>
          </w:p>
        </w:tc>
        <w:tc>
          <w:tcPr>
            <w:tcW w:w="541" w:type="pct"/>
            <w:tcBorders>
              <w:top w:val="nil"/>
              <w:left w:val="nil"/>
              <w:bottom w:val="single" w:sz="4" w:space="0" w:color="auto"/>
              <w:right w:val="single" w:sz="4" w:space="0" w:color="auto"/>
            </w:tcBorders>
            <w:shd w:val="clear" w:color="auto" w:fill="auto"/>
            <w:vAlign w:val="center"/>
            <w:hideMark/>
          </w:tcPr>
          <w:p w14:paraId="1075E6D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28,165</w:t>
            </w:r>
          </w:p>
        </w:tc>
        <w:tc>
          <w:tcPr>
            <w:tcW w:w="541" w:type="pct"/>
            <w:tcBorders>
              <w:top w:val="nil"/>
              <w:left w:val="nil"/>
              <w:bottom w:val="single" w:sz="4" w:space="0" w:color="auto"/>
              <w:right w:val="single" w:sz="4" w:space="0" w:color="auto"/>
            </w:tcBorders>
            <w:shd w:val="clear" w:color="auto" w:fill="auto"/>
            <w:vAlign w:val="center"/>
            <w:hideMark/>
          </w:tcPr>
          <w:p w14:paraId="1625F97D"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913</w:t>
            </w:r>
          </w:p>
        </w:tc>
        <w:tc>
          <w:tcPr>
            <w:tcW w:w="542" w:type="pct"/>
            <w:tcBorders>
              <w:top w:val="nil"/>
              <w:left w:val="nil"/>
              <w:bottom w:val="single" w:sz="4" w:space="0" w:color="auto"/>
              <w:right w:val="single" w:sz="4" w:space="0" w:color="auto"/>
            </w:tcBorders>
            <w:shd w:val="clear" w:color="auto" w:fill="auto"/>
            <w:vAlign w:val="center"/>
            <w:hideMark/>
          </w:tcPr>
          <w:p w14:paraId="49E0DE0B"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29,078</w:t>
            </w:r>
          </w:p>
        </w:tc>
        <w:tc>
          <w:tcPr>
            <w:tcW w:w="541" w:type="pct"/>
            <w:tcBorders>
              <w:top w:val="nil"/>
              <w:left w:val="nil"/>
              <w:bottom w:val="single" w:sz="4" w:space="0" w:color="auto"/>
              <w:right w:val="single" w:sz="4" w:space="0" w:color="auto"/>
            </w:tcBorders>
            <w:shd w:val="clear" w:color="auto" w:fill="auto"/>
            <w:vAlign w:val="center"/>
            <w:hideMark/>
          </w:tcPr>
          <w:p w14:paraId="52B3173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18,247</w:t>
            </w:r>
          </w:p>
        </w:tc>
        <w:tc>
          <w:tcPr>
            <w:tcW w:w="541" w:type="pct"/>
            <w:tcBorders>
              <w:top w:val="nil"/>
              <w:left w:val="nil"/>
              <w:bottom w:val="single" w:sz="4" w:space="0" w:color="auto"/>
              <w:right w:val="single" w:sz="4" w:space="0" w:color="auto"/>
            </w:tcBorders>
            <w:shd w:val="clear" w:color="auto" w:fill="auto"/>
            <w:vAlign w:val="center"/>
            <w:hideMark/>
          </w:tcPr>
          <w:p w14:paraId="3B8ECDA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c>
          <w:tcPr>
            <w:tcW w:w="542" w:type="pct"/>
            <w:tcBorders>
              <w:top w:val="nil"/>
              <w:left w:val="nil"/>
              <w:bottom w:val="single" w:sz="4" w:space="0" w:color="auto"/>
              <w:right w:val="single" w:sz="4" w:space="0" w:color="auto"/>
            </w:tcBorders>
            <w:shd w:val="clear" w:color="auto" w:fill="auto"/>
            <w:vAlign w:val="center"/>
            <w:hideMark/>
          </w:tcPr>
          <w:p w14:paraId="7073973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18,247</w:t>
            </w:r>
          </w:p>
        </w:tc>
      </w:tr>
      <w:tr w:rsidR="00D33F7C" w:rsidRPr="001210D0" w14:paraId="1C2D333B"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620B3F87"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BME Spanish Exchanges</w:t>
            </w:r>
          </w:p>
        </w:tc>
        <w:tc>
          <w:tcPr>
            <w:tcW w:w="541" w:type="pct"/>
            <w:tcBorders>
              <w:top w:val="nil"/>
              <w:left w:val="nil"/>
              <w:bottom w:val="single" w:sz="4" w:space="0" w:color="auto"/>
              <w:right w:val="single" w:sz="4" w:space="0" w:color="auto"/>
            </w:tcBorders>
            <w:shd w:val="clear" w:color="auto" w:fill="auto"/>
            <w:vAlign w:val="center"/>
            <w:hideMark/>
          </w:tcPr>
          <w:p w14:paraId="64910D3C"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41,974</w:t>
            </w:r>
          </w:p>
        </w:tc>
        <w:tc>
          <w:tcPr>
            <w:tcW w:w="541" w:type="pct"/>
            <w:tcBorders>
              <w:top w:val="nil"/>
              <w:left w:val="nil"/>
              <w:bottom w:val="single" w:sz="4" w:space="0" w:color="auto"/>
              <w:right w:val="single" w:sz="4" w:space="0" w:color="auto"/>
            </w:tcBorders>
            <w:shd w:val="clear" w:color="auto" w:fill="auto"/>
            <w:vAlign w:val="center"/>
            <w:hideMark/>
          </w:tcPr>
          <w:p w14:paraId="2BB5A5EB"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10,870</w:t>
            </w:r>
          </w:p>
        </w:tc>
        <w:tc>
          <w:tcPr>
            <w:tcW w:w="542" w:type="pct"/>
            <w:tcBorders>
              <w:top w:val="nil"/>
              <w:left w:val="nil"/>
              <w:bottom w:val="single" w:sz="4" w:space="0" w:color="auto"/>
              <w:right w:val="single" w:sz="4" w:space="0" w:color="auto"/>
            </w:tcBorders>
            <w:shd w:val="clear" w:color="auto" w:fill="auto"/>
            <w:vAlign w:val="center"/>
            <w:hideMark/>
          </w:tcPr>
          <w:p w14:paraId="72AAEA2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52,843</w:t>
            </w:r>
          </w:p>
        </w:tc>
        <w:tc>
          <w:tcPr>
            <w:tcW w:w="541" w:type="pct"/>
            <w:tcBorders>
              <w:top w:val="nil"/>
              <w:left w:val="nil"/>
              <w:bottom w:val="single" w:sz="4" w:space="0" w:color="auto"/>
              <w:right w:val="single" w:sz="4" w:space="0" w:color="auto"/>
            </w:tcBorders>
            <w:shd w:val="clear" w:color="auto" w:fill="auto"/>
            <w:vAlign w:val="center"/>
            <w:hideMark/>
          </w:tcPr>
          <w:p w14:paraId="21E5ECC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34,303</w:t>
            </w:r>
          </w:p>
        </w:tc>
        <w:tc>
          <w:tcPr>
            <w:tcW w:w="541" w:type="pct"/>
            <w:tcBorders>
              <w:top w:val="nil"/>
              <w:left w:val="nil"/>
              <w:bottom w:val="single" w:sz="4" w:space="0" w:color="auto"/>
              <w:right w:val="single" w:sz="4" w:space="0" w:color="auto"/>
            </w:tcBorders>
            <w:shd w:val="clear" w:color="auto" w:fill="auto"/>
            <w:vAlign w:val="center"/>
            <w:hideMark/>
          </w:tcPr>
          <w:p w14:paraId="0CBA607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81</w:t>
            </w:r>
          </w:p>
        </w:tc>
        <w:tc>
          <w:tcPr>
            <w:tcW w:w="542" w:type="pct"/>
            <w:tcBorders>
              <w:top w:val="nil"/>
              <w:left w:val="nil"/>
              <w:bottom w:val="single" w:sz="4" w:space="0" w:color="auto"/>
              <w:right w:val="single" w:sz="4" w:space="0" w:color="auto"/>
            </w:tcBorders>
            <w:shd w:val="clear" w:color="auto" w:fill="auto"/>
            <w:vAlign w:val="center"/>
            <w:hideMark/>
          </w:tcPr>
          <w:p w14:paraId="6512C56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34,384</w:t>
            </w:r>
          </w:p>
        </w:tc>
      </w:tr>
      <w:tr w:rsidR="00D33F7C" w:rsidRPr="001210D0" w14:paraId="2EB9CD57"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0D13143C"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Deutsche Boerse AG</w:t>
            </w:r>
          </w:p>
        </w:tc>
        <w:tc>
          <w:tcPr>
            <w:tcW w:w="541" w:type="pct"/>
            <w:tcBorders>
              <w:top w:val="nil"/>
              <w:left w:val="nil"/>
              <w:bottom w:val="single" w:sz="4" w:space="0" w:color="auto"/>
              <w:right w:val="single" w:sz="4" w:space="0" w:color="auto"/>
            </w:tcBorders>
            <w:shd w:val="clear" w:color="auto" w:fill="auto"/>
            <w:vAlign w:val="center"/>
            <w:hideMark/>
          </w:tcPr>
          <w:p w14:paraId="2FFC054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c>
          <w:tcPr>
            <w:tcW w:w="541" w:type="pct"/>
            <w:tcBorders>
              <w:top w:val="nil"/>
              <w:left w:val="nil"/>
              <w:bottom w:val="single" w:sz="4" w:space="0" w:color="auto"/>
              <w:right w:val="single" w:sz="4" w:space="0" w:color="auto"/>
            </w:tcBorders>
            <w:shd w:val="clear" w:color="auto" w:fill="auto"/>
            <w:vAlign w:val="center"/>
            <w:hideMark/>
          </w:tcPr>
          <w:p w14:paraId="7264746C"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1,907</w:t>
            </w:r>
          </w:p>
        </w:tc>
        <w:tc>
          <w:tcPr>
            <w:tcW w:w="542" w:type="pct"/>
            <w:tcBorders>
              <w:top w:val="nil"/>
              <w:left w:val="nil"/>
              <w:bottom w:val="single" w:sz="4" w:space="0" w:color="auto"/>
              <w:right w:val="single" w:sz="4" w:space="0" w:color="auto"/>
            </w:tcBorders>
            <w:shd w:val="clear" w:color="auto" w:fill="auto"/>
            <w:vAlign w:val="center"/>
            <w:hideMark/>
          </w:tcPr>
          <w:p w14:paraId="12D35371"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1,907</w:t>
            </w:r>
          </w:p>
        </w:tc>
        <w:tc>
          <w:tcPr>
            <w:tcW w:w="541" w:type="pct"/>
            <w:tcBorders>
              <w:top w:val="nil"/>
              <w:left w:val="nil"/>
              <w:bottom w:val="single" w:sz="4" w:space="0" w:color="auto"/>
              <w:right w:val="single" w:sz="4" w:space="0" w:color="auto"/>
            </w:tcBorders>
            <w:shd w:val="clear" w:color="auto" w:fill="auto"/>
            <w:vAlign w:val="center"/>
            <w:hideMark/>
          </w:tcPr>
          <w:p w14:paraId="5034C16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c>
          <w:tcPr>
            <w:tcW w:w="541" w:type="pct"/>
            <w:tcBorders>
              <w:top w:val="nil"/>
              <w:left w:val="nil"/>
              <w:bottom w:val="single" w:sz="4" w:space="0" w:color="auto"/>
              <w:right w:val="single" w:sz="4" w:space="0" w:color="auto"/>
            </w:tcBorders>
            <w:shd w:val="clear" w:color="auto" w:fill="auto"/>
            <w:vAlign w:val="center"/>
            <w:hideMark/>
          </w:tcPr>
          <w:p w14:paraId="12ED9FA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1,135</w:t>
            </w:r>
          </w:p>
        </w:tc>
        <w:tc>
          <w:tcPr>
            <w:tcW w:w="542" w:type="pct"/>
            <w:tcBorders>
              <w:top w:val="nil"/>
              <w:left w:val="nil"/>
              <w:bottom w:val="single" w:sz="4" w:space="0" w:color="auto"/>
              <w:right w:val="single" w:sz="4" w:space="0" w:color="auto"/>
            </w:tcBorders>
            <w:shd w:val="clear" w:color="auto" w:fill="auto"/>
            <w:vAlign w:val="center"/>
            <w:hideMark/>
          </w:tcPr>
          <w:p w14:paraId="4113C6A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1,135</w:t>
            </w:r>
          </w:p>
        </w:tc>
      </w:tr>
      <w:tr w:rsidR="00D33F7C" w:rsidRPr="001210D0" w14:paraId="6023A4A3"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29074B10"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Euronext</w:t>
            </w:r>
          </w:p>
        </w:tc>
        <w:tc>
          <w:tcPr>
            <w:tcW w:w="541" w:type="pct"/>
            <w:tcBorders>
              <w:top w:val="nil"/>
              <w:left w:val="nil"/>
              <w:bottom w:val="single" w:sz="4" w:space="0" w:color="auto"/>
              <w:right w:val="single" w:sz="4" w:space="0" w:color="auto"/>
            </w:tcBorders>
            <w:shd w:val="clear" w:color="auto" w:fill="auto"/>
            <w:vAlign w:val="center"/>
            <w:hideMark/>
          </w:tcPr>
          <w:p w14:paraId="17D7711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c>
          <w:tcPr>
            <w:tcW w:w="541" w:type="pct"/>
            <w:tcBorders>
              <w:top w:val="nil"/>
              <w:left w:val="nil"/>
              <w:bottom w:val="single" w:sz="4" w:space="0" w:color="auto"/>
              <w:right w:val="single" w:sz="4" w:space="0" w:color="auto"/>
            </w:tcBorders>
            <w:shd w:val="clear" w:color="auto" w:fill="auto"/>
            <w:vAlign w:val="center"/>
            <w:hideMark/>
          </w:tcPr>
          <w:p w14:paraId="3F1A55C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10,120</w:t>
            </w:r>
          </w:p>
        </w:tc>
        <w:tc>
          <w:tcPr>
            <w:tcW w:w="542" w:type="pct"/>
            <w:tcBorders>
              <w:top w:val="nil"/>
              <w:left w:val="nil"/>
              <w:bottom w:val="single" w:sz="4" w:space="0" w:color="auto"/>
              <w:right w:val="single" w:sz="4" w:space="0" w:color="auto"/>
            </w:tcBorders>
            <w:shd w:val="clear" w:color="auto" w:fill="auto"/>
            <w:vAlign w:val="center"/>
            <w:hideMark/>
          </w:tcPr>
          <w:p w14:paraId="70586AC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10,120</w:t>
            </w:r>
          </w:p>
        </w:tc>
        <w:tc>
          <w:tcPr>
            <w:tcW w:w="541" w:type="pct"/>
            <w:tcBorders>
              <w:top w:val="nil"/>
              <w:left w:val="nil"/>
              <w:bottom w:val="single" w:sz="4" w:space="0" w:color="auto"/>
              <w:right w:val="single" w:sz="4" w:space="0" w:color="auto"/>
            </w:tcBorders>
            <w:shd w:val="clear" w:color="auto" w:fill="auto"/>
            <w:vAlign w:val="center"/>
            <w:hideMark/>
          </w:tcPr>
          <w:p w14:paraId="0B05782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c>
          <w:tcPr>
            <w:tcW w:w="541" w:type="pct"/>
            <w:tcBorders>
              <w:top w:val="nil"/>
              <w:left w:val="nil"/>
              <w:bottom w:val="single" w:sz="4" w:space="0" w:color="auto"/>
              <w:right w:val="single" w:sz="4" w:space="0" w:color="auto"/>
            </w:tcBorders>
            <w:shd w:val="clear" w:color="auto" w:fill="auto"/>
            <w:vAlign w:val="center"/>
            <w:hideMark/>
          </w:tcPr>
          <w:p w14:paraId="6BDFA05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1,016</w:t>
            </w:r>
          </w:p>
        </w:tc>
        <w:tc>
          <w:tcPr>
            <w:tcW w:w="542" w:type="pct"/>
            <w:tcBorders>
              <w:top w:val="nil"/>
              <w:left w:val="nil"/>
              <w:bottom w:val="single" w:sz="4" w:space="0" w:color="auto"/>
              <w:right w:val="single" w:sz="4" w:space="0" w:color="auto"/>
            </w:tcBorders>
            <w:shd w:val="clear" w:color="auto" w:fill="auto"/>
            <w:vAlign w:val="center"/>
            <w:hideMark/>
          </w:tcPr>
          <w:p w14:paraId="7D166B6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1,016</w:t>
            </w:r>
          </w:p>
        </w:tc>
      </w:tr>
      <w:tr w:rsidR="00D33F7C" w:rsidRPr="001210D0" w14:paraId="50828B40" w14:textId="77777777" w:rsidTr="00E213CE">
        <w:trPr>
          <w:trHeight w:val="300"/>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526FE70B"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Johannesburg Stock Exchange</w:t>
            </w:r>
          </w:p>
        </w:tc>
        <w:tc>
          <w:tcPr>
            <w:tcW w:w="541" w:type="pct"/>
            <w:tcBorders>
              <w:top w:val="nil"/>
              <w:left w:val="nil"/>
              <w:bottom w:val="single" w:sz="4" w:space="0" w:color="auto"/>
              <w:right w:val="single" w:sz="4" w:space="0" w:color="auto"/>
            </w:tcBorders>
            <w:shd w:val="clear" w:color="auto" w:fill="auto"/>
            <w:vAlign w:val="center"/>
            <w:hideMark/>
          </w:tcPr>
          <w:p w14:paraId="29FF6511"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4,363</w:t>
            </w:r>
          </w:p>
        </w:tc>
        <w:tc>
          <w:tcPr>
            <w:tcW w:w="541" w:type="pct"/>
            <w:tcBorders>
              <w:top w:val="nil"/>
              <w:left w:val="nil"/>
              <w:bottom w:val="single" w:sz="4" w:space="0" w:color="auto"/>
              <w:right w:val="single" w:sz="4" w:space="0" w:color="auto"/>
            </w:tcBorders>
            <w:shd w:val="clear" w:color="auto" w:fill="auto"/>
            <w:vAlign w:val="center"/>
            <w:hideMark/>
          </w:tcPr>
          <w:p w14:paraId="45D50F5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44</w:t>
            </w:r>
          </w:p>
        </w:tc>
        <w:tc>
          <w:tcPr>
            <w:tcW w:w="542" w:type="pct"/>
            <w:tcBorders>
              <w:top w:val="nil"/>
              <w:left w:val="nil"/>
              <w:bottom w:val="single" w:sz="4" w:space="0" w:color="auto"/>
              <w:right w:val="single" w:sz="4" w:space="0" w:color="auto"/>
            </w:tcBorders>
            <w:shd w:val="clear" w:color="auto" w:fill="auto"/>
            <w:vAlign w:val="center"/>
            <w:hideMark/>
          </w:tcPr>
          <w:p w14:paraId="19BB935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4,407</w:t>
            </w:r>
          </w:p>
        </w:tc>
        <w:tc>
          <w:tcPr>
            <w:tcW w:w="541" w:type="pct"/>
            <w:tcBorders>
              <w:top w:val="nil"/>
              <w:left w:val="nil"/>
              <w:bottom w:val="single" w:sz="4" w:space="0" w:color="auto"/>
              <w:right w:val="single" w:sz="4" w:space="0" w:color="auto"/>
            </w:tcBorders>
            <w:shd w:val="clear" w:color="auto" w:fill="auto"/>
            <w:vAlign w:val="center"/>
            <w:hideMark/>
          </w:tcPr>
          <w:p w14:paraId="4C0F622B"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4,251</w:t>
            </w:r>
          </w:p>
        </w:tc>
        <w:tc>
          <w:tcPr>
            <w:tcW w:w="541" w:type="pct"/>
            <w:tcBorders>
              <w:top w:val="nil"/>
              <w:left w:val="nil"/>
              <w:bottom w:val="single" w:sz="4" w:space="0" w:color="auto"/>
              <w:right w:val="single" w:sz="4" w:space="0" w:color="auto"/>
            </w:tcBorders>
            <w:shd w:val="clear" w:color="auto" w:fill="auto"/>
            <w:vAlign w:val="center"/>
            <w:hideMark/>
          </w:tcPr>
          <w:p w14:paraId="0535DA0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71</w:t>
            </w:r>
          </w:p>
        </w:tc>
        <w:tc>
          <w:tcPr>
            <w:tcW w:w="542" w:type="pct"/>
            <w:tcBorders>
              <w:top w:val="nil"/>
              <w:left w:val="nil"/>
              <w:bottom w:val="single" w:sz="4" w:space="0" w:color="auto"/>
              <w:right w:val="single" w:sz="4" w:space="0" w:color="auto"/>
            </w:tcBorders>
            <w:shd w:val="clear" w:color="auto" w:fill="auto"/>
            <w:vAlign w:val="center"/>
            <w:hideMark/>
          </w:tcPr>
          <w:p w14:paraId="7DF8E55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4,322</w:t>
            </w:r>
          </w:p>
        </w:tc>
      </w:tr>
      <w:tr w:rsidR="00D33F7C" w:rsidRPr="001210D0" w14:paraId="52ED384B" w14:textId="77777777" w:rsidTr="00E213CE">
        <w:trPr>
          <w:trHeight w:val="300"/>
        </w:trPr>
        <w:tc>
          <w:tcPr>
            <w:tcW w:w="175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24F7E2" w14:textId="77777777" w:rsidR="00D33F7C" w:rsidRPr="001210D0" w:rsidRDefault="00D33F7C" w:rsidP="00E213CE">
            <w:pPr>
              <w:rPr>
                <w:rFonts w:ascii="Garamond" w:eastAsia="Times New Roman" w:hAnsi="Garamond"/>
                <w:sz w:val="20"/>
                <w:szCs w:val="20"/>
                <w:lang w:val="en-IN" w:eastAsia="en-IN" w:bidi="hi-IN"/>
              </w:rPr>
            </w:pPr>
            <w:r w:rsidRPr="001210D0">
              <w:rPr>
                <w:rFonts w:ascii="Garamond" w:eastAsia="Times New Roman" w:hAnsi="Garamond"/>
                <w:sz w:val="20"/>
                <w:szCs w:val="20"/>
                <w:lang w:val="en-IN" w:eastAsia="en-IN" w:bidi="hi-IN"/>
              </w:rPr>
              <w:t>LSE Group London Stock Exchange</w:t>
            </w:r>
          </w:p>
        </w:tc>
        <w:tc>
          <w:tcPr>
            <w:tcW w:w="541" w:type="pct"/>
            <w:tcBorders>
              <w:top w:val="nil"/>
              <w:left w:val="nil"/>
              <w:bottom w:val="single" w:sz="4" w:space="0" w:color="auto"/>
              <w:right w:val="single" w:sz="4" w:space="0" w:color="auto"/>
            </w:tcBorders>
            <w:shd w:val="clear" w:color="auto" w:fill="auto"/>
            <w:vAlign w:val="center"/>
            <w:hideMark/>
          </w:tcPr>
          <w:p w14:paraId="14466695"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58,216</w:t>
            </w:r>
          </w:p>
        </w:tc>
        <w:tc>
          <w:tcPr>
            <w:tcW w:w="541" w:type="pct"/>
            <w:tcBorders>
              <w:top w:val="nil"/>
              <w:left w:val="nil"/>
              <w:bottom w:val="single" w:sz="4" w:space="0" w:color="auto"/>
              <w:right w:val="single" w:sz="4" w:space="0" w:color="auto"/>
            </w:tcBorders>
            <w:shd w:val="clear" w:color="auto" w:fill="auto"/>
            <w:vAlign w:val="center"/>
            <w:hideMark/>
          </w:tcPr>
          <w:p w14:paraId="6BDA0E8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4,179</w:t>
            </w:r>
          </w:p>
        </w:tc>
        <w:tc>
          <w:tcPr>
            <w:tcW w:w="542" w:type="pct"/>
            <w:tcBorders>
              <w:top w:val="nil"/>
              <w:left w:val="nil"/>
              <w:bottom w:val="single" w:sz="4" w:space="0" w:color="auto"/>
              <w:right w:val="single" w:sz="4" w:space="0" w:color="auto"/>
            </w:tcBorders>
            <w:shd w:val="clear" w:color="auto" w:fill="auto"/>
            <w:vAlign w:val="center"/>
            <w:hideMark/>
          </w:tcPr>
          <w:p w14:paraId="276D7924"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62,394</w:t>
            </w:r>
          </w:p>
        </w:tc>
        <w:tc>
          <w:tcPr>
            <w:tcW w:w="541" w:type="pct"/>
            <w:tcBorders>
              <w:top w:val="nil"/>
              <w:left w:val="nil"/>
              <w:bottom w:val="single" w:sz="4" w:space="0" w:color="auto"/>
              <w:right w:val="single" w:sz="4" w:space="0" w:color="auto"/>
            </w:tcBorders>
            <w:shd w:val="clear" w:color="auto" w:fill="auto"/>
            <w:vAlign w:val="center"/>
            <w:hideMark/>
          </w:tcPr>
          <w:p w14:paraId="2DCD10D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59,236</w:t>
            </w:r>
          </w:p>
        </w:tc>
        <w:tc>
          <w:tcPr>
            <w:tcW w:w="541" w:type="pct"/>
            <w:tcBorders>
              <w:top w:val="nil"/>
              <w:left w:val="nil"/>
              <w:bottom w:val="single" w:sz="4" w:space="0" w:color="auto"/>
              <w:right w:val="single" w:sz="4" w:space="0" w:color="auto"/>
            </w:tcBorders>
            <w:shd w:val="clear" w:color="auto" w:fill="auto"/>
            <w:vAlign w:val="center"/>
            <w:hideMark/>
          </w:tcPr>
          <w:p w14:paraId="2F0C4C92"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3,851</w:t>
            </w:r>
          </w:p>
        </w:tc>
        <w:tc>
          <w:tcPr>
            <w:tcW w:w="542" w:type="pct"/>
            <w:tcBorders>
              <w:top w:val="nil"/>
              <w:left w:val="nil"/>
              <w:bottom w:val="single" w:sz="4" w:space="0" w:color="auto"/>
              <w:right w:val="single" w:sz="4" w:space="0" w:color="auto"/>
            </w:tcBorders>
            <w:shd w:val="clear" w:color="auto" w:fill="auto"/>
            <w:vAlign w:val="center"/>
            <w:hideMark/>
          </w:tcPr>
          <w:p w14:paraId="05E23A8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63,087</w:t>
            </w:r>
          </w:p>
        </w:tc>
      </w:tr>
      <w:tr w:rsidR="00D33F7C" w:rsidRPr="001210D0" w14:paraId="0CE3F2A6" w14:textId="77777777" w:rsidTr="00E213CE">
        <w:trPr>
          <w:trHeight w:val="315"/>
        </w:trPr>
        <w:tc>
          <w:tcPr>
            <w:tcW w:w="1752" w:type="pct"/>
            <w:tcBorders>
              <w:top w:val="nil"/>
              <w:left w:val="single" w:sz="4" w:space="0" w:color="auto"/>
              <w:bottom w:val="single" w:sz="4" w:space="0" w:color="auto"/>
              <w:right w:val="single" w:sz="4" w:space="0" w:color="auto"/>
            </w:tcBorders>
            <w:shd w:val="clear" w:color="auto" w:fill="auto"/>
            <w:vAlign w:val="center"/>
            <w:hideMark/>
          </w:tcPr>
          <w:p w14:paraId="719585DC"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Moscow Exchange</w:t>
            </w:r>
          </w:p>
        </w:tc>
        <w:tc>
          <w:tcPr>
            <w:tcW w:w="541" w:type="pct"/>
            <w:tcBorders>
              <w:top w:val="nil"/>
              <w:left w:val="nil"/>
              <w:bottom w:val="single" w:sz="4" w:space="0" w:color="auto"/>
              <w:right w:val="single" w:sz="4" w:space="0" w:color="auto"/>
            </w:tcBorders>
            <w:shd w:val="clear" w:color="auto" w:fill="auto"/>
            <w:vAlign w:val="center"/>
            <w:hideMark/>
          </w:tcPr>
          <w:p w14:paraId="103D495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17,791</w:t>
            </w:r>
          </w:p>
        </w:tc>
        <w:tc>
          <w:tcPr>
            <w:tcW w:w="541" w:type="pct"/>
            <w:tcBorders>
              <w:top w:val="nil"/>
              <w:left w:val="nil"/>
              <w:bottom w:val="single" w:sz="4" w:space="0" w:color="auto"/>
              <w:right w:val="single" w:sz="4" w:space="0" w:color="auto"/>
            </w:tcBorders>
            <w:shd w:val="clear" w:color="auto" w:fill="auto"/>
            <w:vAlign w:val="center"/>
            <w:hideMark/>
          </w:tcPr>
          <w:p w14:paraId="1A33C21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0</w:t>
            </w:r>
          </w:p>
        </w:tc>
        <w:tc>
          <w:tcPr>
            <w:tcW w:w="542" w:type="pct"/>
            <w:tcBorders>
              <w:top w:val="nil"/>
              <w:left w:val="nil"/>
              <w:bottom w:val="single" w:sz="4" w:space="0" w:color="auto"/>
              <w:right w:val="single" w:sz="4" w:space="0" w:color="auto"/>
            </w:tcBorders>
            <w:shd w:val="clear" w:color="auto" w:fill="auto"/>
            <w:vAlign w:val="center"/>
            <w:hideMark/>
          </w:tcPr>
          <w:p w14:paraId="4EA8946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17,791</w:t>
            </w:r>
          </w:p>
        </w:tc>
        <w:tc>
          <w:tcPr>
            <w:tcW w:w="541" w:type="pct"/>
            <w:tcBorders>
              <w:top w:val="nil"/>
              <w:left w:val="nil"/>
              <w:bottom w:val="single" w:sz="4" w:space="0" w:color="auto"/>
              <w:right w:val="single" w:sz="4" w:space="0" w:color="auto"/>
            </w:tcBorders>
            <w:shd w:val="clear" w:color="auto" w:fill="auto"/>
            <w:vAlign w:val="center"/>
            <w:hideMark/>
          </w:tcPr>
          <w:p w14:paraId="34526D9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13,753</w:t>
            </w:r>
          </w:p>
        </w:tc>
        <w:tc>
          <w:tcPr>
            <w:tcW w:w="541" w:type="pct"/>
            <w:tcBorders>
              <w:top w:val="nil"/>
              <w:left w:val="nil"/>
              <w:bottom w:val="single" w:sz="4" w:space="0" w:color="auto"/>
              <w:right w:val="single" w:sz="4" w:space="0" w:color="auto"/>
            </w:tcBorders>
            <w:shd w:val="clear" w:color="auto" w:fill="auto"/>
            <w:vAlign w:val="center"/>
            <w:hideMark/>
          </w:tcPr>
          <w:p w14:paraId="59440856"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309</w:t>
            </w:r>
          </w:p>
        </w:tc>
        <w:tc>
          <w:tcPr>
            <w:tcW w:w="542" w:type="pct"/>
            <w:tcBorders>
              <w:top w:val="nil"/>
              <w:left w:val="nil"/>
              <w:bottom w:val="single" w:sz="4" w:space="0" w:color="auto"/>
              <w:right w:val="single" w:sz="4" w:space="0" w:color="auto"/>
            </w:tcBorders>
            <w:shd w:val="clear" w:color="auto" w:fill="auto"/>
            <w:vAlign w:val="center"/>
            <w:hideMark/>
          </w:tcPr>
          <w:p w14:paraId="22009F17"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14,062</w:t>
            </w:r>
          </w:p>
        </w:tc>
      </w:tr>
      <w:tr w:rsidR="00D33F7C" w:rsidRPr="001210D0" w14:paraId="0A6A81E7" w14:textId="77777777" w:rsidTr="00E213CE">
        <w:trPr>
          <w:trHeight w:val="300"/>
        </w:trPr>
        <w:tc>
          <w:tcPr>
            <w:tcW w:w="1752" w:type="pct"/>
            <w:tcBorders>
              <w:top w:val="nil"/>
              <w:left w:val="single" w:sz="4" w:space="0" w:color="auto"/>
              <w:bottom w:val="single" w:sz="4" w:space="0" w:color="auto"/>
              <w:right w:val="single" w:sz="4" w:space="0" w:color="auto"/>
            </w:tcBorders>
            <w:shd w:val="clear" w:color="000000" w:fill="BDD6EE"/>
            <w:vAlign w:val="center"/>
            <w:hideMark/>
          </w:tcPr>
          <w:p w14:paraId="1FE0941D" w14:textId="77777777" w:rsidR="00D33F7C" w:rsidRPr="001210D0" w:rsidRDefault="00D33F7C" w:rsidP="00E213CE">
            <w:pP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Grand Total</w:t>
            </w:r>
          </w:p>
        </w:tc>
        <w:tc>
          <w:tcPr>
            <w:tcW w:w="541" w:type="pct"/>
            <w:tcBorders>
              <w:top w:val="nil"/>
              <w:left w:val="nil"/>
              <w:bottom w:val="single" w:sz="4" w:space="0" w:color="auto"/>
              <w:right w:val="single" w:sz="4" w:space="0" w:color="auto"/>
            </w:tcBorders>
            <w:shd w:val="clear" w:color="000000" w:fill="BDD6EE"/>
            <w:vAlign w:val="center"/>
            <w:hideMark/>
          </w:tcPr>
          <w:p w14:paraId="059ECCCB" w14:textId="77777777" w:rsidR="00D33F7C" w:rsidRPr="001210D0" w:rsidRDefault="00D33F7C" w:rsidP="00E213CE">
            <w:pPr>
              <w:jc w:val="right"/>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 xml:space="preserve"> 401,146</w:t>
            </w:r>
          </w:p>
        </w:tc>
        <w:tc>
          <w:tcPr>
            <w:tcW w:w="541" w:type="pct"/>
            <w:tcBorders>
              <w:top w:val="nil"/>
              <w:left w:val="nil"/>
              <w:bottom w:val="single" w:sz="4" w:space="0" w:color="auto"/>
              <w:right w:val="single" w:sz="4" w:space="0" w:color="auto"/>
            </w:tcBorders>
            <w:shd w:val="clear" w:color="000000" w:fill="BDD6EE"/>
            <w:vAlign w:val="center"/>
            <w:hideMark/>
          </w:tcPr>
          <w:p w14:paraId="38233A53" w14:textId="77777777" w:rsidR="00D33F7C" w:rsidRPr="001210D0" w:rsidRDefault="00D33F7C" w:rsidP="00E213CE">
            <w:pPr>
              <w:jc w:val="right"/>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 xml:space="preserve"> 67,788</w:t>
            </w:r>
          </w:p>
        </w:tc>
        <w:tc>
          <w:tcPr>
            <w:tcW w:w="542" w:type="pct"/>
            <w:tcBorders>
              <w:top w:val="nil"/>
              <w:left w:val="nil"/>
              <w:bottom w:val="single" w:sz="4" w:space="0" w:color="auto"/>
              <w:right w:val="single" w:sz="4" w:space="0" w:color="auto"/>
            </w:tcBorders>
            <w:shd w:val="clear" w:color="000000" w:fill="BDD6EE"/>
            <w:vAlign w:val="center"/>
            <w:hideMark/>
          </w:tcPr>
          <w:p w14:paraId="3A814CEE" w14:textId="77777777" w:rsidR="00D33F7C" w:rsidRPr="001210D0" w:rsidRDefault="00D33F7C" w:rsidP="00E213CE">
            <w:pPr>
              <w:jc w:val="right"/>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 xml:space="preserve"> 468,934</w:t>
            </w:r>
          </w:p>
        </w:tc>
        <w:tc>
          <w:tcPr>
            <w:tcW w:w="541" w:type="pct"/>
            <w:tcBorders>
              <w:top w:val="nil"/>
              <w:left w:val="nil"/>
              <w:bottom w:val="single" w:sz="4" w:space="0" w:color="auto"/>
              <w:right w:val="single" w:sz="4" w:space="0" w:color="auto"/>
            </w:tcBorders>
            <w:shd w:val="clear" w:color="000000" w:fill="BDD6EE"/>
            <w:vAlign w:val="center"/>
            <w:hideMark/>
          </w:tcPr>
          <w:p w14:paraId="0D712AF1" w14:textId="77777777" w:rsidR="00D33F7C" w:rsidRPr="001210D0" w:rsidRDefault="00D33F7C" w:rsidP="00E213CE">
            <w:pPr>
              <w:jc w:val="right"/>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 xml:space="preserve"> 257,179</w:t>
            </w:r>
          </w:p>
        </w:tc>
        <w:tc>
          <w:tcPr>
            <w:tcW w:w="541" w:type="pct"/>
            <w:tcBorders>
              <w:top w:val="nil"/>
              <w:left w:val="nil"/>
              <w:bottom w:val="single" w:sz="4" w:space="0" w:color="auto"/>
              <w:right w:val="single" w:sz="4" w:space="0" w:color="auto"/>
            </w:tcBorders>
            <w:shd w:val="clear" w:color="000000" w:fill="BDD6EE"/>
            <w:vAlign w:val="center"/>
            <w:hideMark/>
          </w:tcPr>
          <w:p w14:paraId="49892948" w14:textId="77777777" w:rsidR="00D33F7C" w:rsidRPr="001210D0" w:rsidRDefault="00D33F7C" w:rsidP="00E213CE">
            <w:pPr>
              <w:jc w:val="right"/>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 xml:space="preserve"> 36,505</w:t>
            </w:r>
          </w:p>
        </w:tc>
        <w:tc>
          <w:tcPr>
            <w:tcW w:w="542" w:type="pct"/>
            <w:tcBorders>
              <w:top w:val="nil"/>
              <w:left w:val="nil"/>
              <w:bottom w:val="single" w:sz="4" w:space="0" w:color="auto"/>
              <w:right w:val="single" w:sz="4" w:space="0" w:color="auto"/>
            </w:tcBorders>
            <w:shd w:val="clear" w:color="000000" w:fill="BDD6EE"/>
            <w:vAlign w:val="center"/>
            <w:hideMark/>
          </w:tcPr>
          <w:p w14:paraId="2E017ECE" w14:textId="77777777" w:rsidR="00D33F7C" w:rsidRPr="001210D0" w:rsidRDefault="00D33F7C" w:rsidP="00E213CE">
            <w:pPr>
              <w:jc w:val="right"/>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 xml:space="preserve"> 293,683</w:t>
            </w:r>
          </w:p>
        </w:tc>
      </w:tr>
    </w:tbl>
    <w:p w14:paraId="33061EF6" w14:textId="77777777" w:rsidR="00D33F7C" w:rsidRPr="00E25198" w:rsidRDefault="00D33F7C" w:rsidP="00D33F7C">
      <w:pPr>
        <w:jc w:val="both"/>
        <w:rPr>
          <w:rFonts w:ascii="Garamond" w:hAnsi="Garamond"/>
          <w:bCs/>
          <w:sz w:val="18"/>
          <w:szCs w:val="18"/>
        </w:rPr>
      </w:pPr>
      <w:r w:rsidRPr="00E25198">
        <w:rPr>
          <w:rFonts w:ascii="Garamond" w:hAnsi="Garamond"/>
          <w:bCs/>
          <w:sz w:val="18"/>
          <w:szCs w:val="18"/>
        </w:rPr>
        <w:t xml:space="preserve"> 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14:paraId="0CDE8502" w14:textId="77777777" w:rsidR="00D33F7C" w:rsidRPr="00E25198" w:rsidRDefault="00D33F7C" w:rsidP="00D33F7C">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Australian Securities Exchange: including investment funds</w:t>
      </w:r>
    </w:p>
    <w:p w14:paraId="4FA155B3" w14:textId="77777777" w:rsidR="00D33F7C" w:rsidRPr="00E25198" w:rsidRDefault="00D33F7C" w:rsidP="00D33F7C">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 xml:space="preserve">BME: Including investment companies listed (open-end investment companies). </w:t>
      </w:r>
    </w:p>
    <w:p w14:paraId="7B6181CD" w14:textId="77777777" w:rsidR="00D33F7C" w:rsidRPr="00E25198" w:rsidRDefault="00D33F7C" w:rsidP="00D33F7C">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Euronext: includes Belgium, England, France, Netherlands and Portugal</w:t>
      </w:r>
    </w:p>
    <w:p w14:paraId="66BD8424" w14:textId="77777777" w:rsidR="00D33F7C" w:rsidRPr="00E25198" w:rsidRDefault="00D33F7C" w:rsidP="00D33F7C">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Korea Exchange: including Kosdaq market data</w:t>
      </w:r>
    </w:p>
    <w:p w14:paraId="0F833DDC" w14:textId="77777777" w:rsidR="00D33F7C" w:rsidRPr="00E25198" w:rsidRDefault="00D33F7C" w:rsidP="00D33F7C">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LSE Group: includes London Stock Exchange and BorsaItaliana</w:t>
      </w:r>
    </w:p>
    <w:p w14:paraId="38E8E02A" w14:textId="77777777" w:rsidR="00D33F7C" w:rsidRPr="00E25198" w:rsidRDefault="00D33F7C" w:rsidP="00D33F7C">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Nasdaq Nordic Exchanges include Copenhagen, Helsinki, Iceland, Stockholm, Tallinn, Riga and Vilnius Stock Exchanges</w:t>
      </w:r>
    </w:p>
    <w:p w14:paraId="58EC6A6C" w14:textId="77777777" w:rsidR="00D33F7C" w:rsidRPr="00E25198" w:rsidRDefault="00D33F7C" w:rsidP="00D33F7C">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NSE India: including “Emerge” market data</w:t>
      </w:r>
    </w:p>
    <w:p w14:paraId="00BB8FCC" w14:textId="77777777" w:rsidR="00D33F7C" w:rsidRPr="00E25198" w:rsidRDefault="00D33F7C" w:rsidP="00D33F7C">
      <w:pPr>
        <w:outlineLvl w:val="0"/>
        <w:rPr>
          <w:rFonts w:ascii="Garamond" w:hAnsi="Garamond"/>
          <w:bCs/>
          <w:sz w:val="18"/>
          <w:szCs w:val="18"/>
        </w:rPr>
      </w:pPr>
      <w:r w:rsidRPr="00E25198">
        <w:rPr>
          <w:rFonts w:ascii="Garamond" w:hAnsi="Garamond"/>
          <w:bCs/>
          <w:sz w:val="18"/>
          <w:szCs w:val="18"/>
        </w:rPr>
        <w:t>NA = Not Available</w:t>
      </w:r>
    </w:p>
    <w:p w14:paraId="3688416D" w14:textId="77777777" w:rsidR="00D33F7C" w:rsidRPr="00E25198" w:rsidRDefault="00D33F7C" w:rsidP="00D33F7C">
      <w:pPr>
        <w:spacing w:line="23" w:lineRule="atLeast"/>
        <w:rPr>
          <w:rFonts w:ascii="Garamond" w:hAnsi="Garamond"/>
          <w:bCs/>
          <w:sz w:val="18"/>
          <w:szCs w:val="18"/>
        </w:rPr>
      </w:pPr>
      <w:r w:rsidRPr="00E25198">
        <w:rPr>
          <w:rFonts w:ascii="Garamond" w:hAnsi="Garamond"/>
          <w:bCs/>
          <w:sz w:val="18"/>
          <w:szCs w:val="18"/>
        </w:rPr>
        <w:t>Source: World Federation of Exchanges</w:t>
      </w:r>
    </w:p>
    <w:p w14:paraId="2442D4E8" w14:textId="77777777" w:rsidR="00D33F7C" w:rsidRPr="00E25198" w:rsidRDefault="00D33F7C" w:rsidP="00D33F7C">
      <w:pPr>
        <w:rPr>
          <w:rFonts w:ascii="Garamond" w:hAnsi="Garamond"/>
          <w:bCs/>
          <w:sz w:val="22"/>
          <w:szCs w:val="22"/>
        </w:rPr>
      </w:pPr>
    </w:p>
    <w:p w14:paraId="32EE9336" w14:textId="77777777" w:rsidR="00D33F7C" w:rsidRPr="00E25198" w:rsidRDefault="00D33F7C" w:rsidP="00D33F7C">
      <w:pPr>
        <w:spacing w:line="23" w:lineRule="atLeast"/>
        <w:jc w:val="both"/>
        <w:outlineLvl w:val="0"/>
        <w:rPr>
          <w:rFonts w:ascii="Garamond" w:hAnsi="Garamond"/>
          <w:b/>
          <w:bCs/>
          <w:szCs w:val="22"/>
        </w:rPr>
      </w:pPr>
      <w:r w:rsidRPr="00E25198">
        <w:rPr>
          <w:rFonts w:ascii="Garamond" w:hAnsi="Garamond"/>
          <w:b/>
          <w:bCs/>
          <w:szCs w:val="22"/>
        </w:rPr>
        <w:t>Table A3: Domestic Market Capitalisation of Major Exchanges (USD billion)</w:t>
      </w:r>
    </w:p>
    <w:tbl>
      <w:tblPr>
        <w:tblW w:w="7891" w:type="dxa"/>
        <w:jc w:val="center"/>
        <w:tblLook w:val="04A0" w:firstRow="1" w:lastRow="0" w:firstColumn="1" w:lastColumn="0" w:noHBand="0" w:noVBand="1"/>
      </w:tblPr>
      <w:tblGrid>
        <w:gridCol w:w="4096"/>
        <w:gridCol w:w="1265"/>
        <w:gridCol w:w="1265"/>
        <w:gridCol w:w="1265"/>
      </w:tblGrid>
      <w:tr w:rsidR="00D33F7C" w:rsidRPr="001210D0" w14:paraId="0BEACD53" w14:textId="77777777" w:rsidTr="00E213CE">
        <w:trPr>
          <w:trHeight w:val="244"/>
          <w:jc w:val="center"/>
        </w:trPr>
        <w:tc>
          <w:tcPr>
            <w:tcW w:w="409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5924AAC" w14:textId="12A68C7A" w:rsidR="00D33F7C" w:rsidRPr="001210D0" w:rsidRDefault="004D10FC" w:rsidP="00E213CE">
            <w:pPr>
              <w:rPr>
                <w:rFonts w:ascii="Garamond" w:eastAsia="Times New Roman" w:hAnsi="Garamond"/>
                <w:b/>
                <w:bCs/>
                <w:color w:val="000000"/>
                <w:sz w:val="20"/>
                <w:szCs w:val="20"/>
                <w:lang w:val="en-IN" w:eastAsia="en-IN" w:bidi="hi-IN"/>
              </w:rPr>
            </w:pPr>
            <w:r w:rsidRPr="001210D0">
              <w:rPr>
                <w:rFonts w:ascii="Garamond" w:eastAsia="Times New Roman" w:hAnsi="Garamond"/>
                <w:b/>
                <w:bCs/>
                <w:color w:val="000000"/>
                <w:sz w:val="20"/>
                <w:szCs w:val="20"/>
                <w:lang w:val="en-IN" w:eastAsia="en-IN" w:bidi="hi-IN"/>
              </w:rPr>
              <w:t>Exchange</w:t>
            </w:r>
          </w:p>
        </w:tc>
        <w:tc>
          <w:tcPr>
            <w:tcW w:w="1265" w:type="dxa"/>
            <w:tcBorders>
              <w:top w:val="single" w:sz="4" w:space="0" w:color="auto"/>
              <w:left w:val="nil"/>
              <w:bottom w:val="single" w:sz="4" w:space="0" w:color="auto"/>
              <w:right w:val="single" w:sz="4" w:space="0" w:color="auto"/>
            </w:tcBorders>
            <w:shd w:val="clear" w:color="000000" w:fill="B4C6E7"/>
            <w:noWrap/>
            <w:vAlign w:val="center"/>
            <w:hideMark/>
          </w:tcPr>
          <w:p w14:paraId="584769F8" w14:textId="77777777" w:rsidR="00D33F7C" w:rsidRPr="001210D0" w:rsidRDefault="00D33F7C" w:rsidP="00E213CE">
            <w:pPr>
              <w:jc w:val="center"/>
              <w:rPr>
                <w:rFonts w:ascii="Calibri" w:eastAsia="Times New Roman" w:hAnsi="Calibri"/>
                <w:b/>
                <w:bCs/>
                <w:color w:val="000000"/>
                <w:sz w:val="18"/>
                <w:szCs w:val="18"/>
                <w:lang w:val="en-IN" w:eastAsia="en-IN" w:bidi="hi-IN"/>
              </w:rPr>
            </w:pPr>
            <w:r w:rsidRPr="001210D0">
              <w:rPr>
                <w:rFonts w:ascii="Calibri" w:eastAsia="Times New Roman" w:hAnsi="Calibri"/>
                <w:b/>
                <w:bCs/>
                <w:color w:val="000000"/>
                <w:sz w:val="18"/>
                <w:szCs w:val="18"/>
                <w:lang w:val="en-IN" w:eastAsia="en-IN" w:bidi="hi-IN"/>
              </w:rPr>
              <w:t>Apr-21</w:t>
            </w:r>
          </w:p>
        </w:tc>
        <w:tc>
          <w:tcPr>
            <w:tcW w:w="1265" w:type="dxa"/>
            <w:tcBorders>
              <w:top w:val="single" w:sz="4" w:space="0" w:color="auto"/>
              <w:left w:val="nil"/>
              <w:bottom w:val="single" w:sz="4" w:space="0" w:color="auto"/>
              <w:right w:val="single" w:sz="4" w:space="0" w:color="auto"/>
            </w:tcBorders>
            <w:shd w:val="clear" w:color="000000" w:fill="B4C6E7"/>
            <w:noWrap/>
            <w:vAlign w:val="center"/>
            <w:hideMark/>
          </w:tcPr>
          <w:p w14:paraId="46B945DB" w14:textId="77777777" w:rsidR="00D33F7C" w:rsidRPr="001210D0" w:rsidRDefault="00D33F7C" w:rsidP="00E213CE">
            <w:pPr>
              <w:jc w:val="center"/>
              <w:rPr>
                <w:rFonts w:ascii="Calibri" w:eastAsia="Times New Roman" w:hAnsi="Calibri"/>
                <w:b/>
                <w:bCs/>
                <w:color w:val="000000"/>
                <w:sz w:val="18"/>
                <w:szCs w:val="18"/>
                <w:lang w:val="en-IN" w:eastAsia="en-IN" w:bidi="hi-IN"/>
              </w:rPr>
            </w:pPr>
            <w:r w:rsidRPr="001210D0">
              <w:rPr>
                <w:rFonts w:ascii="Calibri" w:eastAsia="Times New Roman" w:hAnsi="Calibri"/>
                <w:b/>
                <w:bCs/>
                <w:color w:val="000000"/>
                <w:sz w:val="18"/>
                <w:szCs w:val="18"/>
                <w:lang w:val="en-IN" w:eastAsia="en-IN" w:bidi="hi-IN"/>
              </w:rPr>
              <w:t>May-21</w:t>
            </w:r>
          </w:p>
        </w:tc>
        <w:tc>
          <w:tcPr>
            <w:tcW w:w="1265" w:type="dxa"/>
            <w:tcBorders>
              <w:top w:val="single" w:sz="4" w:space="0" w:color="auto"/>
              <w:left w:val="nil"/>
              <w:bottom w:val="single" w:sz="4" w:space="0" w:color="auto"/>
              <w:right w:val="single" w:sz="4" w:space="0" w:color="auto"/>
            </w:tcBorders>
            <w:shd w:val="clear" w:color="000000" w:fill="B4C6E7"/>
            <w:noWrap/>
            <w:vAlign w:val="center"/>
            <w:hideMark/>
          </w:tcPr>
          <w:p w14:paraId="4CB9B893" w14:textId="77777777" w:rsidR="00D33F7C" w:rsidRPr="001210D0" w:rsidRDefault="00D33F7C" w:rsidP="00E213CE">
            <w:pPr>
              <w:rPr>
                <w:rFonts w:ascii="Calibri" w:eastAsia="Times New Roman" w:hAnsi="Calibri"/>
                <w:b/>
                <w:bCs/>
                <w:color w:val="000000"/>
                <w:sz w:val="18"/>
                <w:szCs w:val="18"/>
                <w:lang w:val="en-IN" w:eastAsia="en-IN" w:bidi="hi-IN"/>
              </w:rPr>
            </w:pPr>
            <w:r w:rsidRPr="001210D0">
              <w:rPr>
                <w:rFonts w:ascii="Calibri" w:eastAsia="Times New Roman" w:hAnsi="Calibri"/>
                <w:b/>
                <w:bCs/>
                <w:color w:val="000000"/>
                <w:sz w:val="18"/>
                <w:szCs w:val="18"/>
                <w:lang w:val="en-IN" w:eastAsia="en-IN" w:bidi="hi-IN"/>
              </w:rPr>
              <w:t>% Change MoM</w:t>
            </w:r>
          </w:p>
        </w:tc>
      </w:tr>
      <w:tr w:rsidR="00D33F7C" w:rsidRPr="001210D0" w14:paraId="36E50668"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49D3AE89"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Nasdaq - US</w:t>
            </w:r>
          </w:p>
        </w:tc>
        <w:tc>
          <w:tcPr>
            <w:tcW w:w="1265" w:type="dxa"/>
            <w:tcBorders>
              <w:top w:val="nil"/>
              <w:left w:val="nil"/>
              <w:bottom w:val="single" w:sz="4" w:space="0" w:color="auto"/>
              <w:right w:val="single" w:sz="4" w:space="0" w:color="auto"/>
            </w:tcBorders>
            <w:shd w:val="clear" w:color="auto" w:fill="auto"/>
            <w:vAlign w:val="center"/>
            <w:hideMark/>
          </w:tcPr>
          <w:p w14:paraId="58DB9F4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20,991</w:t>
            </w:r>
          </w:p>
        </w:tc>
        <w:tc>
          <w:tcPr>
            <w:tcW w:w="1265" w:type="dxa"/>
            <w:tcBorders>
              <w:top w:val="nil"/>
              <w:left w:val="nil"/>
              <w:bottom w:val="single" w:sz="4" w:space="0" w:color="auto"/>
              <w:right w:val="single" w:sz="4" w:space="0" w:color="auto"/>
            </w:tcBorders>
            <w:shd w:val="clear" w:color="auto" w:fill="auto"/>
            <w:vAlign w:val="center"/>
            <w:hideMark/>
          </w:tcPr>
          <w:p w14:paraId="7C794026"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20,875</w:t>
            </w:r>
          </w:p>
        </w:tc>
        <w:tc>
          <w:tcPr>
            <w:tcW w:w="1265" w:type="dxa"/>
            <w:tcBorders>
              <w:top w:val="nil"/>
              <w:left w:val="nil"/>
              <w:bottom w:val="single" w:sz="4" w:space="0" w:color="auto"/>
              <w:right w:val="single" w:sz="4" w:space="0" w:color="auto"/>
            </w:tcBorders>
            <w:shd w:val="clear" w:color="auto" w:fill="auto"/>
            <w:noWrap/>
            <w:vAlign w:val="center"/>
            <w:hideMark/>
          </w:tcPr>
          <w:p w14:paraId="529EF334"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-0.6%</w:t>
            </w:r>
          </w:p>
        </w:tc>
      </w:tr>
      <w:tr w:rsidR="00D33F7C" w:rsidRPr="001210D0" w14:paraId="2EB68FD2"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0B338892"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NYSE</w:t>
            </w:r>
          </w:p>
        </w:tc>
        <w:tc>
          <w:tcPr>
            <w:tcW w:w="1265" w:type="dxa"/>
            <w:tcBorders>
              <w:top w:val="nil"/>
              <w:left w:val="nil"/>
              <w:bottom w:val="single" w:sz="4" w:space="0" w:color="auto"/>
              <w:right w:val="single" w:sz="4" w:space="0" w:color="auto"/>
            </w:tcBorders>
            <w:shd w:val="clear" w:color="auto" w:fill="auto"/>
            <w:vAlign w:val="center"/>
            <w:hideMark/>
          </w:tcPr>
          <w:p w14:paraId="530AF2C6"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24,676</w:t>
            </w:r>
          </w:p>
        </w:tc>
        <w:tc>
          <w:tcPr>
            <w:tcW w:w="1265" w:type="dxa"/>
            <w:tcBorders>
              <w:top w:val="nil"/>
              <w:left w:val="nil"/>
              <w:bottom w:val="single" w:sz="4" w:space="0" w:color="auto"/>
              <w:right w:val="single" w:sz="4" w:space="0" w:color="auto"/>
            </w:tcBorders>
            <w:shd w:val="clear" w:color="auto" w:fill="auto"/>
            <w:vAlign w:val="center"/>
            <w:hideMark/>
          </w:tcPr>
          <w:p w14:paraId="6610766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24,935</w:t>
            </w:r>
          </w:p>
        </w:tc>
        <w:tc>
          <w:tcPr>
            <w:tcW w:w="1265" w:type="dxa"/>
            <w:tcBorders>
              <w:top w:val="nil"/>
              <w:left w:val="nil"/>
              <w:bottom w:val="single" w:sz="4" w:space="0" w:color="auto"/>
              <w:right w:val="single" w:sz="4" w:space="0" w:color="auto"/>
            </w:tcBorders>
            <w:shd w:val="clear" w:color="auto" w:fill="auto"/>
            <w:noWrap/>
            <w:vAlign w:val="center"/>
            <w:hideMark/>
          </w:tcPr>
          <w:p w14:paraId="209C7EBB"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1.1%</w:t>
            </w:r>
          </w:p>
        </w:tc>
      </w:tr>
      <w:tr w:rsidR="00D33F7C" w:rsidRPr="001210D0" w14:paraId="53BA41B9"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2CB8347F"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LSE Group</w:t>
            </w:r>
          </w:p>
        </w:tc>
        <w:tc>
          <w:tcPr>
            <w:tcW w:w="1265" w:type="dxa"/>
            <w:tcBorders>
              <w:top w:val="nil"/>
              <w:left w:val="nil"/>
              <w:bottom w:val="single" w:sz="4" w:space="0" w:color="auto"/>
              <w:right w:val="single" w:sz="4" w:space="0" w:color="auto"/>
            </w:tcBorders>
            <w:shd w:val="clear" w:color="auto" w:fill="auto"/>
            <w:vAlign w:val="center"/>
            <w:hideMark/>
          </w:tcPr>
          <w:p w14:paraId="31C2B15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c>
          <w:tcPr>
            <w:tcW w:w="1265" w:type="dxa"/>
            <w:tcBorders>
              <w:top w:val="nil"/>
              <w:left w:val="nil"/>
              <w:bottom w:val="single" w:sz="4" w:space="0" w:color="auto"/>
              <w:right w:val="single" w:sz="4" w:space="0" w:color="auto"/>
            </w:tcBorders>
            <w:shd w:val="clear" w:color="auto" w:fill="auto"/>
            <w:vAlign w:val="center"/>
            <w:hideMark/>
          </w:tcPr>
          <w:p w14:paraId="151B5D0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c>
          <w:tcPr>
            <w:tcW w:w="1265" w:type="dxa"/>
            <w:tcBorders>
              <w:top w:val="nil"/>
              <w:left w:val="nil"/>
              <w:bottom w:val="single" w:sz="4" w:space="0" w:color="auto"/>
              <w:right w:val="single" w:sz="4" w:space="0" w:color="auto"/>
            </w:tcBorders>
            <w:shd w:val="clear" w:color="auto" w:fill="auto"/>
            <w:noWrap/>
            <w:vAlign w:val="center"/>
            <w:hideMark/>
          </w:tcPr>
          <w:p w14:paraId="55CDD03B"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w:t>
            </w:r>
          </w:p>
        </w:tc>
      </w:tr>
      <w:tr w:rsidR="00D33F7C" w:rsidRPr="001210D0" w14:paraId="7EB35C3F"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2B782B54"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Deutsche Boerse AG</w:t>
            </w:r>
          </w:p>
        </w:tc>
        <w:tc>
          <w:tcPr>
            <w:tcW w:w="1265" w:type="dxa"/>
            <w:tcBorders>
              <w:top w:val="nil"/>
              <w:left w:val="nil"/>
              <w:bottom w:val="single" w:sz="4" w:space="0" w:color="auto"/>
              <w:right w:val="single" w:sz="4" w:space="0" w:color="auto"/>
            </w:tcBorders>
            <w:shd w:val="clear" w:color="auto" w:fill="auto"/>
            <w:vAlign w:val="center"/>
            <w:hideMark/>
          </w:tcPr>
          <w:p w14:paraId="3C22F62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2,540</w:t>
            </w:r>
          </w:p>
        </w:tc>
        <w:tc>
          <w:tcPr>
            <w:tcW w:w="1265" w:type="dxa"/>
            <w:tcBorders>
              <w:top w:val="nil"/>
              <w:left w:val="nil"/>
              <w:bottom w:val="single" w:sz="4" w:space="0" w:color="auto"/>
              <w:right w:val="single" w:sz="4" w:space="0" w:color="auto"/>
            </w:tcBorders>
            <w:shd w:val="clear" w:color="auto" w:fill="auto"/>
            <w:vAlign w:val="center"/>
            <w:hideMark/>
          </w:tcPr>
          <w:p w14:paraId="244B133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2,648</w:t>
            </w:r>
          </w:p>
        </w:tc>
        <w:tc>
          <w:tcPr>
            <w:tcW w:w="1265" w:type="dxa"/>
            <w:tcBorders>
              <w:top w:val="nil"/>
              <w:left w:val="nil"/>
              <w:bottom w:val="single" w:sz="4" w:space="0" w:color="auto"/>
              <w:right w:val="single" w:sz="4" w:space="0" w:color="auto"/>
            </w:tcBorders>
            <w:shd w:val="clear" w:color="auto" w:fill="auto"/>
            <w:noWrap/>
            <w:vAlign w:val="center"/>
            <w:hideMark/>
          </w:tcPr>
          <w:p w14:paraId="6F2BCF0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4.2%</w:t>
            </w:r>
          </w:p>
        </w:tc>
      </w:tr>
      <w:tr w:rsidR="00D33F7C" w:rsidRPr="001210D0" w14:paraId="3A0DE8DD"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41E6C902"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BME Spanish Exchanges</w:t>
            </w:r>
          </w:p>
        </w:tc>
        <w:tc>
          <w:tcPr>
            <w:tcW w:w="1265" w:type="dxa"/>
            <w:tcBorders>
              <w:top w:val="nil"/>
              <w:left w:val="nil"/>
              <w:bottom w:val="single" w:sz="4" w:space="0" w:color="auto"/>
              <w:right w:val="single" w:sz="4" w:space="0" w:color="auto"/>
            </w:tcBorders>
            <w:shd w:val="clear" w:color="auto" w:fill="auto"/>
            <w:vAlign w:val="center"/>
            <w:hideMark/>
          </w:tcPr>
          <w:p w14:paraId="4DBA2FC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819</w:t>
            </w:r>
          </w:p>
        </w:tc>
        <w:tc>
          <w:tcPr>
            <w:tcW w:w="1265" w:type="dxa"/>
            <w:tcBorders>
              <w:top w:val="nil"/>
              <w:left w:val="nil"/>
              <w:bottom w:val="single" w:sz="4" w:space="0" w:color="auto"/>
              <w:right w:val="single" w:sz="4" w:space="0" w:color="auto"/>
            </w:tcBorders>
            <w:shd w:val="clear" w:color="auto" w:fill="auto"/>
            <w:vAlign w:val="center"/>
            <w:hideMark/>
          </w:tcPr>
          <w:p w14:paraId="7AC7241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858</w:t>
            </w:r>
          </w:p>
        </w:tc>
        <w:tc>
          <w:tcPr>
            <w:tcW w:w="1265" w:type="dxa"/>
            <w:tcBorders>
              <w:top w:val="nil"/>
              <w:left w:val="nil"/>
              <w:bottom w:val="single" w:sz="4" w:space="0" w:color="auto"/>
              <w:right w:val="single" w:sz="4" w:space="0" w:color="auto"/>
            </w:tcBorders>
            <w:shd w:val="clear" w:color="auto" w:fill="auto"/>
            <w:noWrap/>
            <w:vAlign w:val="center"/>
            <w:hideMark/>
          </w:tcPr>
          <w:p w14:paraId="44C0F89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4.8%</w:t>
            </w:r>
          </w:p>
        </w:tc>
      </w:tr>
      <w:tr w:rsidR="00D33F7C" w:rsidRPr="001210D0" w14:paraId="36040A34"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42AB339C"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Japan Exchange Group</w:t>
            </w:r>
          </w:p>
        </w:tc>
        <w:tc>
          <w:tcPr>
            <w:tcW w:w="1265" w:type="dxa"/>
            <w:tcBorders>
              <w:top w:val="nil"/>
              <w:left w:val="nil"/>
              <w:bottom w:val="single" w:sz="4" w:space="0" w:color="auto"/>
              <w:right w:val="single" w:sz="4" w:space="0" w:color="auto"/>
            </w:tcBorders>
            <w:shd w:val="clear" w:color="auto" w:fill="auto"/>
            <w:vAlign w:val="center"/>
            <w:hideMark/>
          </w:tcPr>
          <w:p w14:paraId="3CE7D2E5"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6,665</w:t>
            </w:r>
          </w:p>
        </w:tc>
        <w:tc>
          <w:tcPr>
            <w:tcW w:w="1265" w:type="dxa"/>
            <w:tcBorders>
              <w:top w:val="nil"/>
              <w:left w:val="nil"/>
              <w:bottom w:val="single" w:sz="4" w:space="0" w:color="auto"/>
              <w:right w:val="single" w:sz="4" w:space="0" w:color="auto"/>
            </w:tcBorders>
            <w:shd w:val="clear" w:color="auto" w:fill="auto"/>
            <w:vAlign w:val="center"/>
            <w:hideMark/>
          </w:tcPr>
          <w:p w14:paraId="2492724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6,711</w:t>
            </w:r>
          </w:p>
        </w:tc>
        <w:tc>
          <w:tcPr>
            <w:tcW w:w="1265" w:type="dxa"/>
            <w:tcBorders>
              <w:top w:val="nil"/>
              <w:left w:val="nil"/>
              <w:bottom w:val="single" w:sz="4" w:space="0" w:color="auto"/>
              <w:right w:val="single" w:sz="4" w:space="0" w:color="auto"/>
            </w:tcBorders>
            <w:shd w:val="clear" w:color="auto" w:fill="auto"/>
            <w:noWrap/>
            <w:vAlign w:val="center"/>
            <w:hideMark/>
          </w:tcPr>
          <w:p w14:paraId="21362A5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0.7%</w:t>
            </w:r>
          </w:p>
        </w:tc>
      </w:tr>
      <w:tr w:rsidR="00D33F7C" w:rsidRPr="001210D0" w14:paraId="7ECD40E7"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54082D41"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Singapore Exchange</w:t>
            </w:r>
          </w:p>
        </w:tc>
        <w:tc>
          <w:tcPr>
            <w:tcW w:w="1265" w:type="dxa"/>
            <w:tcBorders>
              <w:top w:val="nil"/>
              <w:left w:val="nil"/>
              <w:bottom w:val="single" w:sz="4" w:space="0" w:color="auto"/>
              <w:right w:val="single" w:sz="4" w:space="0" w:color="auto"/>
            </w:tcBorders>
            <w:shd w:val="clear" w:color="auto" w:fill="auto"/>
            <w:vAlign w:val="center"/>
            <w:hideMark/>
          </w:tcPr>
          <w:p w14:paraId="58BCF19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685</w:t>
            </w:r>
          </w:p>
        </w:tc>
        <w:tc>
          <w:tcPr>
            <w:tcW w:w="1265" w:type="dxa"/>
            <w:tcBorders>
              <w:top w:val="nil"/>
              <w:left w:val="nil"/>
              <w:bottom w:val="single" w:sz="4" w:space="0" w:color="auto"/>
              <w:right w:val="single" w:sz="4" w:space="0" w:color="auto"/>
            </w:tcBorders>
            <w:shd w:val="clear" w:color="auto" w:fill="auto"/>
            <w:vAlign w:val="center"/>
            <w:hideMark/>
          </w:tcPr>
          <w:p w14:paraId="638C81DF"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681</w:t>
            </w:r>
          </w:p>
        </w:tc>
        <w:tc>
          <w:tcPr>
            <w:tcW w:w="1265" w:type="dxa"/>
            <w:tcBorders>
              <w:top w:val="nil"/>
              <w:left w:val="nil"/>
              <w:bottom w:val="single" w:sz="4" w:space="0" w:color="auto"/>
              <w:right w:val="single" w:sz="4" w:space="0" w:color="auto"/>
            </w:tcBorders>
            <w:shd w:val="clear" w:color="auto" w:fill="auto"/>
            <w:noWrap/>
            <w:vAlign w:val="center"/>
            <w:hideMark/>
          </w:tcPr>
          <w:p w14:paraId="205F305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-0.6%</w:t>
            </w:r>
          </w:p>
        </w:tc>
      </w:tr>
      <w:tr w:rsidR="00D33F7C" w:rsidRPr="001210D0" w14:paraId="401DF4D3"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233FE7F0"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Hong Kong Exchanges and Clearing</w:t>
            </w:r>
          </w:p>
        </w:tc>
        <w:tc>
          <w:tcPr>
            <w:tcW w:w="1265" w:type="dxa"/>
            <w:tcBorders>
              <w:top w:val="nil"/>
              <w:left w:val="nil"/>
              <w:bottom w:val="single" w:sz="4" w:space="0" w:color="auto"/>
              <w:right w:val="single" w:sz="4" w:space="0" w:color="auto"/>
            </w:tcBorders>
            <w:shd w:val="clear" w:color="auto" w:fill="auto"/>
            <w:vAlign w:val="center"/>
            <w:hideMark/>
          </w:tcPr>
          <w:p w14:paraId="65B1AC24"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6,869</w:t>
            </w:r>
          </w:p>
        </w:tc>
        <w:tc>
          <w:tcPr>
            <w:tcW w:w="1265" w:type="dxa"/>
            <w:tcBorders>
              <w:top w:val="nil"/>
              <w:left w:val="nil"/>
              <w:bottom w:val="single" w:sz="4" w:space="0" w:color="auto"/>
              <w:right w:val="single" w:sz="4" w:space="0" w:color="auto"/>
            </w:tcBorders>
            <w:shd w:val="clear" w:color="auto" w:fill="auto"/>
            <w:vAlign w:val="center"/>
            <w:hideMark/>
          </w:tcPr>
          <w:p w14:paraId="6C25C5A1"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6,872</w:t>
            </w:r>
          </w:p>
        </w:tc>
        <w:tc>
          <w:tcPr>
            <w:tcW w:w="1265" w:type="dxa"/>
            <w:tcBorders>
              <w:top w:val="nil"/>
              <w:left w:val="nil"/>
              <w:bottom w:val="single" w:sz="4" w:space="0" w:color="auto"/>
              <w:right w:val="single" w:sz="4" w:space="0" w:color="auto"/>
            </w:tcBorders>
            <w:shd w:val="clear" w:color="auto" w:fill="auto"/>
            <w:noWrap/>
            <w:vAlign w:val="center"/>
            <w:hideMark/>
          </w:tcPr>
          <w:p w14:paraId="001BA88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0.0%</w:t>
            </w:r>
          </w:p>
        </w:tc>
      </w:tr>
      <w:tr w:rsidR="00D33F7C" w:rsidRPr="001210D0" w14:paraId="259B0987"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5846270E"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Korea Exchange</w:t>
            </w:r>
          </w:p>
        </w:tc>
        <w:tc>
          <w:tcPr>
            <w:tcW w:w="1265" w:type="dxa"/>
            <w:tcBorders>
              <w:top w:val="nil"/>
              <w:left w:val="nil"/>
              <w:bottom w:val="single" w:sz="4" w:space="0" w:color="auto"/>
              <w:right w:val="single" w:sz="4" w:space="0" w:color="auto"/>
            </w:tcBorders>
            <w:shd w:val="clear" w:color="auto" w:fill="auto"/>
            <w:vAlign w:val="center"/>
            <w:hideMark/>
          </w:tcPr>
          <w:p w14:paraId="16553B9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2,324</w:t>
            </w:r>
          </w:p>
        </w:tc>
        <w:tc>
          <w:tcPr>
            <w:tcW w:w="1265" w:type="dxa"/>
            <w:tcBorders>
              <w:top w:val="nil"/>
              <w:left w:val="nil"/>
              <w:bottom w:val="single" w:sz="4" w:space="0" w:color="auto"/>
              <w:right w:val="single" w:sz="4" w:space="0" w:color="auto"/>
            </w:tcBorders>
            <w:shd w:val="clear" w:color="auto" w:fill="auto"/>
            <w:vAlign w:val="center"/>
            <w:hideMark/>
          </w:tcPr>
          <w:p w14:paraId="5EDC2B8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2,386</w:t>
            </w:r>
          </w:p>
        </w:tc>
        <w:tc>
          <w:tcPr>
            <w:tcW w:w="1265" w:type="dxa"/>
            <w:tcBorders>
              <w:top w:val="nil"/>
              <w:left w:val="nil"/>
              <w:bottom w:val="single" w:sz="4" w:space="0" w:color="auto"/>
              <w:right w:val="single" w:sz="4" w:space="0" w:color="auto"/>
            </w:tcBorders>
            <w:shd w:val="clear" w:color="auto" w:fill="auto"/>
            <w:noWrap/>
            <w:vAlign w:val="center"/>
            <w:hideMark/>
          </w:tcPr>
          <w:p w14:paraId="3F7FD1A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2.7%</w:t>
            </w:r>
          </w:p>
        </w:tc>
      </w:tr>
      <w:tr w:rsidR="00D33F7C" w:rsidRPr="001210D0" w14:paraId="14EB066B"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47C93E4F"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ASX Australian Securities Exchange</w:t>
            </w:r>
          </w:p>
        </w:tc>
        <w:tc>
          <w:tcPr>
            <w:tcW w:w="1265" w:type="dxa"/>
            <w:tcBorders>
              <w:top w:val="nil"/>
              <w:left w:val="nil"/>
              <w:bottom w:val="single" w:sz="4" w:space="0" w:color="auto"/>
              <w:right w:val="single" w:sz="4" w:space="0" w:color="auto"/>
            </w:tcBorders>
            <w:shd w:val="clear" w:color="auto" w:fill="auto"/>
            <w:vAlign w:val="center"/>
            <w:hideMark/>
          </w:tcPr>
          <w:p w14:paraId="0E68345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1,855</w:t>
            </w:r>
          </w:p>
        </w:tc>
        <w:tc>
          <w:tcPr>
            <w:tcW w:w="1265" w:type="dxa"/>
            <w:tcBorders>
              <w:top w:val="nil"/>
              <w:left w:val="nil"/>
              <w:bottom w:val="single" w:sz="4" w:space="0" w:color="auto"/>
              <w:right w:val="single" w:sz="4" w:space="0" w:color="auto"/>
            </w:tcBorders>
            <w:shd w:val="clear" w:color="auto" w:fill="auto"/>
            <w:vAlign w:val="center"/>
            <w:hideMark/>
          </w:tcPr>
          <w:p w14:paraId="4EADC18E"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1,886</w:t>
            </w:r>
          </w:p>
        </w:tc>
        <w:tc>
          <w:tcPr>
            <w:tcW w:w="1265" w:type="dxa"/>
            <w:tcBorders>
              <w:top w:val="nil"/>
              <w:left w:val="nil"/>
              <w:bottom w:val="single" w:sz="4" w:space="0" w:color="auto"/>
              <w:right w:val="single" w:sz="4" w:space="0" w:color="auto"/>
            </w:tcBorders>
            <w:shd w:val="clear" w:color="auto" w:fill="auto"/>
            <w:noWrap/>
            <w:vAlign w:val="center"/>
            <w:hideMark/>
          </w:tcPr>
          <w:p w14:paraId="7AE74265"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1.6%</w:t>
            </w:r>
          </w:p>
        </w:tc>
      </w:tr>
      <w:tr w:rsidR="00D33F7C" w:rsidRPr="001210D0" w14:paraId="5BAE5072"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1761F5BD"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B3 - Brasil Bolsa Balcão</w:t>
            </w:r>
          </w:p>
        </w:tc>
        <w:tc>
          <w:tcPr>
            <w:tcW w:w="1265" w:type="dxa"/>
            <w:tcBorders>
              <w:top w:val="nil"/>
              <w:left w:val="nil"/>
              <w:bottom w:val="single" w:sz="4" w:space="0" w:color="auto"/>
              <w:right w:val="single" w:sz="4" w:space="0" w:color="auto"/>
            </w:tcBorders>
            <w:shd w:val="clear" w:color="auto" w:fill="auto"/>
            <w:vAlign w:val="center"/>
            <w:hideMark/>
          </w:tcPr>
          <w:p w14:paraId="241D165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975</w:t>
            </w:r>
          </w:p>
        </w:tc>
        <w:tc>
          <w:tcPr>
            <w:tcW w:w="1265" w:type="dxa"/>
            <w:tcBorders>
              <w:top w:val="nil"/>
              <w:left w:val="nil"/>
              <w:bottom w:val="single" w:sz="4" w:space="0" w:color="auto"/>
              <w:right w:val="single" w:sz="4" w:space="0" w:color="auto"/>
            </w:tcBorders>
            <w:shd w:val="clear" w:color="auto" w:fill="auto"/>
            <w:vAlign w:val="center"/>
            <w:hideMark/>
          </w:tcPr>
          <w:p w14:paraId="0AEF212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1,079</w:t>
            </w:r>
          </w:p>
        </w:tc>
        <w:tc>
          <w:tcPr>
            <w:tcW w:w="1265" w:type="dxa"/>
            <w:tcBorders>
              <w:top w:val="nil"/>
              <w:left w:val="nil"/>
              <w:bottom w:val="single" w:sz="4" w:space="0" w:color="auto"/>
              <w:right w:val="single" w:sz="4" w:space="0" w:color="auto"/>
            </w:tcBorders>
            <w:shd w:val="clear" w:color="auto" w:fill="auto"/>
            <w:noWrap/>
            <w:vAlign w:val="center"/>
            <w:hideMark/>
          </w:tcPr>
          <w:p w14:paraId="12D6F62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10.6%</w:t>
            </w:r>
          </w:p>
        </w:tc>
      </w:tr>
      <w:tr w:rsidR="00D33F7C" w:rsidRPr="001210D0" w14:paraId="2C270279"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4950FF2E"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Moscow Exchange</w:t>
            </w:r>
          </w:p>
        </w:tc>
        <w:tc>
          <w:tcPr>
            <w:tcW w:w="1265" w:type="dxa"/>
            <w:tcBorders>
              <w:top w:val="nil"/>
              <w:left w:val="nil"/>
              <w:bottom w:val="single" w:sz="4" w:space="0" w:color="auto"/>
              <w:right w:val="single" w:sz="4" w:space="0" w:color="auto"/>
            </w:tcBorders>
            <w:shd w:val="clear" w:color="auto" w:fill="auto"/>
            <w:vAlign w:val="center"/>
            <w:hideMark/>
          </w:tcPr>
          <w:p w14:paraId="435A526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752</w:t>
            </w:r>
          </w:p>
        </w:tc>
        <w:tc>
          <w:tcPr>
            <w:tcW w:w="1265" w:type="dxa"/>
            <w:tcBorders>
              <w:top w:val="nil"/>
              <w:left w:val="nil"/>
              <w:bottom w:val="single" w:sz="4" w:space="0" w:color="auto"/>
              <w:right w:val="single" w:sz="4" w:space="0" w:color="auto"/>
            </w:tcBorders>
            <w:shd w:val="clear" w:color="auto" w:fill="auto"/>
            <w:vAlign w:val="center"/>
            <w:hideMark/>
          </w:tcPr>
          <w:p w14:paraId="7B188A04"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803</w:t>
            </w:r>
          </w:p>
        </w:tc>
        <w:tc>
          <w:tcPr>
            <w:tcW w:w="1265" w:type="dxa"/>
            <w:tcBorders>
              <w:top w:val="nil"/>
              <w:left w:val="nil"/>
              <w:bottom w:val="single" w:sz="4" w:space="0" w:color="auto"/>
              <w:right w:val="single" w:sz="4" w:space="0" w:color="auto"/>
            </w:tcBorders>
            <w:shd w:val="clear" w:color="auto" w:fill="auto"/>
            <w:noWrap/>
            <w:vAlign w:val="center"/>
            <w:hideMark/>
          </w:tcPr>
          <w:p w14:paraId="7773AFA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6.7%</w:t>
            </w:r>
          </w:p>
        </w:tc>
      </w:tr>
      <w:tr w:rsidR="00D33F7C" w:rsidRPr="001210D0" w14:paraId="7B7CBF5E"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6F969D38"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National Stock Exchange of India</w:t>
            </w:r>
          </w:p>
        </w:tc>
        <w:tc>
          <w:tcPr>
            <w:tcW w:w="1265" w:type="dxa"/>
            <w:tcBorders>
              <w:top w:val="nil"/>
              <w:left w:val="nil"/>
              <w:bottom w:val="single" w:sz="4" w:space="0" w:color="auto"/>
              <w:right w:val="single" w:sz="4" w:space="0" w:color="auto"/>
            </w:tcBorders>
            <w:shd w:val="clear" w:color="auto" w:fill="auto"/>
            <w:vAlign w:val="center"/>
            <w:hideMark/>
          </w:tcPr>
          <w:p w14:paraId="001A4F34"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2,776</w:t>
            </w:r>
          </w:p>
        </w:tc>
        <w:tc>
          <w:tcPr>
            <w:tcW w:w="1265" w:type="dxa"/>
            <w:tcBorders>
              <w:top w:val="nil"/>
              <w:left w:val="nil"/>
              <w:bottom w:val="single" w:sz="4" w:space="0" w:color="auto"/>
              <w:right w:val="single" w:sz="4" w:space="0" w:color="auto"/>
            </w:tcBorders>
            <w:shd w:val="clear" w:color="auto" w:fill="auto"/>
            <w:vAlign w:val="center"/>
            <w:hideMark/>
          </w:tcPr>
          <w:p w14:paraId="0C5D3A10"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3,055</w:t>
            </w:r>
          </w:p>
        </w:tc>
        <w:tc>
          <w:tcPr>
            <w:tcW w:w="1265" w:type="dxa"/>
            <w:tcBorders>
              <w:top w:val="nil"/>
              <w:left w:val="nil"/>
              <w:bottom w:val="single" w:sz="4" w:space="0" w:color="auto"/>
              <w:right w:val="single" w:sz="4" w:space="0" w:color="auto"/>
            </w:tcBorders>
            <w:shd w:val="clear" w:color="auto" w:fill="auto"/>
            <w:noWrap/>
            <w:vAlign w:val="center"/>
            <w:hideMark/>
          </w:tcPr>
          <w:p w14:paraId="6F8925D1"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10.0%</w:t>
            </w:r>
          </w:p>
        </w:tc>
      </w:tr>
      <w:tr w:rsidR="00D33F7C" w:rsidRPr="001210D0" w14:paraId="59483D91"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7BC68530"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Shanghai Stock Exchange</w:t>
            </w:r>
          </w:p>
        </w:tc>
        <w:tc>
          <w:tcPr>
            <w:tcW w:w="1265" w:type="dxa"/>
            <w:tcBorders>
              <w:top w:val="nil"/>
              <w:left w:val="nil"/>
              <w:bottom w:val="single" w:sz="4" w:space="0" w:color="auto"/>
              <w:right w:val="single" w:sz="4" w:space="0" w:color="auto"/>
            </w:tcBorders>
            <w:shd w:val="clear" w:color="auto" w:fill="auto"/>
            <w:vAlign w:val="center"/>
            <w:hideMark/>
          </w:tcPr>
          <w:p w14:paraId="09F06F0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7,069</w:t>
            </w:r>
          </w:p>
        </w:tc>
        <w:tc>
          <w:tcPr>
            <w:tcW w:w="1265" w:type="dxa"/>
            <w:tcBorders>
              <w:top w:val="nil"/>
              <w:left w:val="nil"/>
              <w:bottom w:val="single" w:sz="4" w:space="0" w:color="auto"/>
              <w:right w:val="single" w:sz="4" w:space="0" w:color="auto"/>
            </w:tcBorders>
            <w:shd w:val="clear" w:color="auto" w:fill="auto"/>
            <w:vAlign w:val="center"/>
            <w:hideMark/>
          </w:tcPr>
          <w:p w14:paraId="67DF8135"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7,634</w:t>
            </w:r>
          </w:p>
        </w:tc>
        <w:tc>
          <w:tcPr>
            <w:tcW w:w="1265" w:type="dxa"/>
            <w:tcBorders>
              <w:top w:val="nil"/>
              <w:left w:val="nil"/>
              <w:bottom w:val="single" w:sz="4" w:space="0" w:color="auto"/>
              <w:right w:val="single" w:sz="4" w:space="0" w:color="auto"/>
            </w:tcBorders>
            <w:shd w:val="clear" w:color="auto" w:fill="auto"/>
            <w:noWrap/>
            <w:vAlign w:val="center"/>
            <w:hideMark/>
          </w:tcPr>
          <w:p w14:paraId="046CB42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8.0%</w:t>
            </w:r>
          </w:p>
        </w:tc>
      </w:tr>
      <w:tr w:rsidR="00D33F7C" w:rsidRPr="001210D0" w14:paraId="3F87CB88"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436ED81D"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Shenzhen Stock Exchange</w:t>
            </w:r>
          </w:p>
        </w:tc>
        <w:tc>
          <w:tcPr>
            <w:tcW w:w="1265" w:type="dxa"/>
            <w:tcBorders>
              <w:top w:val="nil"/>
              <w:left w:val="nil"/>
              <w:bottom w:val="single" w:sz="4" w:space="0" w:color="auto"/>
              <w:right w:val="single" w:sz="4" w:space="0" w:color="auto"/>
            </w:tcBorders>
            <w:shd w:val="clear" w:color="auto" w:fill="auto"/>
            <w:vAlign w:val="center"/>
            <w:hideMark/>
          </w:tcPr>
          <w:p w14:paraId="0E65B4B8"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5,339</w:t>
            </w:r>
          </w:p>
        </w:tc>
        <w:tc>
          <w:tcPr>
            <w:tcW w:w="1265" w:type="dxa"/>
            <w:tcBorders>
              <w:top w:val="nil"/>
              <w:left w:val="nil"/>
              <w:bottom w:val="single" w:sz="4" w:space="0" w:color="auto"/>
              <w:right w:val="single" w:sz="4" w:space="0" w:color="auto"/>
            </w:tcBorders>
            <w:shd w:val="clear" w:color="auto" w:fill="auto"/>
            <w:vAlign w:val="center"/>
            <w:hideMark/>
          </w:tcPr>
          <w:p w14:paraId="6ED2A4B3"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5,718</w:t>
            </w:r>
          </w:p>
        </w:tc>
        <w:tc>
          <w:tcPr>
            <w:tcW w:w="1265" w:type="dxa"/>
            <w:tcBorders>
              <w:top w:val="nil"/>
              <w:left w:val="nil"/>
              <w:bottom w:val="single" w:sz="4" w:space="0" w:color="auto"/>
              <w:right w:val="single" w:sz="4" w:space="0" w:color="auto"/>
            </w:tcBorders>
            <w:shd w:val="clear" w:color="auto" w:fill="auto"/>
            <w:noWrap/>
            <w:vAlign w:val="center"/>
            <w:hideMark/>
          </w:tcPr>
          <w:p w14:paraId="2205472A"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7.1%</w:t>
            </w:r>
          </w:p>
        </w:tc>
      </w:tr>
      <w:tr w:rsidR="00D33F7C" w:rsidRPr="001210D0" w14:paraId="09960DCF" w14:textId="77777777" w:rsidTr="00E213CE">
        <w:trPr>
          <w:trHeight w:val="244"/>
          <w:jc w:val="center"/>
        </w:trPr>
        <w:tc>
          <w:tcPr>
            <w:tcW w:w="4096" w:type="dxa"/>
            <w:tcBorders>
              <w:top w:val="nil"/>
              <w:left w:val="single" w:sz="4" w:space="0" w:color="auto"/>
              <w:bottom w:val="single" w:sz="4" w:space="0" w:color="auto"/>
              <w:right w:val="single" w:sz="4" w:space="0" w:color="auto"/>
            </w:tcBorders>
            <w:shd w:val="clear" w:color="000000" w:fill="D9E1F2"/>
            <w:noWrap/>
            <w:vAlign w:val="center"/>
            <w:hideMark/>
          </w:tcPr>
          <w:p w14:paraId="5797FFDD" w14:textId="77777777" w:rsidR="00D33F7C" w:rsidRPr="001210D0" w:rsidRDefault="00D33F7C" w:rsidP="00E213CE">
            <w:pPr>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Johannesburg Stock Exchange</w:t>
            </w:r>
          </w:p>
        </w:tc>
        <w:tc>
          <w:tcPr>
            <w:tcW w:w="1265" w:type="dxa"/>
            <w:tcBorders>
              <w:top w:val="nil"/>
              <w:left w:val="nil"/>
              <w:bottom w:val="single" w:sz="4" w:space="0" w:color="auto"/>
              <w:right w:val="single" w:sz="4" w:space="0" w:color="auto"/>
            </w:tcBorders>
            <w:shd w:val="clear" w:color="auto" w:fill="auto"/>
            <w:vAlign w:val="center"/>
            <w:hideMark/>
          </w:tcPr>
          <w:p w14:paraId="7D3FAADB"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1,155</w:t>
            </w:r>
          </w:p>
        </w:tc>
        <w:tc>
          <w:tcPr>
            <w:tcW w:w="1265" w:type="dxa"/>
            <w:tcBorders>
              <w:top w:val="nil"/>
              <w:left w:val="nil"/>
              <w:bottom w:val="single" w:sz="4" w:space="0" w:color="auto"/>
              <w:right w:val="single" w:sz="4" w:space="0" w:color="auto"/>
            </w:tcBorders>
            <w:shd w:val="clear" w:color="auto" w:fill="auto"/>
            <w:vAlign w:val="center"/>
            <w:hideMark/>
          </w:tcPr>
          <w:p w14:paraId="0E8A9124"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 xml:space="preserve"> 1,217</w:t>
            </w:r>
          </w:p>
        </w:tc>
        <w:tc>
          <w:tcPr>
            <w:tcW w:w="1265" w:type="dxa"/>
            <w:tcBorders>
              <w:top w:val="nil"/>
              <w:left w:val="nil"/>
              <w:bottom w:val="single" w:sz="4" w:space="0" w:color="auto"/>
              <w:right w:val="single" w:sz="4" w:space="0" w:color="auto"/>
            </w:tcBorders>
            <w:shd w:val="clear" w:color="auto" w:fill="auto"/>
            <w:noWrap/>
            <w:vAlign w:val="center"/>
            <w:hideMark/>
          </w:tcPr>
          <w:p w14:paraId="74EED609" w14:textId="77777777" w:rsidR="00D33F7C" w:rsidRPr="001210D0" w:rsidRDefault="00D33F7C" w:rsidP="00E213CE">
            <w:pPr>
              <w:jc w:val="right"/>
              <w:rPr>
                <w:rFonts w:ascii="Garamond" w:eastAsia="Times New Roman" w:hAnsi="Garamond"/>
                <w:color w:val="000000"/>
                <w:sz w:val="20"/>
                <w:szCs w:val="20"/>
                <w:lang w:val="en-IN" w:eastAsia="en-IN" w:bidi="hi-IN"/>
              </w:rPr>
            </w:pPr>
            <w:r w:rsidRPr="001210D0">
              <w:rPr>
                <w:rFonts w:ascii="Garamond" w:eastAsia="Times New Roman" w:hAnsi="Garamond"/>
                <w:color w:val="000000"/>
                <w:sz w:val="20"/>
                <w:szCs w:val="20"/>
                <w:lang w:val="en-IN" w:eastAsia="en-IN" w:bidi="hi-IN"/>
              </w:rPr>
              <w:t>5.4%</w:t>
            </w:r>
          </w:p>
        </w:tc>
      </w:tr>
    </w:tbl>
    <w:p w14:paraId="5C9C7F76" w14:textId="77777777" w:rsidR="00D33F7C" w:rsidRPr="00E25198" w:rsidRDefault="00D33F7C" w:rsidP="00D33F7C">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 NA: Not Available</w:t>
      </w:r>
    </w:p>
    <w:p w14:paraId="7AD2B3B8" w14:textId="77777777" w:rsidR="00D33F7C" w:rsidRPr="00E25198" w:rsidRDefault="00D33F7C" w:rsidP="00D33F7C">
      <w:pPr>
        <w:spacing w:line="23" w:lineRule="atLeast"/>
        <w:ind w:left="851"/>
        <w:jc w:val="both"/>
        <w:outlineLvl w:val="0"/>
        <w:rPr>
          <w:rFonts w:ascii="Garamond" w:hAnsi="Garamond"/>
          <w:bCs/>
          <w:sz w:val="18"/>
          <w:szCs w:val="18"/>
        </w:rPr>
      </w:pPr>
      <w:r w:rsidRPr="00E25198">
        <w:rPr>
          <w:rFonts w:ascii="Garamond" w:hAnsi="Garamond"/>
          <w:bCs/>
          <w:sz w:val="18"/>
          <w:szCs w:val="18"/>
        </w:rPr>
        <w:t>Source: World Federation of Exchanges</w:t>
      </w:r>
    </w:p>
    <w:p w14:paraId="0045A298" w14:textId="77777777" w:rsidR="00D33F7C" w:rsidRPr="00E25198" w:rsidRDefault="00D33F7C" w:rsidP="00D33F7C">
      <w:pPr>
        <w:spacing w:line="23" w:lineRule="atLeast"/>
        <w:ind w:left="851"/>
        <w:jc w:val="both"/>
        <w:outlineLvl w:val="0"/>
        <w:rPr>
          <w:rFonts w:ascii="Garamond" w:hAnsi="Garamond"/>
          <w:bCs/>
          <w:sz w:val="18"/>
          <w:szCs w:val="18"/>
        </w:rPr>
      </w:pPr>
      <w:r w:rsidRPr="00E25198">
        <w:rPr>
          <w:rFonts w:ascii="Garamond" w:hAnsi="Garamond"/>
          <w:bCs/>
          <w:sz w:val="18"/>
          <w:szCs w:val="18"/>
        </w:rPr>
        <w:t xml:space="preserve">Note: </w:t>
      </w:r>
    </w:p>
    <w:p w14:paraId="0A7B415E" w14:textId="77777777" w:rsidR="00D33F7C" w:rsidRPr="00E25198" w:rsidRDefault="00D33F7C" w:rsidP="00D33F7C">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lastRenderedPageBreak/>
        <w:t>The figures provided in some versions of SEBI Bulletin are sourced from Refinitiv which provides country wise market capitalization data (estimated internally by Refinitiv).</w:t>
      </w:r>
    </w:p>
    <w:p w14:paraId="358763B4" w14:textId="77777777" w:rsidR="00D33F7C" w:rsidRPr="00E25198" w:rsidRDefault="00D33F7C" w:rsidP="00D33F7C">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World Federation of Exchanges are more detailed and are provided by respective member exchanges.</w:t>
      </w:r>
    </w:p>
    <w:p w14:paraId="2608CD38" w14:textId="77777777" w:rsidR="00D33F7C" w:rsidRDefault="00D33F7C" w:rsidP="00D33F7C">
      <w:pPr>
        <w:numPr>
          <w:ilvl w:val="0"/>
          <w:numId w:val="10"/>
        </w:numPr>
        <w:spacing w:after="200" w:line="23" w:lineRule="atLeast"/>
        <w:ind w:left="851" w:hanging="283"/>
        <w:contextualSpacing/>
        <w:jc w:val="both"/>
        <w:outlineLvl w:val="0"/>
        <w:rPr>
          <w:rFonts w:ascii="Garamond" w:hAnsi="Garamond"/>
          <w:bCs/>
          <w:sz w:val="18"/>
          <w:szCs w:val="18"/>
          <w:lang w:val="en-US"/>
        </w:rPr>
      </w:pPr>
      <w:r w:rsidRPr="00E25198">
        <w:rPr>
          <w:rFonts w:ascii="Garamond" w:hAnsi="Garamond"/>
          <w:bCs/>
          <w:sz w:val="18"/>
          <w:szCs w:val="18"/>
          <w:lang w:val="en-US"/>
        </w:rPr>
        <w:t xml:space="preserve">As per the data available as on </w:t>
      </w:r>
      <w:r>
        <w:rPr>
          <w:rFonts w:ascii="Garamond" w:hAnsi="Garamond"/>
          <w:bCs/>
          <w:sz w:val="18"/>
          <w:szCs w:val="18"/>
          <w:lang w:val="en-US"/>
        </w:rPr>
        <w:t xml:space="preserve">02 August </w:t>
      </w:r>
      <w:r w:rsidRPr="00E25198">
        <w:rPr>
          <w:rFonts w:ascii="Garamond" w:hAnsi="Garamond"/>
          <w:bCs/>
          <w:sz w:val="18"/>
          <w:szCs w:val="18"/>
          <w:lang w:val="en-US"/>
        </w:rPr>
        <w:t>2021.</w:t>
      </w:r>
    </w:p>
    <w:p w14:paraId="3AB5A9EC" w14:textId="77777777" w:rsidR="00D33F7C" w:rsidRDefault="00D33F7C" w:rsidP="00D33F7C">
      <w:pPr>
        <w:spacing w:line="23" w:lineRule="atLeast"/>
        <w:jc w:val="both"/>
        <w:outlineLvl w:val="0"/>
        <w:rPr>
          <w:rFonts w:ascii="Garamond" w:hAnsi="Garamond"/>
          <w:b/>
          <w:bCs/>
          <w:szCs w:val="22"/>
        </w:rPr>
      </w:pPr>
    </w:p>
    <w:p w14:paraId="66448EA2" w14:textId="77777777" w:rsidR="00D33F7C" w:rsidRDefault="00D33F7C" w:rsidP="00D33F7C">
      <w:pPr>
        <w:spacing w:line="23" w:lineRule="atLeast"/>
        <w:jc w:val="both"/>
        <w:outlineLvl w:val="0"/>
        <w:rPr>
          <w:rFonts w:ascii="Garamond" w:hAnsi="Garamond"/>
          <w:b/>
          <w:bCs/>
          <w:szCs w:val="22"/>
        </w:rPr>
      </w:pPr>
    </w:p>
    <w:p w14:paraId="6F20DD20" w14:textId="77777777" w:rsidR="00D33F7C" w:rsidRPr="00E25198" w:rsidRDefault="00D33F7C" w:rsidP="00D33F7C">
      <w:pPr>
        <w:spacing w:line="23" w:lineRule="atLeast"/>
        <w:jc w:val="both"/>
        <w:outlineLvl w:val="0"/>
        <w:rPr>
          <w:rFonts w:ascii="Garamond" w:hAnsi="Garamond"/>
          <w:b/>
          <w:bCs/>
          <w:szCs w:val="22"/>
        </w:rPr>
      </w:pPr>
      <w:r w:rsidRPr="00E25198">
        <w:rPr>
          <w:rFonts w:ascii="Garamond" w:hAnsi="Garamond"/>
          <w:b/>
          <w:bCs/>
          <w:szCs w:val="22"/>
        </w:rPr>
        <w:t>Table A4: Stock Futures and Stock Options Traded in Major Exchanges</w:t>
      </w:r>
    </w:p>
    <w:p w14:paraId="5AD013A1" w14:textId="77777777" w:rsidR="00D33F7C" w:rsidRPr="00E25198" w:rsidRDefault="00D33F7C" w:rsidP="00D33F7C">
      <w:pPr>
        <w:spacing w:line="23" w:lineRule="atLeast"/>
        <w:ind w:right="-744"/>
        <w:jc w:val="right"/>
        <w:outlineLvl w:val="0"/>
        <w:rPr>
          <w:rFonts w:ascii="Garamond" w:hAnsi="Garamond"/>
          <w:bCs/>
          <w:sz w:val="22"/>
          <w:szCs w:val="22"/>
        </w:rPr>
      </w:pPr>
      <w:r w:rsidRPr="00E25198">
        <w:rPr>
          <w:rFonts w:ascii="Garamond" w:hAnsi="Garamond"/>
          <w:bCs/>
          <w:sz w:val="22"/>
          <w:szCs w:val="22"/>
        </w:rPr>
        <w:t>Notional Turnover in (USD million)</w:t>
      </w:r>
    </w:p>
    <w:tbl>
      <w:tblPr>
        <w:tblW w:w="5318" w:type="pct"/>
        <w:tblLook w:val="04A0" w:firstRow="1" w:lastRow="0" w:firstColumn="1" w:lastColumn="0" w:noHBand="0" w:noVBand="1"/>
      </w:tblPr>
      <w:tblGrid>
        <w:gridCol w:w="3631"/>
        <w:gridCol w:w="1194"/>
        <w:gridCol w:w="1087"/>
        <w:gridCol w:w="1096"/>
        <w:gridCol w:w="1194"/>
        <w:gridCol w:w="1081"/>
        <w:gridCol w:w="1213"/>
      </w:tblGrid>
      <w:tr w:rsidR="00D33F7C" w:rsidRPr="00037B23" w14:paraId="00C0AA8B" w14:textId="77777777" w:rsidTr="00E213CE">
        <w:trPr>
          <w:trHeight w:val="236"/>
        </w:trPr>
        <w:tc>
          <w:tcPr>
            <w:tcW w:w="1729" w:type="pct"/>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7B8DDCD4"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Exchange</w:t>
            </w:r>
          </w:p>
        </w:tc>
        <w:tc>
          <w:tcPr>
            <w:tcW w:w="3271" w:type="pct"/>
            <w:gridSpan w:val="6"/>
            <w:tcBorders>
              <w:top w:val="single" w:sz="8" w:space="0" w:color="auto"/>
              <w:left w:val="nil"/>
              <w:bottom w:val="single" w:sz="8" w:space="0" w:color="auto"/>
              <w:right w:val="single" w:sz="8" w:space="0" w:color="000000"/>
            </w:tcBorders>
            <w:shd w:val="clear" w:color="000000" w:fill="B4C6E7"/>
            <w:vAlign w:val="center"/>
            <w:hideMark/>
          </w:tcPr>
          <w:p w14:paraId="0C5DACF3"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May-21</w:t>
            </w:r>
          </w:p>
        </w:tc>
      </w:tr>
      <w:tr w:rsidR="00D33F7C" w:rsidRPr="00037B23" w14:paraId="3A887AE0" w14:textId="77777777" w:rsidTr="00E213CE">
        <w:trPr>
          <w:trHeight w:val="236"/>
        </w:trPr>
        <w:tc>
          <w:tcPr>
            <w:tcW w:w="1729" w:type="pct"/>
            <w:vMerge/>
            <w:tcBorders>
              <w:top w:val="single" w:sz="8" w:space="0" w:color="auto"/>
              <w:left w:val="single" w:sz="8" w:space="0" w:color="auto"/>
              <w:bottom w:val="single" w:sz="8" w:space="0" w:color="000000"/>
              <w:right w:val="single" w:sz="8" w:space="0" w:color="auto"/>
            </w:tcBorders>
            <w:vAlign w:val="center"/>
            <w:hideMark/>
          </w:tcPr>
          <w:p w14:paraId="7A5B35D0"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1609" w:type="pct"/>
            <w:gridSpan w:val="3"/>
            <w:tcBorders>
              <w:top w:val="single" w:sz="8" w:space="0" w:color="auto"/>
              <w:left w:val="nil"/>
              <w:bottom w:val="single" w:sz="8" w:space="0" w:color="auto"/>
              <w:right w:val="single" w:sz="8" w:space="0" w:color="000000"/>
            </w:tcBorders>
            <w:shd w:val="clear" w:color="000000" w:fill="B4C6E7"/>
            <w:vAlign w:val="center"/>
            <w:hideMark/>
          </w:tcPr>
          <w:p w14:paraId="182C69EC"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Single Stock Futures</w:t>
            </w:r>
          </w:p>
        </w:tc>
        <w:tc>
          <w:tcPr>
            <w:tcW w:w="1662" w:type="pct"/>
            <w:gridSpan w:val="3"/>
            <w:tcBorders>
              <w:top w:val="single" w:sz="8" w:space="0" w:color="auto"/>
              <w:left w:val="nil"/>
              <w:bottom w:val="single" w:sz="8" w:space="0" w:color="auto"/>
              <w:right w:val="single" w:sz="8" w:space="0" w:color="000000"/>
            </w:tcBorders>
            <w:shd w:val="clear" w:color="000000" w:fill="B4C6E7"/>
            <w:vAlign w:val="center"/>
            <w:hideMark/>
          </w:tcPr>
          <w:p w14:paraId="7AE83D66"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Single Stock Options</w:t>
            </w:r>
          </w:p>
        </w:tc>
      </w:tr>
      <w:tr w:rsidR="00D33F7C" w:rsidRPr="00037B23" w14:paraId="1D0EE488" w14:textId="77777777" w:rsidTr="00E213CE">
        <w:trPr>
          <w:trHeight w:val="225"/>
        </w:trPr>
        <w:tc>
          <w:tcPr>
            <w:tcW w:w="1729" w:type="pct"/>
            <w:vMerge/>
            <w:tcBorders>
              <w:top w:val="single" w:sz="8" w:space="0" w:color="auto"/>
              <w:left w:val="single" w:sz="8" w:space="0" w:color="auto"/>
              <w:bottom w:val="single" w:sz="8" w:space="0" w:color="000000"/>
              <w:right w:val="single" w:sz="8" w:space="0" w:color="auto"/>
            </w:tcBorders>
            <w:vAlign w:val="center"/>
            <w:hideMark/>
          </w:tcPr>
          <w:p w14:paraId="20DEB0EE"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569" w:type="pct"/>
            <w:tcBorders>
              <w:top w:val="nil"/>
              <w:left w:val="nil"/>
              <w:bottom w:val="nil"/>
              <w:right w:val="single" w:sz="8" w:space="0" w:color="auto"/>
            </w:tcBorders>
            <w:shd w:val="clear" w:color="000000" w:fill="B4C6E7"/>
            <w:vAlign w:val="center"/>
            <w:hideMark/>
          </w:tcPr>
          <w:p w14:paraId="1A364DDD"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p>
        </w:tc>
        <w:tc>
          <w:tcPr>
            <w:tcW w:w="518" w:type="pct"/>
            <w:tcBorders>
              <w:top w:val="nil"/>
              <w:left w:val="nil"/>
              <w:bottom w:val="nil"/>
              <w:right w:val="single" w:sz="8" w:space="0" w:color="auto"/>
            </w:tcBorders>
            <w:shd w:val="clear" w:color="000000" w:fill="B4C6E7"/>
            <w:vAlign w:val="center"/>
            <w:hideMark/>
          </w:tcPr>
          <w:p w14:paraId="3055E1FD"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p>
        </w:tc>
        <w:tc>
          <w:tcPr>
            <w:tcW w:w="522" w:type="pct"/>
            <w:tcBorders>
              <w:top w:val="nil"/>
              <w:left w:val="nil"/>
              <w:bottom w:val="nil"/>
              <w:right w:val="single" w:sz="8" w:space="0" w:color="auto"/>
            </w:tcBorders>
            <w:shd w:val="clear" w:color="000000" w:fill="B4C6E7"/>
            <w:vAlign w:val="center"/>
            <w:hideMark/>
          </w:tcPr>
          <w:p w14:paraId="69CB846B"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p>
        </w:tc>
        <w:tc>
          <w:tcPr>
            <w:tcW w:w="569" w:type="pct"/>
            <w:tcBorders>
              <w:top w:val="nil"/>
              <w:left w:val="nil"/>
              <w:bottom w:val="nil"/>
              <w:right w:val="single" w:sz="8" w:space="0" w:color="auto"/>
            </w:tcBorders>
            <w:shd w:val="clear" w:color="000000" w:fill="B4C6E7"/>
            <w:vAlign w:val="center"/>
            <w:hideMark/>
          </w:tcPr>
          <w:p w14:paraId="3FA3F116"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p>
        </w:tc>
        <w:tc>
          <w:tcPr>
            <w:tcW w:w="515" w:type="pct"/>
            <w:tcBorders>
              <w:top w:val="nil"/>
              <w:left w:val="nil"/>
              <w:bottom w:val="nil"/>
              <w:right w:val="single" w:sz="8" w:space="0" w:color="auto"/>
            </w:tcBorders>
            <w:shd w:val="clear" w:color="000000" w:fill="B4C6E7"/>
            <w:vAlign w:val="center"/>
            <w:hideMark/>
          </w:tcPr>
          <w:p w14:paraId="0F64A845"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p>
        </w:tc>
        <w:tc>
          <w:tcPr>
            <w:tcW w:w="577" w:type="pct"/>
            <w:tcBorders>
              <w:top w:val="nil"/>
              <w:left w:val="nil"/>
              <w:bottom w:val="nil"/>
              <w:right w:val="single" w:sz="8" w:space="0" w:color="auto"/>
            </w:tcBorders>
            <w:shd w:val="clear" w:color="000000" w:fill="B4C6E7"/>
            <w:vAlign w:val="center"/>
            <w:hideMark/>
          </w:tcPr>
          <w:p w14:paraId="2398194A"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p>
        </w:tc>
      </w:tr>
      <w:tr w:rsidR="00D33F7C" w:rsidRPr="00037B23" w14:paraId="1CE0CD56" w14:textId="77777777" w:rsidTr="00E213CE">
        <w:trPr>
          <w:trHeight w:val="394"/>
        </w:trPr>
        <w:tc>
          <w:tcPr>
            <w:tcW w:w="1729" w:type="pct"/>
            <w:vMerge/>
            <w:tcBorders>
              <w:top w:val="single" w:sz="8" w:space="0" w:color="auto"/>
              <w:left w:val="single" w:sz="8" w:space="0" w:color="auto"/>
              <w:bottom w:val="single" w:sz="8" w:space="0" w:color="000000"/>
              <w:right w:val="single" w:sz="8" w:space="0" w:color="auto"/>
            </w:tcBorders>
            <w:vAlign w:val="center"/>
            <w:hideMark/>
          </w:tcPr>
          <w:p w14:paraId="5F61F52B"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569" w:type="pct"/>
            <w:tcBorders>
              <w:top w:val="nil"/>
              <w:left w:val="nil"/>
              <w:bottom w:val="single" w:sz="8" w:space="0" w:color="auto"/>
              <w:right w:val="single" w:sz="8" w:space="0" w:color="auto"/>
            </w:tcBorders>
            <w:shd w:val="clear" w:color="000000" w:fill="B4C6E7"/>
            <w:vAlign w:val="center"/>
            <w:hideMark/>
          </w:tcPr>
          <w:p w14:paraId="4C076290"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Contracts Traded</w:t>
            </w:r>
          </w:p>
        </w:tc>
        <w:tc>
          <w:tcPr>
            <w:tcW w:w="518" w:type="pct"/>
            <w:tcBorders>
              <w:top w:val="nil"/>
              <w:left w:val="nil"/>
              <w:bottom w:val="single" w:sz="8" w:space="0" w:color="auto"/>
              <w:right w:val="single" w:sz="8" w:space="0" w:color="auto"/>
            </w:tcBorders>
            <w:shd w:val="clear" w:color="000000" w:fill="B4C6E7"/>
            <w:vAlign w:val="center"/>
            <w:hideMark/>
          </w:tcPr>
          <w:p w14:paraId="525D1663"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Turnover</w:t>
            </w:r>
          </w:p>
        </w:tc>
        <w:tc>
          <w:tcPr>
            <w:tcW w:w="522" w:type="pct"/>
            <w:tcBorders>
              <w:top w:val="nil"/>
              <w:left w:val="nil"/>
              <w:bottom w:val="single" w:sz="8" w:space="0" w:color="auto"/>
              <w:right w:val="single" w:sz="8" w:space="0" w:color="auto"/>
            </w:tcBorders>
            <w:shd w:val="clear" w:color="000000" w:fill="B4C6E7"/>
            <w:vAlign w:val="center"/>
            <w:hideMark/>
          </w:tcPr>
          <w:p w14:paraId="5830B944"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Interest</w:t>
            </w:r>
          </w:p>
        </w:tc>
        <w:tc>
          <w:tcPr>
            <w:tcW w:w="569" w:type="pct"/>
            <w:tcBorders>
              <w:top w:val="nil"/>
              <w:left w:val="nil"/>
              <w:bottom w:val="single" w:sz="8" w:space="0" w:color="auto"/>
              <w:right w:val="single" w:sz="8" w:space="0" w:color="auto"/>
            </w:tcBorders>
            <w:shd w:val="clear" w:color="000000" w:fill="B4C6E7"/>
            <w:vAlign w:val="center"/>
            <w:hideMark/>
          </w:tcPr>
          <w:p w14:paraId="604055B8"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Contracts Traded</w:t>
            </w:r>
          </w:p>
        </w:tc>
        <w:tc>
          <w:tcPr>
            <w:tcW w:w="515" w:type="pct"/>
            <w:tcBorders>
              <w:top w:val="nil"/>
              <w:left w:val="nil"/>
              <w:bottom w:val="single" w:sz="8" w:space="0" w:color="auto"/>
              <w:right w:val="single" w:sz="8" w:space="0" w:color="auto"/>
            </w:tcBorders>
            <w:shd w:val="clear" w:color="000000" w:fill="B4C6E7"/>
            <w:vAlign w:val="center"/>
            <w:hideMark/>
          </w:tcPr>
          <w:p w14:paraId="1F2562E4"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Turnover</w:t>
            </w:r>
          </w:p>
        </w:tc>
        <w:tc>
          <w:tcPr>
            <w:tcW w:w="577" w:type="pct"/>
            <w:tcBorders>
              <w:top w:val="nil"/>
              <w:left w:val="nil"/>
              <w:bottom w:val="single" w:sz="8" w:space="0" w:color="auto"/>
              <w:right w:val="single" w:sz="8" w:space="0" w:color="auto"/>
            </w:tcBorders>
            <w:shd w:val="clear" w:color="000000" w:fill="B4C6E7"/>
            <w:vAlign w:val="center"/>
            <w:hideMark/>
          </w:tcPr>
          <w:p w14:paraId="784F7FA5"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Interest</w:t>
            </w:r>
          </w:p>
        </w:tc>
      </w:tr>
      <w:tr w:rsidR="00D33F7C" w:rsidRPr="00037B23" w14:paraId="2B252F2B"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7732216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B3 - Brasil Bolsa Balcão</w:t>
            </w:r>
          </w:p>
        </w:tc>
        <w:tc>
          <w:tcPr>
            <w:tcW w:w="569" w:type="pct"/>
            <w:tcBorders>
              <w:top w:val="nil"/>
              <w:left w:val="nil"/>
              <w:bottom w:val="nil"/>
              <w:right w:val="single" w:sz="8" w:space="0" w:color="auto"/>
            </w:tcBorders>
            <w:shd w:val="clear" w:color="auto" w:fill="auto"/>
            <w:vAlign w:val="center"/>
            <w:hideMark/>
          </w:tcPr>
          <w:p w14:paraId="593838F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42,684,520</w:t>
            </w:r>
          </w:p>
        </w:tc>
        <w:tc>
          <w:tcPr>
            <w:tcW w:w="518" w:type="pct"/>
            <w:tcBorders>
              <w:top w:val="nil"/>
              <w:left w:val="nil"/>
              <w:bottom w:val="nil"/>
              <w:right w:val="single" w:sz="8" w:space="0" w:color="auto"/>
            </w:tcBorders>
            <w:shd w:val="clear" w:color="auto" w:fill="auto"/>
            <w:vAlign w:val="center"/>
            <w:hideMark/>
          </w:tcPr>
          <w:p w14:paraId="5CEF5AB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206</w:t>
            </w:r>
          </w:p>
        </w:tc>
        <w:tc>
          <w:tcPr>
            <w:tcW w:w="522" w:type="pct"/>
            <w:tcBorders>
              <w:top w:val="nil"/>
              <w:left w:val="nil"/>
              <w:bottom w:val="nil"/>
              <w:right w:val="nil"/>
            </w:tcBorders>
            <w:shd w:val="clear" w:color="auto" w:fill="auto"/>
            <w:vAlign w:val="center"/>
            <w:hideMark/>
          </w:tcPr>
          <w:p w14:paraId="6576F9C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34,115,562</w:t>
            </w:r>
          </w:p>
        </w:tc>
        <w:tc>
          <w:tcPr>
            <w:tcW w:w="569" w:type="pct"/>
            <w:tcBorders>
              <w:top w:val="nil"/>
              <w:left w:val="single" w:sz="8" w:space="0" w:color="auto"/>
              <w:bottom w:val="nil"/>
              <w:right w:val="single" w:sz="8" w:space="0" w:color="auto"/>
            </w:tcBorders>
            <w:shd w:val="clear" w:color="auto" w:fill="auto"/>
            <w:vAlign w:val="center"/>
            <w:hideMark/>
          </w:tcPr>
          <w:p w14:paraId="20598AC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158,595,348</w:t>
            </w:r>
          </w:p>
        </w:tc>
        <w:tc>
          <w:tcPr>
            <w:tcW w:w="515" w:type="pct"/>
            <w:tcBorders>
              <w:top w:val="nil"/>
              <w:left w:val="nil"/>
              <w:bottom w:val="nil"/>
              <w:right w:val="nil"/>
            </w:tcBorders>
            <w:shd w:val="clear" w:color="auto" w:fill="auto"/>
            <w:vAlign w:val="center"/>
            <w:hideMark/>
          </w:tcPr>
          <w:p w14:paraId="262DF0A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53,209</w:t>
            </w:r>
          </w:p>
        </w:tc>
        <w:tc>
          <w:tcPr>
            <w:tcW w:w="577" w:type="pct"/>
            <w:tcBorders>
              <w:top w:val="nil"/>
              <w:left w:val="single" w:sz="8" w:space="0" w:color="auto"/>
              <w:bottom w:val="nil"/>
              <w:right w:val="single" w:sz="8" w:space="0" w:color="auto"/>
            </w:tcBorders>
            <w:shd w:val="clear" w:color="auto" w:fill="auto"/>
            <w:vAlign w:val="center"/>
            <w:hideMark/>
          </w:tcPr>
          <w:p w14:paraId="4B76E46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46,852,051</w:t>
            </w:r>
          </w:p>
        </w:tc>
      </w:tr>
      <w:tr w:rsidR="00D33F7C" w:rsidRPr="00037B23" w14:paraId="3E9D6EE9"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4C8F3FBD"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de Valores de Colombia</w:t>
            </w:r>
          </w:p>
        </w:tc>
        <w:tc>
          <w:tcPr>
            <w:tcW w:w="569" w:type="pct"/>
            <w:tcBorders>
              <w:top w:val="nil"/>
              <w:left w:val="nil"/>
              <w:bottom w:val="nil"/>
              <w:right w:val="single" w:sz="8" w:space="0" w:color="auto"/>
            </w:tcBorders>
            <w:shd w:val="clear" w:color="auto" w:fill="auto"/>
            <w:vAlign w:val="center"/>
            <w:hideMark/>
          </w:tcPr>
          <w:p w14:paraId="2E8D1B9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7,255</w:t>
            </w:r>
          </w:p>
        </w:tc>
        <w:tc>
          <w:tcPr>
            <w:tcW w:w="518" w:type="pct"/>
            <w:tcBorders>
              <w:top w:val="nil"/>
              <w:left w:val="nil"/>
              <w:bottom w:val="nil"/>
              <w:right w:val="single" w:sz="8" w:space="0" w:color="auto"/>
            </w:tcBorders>
            <w:shd w:val="clear" w:color="auto" w:fill="auto"/>
            <w:vAlign w:val="center"/>
            <w:hideMark/>
          </w:tcPr>
          <w:p w14:paraId="76673E5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w:t>
            </w:r>
          </w:p>
        </w:tc>
        <w:tc>
          <w:tcPr>
            <w:tcW w:w="522" w:type="pct"/>
            <w:tcBorders>
              <w:top w:val="nil"/>
              <w:left w:val="nil"/>
              <w:bottom w:val="nil"/>
              <w:right w:val="nil"/>
            </w:tcBorders>
            <w:shd w:val="clear" w:color="auto" w:fill="auto"/>
            <w:vAlign w:val="center"/>
            <w:hideMark/>
          </w:tcPr>
          <w:p w14:paraId="71CFD0C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10,012</w:t>
            </w:r>
          </w:p>
        </w:tc>
        <w:tc>
          <w:tcPr>
            <w:tcW w:w="569" w:type="pct"/>
            <w:tcBorders>
              <w:top w:val="nil"/>
              <w:left w:val="single" w:sz="8" w:space="0" w:color="auto"/>
              <w:bottom w:val="nil"/>
              <w:right w:val="single" w:sz="8" w:space="0" w:color="auto"/>
            </w:tcBorders>
            <w:shd w:val="clear" w:color="auto" w:fill="auto"/>
            <w:vAlign w:val="center"/>
            <w:hideMark/>
          </w:tcPr>
          <w:p w14:paraId="4C88F9E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15" w:type="pct"/>
            <w:tcBorders>
              <w:top w:val="nil"/>
              <w:left w:val="nil"/>
              <w:bottom w:val="nil"/>
              <w:right w:val="nil"/>
            </w:tcBorders>
            <w:shd w:val="clear" w:color="auto" w:fill="auto"/>
            <w:vAlign w:val="center"/>
            <w:hideMark/>
          </w:tcPr>
          <w:p w14:paraId="3DE7A86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77" w:type="pct"/>
            <w:tcBorders>
              <w:top w:val="nil"/>
              <w:left w:val="single" w:sz="8" w:space="0" w:color="auto"/>
              <w:bottom w:val="nil"/>
              <w:right w:val="single" w:sz="8" w:space="0" w:color="auto"/>
            </w:tcBorders>
            <w:shd w:val="clear" w:color="auto" w:fill="auto"/>
            <w:vAlign w:val="center"/>
            <w:hideMark/>
          </w:tcPr>
          <w:p w14:paraId="7B35161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4BD223BA"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38B4B28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Mexicana de Valores</w:t>
            </w:r>
          </w:p>
        </w:tc>
        <w:tc>
          <w:tcPr>
            <w:tcW w:w="569" w:type="pct"/>
            <w:tcBorders>
              <w:top w:val="nil"/>
              <w:left w:val="nil"/>
              <w:bottom w:val="nil"/>
              <w:right w:val="single" w:sz="8" w:space="0" w:color="auto"/>
            </w:tcBorders>
            <w:shd w:val="clear" w:color="auto" w:fill="auto"/>
            <w:vAlign w:val="center"/>
            <w:hideMark/>
          </w:tcPr>
          <w:p w14:paraId="0732466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350</w:t>
            </w:r>
          </w:p>
        </w:tc>
        <w:tc>
          <w:tcPr>
            <w:tcW w:w="518" w:type="pct"/>
            <w:tcBorders>
              <w:top w:val="nil"/>
              <w:left w:val="nil"/>
              <w:bottom w:val="nil"/>
              <w:right w:val="single" w:sz="8" w:space="0" w:color="auto"/>
            </w:tcBorders>
            <w:shd w:val="clear" w:color="auto" w:fill="auto"/>
            <w:vAlign w:val="center"/>
            <w:hideMark/>
          </w:tcPr>
          <w:p w14:paraId="2EC4ABD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22" w:type="pct"/>
            <w:tcBorders>
              <w:top w:val="nil"/>
              <w:left w:val="nil"/>
              <w:bottom w:val="nil"/>
              <w:right w:val="nil"/>
            </w:tcBorders>
            <w:shd w:val="clear" w:color="auto" w:fill="auto"/>
            <w:vAlign w:val="center"/>
            <w:hideMark/>
          </w:tcPr>
          <w:p w14:paraId="4A008A8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3,800</w:t>
            </w:r>
          </w:p>
        </w:tc>
        <w:tc>
          <w:tcPr>
            <w:tcW w:w="569" w:type="pct"/>
            <w:tcBorders>
              <w:top w:val="nil"/>
              <w:left w:val="single" w:sz="8" w:space="0" w:color="auto"/>
              <w:bottom w:val="nil"/>
              <w:right w:val="single" w:sz="8" w:space="0" w:color="auto"/>
            </w:tcBorders>
            <w:shd w:val="clear" w:color="auto" w:fill="auto"/>
            <w:vAlign w:val="center"/>
            <w:hideMark/>
          </w:tcPr>
          <w:p w14:paraId="11CF44D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1,000</w:t>
            </w:r>
          </w:p>
        </w:tc>
        <w:tc>
          <w:tcPr>
            <w:tcW w:w="515" w:type="pct"/>
            <w:tcBorders>
              <w:top w:val="nil"/>
              <w:left w:val="nil"/>
              <w:bottom w:val="nil"/>
              <w:right w:val="nil"/>
            </w:tcBorders>
            <w:shd w:val="clear" w:color="auto" w:fill="auto"/>
            <w:vAlign w:val="center"/>
            <w:hideMark/>
          </w:tcPr>
          <w:p w14:paraId="578FF5B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77" w:type="pct"/>
            <w:tcBorders>
              <w:top w:val="nil"/>
              <w:left w:val="single" w:sz="8" w:space="0" w:color="auto"/>
              <w:bottom w:val="nil"/>
              <w:right w:val="single" w:sz="8" w:space="0" w:color="auto"/>
            </w:tcBorders>
            <w:shd w:val="clear" w:color="auto" w:fill="auto"/>
            <w:vAlign w:val="center"/>
            <w:hideMark/>
          </w:tcPr>
          <w:p w14:paraId="48D26DF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15,000</w:t>
            </w:r>
          </w:p>
        </w:tc>
      </w:tr>
      <w:tr w:rsidR="00D33F7C" w:rsidRPr="00037B23" w14:paraId="1C7866EB"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57B185D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Cboe Global Markets</w:t>
            </w:r>
          </w:p>
        </w:tc>
        <w:tc>
          <w:tcPr>
            <w:tcW w:w="569" w:type="pct"/>
            <w:tcBorders>
              <w:top w:val="nil"/>
              <w:left w:val="nil"/>
              <w:bottom w:val="nil"/>
              <w:right w:val="single" w:sz="8" w:space="0" w:color="auto"/>
            </w:tcBorders>
            <w:shd w:val="clear" w:color="auto" w:fill="auto"/>
            <w:vAlign w:val="center"/>
            <w:hideMark/>
          </w:tcPr>
          <w:p w14:paraId="506858D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8" w:type="pct"/>
            <w:tcBorders>
              <w:top w:val="nil"/>
              <w:left w:val="nil"/>
              <w:bottom w:val="nil"/>
              <w:right w:val="single" w:sz="8" w:space="0" w:color="auto"/>
            </w:tcBorders>
            <w:shd w:val="clear" w:color="auto" w:fill="auto"/>
            <w:vAlign w:val="center"/>
            <w:hideMark/>
          </w:tcPr>
          <w:p w14:paraId="4E24A10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6E430FA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69" w:type="pct"/>
            <w:tcBorders>
              <w:top w:val="nil"/>
              <w:left w:val="single" w:sz="8" w:space="0" w:color="auto"/>
              <w:bottom w:val="nil"/>
              <w:right w:val="single" w:sz="8" w:space="0" w:color="auto"/>
            </w:tcBorders>
            <w:shd w:val="clear" w:color="auto" w:fill="auto"/>
            <w:vAlign w:val="center"/>
            <w:hideMark/>
          </w:tcPr>
          <w:p w14:paraId="1DBBEEF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115,987,570</w:t>
            </w:r>
          </w:p>
        </w:tc>
        <w:tc>
          <w:tcPr>
            <w:tcW w:w="515" w:type="pct"/>
            <w:tcBorders>
              <w:top w:val="nil"/>
              <w:left w:val="nil"/>
              <w:bottom w:val="nil"/>
              <w:right w:val="nil"/>
            </w:tcBorders>
            <w:shd w:val="clear" w:color="auto" w:fill="auto"/>
            <w:vAlign w:val="center"/>
            <w:hideMark/>
          </w:tcPr>
          <w:p w14:paraId="4DCAE18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77" w:type="pct"/>
            <w:tcBorders>
              <w:top w:val="nil"/>
              <w:left w:val="single" w:sz="8" w:space="0" w:color="auto"/>
              <w:bottom w:val="nil"/>
              <w:right w:val="single" w:sz="8" w:space="0" w:color="auto"/>
            </w:tcBorders>
            <w:shd w:val="clear" w:color="auto" w:fill="auto"/>
            <w:vAlign w:val="center"/>
            <w:hideMark/>
          </w:tcPr>
          <w:p w14:paraId="7B3ADE8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283,105,657</w:t>
            </w:r>
          </w:p>
        </w:tc>
      </w:tr>
      <w:tr w:rsidR="00D33F7C" w:rsidRPr="00037B23" w14:paraId="047580AB"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521118EA"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Nasdaq - US</w:t>
            </w:r>
          </w:p>
        </w:tc>
        <w:tc>
          <w:tcPr>
            <w:tcW w:w="569" w:type="pct"/>
            <w:tcBorders>
              <w:top w:val="nil"/>
              <w:left w:val="nil"/>
              <w:bottom w:val="nil"/>
              <w:right w:val="single" w:sz="8" w:space="0" w:color="auto"/>
            </w:tcBorders>
            <w:shd w:val="clear" w:color="auto" w:fill="auto"/>
            <w:vAlign w:val="center"/>
            <w:hideMark/>
          </w:tcPr>
          <w:p w14:paraId="74F5B72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8" w:type="pct"/>
            <w:tcBorders>
              <w:top w:val="nil"/>
              <w:left w:val="nil"/>
              <w:bottom w:val="nil"/>
              <w:right w:val="single" w:sz="8" w:space="0" w:color="auto"/>
            </w:tcBorders>
            <w:shd w:val="clear" w:color="auto" w:fill="auto"/>
            <w:vAlign w:val="center"/>
            <w:hideMark/>
          </w:tcPr>
          <w:p w14:paraId="11802D7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7D5CB6B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69" w:type="pct"/>
            <w:tcBorders>
              <w:top w:val="nil"/>
              <w:left w:val="single" w:sz="8" w:space="0" w:color="auto"/>
              <w:bottom w:val="nil"/>
              <w:right w:val="single" w:sz="8" w:space="0" w:color="auto"/>
            </w:tcBorders>
            <w:shd w:val="clear" w:color="auto" w:fill="auto"/>
            <w:vAlign w:val="center"/>
            <w:hideMark/>
          </w:tcPr>
          <w:p w14:paraId="68D9B8A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177,729,693</w:t>
            </w:r>
          </w:p>
        </w:tc>
        <w:tc>
          <w:tcPr>
            <w:tcW w:w="515" w:type="pct"/>
            <w:tcBorders>
              <w:top w:val="nil"/>
              <w:left w:val="nil"/>
              <w:bottom w:val="nil"/>
              <w:right w:val="nil"/>
            </w:tcBorders>
            <w:shd w:val="clear" w:color="auto" w:fill="auto"/>
            <w:vAlign w:val="center"/>
            <w:hideMark/>
          </w:tcPr>
          <w:p w14:paraId="038DF7C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77" w:type="pct"/>
            <w:tcBorders>
              <w:top w:val="nil"/>
              <w:left w:val="single" w:sz="8" w:space="0" w:color="auto"/>
              <w:bottom w:val="nil"/>
              <w:right w:val="single" w:sz="8" w:space="0" w:color="auto"/>
            </w:tcBorders>
            <w:shd w:val="clear" w:color="auto" w:fill="auto"/>
            <w:vAlign w:val="center"/>
            <w:hideMark/>
          </w:tcPr>
          <w:p w14:paraId="786637B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5B707C43"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2AD5D15A"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MIAX Exchange Group</w:t>
            </w:r>
          </w:p>
        </w:tc>
        <w:tc>
          <w:tcPr>
            <w:tcW w:w="569" w:type="pct"/>
            <w:tcBorders>
              <w:top w:val="nil"/>
              <w:left w:val="nil"/>
              <w:bottom w:val="nil"/>
              <w:right w:val="single" w:sz="8" w:space="0" w:color="auto"/>
            </w:tcBorders>
            <w:shd w:val="clear" w:color="auto" w:fill="auto"/>
            <w:vAlign w:val="center"/>
            <w:hideMark/>
          </w:tcPr>
          <w:p w14:paraId="67CD2A2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8" w:type="pct"/>
            <w:tcBorders>
              <w:top w:val="nil"/>
              <w:left w:val="nil"/>
              <w:bottom w:val="nil"/>
              <w:right w:val="single" w:sz="8" w:space="0" w:color="auto"/>
            </w:tcBorders>
            <w:shd w:val="clear" w:color="auto" w:fill="auto"/>
            <w:vAlign w:val="center"/>
            <w:hideMark/>
          </w:tcPr>
          <w:p w14:paraId="44D63C4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69D37F8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69" w:type="pct"/>
            <w:tcBorders>
              <w:top w:val="nil"/>
              <w:left w:val="single" w:sz="8" w:space="0" w:color="auto"/>
              <w:bottom w:val="nil"/>
              <w:right w:val="single" w:sz="8" w:space="0" w:color="auto"/>
            </w:tcBorders>
            <w:shd w:val="clear" w:color="auto" w:fill="auto"/>
            <w:vAlign w:val="center"/>
            <w:hideMark/>
          </w:tcPr>
          <w:p w14:paraId="71CF608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68,353,672</w:t>
            </w:r>
          </w:p>
        </w:tc>
        <w:tc>
          <w:tcPr>
            <w:tcW w:w="515" w:type="pct"/>
            <w:tcBorders>
              <w:top w:val="nil"/>
              <w:left w:val="nil"/>
              <w:bottom w:val="nil"/>
              <w:right w:val="nil"/>
            </w:tcBorders>
            <w:shd w:val="clear" w:color="auto" w:fill="auto"/>
            <w:vAlign w:val="center"/>
            <w:hideMark/>
          </w:tcPr>
          <w:p w14:paraId="3BB75E7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1,440,145</w:t>
            </w:r>
          </w:p>
        </w:tc>
        <w:tc>
          <w:tcPr>
            <w:tcW w:w="577" w:type="pct"/>
            <w:tcBorders>
              <w:top w:val="nil"/>
              <w:left w:val="single" w:sz="8" w:space="0" w:color="auto"/>
              <w:bottom w:val="nil"/>
              <w:right w:val="single" w:sz="8" w:space="0" w:color="auto"/>
            </w:tcBorders>
            <w:shd w:val="clear" w:color="auto" w:fill="auto"/>
            <w:vAlign w:val="center"/>
            <w:hideMark/>
          </w:tcPr>
          <w:p w14:paraId="04AF7D8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3AED2343"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055C01B7"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ASX Australian Securities Exchange</w:t>
            </w:r>
          </w:p>
        </w:tc>
        <w:tc>
          <w:tcPr>
            <w:tcW w:w="569" w:type="pct"/>
            <w:tcBorders>
              <w:top w:val="nil"/>
              <w:left w:val="nil"/>
              <w:bottom w:val="nil"/>
              <w:right w:val="single" w:sz="8" w:space="0" w:color="auto"/>
            </w:tcBorders>
            <w:shd w:val="clear" w:color="auto" w:fill="auto"/>
            <w:vAlign w:val="center"/>
            <w:hideMark/>
          </w:tcPr>
          <w:p w14:paraId="35BA881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10,743</w:t>
            </w:r>
          </w:p>
        </w:tc>
        <w:tc>
          <w:tcPr>
            <w:tcW w:w="518" w:type="pct"/>
            <w:tcBorders>
              <w:top w:val="nil"/>
              <w:left w:val="nil"/>
              <w:bottom w:val="nil"/>
              <w:right w:val="single" w:sz="8" w:space="0" w:color="auto"/>
            </w:tcBorders>
            <w:shd w:val="clear" w:color="auto" w:fill="auto"/>
            <w:vAlign w:val="center"/>
            <w:hideMark/>
          </w:tcPr>
          <w:p w14:paraId="5004E16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44</w:t>
            </w:r>
          </w:p>
        </w:tc>
        <w:tc>
          <w:tcPr>
            <w:tcW w:w="522" w:type="pct"/>
            <w:tcBorders>
              <w:top w:val="nil"/>
              <w:left w:val="nil"/>
              <w:bottom w:val="nil"/>
              <w:right w:val="nil"/>
            </w:tcBorders>
            <w:shd w:val="clear" w:color="auto" w:fill="auto"/>
            <w:vAlign w:val="center"/>
            <w:hideMark/>
          </w:tcPr>
          <w:p w14:paraId="66482BF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308,798</w:t>
            </w:r>
          </w:p>
        </w:tc>
        <w:tc>
          <w:tcPr>
            <w:tcW w:w="569" w:type="pct"/>
            <w:tcBorders>
              <w:top w:val="nil"/>
              <w:left w:val="single" w:sz="8" w:space="0" w:color="auto"/>
              <w:bottom w:val="nil"/>
              <w:right w:val="single" w:sz="8" w:space="0" w:color="auto"/>
            </w:tcBorders>
            <w:shd w:val="clear" w:color="auto" w:fill="auto"/>
            <w:vAlign w:val="center"/>
            <w:hideMark/>
          </w:tcPr>
          <w:p w14:paraId="79CAC29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4,550,945</w:t>
            </w:r>
          </w:p>
        </w:tc>
        <w:tc>
          <w:tcPr>
            <w:tcW w:w="515" w:type="pct"/>
            <w:tcBorders>
              <w:top w:val="nil"/>
              <w:left w:val="nil"/>
              <w:bottom w:val="nil"/>
              <w:right w:val="nil"/>
            </w:tcBorders>
            <w:shd w:val="clear" w:color="auto" w:fill="auto"/>
            <w:vAlign w:val="center"/>
            <w:hideMark/>
          </w:tcPr>
          <w:p w14:paraId="72983FB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12,134</w:t>
            </w:r>
          </w:p>
        </w:tc>
        <w:tc>
          <w:tcPr>
            <w:tcW w:w="577" w:type="pct"/>
            <w:tcBorders>
              <w:top w:val="nil"/>
              <w:left w:val="single" w:sz="8" w:space="0" w:color="auto"/>
              <w:bottom w:val="nil"/>
              <w:right w:val="single" w:sz="8" w:space="0" w:color="auto"/>
            </w:tcBorders>
            <w:shd w:val="clear" w:color="auto" w:fill="auto"/>
            <w:vAlign w:val="center"/>
            <w:hideMark/>
          </w:tcPr>
          <w:p w14:paraId="55D080E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5,807,125</w:t>
            </w:r>
          </w:p>
        </w:tc>
      </w:tr>
      <w:tr w:rsidR="00D33F7C" w:rsidRPr="00037B23" w14:paraId="020F8ACB"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366E8DE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Hong Kong Exchanges and Clearing</w:t>
            </w:r>
          </w:p>
        </w:tc>
        <w:tc>
          <w:tcPr>
            <w:tcW w:w="569" w:type="pct"/>
            <w:tcBorders>
              <w:top w:val="nil"/>
              <w:left w:val="nil"/>
              <w:bottom w:val="nil"/>
              <w:right w:val="single" w:sz="8" w:space="0" w:color="auto"/>
            </w:tcBorders>
            <w:shd w:val="clear" w:color="auto" w:fill="auto"/>
            <w:vAlign w:val="center"/>
            <w:hideMark/>
          </w:tcPr>
          <w:p w14:paraId="4A473C4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168,790</w:t>
            </w:r>
          </w:p>
        </w:tc>
        <w:tc>
          <w:tcPr>
            <w:tcW w:w="518" w:type="pct"/>
            <w:tcBorders>
              <w:top w:val="nil"/>
              <w:left w:val="nil"/>
              <w:bottom w:val="nil"/>
              <w:right w:val="single" w:sz="8" w:space="0" w:color="auto"/>
            </w:tcBorders>
            <w:shd w:val="clear" w:color="auto" w:fill="auto"/>
            <w:vAlign w:val="center"/>
            <w:hideMark/>
          </w:tcPr>
          <w:p w14:paraId="29E0235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993</w:t>
            </w:r>
          </w:p>
        </w:tc>
        <w:tc>
          <w:tcPr>
            <w:tcW w:w="522" w:type="pct"/>
            <w:tcBorders>
              <w:top w:val="nil"/>
              <w:left w:val="nil"/>
              <w:bottom w:val="nil"/>
              <w:right w:val="nil"/>
            </w:tcBorders>
            <w:shd w:val="clear" w:color="auto" w:fill="auto"/>
            <w:vAlign w:val="center"/>
            <w:hideMark/>
          </w:tcPr>
          <w:p w14:paraId="16B8BF9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38,274</w:t>
            </w:r>
          </w:p>
        </w:tc>
        <w:tc>
          <w:tcPr>
            <w:tcW w:w="569" w:type="pct"/>
            <w:tcBorders>
              <w:top w:val="nil"/>
              <w:left w:val="single" w:sz="8" w:space="0" w:color="auto"/>
              <w:bottom w:val="nil"/>
              <w:right w:val="single" w:sz="8" w:space="0" w:color="auto"/>
            </w:tcBorders>
            <w:shd w:val="clear" w:color="auto" w:fill="auto"/>
            <w:vAlign w:val="center"/>
            <w:hideMark/>
          </w:tcPr>
          <w:p w14:paraId="489B98F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10,841,532</w:t>
            </w:r>
          </w:p>
        </w:tc>
        <w:tc>
          <w:tcPr>
            <w:tcW w:w="515" w:type="pct"/>
            <w:tcBorders>
              <w:top w:val="nil"/>
              <w:left w:val="nil"/>
              <w:bottom w:val="nil"/>
              <w:right w:val="nil"/>
            </w:tcBorders>
            <w:shd w:val="clear" w:color="auto" w:fill="auto"/>
            <w:vAlign w:val="center"/>
            <w:hideMark/>
          </w:tcPr>
          <w:p w14:paraId="1447242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62,154</w:t>
            </w:r>
          </w:p>
        </w:tc>
        <w:tc>
          <w:tcPr>
            <w:tcW w:w="577" w:type="pct"/>
            <w:tcBorders>
              <w:top w:val="nil"/>
              <w:left w:val="single" w:sz="8" w:space="0" w:color="auto"/>
              <w:bottom w:val="nil"/>
              <w:right w:val="single" w:sz="8" w:space="0" w:color="auto"/>
            </w:tcBorders>
            <w:shd w:val="clear" w:color="auto" w:fill="auto"/>
            <w:vAlign w:val="center"/>
            <w:hideMark/>
          </w:tcPr>
          <w:p w14:paraId="0842B46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10,881,395</w:t>
            </w:r>
          </w:p>
        </w:tc>
      </w:tr>
      <w:tr w:rsidR="00D33F7C" w:rsidRPr="00037B23" w14:paraId="40617386"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294C4A24"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Japan Exchange Group</w:t>
            </w:r>
          </w:p>
        </w:tc>
        <w:tc>
          <w:tcPr>
            <w:tcW w:w="569" w:type="pct"/>
            <w:tcBorders>
              <w:top w:val="nil"/>
              <w:left w:val="nil"/>
              <w:bottom w:val="nil"/>
              <w:right w:val="single" w:sz="8" w:space="0" w:color="auto"/>
            </w:tcBorders>
            <w:shd w:val="clear" w:color="auto" w:fill="auto"/>
            <w:vAlign w:val="center"/>
            <w:hideMark/>
          </w:tcPr>
          <w:p w14:paraId="6EC509F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8" w:type="pct"/>
            <w:tcBorders>
              <w:top w:val="nil"/>
              <w:left w:val="nil"/>
              <w:bottom w:val="nil"/>
              <w:right w:val="single" w:sz="8" w:space="0" w:color="auto"/>
            </w:tcBorders>
            <w:shd w:val="clear" w:color="auto" w:fill="auto"/>
            <w:vAlign w:val="center"/>
            <w:hideMark/>
          </w:tcPr>
          <w:p w14:paraId="181D279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3185CA3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69" w:type="pct"/>
            <w:tcBorders>
              <w:top w:val="nil"/>
              <w:left w:val="single" w:sz="8" w:space="0" w:color="auto"/>
              <w:bottom w:val="nil"/>
              <w:right w:val="single" w:sz="8" w:space="0" w:color="auto"/>
            </w:tcBorders>
            <w:shd w:val="clear" w:color="auto" w:fill="auto"/>
            <w:vAlign w:val="center"/>
            <w:hideMark/>
          </w:tcPr>
          <w:p w14:paraId="74AB767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1,865</w:t>
            </w:r>
          </w:p>
        </w:tc>
        <w:tc>
          <w:tcPr>
            <w:tcW w:w="515" w:type="pct"/>
            <w:tcBorders>
              <w:top w:val="nil"/>
              <w:left w:val="nil"/>
              <w:bottom w:val="nil"/>
              <w:right w:val="nil"/>
            </w:tcBorders>
            <w:shd w:val="clear" w:color="auto" w:fill="auto"/>
            <w:vAlign w:val="center"/>
            <w:hideMark/>
          </w:tcPr>
          <w:p w14:paraId="70EBE4C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77" w:type="pct"/>
            <w:tcBorders>
              <w:top w:val="nil"/>
              <w:left w:val="single" w:sz="8" w:space="0" w:color="auto"/>
              <w:bottom w:val="nil"/>
              <w:right w:val="single" w:sz="8" w:space="0" w:color="auto"/>
            </w:tcBorders>
            <w:shd w:val="clear" w:color="auto" w:fill="auto"/>
            <w:vAlign w:val="center"/>
            <w:hideMark/>
          </w:tcPr>
          <w:p w14:paraId="24B49FC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34,739</w:t>
            </w:r>
          </w:p>
        </w:tc>
      </w:tr>
      <w:tr w:rsidR="00D33F7C" w:rsidRPr="00037B23" w14:paraId="654058E6"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7599AF4C"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Korea Exchange</w:t>
            </w:r>
          </w:p>
        </w:tc>
        <w:tc>
          <w:tcPr>
            <w:tcW w:w="569" w:type="pct"/>
            <w:tcBorders>
              <w:top w:val="nil"/>
              <w:left w:val="nil"/>
              <w:bottom w:val="nil"/>
              <w:right w:val="single" w:sz="8" w:space="0" w:color="auto"/>
            </w:tcBorders>
            <w:shd w:val="clear" w:color="auto" w:fill="auto"/>
            <w:vAlign w:val="center"/>
            <w:hideMark/>
          </w:tcPr>
          <w:p w14:paraId="23E6EBB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100,445,723</w:t>
            </w:r>
          </w:p>
        </w:tc>
        <w:tc>
          <w:tcPr>
            <w:tcW w:w="518" w:type="pct"/>
            <w:tcBorders>
              <w:top w:val="nil"/>
              <w:left w:val="nil"/>
              <w:bottom w:val="nil"/>
              <w:right w:val="single" w:sz="8" w:space="0" w:color="auto"/>
            </w:tcBorders>
            <w:shd w:val="clear" w:color="auto" w:fill="auto"/>
            <w:vAlign w:val="center"/>
            <w:hideMark/>
          </w:tcPr>
          <w:p w14:paraId="6CEDEE7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74,873</w:t>
            </w:r>
          </w:p>
        </w:tc>
        <w:tc>
          <w:tcPr>
            <w:tcW w:w="522" w:type="pct"/>
            <w:tcBorders>
              <w:top w:val="nil"/>
              <w:left w:val="nil"/>
              <w:bottom w:val="nil"/>
              <w:right w:val="nil"/>
            </w:tcBorders>
            <w:shd w:val="clear" w:color="auto" w:fill="auto"/>
            <w:vAlign w:val="center"/>
            <w:hideMark/>
          </w:tcPr>
          <w:p w14:paraId="7EE18E3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6,846,478</w:t>
            </w:r>
          </w:p>
        </w:tc>
        <w:tc>
          <w:tcPr>
            <w:tcW w:w="569" w:type="pct"/>
            <w:tcBorders>
              <w:top w:val="nil"/>
              <w:left w:val="single" w:sz="8" w:space="0" w:color="auto"/>
              <w:bottom w:val="nil"/>
              <w:right w:val="single" w:sz="8" w:space="0" w:color="auto"/>
            </w:tcBorders>
            <w:shd w:val="clear" w:color="auto" w:fill="auto"/>
            <w:vAlign w:val="center"/>
            <w:hideMark/>
          </w:tcPr>
          <w:p w14:paraId="2E1A99B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1,249,462</w:t>
            </w:r>
          </w:p>
        </w:tc>
        <w:tc>
          <w:tcPr>
            <w:tcW w:w="515" w:type="pct"/>
            <w:tcBorders>
              <w:top w:val="nil"/>
              <w:left w:val="nil"/>
              <w:bottom w:val="nil"/>
              <w:right w:val="nil"/>
            </w:tcBorders>
            <w:shd w:val="clear" w:color="auto" w:fill="auto"/>
            <w:vAlign w:val="center"/>
            <w:hideMark/>
          </w:tcPr>
          <w:p w14:paraId="4D870BE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77" w:type="pct"/>
            <w:tcBorders>
              <w:top w:val="nil"/>
              <w:left w:val="single" w:sz="8" w:space="0" w:color="auto"/>
              <w:bottom w:val="nil"/>
              <w:right w:val="single" w:sz="8" w:space="0" w:color="auto"/>
            </w:tcBorders>
            <w:shd w:val="clear" w:color="auto" w:fill="auto"/>
            <w:vAlign w:val="center"/>
            <w:hideMark/>
          </w:tcPr>
          <w:p w14:paraId="50E1106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163,981</w:t>
            </w:r>
          </w:p>
        </w:tc>
      </w:tr>
      <w:tr w:rsidR="00D33F7C" w:rsidRPr="00037B23" w14:paraId="690797C7"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709F62F1"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National Stock Exchange of India</w:t>
            </w:r>
          </w:p>
        </w:tc>
        <w:tc>
          <w:tcPr>
            <w:tcW w:w="569" w:type="pct"/>
            <w:tcBorders>
              <w:top w:val="nil"/>
              <w:left w:val="nil"/>
              <w:bottom w:val="nil"/>
              <w:right w:val="single" w:sz="8" w:space="0" w:color="auto"/>
            </w:tcBorders>
            <w:shd w:val="clear" w:color="auto" w:fill="auto"/>
            <w:vAlign w:val="center"/>
            <w:hideMark/>
          </w:tcPr>
          <w:p w14:paraId="2DA3AD4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22,345,925</w:t>
            </w:r>
          </w:p>
        </w:tc>
        <w:tc>
          <w:tcPr>
            <w:tcW w:w="518" w:type="pct"/>
            <w:tcBorders>
              <w:top w:val="nil"/>
              <w:left w:val="nil"/>
              <w:bottom w:val="nil"/>
              <w:right w:val="single" w:sz="8" w:space="0" w:color="auto"/>
            </w:tcBorders>
            <w:shd w:val="clear" w:color="auto" w:fill="auto"/>
            <w:vAlign w:val="center"/>
            <w:hideMark/>
          </w:tcPr>
          <w:p w14:paraId="7B3ACAF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239,100</w:t>
            </w:r>
          </w:p>
        </w:tc>
        <w:tc>
          <w:tcPr>
            <w:tcW w:w="522" w:type="pct"/>
            <w:tcBorders>
              <w:top w:val="nil"/>
              <w:left w:val="nil"/>
              <w:bottom w:val="nil"/>
              <w:right w:val="nil"/>
            </w:tcBorders>
            <w:shd w:val="clear" w:color="auto" w:fill="auto"/>
            <w:vAlign w:val="center"/>
            <w:hideMark/>
          </w:tcPr>
          <w:p w14:paraId="1989479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2,016,498</w:t>
            </w:r>
          </w:p>
        </w:tc>
        <w:tc>
          <w:tcPr>
            <w:tcW w:w="569" w:type="pct"/>
            <w:tcBorders>
              <w:top w:val="nil"/>
              <w:left w:val="single" w:sz="8" w:space="0" w:color="auto"/>
              <w:bottom w:val="nil"/>
              <w:right w:val="single" w:sz="8" w:space="0" w:color="auto"/>
            </w:tcBorders>
            <w:shd w:val="clear" w:color="auto" w:fill="auto"/>
            <w:vAlign w:val="center"/>
            <w:hideMark/>
          </w:tcPr>
          <w:p w14:paraId="428C280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46,005,316</w:t>
            </w:r>
          </w:p>
        </w:tc>
        <w:tc>
          <w:tcPr>
            <w:tcW w:w="515" w:type="pct"/>
            <w:tcBorders>
              <w:top w:val="nil"/>
              <w:left w:val="nil"/>
              <w:bottom w:val="nil"/>
              <w:right w:val="nil"/>
            </w:tcBorders>
            <w:shd w:val="clear" w:color="auto" w:fill="auto"/>
            <w:vAlign w:val="center"/>
            <w:hideMark/>
          </w:tcPr>
          <w:p w14:paraId="15E8428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502,888</w:t>
            </w:r>
          </w:p>
        </w:tc>
        <w:tc>
          <w:tcPr>
            <w:tcW w:w="577" w:type="pct"/>
            <w:tcBorders>
              <w:top w:val="nil"/>
              <w:left w:val="single" w:sz="8" w:space="0" w:color="auto"/>
              <w:bottom w:val="nil"/>
              <w:right w:val="single" w:sz="8" w:space="0" w:color="auto"/>
            </w:tcBorders>
            <w:shd w:val="clear" w:color="auto" w:fill="auto"/>
            <w:vAlign w:val="center"/>
            <w:hideMark/>
          </w:tcPr>
          <w:p w14:paraId="0A4DE2E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1,064,214</w:t>
            </w:r>
          </w:p>
        </w:tc>
      </w:tr>
      <w:tr w:rsidR="00D33F7C" w:rsidRPr="00037B23" w14:paraId="7D99326F"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6356ACE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Singapore Exchange</w:t>
            </w:r>
          </w:p>
        </w:tc>
        <w:tc>
          <w:tcPr>
            <w:tcW w:w="569" w:type="pct"/>
            <w:tcBorders>
              <w:top w:val="nil"/>
              <w:left w:val="nil"/>
              <w:bottom w:val="nil"/>
              <w:right w:val="single" w:sz="8" w:space="0" w:color="auto"/>
            </w:tcBorders>
            <w:shd w:val="clear" w:color="auto" w:fill="auto"/>
            <w:vAlign w:val="center"/>
            <w:hideMark/>
          </w:tcPr>
          <w:p w14:paraId="0F33B3D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266,027</w:t>
            </w:r>
          </w:p>
        </w:tc>
        <w:tc>
          <w:tcPr>
            <w:tcW w:w="518" w:type="pct"/>
            <w:tcBorders>
              <w:top w:val="nil"/>
              <w:left w:val="nil"/>
              <w:bottom w:val="nil"/>
              <w:right w:val="single" w:sz="8" w:space="0" w:color="auto"/>
            </w:tcBorders>
            <w:shd w:val="clear" w:color="auto" w:fill="auto"/>
            <w:vAlign w:val="center"/>
            <w:hideMark/>
          </w:tcPr>
          <w:p w14:paraId="4D87397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57B4557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39,479</w:t>
            </w:r>
          </w:p>
        </w:tc>
        <w:tc>
          <w:tcPr>
            <w:tcW w:w="569" w:type="pct"/>
            <w:tcBorders>
              <w:top w:val="nil"/>
              <w:left w:val="single" w:sz="8" w:space="0" w:color="auto"/>
              <w:bottom w:val="nil"/>
              <w:right w:val="single" w:sz="8" w:space="0" w:color="auto"/>
            </w:tcBorders>
            <w:shd w:val="clear" w:color="auto" w:fill="auto"/>
            <w:vAlign w:val="center"/>
            <w:hideMark/>
          </w:tcPr>
          <w:p w14:paraId="3C3F516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5" w:type="pct"/>
            <w:tcBorders>
              <w:top w:val="nil"/>
              <w:left w:val="nil"/>
              <w:bottom w:val="nil"/>
              <w:right w:val="nil"/>
            </w:tcBorders>
            <w:shd w:val="clear" w:color="auto" w:fill="auto"/>
            <w:vAlign w:val="center"/>
            <w:hideMark/>
          </w:tcPr>
          <w:p w14:paraId="6423C05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77" w:type="pct"/>
            <w:tcBorders>
              <w:top w:val="nil"/>
              <w:left w:val="single" w:sz="8" w:space="0" w:color="auto"/>
              <w:bottom w:val="nil"/>
              <w:right w:val="single" w:sz="8" w:space="0" w:color="auto"/>
            </w:tcBorders>
            <w:shd w:val="clear" w:color="auto" w:fill="auto"/>
            <w:vAlign w:val="center"/>
            <w:hideMark/>
          </w:tcPr>
          <w:p w14:paraId="4A96286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5263F22E"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7930DAE9"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Taiwan Futures Exchange</w:t>
            </w:r>
          </w:p>
        </w:tc>
        <w:tc>
          <w:tcPr>
            <w:tcW w:w="569" w:type="pct"/>
            <w:tcBorders>
              <w:top w:val="nil"/>
              <w:left w:val="nil"/>
              <w:bottom w:val="nil"/>
              <w:right w:val="single" w:sz="8" w:space="0" w:color="auto"/>
            </w:tcBorders>
            <w:shd w:val="clear" w:color="auto" w:fill="auto"/>
            <w:vAlign w:val="center"/>
            <w:hideMark/>
          </w:tcPr>
          <w:p w14:paraId="624B0FF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10,567,824</w:t>
            </w:r>
          </w:p>
        </w:tc>
        <w:tc>
          <w:tcPr>
            <w:tcW w:w="518" w:type="pct"/>
            <w:tcBorders>
              <w:top w:val="nil"/>
              <w:left w:val="nil"/>
              <w:bottom w:val="nil"/>
              <w:right w:val="single" w:sz="8" w:space="0" w:color="auto"/>
            </w:tcBorders>
            <w:shd w:val="clear" w:color="auto" w:fill="auto"/>
            <w:vAlign w:val="center"/>
            <w:hideMark/>
          </w:tcPr>
          <w:p w14:paraId="74B018D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65,979</w:t>
            </w:r>
          </w:p>
        </w:tc>
        <w:tc>
          <w:tcPr>
            <w:tcW w:w="522" w:type="pct"/>
            <w:tcBorders>
              <w:top w:val="nil"/>
              <w:left w:val="nil"/>
              <w:bottom w:val="nil"/>
              <w:right w:val="nil"/>
            </w:tcBorders>
            <w:shd w:val="clear" w:color="auto" w:fill="auto"/>
            <w:vAlign w:val="center"/>
            <w:hideMark/>
          </w:tcPr>
          <w:p w14:paraId="22B522E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461,188</w:t>
            </w:r>
          </w:p>
        </w:tc>
        <w:tc>
          <w:tcPr>
            <w:tcW w:w="569" w:type="pct"/>
            <w:tcBorders>
              <w:top w:val="nil"/>
              <w:left w:val="single" w:sz="8" w:space="0" w:color="auto"/>
              <w:bottom w:val="nil"/>
              <w:right w:val="single" w:sz="8" w:space="0" w:color="auto"/>
            </w:tcBorders>
            <w:shd w:val="clear" w:color="auto" w:fill="auto"/>
            <w:vAlign w:val="center"/>
            <w:hideMark/>
          </w:tcPr>
          <w:p w14:paraId="1A09DB0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8,831</w:t>
            </w:r>
          </w:p>
        </w:tc>
        <w:tc>
          <w:tcPr>
            <w:tcW w:w="515" w:type="pct"/>
            <w:tcBorders>
              <w:top w:val="nil"/>
              <w:left w:val="nil"/>
              <w:bottom w:val="nil"/>
              <w:right w:val="nil"/>
            </w:tcBorders>
            <w:shd w:val="clear" w:color="auto" w:fill="auto"/>
            <w:vAlign w:val="center"/>
            <w:hideMark/>
          </w:tcPr>
          <w:p w14:paraId="0723875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98</w:t>
            </w:r>
          </w:p>
        </w:tc>
        <w:tc>
          <w:tcPr>
            <w:tcW w:w="577" w:type="pct"/>
            <w:tcBorders>
              <w:top w:val="nil"/>
              <w:left w:val="single" w:sz="8" w:space="0" w:color="auto"/>
              <w:bottom w:val="nil"/>
              <w:right w:val="single" w:sz="8" w:space="0" w:color="auto"/>
            </w:tcBorders>
            <w:shd w:val="clear" w:color="auto" w:fill="auto"/>
            <w:vAlign w:val="center"/>
            <w:hideMark/>
          </w:tcPr>
          <w:p w14:paraId="790BBD2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2,979</w:t>
            </w:r>
          </w:p>
        </w:tc>
      </w:tr>
      <w:tr w:rsidR="00D33F7C" w:rsidRPr="00037B23" w14:paraId="33E5092B"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5F4EC25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Thailand Futures Exchange</w:t>
            </w:r>
          </w:p>
        </w:tc>
        <w:tc>
          <w:tcPr>
            <w:tcW w:w="569" w:type="pct"/>
            <w:tcBorders>
              <w:top w:val="nil"/>
              <w:left w:val="nil"/>
              <w:bottom w:val="nil"/>
              <w:right w:val="single" w:sz="8" w:space="0" w:color="auto"/>
            </w:tcBorders>
            <w:shd w:val="clear" w:color="auto" w:fill="auto"/>
            <w:vAlign w:val="center"/>
            <w:hideMark/>
          </w:tcPr>
          <w:p w14:paraId="6B81CE6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5,352,676</w:t>
            </w:r>
          </w:p>
        </w:tc>
        <w:tc>
          <w:tcPr>
            <w:tcW w:w="518" w:type="pct"/>
            <w:tcBorders>
              <w:top w:val="nil"/>
              <w:left w:val="nil"/>
              <w:bottom w:val="nil"/>
              <w:right w:val="single" w:sz="8" w:space="0" w:color="auto"/>
            </w:tcBorders>
            <w:shd w:val="clear" w:color="auto" w:fill="auto"/>
            <w:vAlign w:val="center"/>
            <w:hideMark/>
          </w:tcPr>
          <w:p w14:paraId="6DD846F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1D27742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2,565,749</w:t>
            </w:r>
          </w:p>
        </w:tc>
        <w:tc>
          <w:tcPr>
            <w:tcW w:w="569" w:type="pct"/>
            <w:tcBorders>
              <w:top w:val="nil"/>
              <w:left w:val="single" w:sz="8" w:space="0" w:color="auto"/>
              <w:bottom w:val="nil"/>
              <w:right w:val="single" w:sz="8" w:space="0" w:color="auto"/>
            </w:tcBorders>
            <w:shd w:val="clear" w:color="auto" w:fill="auto"/>
            <w:vAlign w:val="center"/>
            <w:hideMark/>
          </w:tcPr>
          <w:p w14:paraId="0DA0EBB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5" w:type="pct"/>
            <w:tcBorders>
              <w:top w:val="nil"/>
              <w:left w:val="nil"/>
              <w:bottom w:val="nil"/>
              <w:right w:val="nil"/>
            </w:tcBorders>
            <w:shd w:val="clear" w:color="auto" w:fill="auto"/>
            <w:vAlign w:val="center"/>
            <w:hideMark/>
          </w:tcPr>
          <w:p w14:paraId="717EBD1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77" w:type="pct"/>
            <w:tcBorders>
              <w:top w:val="nil"/>
              <w:left w:val="single" w:sz="8" w:space="0" w:color="auto"/>
              <w:bottom w:val="nil"/>
              <w:right w:val="single" w:sz="8" w:space="0" w:color="auto"/>
            </w:tcBorders>
            <w:shd w:val="clear" w:color="auto" w:fill="auto"/>
            <w:vAlign w:val="center"/>
            <w:hideMark/>
          </w:tcPr>
          <w:p w14:paraId="2629FD3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30C7A237"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749D81B2"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Athens Stock Exchange</w:t>
            </w:r>
          </w:p>
        </w:tc>
        <w:tc>
          <w:tcPr>
            <w:tcW w:w="569" w:type="pct"/>
            <w:tcBorders>
              <w:top w:val="nil"/>
              <w:left w:val="nil"/>
              <w:bottom w:val="nil"/>
              <w:right w:val="single" w:sz="8" w:space="0" w:color="auto"/>
            </w:tcBorders>
            <w:shd w:val="clear" w:color="auto" w:fill="auto"/>
            <w:vAlign w:val="center"/>
            <w:hideMark/>
          </w:tcPr>
          <w:p w14:paraId="59858A0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2,243,110</w:t>
            </w:r>
          </w:p>
        </w:tc>
        <w:tc>
          <w:tcPr>
            <w:tcW w:w="518" w:type="pct"/>
            <w:tcBorders>
              <w:top w:val="nil"/>
              <w:left w:val="nil"/>
              <w:bottom w:val="nil"/>
              <w:right w:val="single" w:sz="8" w:space="0" w:color="auto"/>
            </w:tcBorders>
            <w:shd w:val="clear" w:color="auto" w:fill="auto"/>
            <w:vAlign w:val="center"/>
            <w:hideMark/>
          </w:tcPr>
          <w:p w14:paraId="730C9B2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220</w:t>
            </w:r>
          </w:p>
        </w:tc>
        <w:tc>
          <w:tcPr>
            <w:tcW w:w="522" w:type="pct"/>
            <w:tcBorders>
              <w:top w:val="nil"/>
              <w:left w:val="nil"/>
              <w:bottom w:val="nil"/>
              <w:right w:val="nil"/>
            </w:tcBorders>
            <w:shd w:val="clear" w:color="auto" w:fill="auto"/>
            <w:vAlign w:val="center"/>
            <w:hideMark/>
          </w:tcPr>
          <w:p w14:paraId="45A865D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786,745</w:t>
            </w:r>
          </w:p>
        </w:tc>
        <w:tc>
          <w:tcPr>
            <w:tcW w:w="569" w:type="pct"/>
            <w:tcBorders>
              <w:top w:val="nil"/>
              <w:left w:val="single" w:sz="8" w:space="0" w:color="auto"/>
              <w:bottom w:val="nil"/>
              <w:right w:val="single" w:sz="8" w:space="0" w:color="auto"/>
            </w:tcBorders>
            <w:shd w:val="clear" w:color="auto" w:fill="auto"/>
            <w:vAlign w:val="center"/>
            <w:hideMark/>
          </w:tcPr>
          <w:p w14:paraId="6857673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1,720</w:t>
            </w:r>
          </w:p>
        </w:tc>
        <w:tc>
          <w:tcPr>
            <w:tcW w:w="515" w:type="pct"/>
            <w:tcBorders>
              <w:top w:val="nil"/>
              <w:left w:val="nil"/>
              <w:bottom w:val="nil"/>
              <w:right w:val="nil"/>
            </w:tcBorders>
            <w:shd w:val="clear" w:color="auto" w:fill="auto"/>
            <w:vAlign w:val="center"/>
            <w:hideMark/>
          </w:tcPr>
          <w:p w14:paraId="7C202DE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w:t>
            </w:r>
          </w:p>
        </w:tc>
        <w:tc>
          <w:tcPr>
            <w:tcW w:w="577" w:type="pct"/>
            <w:tcBorders>
              <w:top w:val="nil"/>
              <w:left w:val="single" w:sz="8" w:space="0" w:color="auto"/>
              <w:bottom w:val="nil"/>
              <w:right w:val="single" w:sz="8" w:space="0" w:color="auto"/>
            </w:tcBorders>
            <w:shd w:val="clear" w:color="auto" w:fill="auto"/>
            <w:vAlign w:val="center"/>
            <w:hideMark/>
          </w:tcPr>
          <w:p w14:paraId="798CFCB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828</w:t>
            </w:r>
          </w:p>
        </w:tc>
      </w:tr>
      <w:tr w:rsidR="00D33F7C" w:rsidRPr="00037B23" w14:paraId="73C4A835"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75A6F88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BME Spanish Exchanges</w:t>
            </w:r>
          </w:p>
        </w:tc>
        <w:tc>
          <w:tcPr>
            <w:tcW w:w="569" w:type="pct"/>
            <w:tcBorders>
              <w:top w:val="nil"/>
              <w:left w:val="nil"/>
              <w:bottom w:val="nil"/>
              <w:right w:val="single" w:sz="8" w:space="0" w:color="auto"/>
            </w:tcBorders>
            <w:shd w:val="clear" w:color="auto" w:fill="auto"/>
            <w:vAlign w:val="center"/>
            <w:hideMark/>
          </w:tcPr>
          <w:p w14:paraId="219A8B5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2,078,847</w:t>
            </w:r>
          </w:p>
        </w:tc>
        <w:tc>
          <w:tcPr>
            <w:tcW w:w="518" w:type="pct"/>
            <w:tcBorders>
              <w:top w:val="nil"/>
              <w:left w:val="nil"/>
              <w:bottom w:val="nil"/>
              <w:right w:val="single" w:sz="8" w:space="0" w:color="auto"/>
            </w:tcBorders>
            <w:shd w:val="clear" w:color="auto" w:fill="auto"/>
            <w:vAlign w:val="center"/>
            <w:hideMark/>
          </w:tcPr>
          <w:p w14:paraId="40DFAEE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857</w:t>
            </w:r>
          </w:p>
        </w:tc>
        <w:tc>
          <w:tcPr>
            <w:tcW w:w="522" w:type="pct"/>
            <w:tcBorders>
              <w:top w:val="nil"/>
              <w:left w:val="nil"/>
              <w:bottom w:val="nil"/>
              <w:right w:val="nil"/>
            </w:tcBorders>
            <w:shd w:val="clear" w:color="auto" w:fill="auto"/>
            <w:vAlign w:val="center"/>
            <w:hideMark/>
          </w:tcPr>
          <w:p w14:paraId="604636F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1,583,334</w:t>
            </w:r>
          </w:p>
        </w:tc>
        <w:tc>
          <w:tcPr>
            <w:tcW w:w="569" w:type="pct"/>
            <w:tcBorders>
              <w:top w:val="nil"/>
              <w:left w:val="single" w:sz="8" w:space="0" w:color="auto"/>
              <w:bottom w:val="nil"/>
              <w:right w:val="single" w:sz="8" w:space="0" w:color="auto"/>
            </w:tcBorders>
            <w:shd w:val="clear" w:color="auto" w:fill="auto"/>
            <w:vAlign w:val="center"/>
            <w:hideMark/>
          </w:tcPr>
          <w:p w14:paraId="00B6F05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948,274</w:t>
            </w:r>
          </w:p>
        </w:tc>
        <w:tc>
          <w:tcPr>
            <w:tcW w:w="515" w:type="pct"/>
            <w:tcBorders>
              <w:top w:val="nil"/>
              <w:left w:val="nil"/>
              <w:bottom w:val="nil"/>
              <w:right w:val="nil"/>
            </w:tcBorders>
            <w:shd w:val="clear" w:color="auto" w:fill="auto"/>
            <w:vAlign w:val="center"/>
            <w:hideMark/>
          </w:tcPr>
          <w:p w14:paraId="052F920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958</w:t>
            </w:r>
          </w:p>
        </w:tc>
        <w:tc>
          <w:tcPr>
            <w:tcW w:w="577" w:type="pct"/>
            <w:tcBorders>
              <w:top w:val="nil"/>
              <w:left w:val="single" w:sz="8" w:space="0" w:color="auto"/>
              <w:bottom w:val="nil"/>
              <w:right w:val="single" w:sz="8" w:space="0" w:color="auto"/>
            </w:tcBorders>
            <w:shd w:val="clear" w:color="auto" w:fill="auto"/>
            <w:vAlign w:val="center"/>
            <w:hideMark/>
          </w:tcPr>
          <w:p w14:paraId="0D00D3A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7,322,439</w:t>
            </w:r>
          </w:p>
        </w:tc>
      </w:tr>
      <w:tr w:rsidR="00D33F7C" w:rsidRPr="00037B23" w14:paraId="0AC38B29"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5A75E17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Borsa Istanbul</w:t>
            </w:r>
          </w:p>
        </w:tc>
        <w:tc>
          <w:tcPr>
            <w:tcW w:w="569" w:type="pct"/>
            <w:tcBorders>
              <w:top w:val="nil"/>
              <w:left w:val="nil"/>
              <w:bottom w:val="nil"/>
              <w:right w:val="single" w:sz="8" w:space="0" w:color="auto"/>
            </w:tcBorders>
            <w:shd w:val="clear" w:color="auto" w:fill="auto"/>
            <w:vAlign w:val="center"/>
            <w:hideMark/>
          </w:tcPr>
          <w:p w14:paraId="7757409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97,287,362</w:t>
            </w:r>
          </w:p>
        </w:tc>
        <w:tc>
          <w:tcPr>
            <w:tcW w:w="518" w:type="pct"/>
            <w:tcBorders>
              <w:top w:val="nil"/>
              <w:left w:val="nil"/>
              <w:bottom w:val="nil"/>
              <w:right w:val="single" w:sz="8" w:space="0" w:color="auto"/>
            </w:tcBorders>
            <w:shd w:val="clear" w:color="auto" w:fill="auto"/>
            <w:vAlign w:val="center"/>
            <w:hideMark/>
          </w:tcPr>
          <w:p w14:paraId="69568B3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9,892</w:t>
            </w:r>
          </w:p>
        </w:tc>
        <w:tc>
          <w:tcPr>
            <w:tcW w:w="522" w:type="pct"/>
            <w:tcBorders>
              <w:top w:val="nil"/>
              <w:left w:val="nil"/>
              <w:bottom w:val="nil"/>
              <w:right w:val="nil"/>
            </w:tcBorders>
            <w:shd w:val="clear" w:color="auto" w:fill="auto"/>
            <w:vAlign w:val="center"/>
            <w:hideMark/>
          </w:tcPr>
          <w:p w14:paraId="3827C89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9,796,722</w:t>
            </w:r>
          </w:p>
        </w:tc>
        <w:tc>
          <w:tcPr>
            <w:tcW w:w="569" w:type="pct"/>
            <w:tcBorders>
              <w:top w:val="nil"/>
              <w:left w:val="single" w:sz="8" w:space="0" w:color="auto"/>
              <w:bottom w:val="nil"/>
              <w:right w:val="single" w:sz="8" w:space="0" w:color="auto"/>
            </w:tcBorders>
            <w:shd w:val="clear" w:color="auto" w:fill="auto"/>
            <w:vAlign w:val="center"/>
            <w:hideMark/>
          </w:tcPr>
          <w:p w14:paraId="6946721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767,965</w:t>
            </w:r>
          </w:p>
        </w:tc>
        <w:tc>
          <w:tcPr>
            <w:tcW w:w="515" w:type="pct"/>
            <w:tcBorders>
              <w:top w:val="nil"/>
              <w:left w:val="nil"/>
              <w:bottom w:val="nil"/>
              <w:right w:val="nil"/>
            </w:tcBorders>
            <w:shd w:val="clear" w:color="auto" w:fill="auto"/>
            <w:vAlign w:val="center"/>
            <w:hideMark/>
          </w:tcPr>
          <w:p w14:paraId="4E93A92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74</w:t>
            </w:r>
          </w:p>
        </w:tc>
        <w:tc>
          <w:tcPr>
            <w:tcW w:w="577" w:type="pct"/>
            <w:tcBorders>
              <w:top w:val="nil"/>
              <w:left w:val="single" w:sz="8" w:space="0" w:color="auto"/>
              <w:bottom w:val="nil"/>
              <w:right w:val="single" w:sz="8" w:space="0" w:color="auto"/>
            </w:tcBorders>
            <w:shd w:val="clear" w:color="auto" w:fill="auto"/>
            <w:vAlign w:val="center"/>
            <w:hideMark/>
          </w:tcPr>
          <w:p w14:paraId="11CD445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1,063,524</w:t>
            </w:r>
          </w:p>
        </w:tc>
      </w:tr>
      <w:tr w:rsidR="00D33F7C" w:rsidRPr="00037B23" w14:paraId="13F6DC26"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0ABE574D"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Budapest Stock Exchange</w:t>
            </w:r>
          </w:p>
        </w:tc>
        <w:tc>
          <w:tcPr>
            <w:tcW w:w="569" w:type="pct"/>
            <w:tcBorders>
              <w:top w:val="nil"/>
              <w:left w:val="nil"/>
              <w:bottom w:val="nil"/>
              <w:right w:val="single" w:sz="8" w:space="0" w:color="auto"/>
            </w:tcBorders>
            <w:shd w:val="clear" w:color="auto" w:fill="auto"/>
            <w:vAlign w:val="center"/>
            <w:hideMark/>
          </w:tcPr>
          <w:p w14:paraId="4327C95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9,217</w:t>
            </w:r>
          </w:p>
        </w:tc>
        <w:tc>
          <w:tcPr>
            <w:tcW w:w="518" w:type="pct"/>
            <w:tcBorders>
              <w:top w:val="nil"/>
              <w:left w:val="nil"/>
              <w:bottom w:val="nil"/>
              <w:right w:val="single" w:sz="8" w:space="0" w:color="auto"/>
            </w:tcBorders>
            <w:shd w:val="clear" w:color="auto" w:fill="auto"/>
            <w:vAlign w:val="center"/>
            <w:hideMark/>
          </w:tcPr>
          <w:p w14:paraId="6862DF9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64</w:t>
            </w:r>
          </w:p>
        </w:tc>
        <w:tc>
          <w:tcPr>
            <w:tcW w:w="522" w:type="pct"/>
            <w:tcBorders>
              <w:top w:val="nil"/>
              <w:left w:val="nil"/>
              <w:bottom w:val="nil"/>
              <w:right w:val="nil"/>
            </w:tcBorders>
            <w:shd w:val="clear" w:color="auto" w:fill="auto"/>
            <w:vAlign w:val="center"/>
            <w:hideMark/>
          </w:tcPr>
          <w:p w14:paraId="3427D84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7,702</w:t>
            </w:r>
          </w:p>
        </w:tc>
        <w:tc>
          <w:tcPr>
            <w:tcW w:w="569" w:type="pct"/>
            <w:tcBorders>
              <w:top w:val="nil"/>
              <w:left w:val="single" w:sz="8" w:space="0" w:color="auto"/>
              <w:bottom w:val="nil"/>
              <w:right w:val="single" w:sz="8" w:space="0" w:color="auto"/>
            </w:tcBorders>
            <w:shd w:val="clear" w:color="auto" w:fill="auto"/>
            <w:vAlign w:val="center"/>
            <w:hideMark/>
          </w:tcPr>
          <w:p w14:paraId="77A004E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15" w:type="pct"/>
            <w:tcBorders>
              <w:top w:val="nil"/>
              <w:left w:val="nil"/>
              <w:bottom w:val="nil"/>
              <w:right w:val="nil"/>
            </w:tcBorders>
            <w:shd w:val="clear" w:color="auto" w:fill="auto"/>
            <w:vAlign w:val="center"/>
            <w:hideMark/>
          </w:tcPr>
          <w:p w14:paraId="50E8590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77" w:type="pct"/>
            <w:tcBorders>
              <w:top w:val="nil"/>
              <w:left w:val="single" w:sz="8" w:space="0" w:color="auto"/>
              <w:bottom w:val="nil"/>
              <w:right w:val="single" w:sz="8" w:space="0" w:color="auto"/>
            </w:tcBorders>
            <w:shd w:val="clear" w:color="auto" w:fill="auto"/>
            <w:vAlign w:val="center"/>
            <w:hideMark/>
          </w:tcPr>
          <w:p w14:paraId="7CAD007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16E7B4C8"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00686344"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Deutsche Boerse AG</w:t>
            </w:r>
          </w:p>
        </w:tc>
        <w:tc>
          <w:tcPr>
            <w:tcW w:w="569" w:type="pct"/>
            <w:tcBorders>
              <w:top w:val="nil"/>
              <w:left w:val="nil"/>
              <w:bottom w:val="nil"/>
              <w:right w:val="single" w:sz="8" w:space="0" w:color="auto"/>
            </w:tcBorders>
            <w:shd w:val="clear" w:color="auto" w:fill="auto"/>
            <w:vAlign w:val="center"/>
            <w:hideMark/>
          </w:tcPr>
          <w:p w14:paraId="3FB4E9C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9,592,194</w:t>
            </w:r>
          </w:p>
        </w:tc>
        <w:tc>
          <w:tcPr>
            <w:tcW w:w="518" w:type="pct"/>
            <w:tcBorders>
              <w:top w:val="nil"/>
              <w:left w:val="nil"/>
              <w:bottom w:val="nil"/>
              <w:right w:val="single" w:sz="8" w:space="0" w:color="auto"/>
            </w:tcBorders>
            <w:shd w:val="clear" w:color="auto" w:fill="auto"/>
            <w:vAlign w:val="center"/>
            <w:hideMark/>
          </w:tcPr>
          <w:p w14:paraId="1A79CC2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52,917</w:t>
            </w:r>
          </w:p>
        </w:tc>
        <w:tc>
          <w:tcPr>
            <w:tcW w:w="522" w:type="pct"/>
            <w:tcBorders>
              <w:top w:val="nil"/>
              <w:left w:val="nil"/>
              <w:bottom w:val="nil"/>
              <w:right w:val="nil"/>
            </w:tcBorders>
            <w:shd w:val="clear" w:color="auto" w:fill="auto"/>
            <w:vAlign w:val="center"/>
            <w:hideMark/>
          </w:tcPr>
          <w:p w14:paraId="4D9A510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9,177,644</w:t>
            </w:r>
          </w:p>
        </w:tc>
        <w:tc>
          <w:tcPr>
            <w:tcW w:w="569" w:type="pct"/>
            <w:tcBorders>
              <w:top w:val="nil"/>
              <w:left w:val="single" w:sz="8" w:space="0" w:color="auto"/>
              <w:bottom w:val="nil"/>
              <w:right w:val="single" w:sz="8" w:space="0" w:color="auto"/>
            </w:tcBorders>
            <w:shd w:val="clear" w:color="auto" w:fill="auto"/>
            <w:vAlign w:val="center"/>
            <w:hideMark/>
          </w:tcPr>
          <w:p w14:paraId="3424723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16,494,192</w:t>
            </w:r>
          </w:p>
        </w:tc>
        <w:tc>
          <w:tcPr>
            <w:tcW w:w="515" w:type="pct"/>
            <w:tcBorders>
              <w:top w:val="nil"/>
              <w:left w:val="nil"/>
              <w:bottom w:val="nil"/>
              <w:right w:val="nil"/>
            </w:tcBorders>
            <w:shd w:val="clear" w:color="auto" w:fill="auto"/>
            <w:vAlign w:val="center"/>
            <w:hideMark/>
          </w:tcPr>
          <w:p w14:paraId="753E393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73,865</w:t>
            </w:r>
          </w:p>
        </w:tc>
        <w:tc>
          <w:tcPr>
            <w:tcW w:w="577" w:type="pct"/>
            <w:tcBorders>
              <w:top w:val="nil"/>
              <w:left w:val="single" w:sz="8" w:space="0" w:color="auto"/>
              <w:bottom w:val="nil"/>
              <w:right w:val="single" w:sz="8" w:space="0" w:color="auto"/>
            </w:tcBorders>
            <w:shd w:val="clear" w:color="auto" w:fill="auto"/>
            <w:vAlign w:val="center"/>
            <w:hideMark/>
          </w:tcPr>
          <w:p w14:paraId="6F25C44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68,891,681</w:t>
            </w:r>
          </w:p>
        </w:tc>
      </w:tr>
      <w:tr w:rsidR="00D33F7C" w:rsidRPr="00037B23" w14:paraId="7D418BBC"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520F202A"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Euronext</w:t>
            </w:r>
          </w:p>
        </w:tc>
        <w:tc>
          <w:tcPr>
            <w:tcW w:w="569" w:type="pct"/>
            <w:tcBorders>
              <w:top w:val="nil"/>
              <w:left w:val="nil"/>
              <w:bottom w:val="nil"/>
              <w:right w:val="single" w:sz="8" w:space="0" w:color="auto"/>
            </w:tcBorders>
            <w:shd w:val="clear" w:color="auto" w:fill="auto"/>
            <w:vAlign w:val="center"/>
            <w:hideMark/>
          </w:tcPr>
          <w:p w14:paraId="2951DE5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3,099,957</w:t>
            </w:r>
          </w:p>
        </w:tc>
        <w:tc>
          <w:tcPr>
            <w:tcW w:w="518" w:type="pct"/>
            <w:tcBorders>
              <w:top w:val="nil"/>
              <w:left w:val="nil"/>
              <w:bottom w:val="nil"/>
              <w:right w:val="single" w:sz="8" w:space="0" w:color="auto"/>
            </w:tcBorders>
            <w:shd w:val="clear" w:color="auto" w:fill="auto"/>
            <w:vAlign w:val="center"/>
            <w:hideMark/>
          </w:tcPr>
          <w:p w14:paraId="44CBD62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14,740</w:t>
            </w:r>
          </w:p>
        </w:tc>
        <w:tc>
          <w:tcPr>
            <w:tcW w:w="522" w:type="pct"/>
            <w:tcBorders>
              <w:top w:val="nil"/>
              <w:left w:val="nil"/>
              <w:bottom w:val="nil"/>
              <w:right w:val="nil"/>
            </w:tcBorders>
            <w:shd w:val="clear" w:color="auto" w:fill="auto"/>
            <w:vAlign w:val="center"/>
            <w:hideMark/>
          </w:tcPr>
          <w:p w14:paraId="5AE427A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2,516,372</w:t>
            </w:r>
          </w:p>
        </w:tc>
        <w:tc>
          <w:tcPr>
            <w:tcW w:w="569" w:type="pct"/>
            <w:tcBorders>
              <w:top w:val="nil"/>
              <w:left w:val="single" w:sz="8" w:space="0" w:color="auto"/>
              <w:bottom w:val="nil"/>
              <w:right w:val="single" w:sz="8" w:space="0" w:color="auto"/>
            </w:tcBorders>
            <w:shd w:val="clear" w:color="auto" w:fill="auto"/>
            <w:vAlign w:val="center"/>
            <w:hideMark/>
          </w:tcPr>
          <w:p w14:paraId="7DD2316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7,183,781</w:t>
            </w:r>
          </w:p>
        </w:tc>
        <w:tc>
          <w:tcPr>
            <w:tcW w:w="515" w:type="pct"/>
            <w:tcBorders>
              <w:top w:val="nil"/>
              <w:left w:val="nil"/>
              <w:bottom w:val="nil"/>
              <w:right w:val="nil"/>
            </w:tcBorders>
            <w:shd w:val="clear" w:color="auto" w:fill="auto"/>
            <w:vAlign w:val="center"/>
            <w:hideMark/>
          </w:tcPr>
          <w:p w14:paraId="03BECA7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32,636</w:t>
            </w:r>
          </w:p>
        </w:tc>
        <w:tc>
          <w:tcPr>
            <w:tcW w:w="577" w:type="pct"/>
            <w:tcBorders>
              <w:top w:val="nil"/>
              <w:left w:val="single" w:sz="8" w:space="0" w:color="auto"/>
              <w:bottom w:val="nil"/>
              <w:right w:val="single" w:sz="8" w:space="0" w:color="auto"/>
            </w:tcBorders>
            <w:shd w:val="clear" w:color="auto" w:fill="auto"/>
            <w:vAlign w:val="center"/>
            <w:hideMark/>
          </w:tcPr>
          <w:p w14:paraId="4969DC9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21,906,737</w:t>
            </w:r>
          </w:p>
        </w:tc>
      </w:tr>
      <w:tr w:rsidR="00D33F7C" w:rsidRPr="00037B23" w14:paraId="7DAF4E08"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569AB28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Moscow Exchange</w:t>
            </w:r>
          </w:p>
        </w:tc>
        <w:tc>
          <w:tcPr>
            <w:tcW w:w="569" w:type="pct"/>
            <w:tcBorders>
              <w:top w:val="nil"/>
              <w:left w:val="nil"/>
              <w:bottom w:val="nil"/>
              <w:right w:val="single" w:sz="8" w:space="0" w:color="auto"/>
            </w:tcBorders>
            <w:shd w:val="clear" w:color="auto" w:fill="auto"/>
            <w:vAlign w:val="center"/>
            <w:hideMark/>
          </w:tcPr>
          <w:p w14:paraId="07C0531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19,103,377</w:t>
            </w:r>
          </w:p>
        </w:tc>
        <w:tc>
          <w:tcPr>
            <w:tcW w:w="518" w:type="pct"/>
            <w:tcBorders>
              <w:top w:val="nil"/>
              <w:left w:val="nil"/>
              <w:bottom w:val="nil"/>
              <w:right w:val="single" w:sz="8" w:space="0" w:color="auto"/>
            </w:tcBorders>
            <w:shd w:val="clear" w:color="auto" w:fill="auto"/>
            <w:vAlign w:val="center"/>
            <w:hideMark/>
          </w:tcPr>
          <w:p w14:paraId="784075F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5,324</w:t>
            </w:r>
          </w:p>
        </w:tc>
        <w:tc>
          <w:tcPr>
            <w:tcW w:w="522" w:type="pct"/>
            <w:tcBorders>
              <w:top w:val="nil"/>
              <w:left w:val="nil"/>
              <w:bottom w:val="nil"/>
              <w:right w:val="nil"/>
            </w:tcBorders>
            <w:shd w:val="clear" w:color="auto" w:fill="auto"/>
            <w:vAlign w:val="center"/>
            <w:hideMark/>
          </w:tcPr>
          <w:p w14:paraId="5BFA720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2,640,626</w:t>
            </w:r>
          </w:p>
        </w:tc>
        <w:tc>
          <w:tcPr>
            <w:tcW w:w="569" w:type="pct"/>
            <w:tcBorders>
              <w:top w:val="nil"/>
              <w:left w:val="single" w:sz="8" w:space="0" w:color="auto"/>
              <w:bottom w:val="nil"/>
              <w:right w:val="single" w:sz="8" w:space="0" w:color="auto"/>
            </w:tcBorders>
            <w:shd w:val="clear" w:color="auto" w:fill="auto"/>
            <w:vAlign w:val="center"/>
            <w:hideMark/>
          </w:tcPr>
          <w:p w14:paraId="31F6372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183,962</w:t>
            </w:r>
          </w:p>
        </w:tc>
        <w:tc>
          <w:tcPr>
            <w:tcW w:w="515" w:type="pct"/>
            <w:tcBorders>
              <w:top w:val="nil"/>
              <w:left w:val="nil"/>
              <w:bottom w:val="nil"/>
              <w:right w:val="nil"/>
            </w:tcBorders>
            <w:shd w:val="clear" w:color="auto" w:fill="auto"/>
            <w:vAlign w:val="center"/>
            <w:hideMark/>
          </w:tcPr>
          <w:p w14:paraId="4DAF02F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60</w:t>
            </w:r>
          </w:p>
        </w:tc>
        <w:tc>
          <w:tcPr>
            <w:tcW w:w="577" w:type="pct"/>
            <w:tcBorders>
              <w:top w:val="nil"/>
              <w:left w:val="single" w:sz="8" w:space="0" w:color="auto"/>
              <w:bottom w:val="nil"/>
              <w:right w:val="single" w:sz="8" w:space="0" w:color="auto"/>
            </w:tcBorders>
            <w:shd w:val="clear" w:color="auto" w:fill="auto"/>
            <w:vAlign w:val="center"/>
            <w:hideMark/>
          </w:tcPr>
          <w:p w14:paraId="4E11031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602,000</w:t>
            </w:r>
          </w:p>
        </w:tc>
      </w:tr>
      <w:tr w:rsidR="00D33F7C" w:rsidRPr="00037B23" w14:paraId="4CD5B0DB"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4951853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Nasdaq Nordic and Baltics</w:t>
            </w:r>
          </w:p>
        </w:tc>
        <w:tc>
          <w:tcPr>
            <w:tcW w:w="569" w:type="pct"/>
            <w:tcBorders>
              <w:top w:val="nil"/>
              <w:left w:val="nil"/>
              <w:bottom w:val="nil"/>
              <w:right w:val="single" w:sz="8" w:space="0" w:color="auto"/>
            </w:tcBorders>
            <w:shd w:val="clear" w:color="auto" w:fill="auto"/>
            <w:vAlign w:val="center"/>
            <w:hideMark/>
          </w:tcPr>
          <w:p w14:paraId="57704FA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22,117</w:t>
            </w:r>
          </w:p>
        </w:tc>
        <w:tc>
          <w:tcPr>
            <w:tcW w:w="518" w:type="pct"/>
            <w:tcBorders>
              <w:top w:val="nil"/>
              <w:left w:val="nil"/>
              <w:bottom w:val="nil"/>
              <w:right w:val="single" w:sz="8" w:space="0" w:color="auto"/>
            </w:tcBorders>
            <w:shd w:val="clear" w:color="auto" w:fill="auto"/>
            <w:vAlign w:val="center"/>
            <w:hideMark/>
          </w:tcPr>
          <w:p w14:paraId="0AAC3D6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24</w:t>
            </w:r>
          </w:p>
        </w:tc>
        <w:tc>
          <w:tcPr>
            <w:tcW w:w="522" w:type="pct"/>
            <w:tcBorders>
              <w:top w:val="nil"/>
              <w:left w:val="nil"/>
              <w:bottom w:val="nil"/>
              <w:right w:val="nil"/>
            </w:tcBorders>
            <w:shd w:val="clear" w:color="auto" w:fill="auto"/>
            <w:vAlign w:val="center"/>
            <w:hideMark/>
          </w:tcPr>
          <w:p w14:paraId="0CBCE87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143,539</w:t>
            </w:r>
          </w:p>
        </w:tc>
        <w:tc>
          <w:tcPr>
            <w:tcW w:w="569" w:type="pct"/>
            <w:tcBorders>
              <w:top w:val="nil"/>
              <w:left w:val="single" w:sz="8" w:space="0" w:color="auto"/>
              <w:bottom w:val="nil"/>
              <w:right w:val="single" w:sz="8" w:space="0" w:color="auto"/>
            </w:tcBorders>
            <w:shd w:val="clear" w:color="auto" w:fill="auto"/>
            <w:vAlign w:val="center"/>
            <w:hideMark/>
          </w:tcPr>
          <w:p w14:paraId="4630139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1,235,784</w:t>
            </w:r>
          </w:p>
        </w:tc>
        <w:tc>
          <w:tcPr>
            <w:tcW w:w="515" w:type="pct"/>
            <w:tcBorders>
              <w:top w:val="nil"/>
              <w:left w:val="nil"/>
              <w:bottom w:val="nil"/>
              <w:right w:val="nil"/>
            </w:tcBorders>
            <w:shd w:val="clear" w:color="auto" w:fill="auto"/>
            <w:vAlign w:val="center"/>
            <w:hideMark/>
          </w:tcPr>
          <w:p w14:paraId="3D6BB42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2,951</w:t>
            </w:r>
          </w:p>
        </w:tc>
        <w:tc>
          <w:tcPr>
            <w:tcW w:w="577" w:type="pct"/>
            <w:tcBorders>
              <w:top w:val="nil"/>
              <w:left w:val="single" w:sz="8" w:space="0" w:color="auto"/>
              <w:bottom w:val="nil"/>
              <w:right w:val="single" w:sz="8" w:space="0" w:color="auto"/>
            </w:tcBorders>
            <w:shd w:val="clear" w:color="auto" w:fill="auto"/>
            <w:vAlign w:val="center"/>
            <w:hideMark/>
          </w:tcPr>
          <w:p w14:paraId="67EB66D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4,645,640</w:t>
            </w:r>
          </w:p>
        </w:tc>
      </w:tr>
      <w:tr w:rsidR="00D33F7C" w:rsidRPr="00037B23" w14:paraId="0D4668D4"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3CEE9E78"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Tehran Stock Exchange</w:t>
            </w:r>
          </w:p>
        </w:tc>
        <w:tc>
          <w:tcPr>
            <w:tcW w:w="569" w:type="pct"/>
            <w:tcBorders>
              <w:top w:val="nil"/>
              <w:left w:val="nil"/>
              <w:bottom w:val="nil"/>
              <w:right w:val="single" w:sz="8" w:space="0" w:color="auto"/>
            </w:tcBorders>
            <w:shd w:val="clear" w:color="auto" w:fill="auto"/>
            <w:vAlign w:val="center"/>
            <w:hideMark/>
          </w:tcPr>
          <w:p w14:paraId="2942446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8" w:type="pct"/>
            <w:tcBorders>
              <w:top w:val="nil"/>
              <w:left w:val="nil"/>
              <w:bottom w:val="nil"/>
              <w:right w:val="single" w:sz="8" w:space="0" w:color="auto"/>
            </w:tcBorders>
            <w:shd w:val="clear" w:color="auto" w:fill="auto"/>
            <w:vAlign w:val="center"/>
            <w:hideMark/>
          </w:tcPr>
          <w:p w14:paraId="6E47D37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5488CCE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69" w:type="pct"/>
            <w:tcBorders>
              <w:top w:val="nil"/>
              <w:left w:val="single" w:sz="8" w:space="0" w:color="auto"/>
              <w:bottom w:val="nil"/>
              <w:right w:val="single" w:sz="8" w:space="0" w:color="auto"/>
            </w:tcBorders>
            <w:shd w:val="clear" w:color="auto" w:fill="auto"/>
            <w:vAlign w:val="center"/>
            <w:hideMark/>
          </w:tcPr>
          <w:p w14:paraId="1F29B52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3,511,752</w:t>
            </w:r>
          </w:p>
        </w:tc>
        <w:tc>
          <w:tcPr>
            <w:tcW w:w="515" w:type="pct"/>
            <w:tcBorders>
              <w:top w:val="nil"/>
              <w:left w:val="nil"/>
              <w:bottom w:val="nil"/>
              <w:right w:val="nil"/>
            </w:tcBorders>
            <w:shd w:val="clear" w:color="auto" w:fill="auto"/>
            <w:vAlign w:val="center"/>
            <w:hideMark/>
          </w:tcPr>
          <w:p w14:paraId="1E18517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239</w:t>
            </w:r>
          </w:p>
        </w:tc>
        <w:tc>
          <w:tcPr>
            <w:tcW w:w="577" w:type="pct"/>
            <w:tcBorders>
              <w:top w:val="nil"/>
              <w:left w:val="single" w:sz="8" w:space="0" w:color="auto"/>
              <w:bottom w:val="nil"/>
              <w:right w:val="single" w:sz="8" w:space="0" w:color="auto"/>
            </w:tcBorders>
            <w:shd w:val="clear" w:color="auto" w:fill="auto"/>
            <w:vAlign w:val="center"/>
            <w:hideMark/>
          </w:tcPr>
          <w:p w14:paraId="25FA456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3E6609C8"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613034A7"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Tel-Aviv Stock Exchange</w:t>
            </w:r>
          </w:p>
        </w:tc>
        <w:tc>
          <w:tcPr>
            <w:tcW w:w="569" w:type="pct"/>
            <w:tcBorders>
              <w:top w:val="nil"/>
              <w:left w:val="nil"/>
              <w:bottom w:val="nil"/>
              <w:right w:val="single" w:sz="8" w:space="0" w:color="auto"/>
            </w:tcBorders>
            <w:shd w:val="clear" w:color="auto" w:fill="auto"/>
            <w:vAlign w:val="center"/>
            <w:hideMark/>
          </w:tcPr>
          <w:p w14:paraId="1160C7E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8" w:type="pct"/>
            <w:tcBorders>
              <w:top w:val="nil"/>
              <w:left w:val="nil"/>
              <w:bottom w:val="nil"/>
              <w:right w:val="single" w:sz="8" w:space="0" w:color="auto"/>
            </w:tcBorders>
            <w:shd w:val="clear" w:color="auto" w:fill="auto"/>
            <w:vAlign w:val="center"/>
            <w:hideMark/>
          </w:tcPr>
          <w:p w14:paraId="48E0DB1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22" w:type="pct"/>
            <w:tcBorders>
              <w:top w:val="nil"/>
              <w:left w:val="nil"/>
              <w:bottom w:val="nil"/>
              <w:right w:val="nil"/>
            </w:tcBorders>
            <w:shd w:val="clear" w:color="auto" w:fill="auto"/>
            <w:vAlign w:val="center"/>
            <w:hideMark/>
          </w:tcPr>
          <w:p w14:paraId="75416E0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69" w:type="pct"/>
            <w:tcBorders>
              <w:top w:val="nil"/>
              <w:left w:val="single" w:sz="8" w:space="0" w:color="auto"/>
              <w:bottom w:val="nil"/>
              <w:right w:val="single" w:sz="8" w:space="0" w:color="auto"/>
            </w:tcBorders>
            <w:shd w:val="clear" w:color="auto" w:fill="auto"/>
            <w:vAlign w:val="center"/>
            <w:hideMark/>
          </w:tcPr>
          <w:p w14:paraId="6A26BB4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127,390</w:t>
            </w:r>
          </w:p>
        </w:tc>
        <w:tc>
          <w:tcPr>
            <w:tcW w:w="515" w:type="pct"/>
            <w:tcBorders>
              <w:top w:val="nil"/>
              <w:left w:val="nil"/>
              <w:bottom w:val="nil"/>
              <w:right w:val="nil"/>
            </w:tcBorders>
            <w:shd w:val="clear" w:color="auto" w:fill="auto"/>
            <w:vAlign w:val="center"/>
            <w:hideMark/>
          </w:tcPr>
          <w:p w14:paraId="6AEAE68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77" w:type="pct"/>
            <w:tcBorders>
              <w:top w:val="nil"/>
              <w:left w:val="single" w:sz="8" w:space="0" w:color="auto"/>
              <w:bottom w:val="nil"/>
              <w:right w:val="single" w:sz="8" w:space="0" w:color="auto"/>
            </w:tcBorders>
            <w:shd w:val="clear" w:color="auto" w:fill="auto"/>
            <w:vAlign w:val="center"/>
            <w:hideMark/>
          </w:tcPr>
          <w:p w14:paraId="5099FC0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100,314</w:t>
            </w:r>
          </w:p>
        </w:tc>
      </w:tr>
      <w:tr w:rsidR="00D33F7C" w:rsidRPr="00037B23" w14:paraId="2CDE8932" w14:textId="77777777" w:rsidTr="00E213CE">
        <w:trPr>
          <w:trHeight w:val="225"/>
        </w:trPr>
        <w:tc>
          <w:tcPr>
            <w:tcW w:w="1729" w:type="pct"/>
            <w:tcBorders>
              <w:top w:val="nil"/>
              <w:left w:val="single" w:sz="8" w:space="0" w:color="auto"/>
              <w:bottom w:val="nil"/>
              <w:right w:val="single" w:sz="8" w:space="0" w:color="auto"/>
            </w:tcBorders>
            <w:shd w:val="clear" w:color="000000" w:fill="B4C6E7"/>
            <w:vAlign w:val="center"/>
            <w:hideMark/>
          </w:tcPr>
          <w:p w14:paraId="6B921FC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Warsaw Stock Exchange</w:t>
            </w:r>
          </w:p>
        </w:tc>
        <w:tc>
          <w:tcPr>
            <w:tcW w:w="569" w:type="pct"/>
            <w:tcBorders>
              <w:top w:val="nil"/>
              <w:left w:val="nil"/>
              <w:bottom w:val="nil"/>
              <w:right w:val="single" w:sz="8" w:space="0" w:color="auto"/>
            </w:tcBorders>
            <w:shd w:val="clear" w:color="auto" w:fill="auto"/>
            <w:vAlign w:val="center"/>
            <w:hideMark/>
          </w:tcPr>
          <w:p w14:paraId="5FDB467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185,050</w:t>
            </w:r>
          </w:p>
        </w:tc>
        <w:tc>
          <w:tcPr>
            <w:tcW w:w="518" w:type="pct"/>
            <w:tcBorders>
              <w:top w:val="nil"/>
              <w:left w:val="nil"/>
              <w:bottom w:val="nil"/>
              <w:right w:val="single" w:sz="8" w:space="0" w:color="auto"/>
            </w:tcBorders>
            <w:shd w:val="clear" w:color="auto" w:fill="auto"/>
            <w:vAlign w:val="center"/>
            <w:hideMark/>
          </w:tcPr>
          <w:p w14:paraId="7A2AAC8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426</w:t>
            </w:r>
          </w:p>
        </w:tc>
        <w:tc>
          <w:tcPr>
            <w:tcW w:w="522" w:type="pct"/>
            <w:tcBorders>
              <w:top w:val="nil"/>
              <w:left w:val="nil"/>
              <w:bottom w:val="nil"/>
              <w:right w:val="nil"/>
            </w:tcBorders>
            <w:shd w:val="clear" w:color="auto" w:fill="auto"/>
            <w:vAlign w:val="center"/>
            <w:hideMark/>
          </w:tcPr>
          <w:p w14:paraId="52298F7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54,279</w:t>
            </w:r>
          </w:p>
        </w:tc>
        <w:tc>
          <w:tcPr>
            <w:tcW w:w="569" w:type="pct"/>
            <w:tcBorders>
              <w:top w:val="nil"/>
              <w:left w:val="single" w:sz="8" w:space="0" w:color="auto"/>
              <w:bottom w:val="nil"/>
              <w:right w:val="single" w:sz="8" w:space="0" w:color="auto"/>
            </w:tcBorders>
            <w:shd w:val="clear" w:color="auto" w:fill="auto"/>
            <w:vAlign w:val="center"/>
            <w:hideMark/>
          </w:tcPr>
          <w:p w14:paraId="1F71623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15" w:type="pct"/>
            <w:tcBorders>
              <w:top w:val="nil"/>
              <w:left w:val="nil"/>
              <w:bottom w:val="nil"/>
              <w:right w:val="nil"/>
            </w:tcBorders>
            <w:shd w:val="clear" w:color="auto" w:fill="auto"/>
            <w:vAlign w:val="center"/>
            <w:hideMark/>
          </w:tcPr>
          <w:p w14:paraId="5BD24C6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577" w:type="pct"/>
            <w:tcBorders>
              <w:top w:val="nil"/>
              <w:left w:val="single" w:sz="8" w:space="0" w:color="auto"/>
              <w:bottom w:val="nil"/>
              <w:right w:val="single" w:sz="8" w:space="0" w:color="auto"/>
            </w:tcBorders>
            <w:shd w:val="clear" w:color="auto" w:fill="auto"/>
            <w:vAlign w:val="center"/>
            <w:hideMark/>
          </w:tcPr>
          <w:p w14:paraId="2DC9AC2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424EF9DC" w14:textId="77777777" w:rsidTr="00E213CE">
        <w:trPr>
          <w:trHeight w:val="236"/>
        </w:trPr>
        <w:tc>
          <w:tcPr>
            <w:tcW w:w="1729" w:type="pct"/>
            <w:tcBorders>
              <w:top w:val="nil"/>
              <w:left w:val="single" w:sz="8" w:space="0" w:color="auto"/>
              <w:bottom w:val="nil"/>
              <w:right w:val="single" w:sz="8" w:space="0" w:color="auto"/>
            </w:tcBorders>
            <w:shd w:val="clear" w:color="000000" w:fill="B4C6E7"/>
            <w:vAlign w:val="center"/>
            <w:hideMark/>
          </w:tcPr>
          <w:p w14:paraId="70421702"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Dubai Gold and Commodities Exchange</w:t>
            </w:r>
          </w:p>
        </w:tc>
        <w:tc>
          <w:tcPr>
            <w:tcW w:w="569" w:type="pct"/>
            <w:tcBorders>
              <w:top w:val="nil"/>
              <w:left w:val="nil"/>
              <w:bottom w:val="nil"/>
              <w:right w:val="single" w:sz="8" w:space="0" w:color="auto"/>
            </w:tcBorders>
            <w:shd w:val="clear" w:color="auto" w:fill="auto"/>
            <w:vAlign w:val="center"/>
            <w:hideMark/>
          </w:tcPr>
          <w:p w14:paraId="32798B6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1,169</w:t>
            </w:r>
          </w:p>
        </w:tc>
        <w:tc>
          <w:tcPr>
            <w:tcW w:w="518" w:type="pct"/>
            <w:tcBorders>
              <w:top w:val="nil"/>
              <w:left w:val="nil"/>
              <w:bottom w:val="nil"/>
              <w:right w:val="single" w:sz="8" w:space="0" w:color="auto"/>
            </w:tcBorders>
            <w:shd w:val="clear" w:color="auto" w:fill="auto"/>
            <w:vAlign w:val="center"/>
            <w:hideMark/>
          </w:tcPr>
          <w:p w14:paraId="7BE4F88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w:t>
            </w:r>
          </w:p>
        </w:tc>
        <w:tc>
          <w:tcPr>
            <w:tcW w:w="522" w:type="pct"/>
            <w:tcBorders>
              <w:top w:val="nil"/>
              <w:left w:val="nil"/>
              <w:bottom w:val="nil"/>
              <w:right w:val="nil"/>
            </w:tcBorders>
            <w:shd w:val="clear" w:color="auto" w:fill="auto"/>
            <w:vAlign w:val="center"/>
            <w:hideMark/>
          </w:tcPr>
          <w:p w14:paraId="1A20442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182</w:t>
            </w:r>
          </w:p>
        </w:tc>
        <w:tc>
          <w:tcPr>
            <w:tcW w:w="569" w:type="pct"/>
            <w:tcBorders>
              <w:top w:val="nil"/>
              <w:left w:val="single" w:sz="8" w:space="0" w:color="auto"/>
              <w:bottom w:val="nil"/>
              <w:right w:val="single" w:sz="8" w:space="0" w:color="auto"/>
            </w:tcBorders>
            <w:shd w:val="clear" w:color="auto" w:fill="auto"/>
            <w:vAlign w:val="center"/>
            <w:hideMark/>
          </w:tcPr>
          <w:p w14:paraId="62E2E9E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15" w:type="pct"/>
            <w:tcBorders>
              <w:top w:val="nil"/>
              <w:left w:val="nil"/>
              <w:bottom w:val="nil"/>
              <w:right w:val="nil"/>
            </w:tcBorders>
            <w:shd w:val="clear" w:color="auto" w:fill="auto"/>
            <w:vAlign w:val="center"/>
            <w:hideMark/>
          </w:tcPr>
          <w:p w14:paraId="3635029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577" w:type="pct"/>
            <w:tcBorders>
              <w:top w:val="nil"/>
              <w:left w:val="single" w:sz="8" w:space="0" w:color="auto"/>
              <w:bottom w:val="nil"/>
              <w:right w:val="single" w:sz="8" w:space="0" w:color="auto"/>
            </w:tcBorders>
            <w:shd w:val="clear" w:color="auto" w:fill="auto"/>
            <w:vAlign w:val="center"/>
            <w:hideMark/>
          </w:tcPr>
          <w:p w14:paraId="2AB0238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0C157835" w14:textId="77777777" w:rsidTr="00E213CE">
        <w:trPr>
          <w:trHeight w:val="236"/>
        </w:trPr>
        <w:tc>
          <w:tcPr>
            <w:tcW w:w="1729" w:type="pct"/>
            <w:tcBorders>
              <w:top w:val="single" w:sz="8" w:space="0" w:color="auto"/>
              <w:left w:val="single" w:sz="8" w:space="0" w:color="auto"/>
              <w:bottom w:val="single" w:sz="8" w:space="0" w:color="auto"/>
              <w:right w:val="nil"/>
            </w:tcBorders>
            <w:shd w:val="clear" w:color="000000" w:fill="D9E1F2"/>
            <w:vAlign w:val="center"/>
            <w:hideMark/>
          </w:tcPr>
          <w:p w14:paraId="6AD43946" w14:textId="77777777" w:rsidR="00D33F7C" w:rsidRPr="00037B23" w:rsidRDefault="00D33F7C" w:rsidP="00E213CE">
            <w:pP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Grand Total</w:t>
            </w:r>
          </w:p>
        </w:tc>
        <w:tc>
          <w:tcPr>
            <w:tcW w:w="569" w:type="pct"/>
            <w:tcBorders>
              <w:top w:val="single" w:sz="8" w:space="0" w:color="auto"/>
              <w:left w:val="nil"/>
              <w:bottom w:val="single" w:sz="8" w:space="0" w:color="auto"/>
              <w:right w:val="nil"/>
            </w:tcBorders>
            <w:shd w:val="clear" w:color="000000" w:fill="D9E1F2"/>
            <w:vAlign w:val="bottom"/>
            <w:hideMark/>
          </w:tcPr>
          <w:p w14:paraId="6AA60FCA"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315,472,233</w:t>
            </w:r>
          </w:p>
        </w:tc>
        <w:tc>
          <w:tcPr>
            <w:tcW w:w="518" w:type="pct"/>
            <w:tcBorders>
              <w:top w:val="single" w:sz="8" w:space="0" w:color="auto"/>
              <w:left w:val="nil"/>
              <w:bottom w:val="single" w:sz="8" w:space="0" w:color="auto"/>
              <w:right w:val="nil"/>
            </w:tcBorders>
            <w:shd w:val="clear" w:color="000000" w:fill="D9E1F2"/>
            <w:vAlign w:val="bottom"/>
            <w:hideMark/>
          </w:tcPr>
          <w:p w14:paraId="7FB89ECE"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465,672</w:t>
            </w:r>
          </w:p>
        </w:tc>
        <w:tc>
          <w:tcPr>
            <w:tcW w:w="522" w:type="pct"/>
            <w:tcBorders>
              <w:top w:val="single" w:sz="8" w:space="0" w:color="auto"/>
              <w:left w:val="nil"/>
              <w:bottom w:val="single" w:sz="8" w:space="0" w:color="auto"/>
              <w:right w:val="nil"/>
            </w:tcBorders>
            <w:shd w:val="clear" w:color="000000" w:fill="D9E1F2"/>
            <w:vAlign w:val="bottom"/>
            <w:hideMark/>
          </w:tcPr>
          <w:p w14:paraId="68B150A6"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73,112,983</w:t>
            </w:r>
          </w:p>
        </w:tc>
        <w:tc>
          <w:tcPr>
            <w:tcW w:w="569" w:type="pct"/>
            <w:tcBorders>
              <w:top w:val="single" w:sz="8" w:space="0" w:color="auto"/>
              <w:left w:val="nil"/>
              <w:bottom w:val="single" w:sz="8" w:space="0" w:color="auto"/>
              <w:right w:val="nil"/>
            </w:tcBorders>
            <w:shd w:val="clear" w:color="000000" w:fill="D9E1F2"/>
            <w:vAlign w:val="bottom"/>
            <w:hideMark/>
          </w:tcPr>
          <w:p w14:paraId="756FEE68"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613,780,054</w:t>
            </w:r>
          </w:p>
        </w:tc>
        <w:tc>
          <w:tcPr>
            <w:tcW w:w="515" w:type="pct"/>
            <w:tcBorders>
              <w:top w:val="single" w:sz="8" w:space="0" w:color="auto"/>
              <w:left w:val="nil"/>
              <w:bottom w:val="single" w:sz="8" w:space="0" w:color="auto"/>
              <w:right w:val="nil"/>
            </w:tcBorders>
            <w:shd w:val="clear" w:color="000000" w:fill="D9E1F2"/>
            <w:vAlign w:val="bottom"/>
            <w:hideMark/>
          </w:tcPr>
          <w:p w14:paraId="621A0085"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2,181,414</w:t>
            </w:r>
          </w:p>
        </w:tc>
        <w:tc>
          <w:tcPr>
            <w:tcW w:w="577" w:type="pct"/>
            <w:tcBorders>
              <w:top w:val="single" w:sz="8" w:space="0" w:color="auto"/>
              <w:left w:val="nil"/>
              <w:bottom w:val="single" w:sz="8" w:space="0" w:color="auto"/>
              <w:right w:val="single" w:sz="8" w:space="0" w:color="auto"/>
            </w:tcBorders>
            <w:shd w:val="clear" w:color="000000" w:fill="D9E1F2"/>
            <w:vAlign w:val="bottom"/>
            <w:hideMark/>
          </w:tcPr>
          <w:p w14:paraId="1A92C828"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452,460,304</w:t>
            </w:r>
          </w:p>
        </w:tc>
      </w:tr>
    </w:tbl>
    <w:p w14:paraId="2EB13C48" w14:textId="77777777" w:rsidR="00D33F7C" w:rsidRPr="00E25198" w:rsidRDefault="00D33F7C" w:rsidP="00D33F7C">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p>
    <w:p w14:paraId="60626461" w14:textId="77777777" w:rsidR="00D33F7C" w:rsidRPr="00E25198" w:rsidRDefault="00D33F7C" w:rsidP="00D33F7C">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E25198">
        <w:rPr>
          <w:rFonts w:ascii="Garamond" w:hAnsi="Garamond"/>
          <w:bCs/>
          <w:sz w:val="18"/>
          <w:szCs w:val="18"/>
        </w:rPr>
        <w:t>Source: World Federation of Exchanges</w:t>
      </w:r>
    </w:p>
    <w:p w14:paraId="39B1CF5B" w14:textId="77777777" w:rsidR="00D33F7C" w:rsidRPr="00E25198" w:rsidRDefault="00D33F7C" w:rsidP="00D33F7C">
      <w:pPr>
        <w:rPr>
          <w:rFonts w:ascii="Garamond" w:eastAsia="Times New Roman" w:hAnsi="Garamond"/>
          <w:bCs/>
          <w:sz w:val="22"/>
          <w:szCs w:val="22"/>
          <w:lang w:val="en-US"/>
        </w:rPr>
      </w:pPr>
    </w:p>
    <w:p w14:paraId="756CA208" w14:textId="77777777" w:rsidR="00D33F7C" w:rsidRPr="00E25198" w:rsidRDefault="00D33F7C" w:rsidP="00D33F7C">
      <w:pPr>
        <w:rPr>
          <w:rFonts w:ascii="Garamond" w:eastAsia="Times New Roman" w:hAnsi="Garamond"/>
          <w:bCs/>
          <w:sz w:val="22"/>
          <w:szCs w:val="22"/>
          <w:lang w:val="en-US"/>
        </w:rPr>
      </w:pPr>
      <w:r w:rsidRPr="00E25198">
        <w:rPr>
          <w:rFonts w:ascii="Garamond" w:eastAsia="Times New Roman" w:hAnsi="Garamond"/>
          <w:bCs/>
          <w:sz w:val="22"/>
          <w:szCs w:val="22"/>
          <w:lang w:val="en-US"/>
        </w:rPr>
        <w:br w:type="page"/>
      </w:r>
    </w:p>
    <w:p w14:paraId="63911426" w14:textId="77777777" w:rsidR="00D33F7C" w:rsidRPr="00E25198" w:rsidRDefault="00D33F7C" w:rsidP="00D33F7C">
      <w:pPr>
        <w:spacing w:line="23" w:lineRule="atLeast"/>
        <w:rPr>
          <w:rFonts w:ascii="Garamond" w:eastAsia="Times New Roman" w:hAnsi="Garamond"/>
          <w:b/>
          <w:bCs/>
          <w:szCs w:val="22"/>
          <w:lang w:val="en-US"/>
        </w:rPr>
      </w:pPr>
      <w:r w:rsidRPr="00E25198">
        <w:rPr>
          <w:rFonts w:ascii="Garamond" w:eastAsia="Times New Roman" w:hAnsi="Garamond"/>
          <w:b/>
          <w:bCs/>
          <w:szCs w:val="22"/>
          <w:lang w:val="en-US"/>
        </w:rPr>
        <w:lastRenderedPageBreak/>
        <w:t xml:space="preserve">Table A5: Index Futures and Index Options Traded in Major Exchanges </w:t>
      </w:r>
    </w:p>
    <w:p w14:paraId="4FBEF0C3" w14:textId="77777777" w:rsidR="00D33F7C" w:rsidRPr="00E25198" w:rsidRDefault="00D33F7C" w:rsidP="00D33F7C">
      <w:pPr>
        <w:spacing w:line="23" w:lineRule="atLeast"/>
        <w:ind w:right="-177"/>
        <w:jc w:val="right"/>
        <w:rPr>
          <w:rFonts w:ascii="Garamond" w:eastAsia="Times New Roman" w:hAnsi="Garamond"/>
          <w:bCs/>
          <w:sz w:val="22"/>
          <w:szCs w:val="22"/>
          <w:lang w:val="en-US"/>
        </w:rPr>
      </w:pPr>
      <w:r w:rsidRPr="00E25198">
        <w:rPr>
          <w:rFonts w:ascii="Garamond" w:hAnsi="Garamond"/>
          <w:bCs/>
          <w:sz w:val="22"/>
          <w:szCs w:val="22"/>
        </w:rPr>
        <w:t>Notional Turnover in (USD million)</w:t>
      </w:r>
    </w:p>
    <w:tbl>
      <w:tblPr>
        <w:tblW w:w="10254" w:type="dxa"/>
        <w:tblInd w:w="113" w:type="dxa"/>
        <w:tblLook w:val="04A0" w:firstRow="1" w:lastRow="0" w:firstColumn="1" w:lastColumn="0" w:noHBand="0" w:noVBand="1"/>
      </w:tblPr>
      <w:tblGrid>
        <w:gridCol w:w="3438"/>
        <w:gridCol w:w="1164"/>
        <w:gridCol w:w="1105"/>
        <w:gridCol w:w="1106"/>
        <w:gridCol w:w="1229"/>
        <w:gridCol w:w="1105"/>
        <w:gridCol w:w="1107"/>
      </w:tblGrid>
      <w:tr w:rsidR="00D33F7C" w:rsidRPr="00037B23" w14:paraId="09E1AB86" w14:textId="77777777" w:rsidTr="00E213CE">
        <w:trPr>
          <w:trHeight w:val="248"/>
        </w:trPr>
        <w:tc>
          <w:tcPr>
            <w:tcW w:w="355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6B274573"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Exchange</w:t>
            </w:r>
          </w:p>
        </w:tc>
        <w:tc>
          <w:tcPr>
            <w:tcW w:w="6699" w:type="dxa"/>
            <w:gridSpan w:val="6"/>
            <w:tcBorders>
              <w:top w:val="single" w:sz="4" w:space="0" w:color="auto"/>
              <w:left w:val="nil"/>
              <w:bottom w:val="single" w:sz="4" w:space="0" w:color="auto"/>
              <w:right w:val="single" w:sz="4" w:space="0" w:color="auto"/>
            </w:tcBorders>
            <w:shd w:val="clear" w:color="000000" w:fill="B4C6E7"/>
            <w:vAlign w:val="center"/>
            <w:hideMark/>
          </w:tcPr>
          <w:p w14:paraId="5CA03A19"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May-21</w:t>
            </w:r>
          </w:p>
        </w:tc>
      </w:tr>
      <w:tr w:rsidR="00D33F7C" w:rsidRPr="00037B23" w14:paraId="25DC8853" w14:textId="77777777" w:rsidTr="00E213CE">
        <w:trPr>
          <w:trHeight w:val="248"/>
        </w:trPr>
        <w:tc>
          <w:tcPr>
            <w:tcW w:w="3555" w:type="dxa"/>
            <w:vMerge/>
            <w:tcBorders>
              <w:top w:val="single" w:sz="4" w:space="0" w:color="auto"/>
              <w:left w:val="single" w:sz="4" w:space="0" w:color="auto"/>
              <w:bottom w:val="single" w:sz="4" w:space="0" w:color="auto"/>
              <w:right w:val="single" w:sz="4" w:space="0" w:color="auto"/>
            </w:tcBorders>
            <w:vAlign w:val="center"/>
            <w:hideMark/>
          </w:tcPr>
          <w:p w14:paraId="317DF05F"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3326" w:type="dxa"/>
            <w:gridSpan w:val="3"/>
            <w:tcBorders>
              <w:top w:val="single" w:sz="4" w:space="0" w:color="auto"/>
              <w:left w:val="nil"/>
              <w:bottom w:val="single" w:sz="4" w:space="0" w:color="auto"/>
              <w:right w:val="single" w:sz="4" w:space="0" w:color="000000"/>
            </w:tcBorders>
            <w:shd w:val="clear" w:color="000000" w:fill="B4C6E7"/>
            <w:vAlign w:val="center"/>
            <w:hideMark/>
          </w:tcPr>
          <w:p w14:paraId="477B4B4C"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Stock Index Futures</w:t>
            </w:r>
          </w:p>
        </w:tc>
        <w:tc>
          <w:tcPr>
            <w:tcW w:w="3372"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14:paraId="600473D4"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Stock Index Options</w:t>
            </w:r>
          </w:p>
        </w:tc>
      </w:tr>
      <w:tr w:rsidR="00D33F7C" w:rsidRPr="00037B23" w14:paraId="68A78627" w14:textId="77777777" w:rsidTr="00E213CE">
        <w:trPr>
          <w:trHeight w:val="645"/>
        </w:trPr>
        <w:tc>
          <w:tcPr>
            <w:tcW w:w="3555" w:type="dxa"/>
            <w:vMerge/>
            <w:tcBorders>
              <w:top w:val="single" w:sz="4" w:space="0" w:color="auto"/>
              <w:left w:val="single" w:sz="4" w:space="0" w:color="auto"/>
              <w:bottom w:val="single" w:sz="4" w:space="0" w:color="auto"/>
              <w:right w:val="single" w:sz="4" w:space="0" w:color="auto"/>
            </w:tcBorders>
            <w:vAlign w:val="center"/>
            <w:hideMark/>
          </w:tcPr>
          <w:p w14:paraId="186698BE"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1110" w:type="dxa"/>
            <w:tcBorders>
              <w:top w:val="single" w:sz="4" w:space="0" w:color="auto"/>
              <w:left w:val="nil"/>
              <w:bottom w:val="single" w:sz="4" w:space="0" w:color="auto"/>
              <w:right w:val="single" w:sz="4" w:space="0" w:color="auto"/>
            </w:tcBorders>
            <w:shd w:val="clear" w:color="000000" w:fill="B4C6E7"/>
            <w:vAlign w:val="center"/>
            <w:hideMark/>
          </w:tcPr>
          <w:p w14:paraId="32FE7A87"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108" w:type="dxa"/>
            <w:tcBorders>
              <w:top w:val="single" w:sz="4" w:space="0" w:color="auto"/>
              <w:left w:val="nil"/>
              <w:bottom w:val="single" w:sz="4" w:space="0" w:color="auto"/>
              <w:right w:val="single" w:sz="4" w:space="0" w:color="auto"/>
            </w:tcBorders>
            <w:shd w:val="clear" w:color="000000" w:fill="B4C6E7"/>
            <w:vAlign w:val="center"/>
            <w:hideMark/>
          </w:tcPr>
          <w:p w14:paraId="67AF6E26"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08" w:type="dxa"/>
            <w:tcBorders>
              <w:top w:val="single" w:sz="4" w:space="0" w:color="auto"/>
              <w:left w:val="nil"/>
              <w:bottom w:val="single" w:sz="4" w:space="0" w:color="auto"/>
              <w:right w:val="single" w:sz="4" w:space="0" w:color="auto"/>
            </w:tcBorders>
            <w:shd w:val="clear" w:color="000000" w:fill="B4C6E7"/>
            <w:vAlign w:val="center"/>
            <w:hideMark/>
          </w:tcPr>
          <w:p w14:paraId="5021913A"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c>
          <w:tcPr>
            <w:tcW w:w="1156" w:type="dxa"/>
            <w:tcBorders>
              <w:top w:val="single" w:sz="4" w:space="0" w:color="auto"/>
              <w:left w:val="nil"/>
              <w:bottom w:val="single" w:sz="4" w:space="0" w:color="auto"/>
              <w:right w:val="single" w:sz="4" w:space="0" w:color="auto"/>
            </w:tcBorders>
            <w:shd w:val="clear" w:color="000000" w:fill="B4C6E7"/>
            <w:vAlign w:val="center"/>
            <w:hideMark/>
          </w:tcPr>
          <w:p w14:paraId="32CD4DB7"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108" w:type="dxa"/>
            <w:tcBorders>
              <w:top w:val="single" w:sz="4" w:space="0" w:color="auto"/>
              <w:left w:val="nil"/>
              <w:bottom w:val="single" w:sz="4" w:space="0" w:color="auto"/>
              <w:right w:val="single" w:sz="4" w:space="0" w:color="auto"/>
            </w:tcBorders>
            <w:shd w:val="clear" w:color="000000" w:fill="B4C6E7"/>
            <w:vAlign w:val="center"/>
            <w:hideMark/>
          </w:tcPr>
          <w:p w14:paraId="092B31B0"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08" w:type="dxa"/>
            <w:tcBorders>
              <w:top w:val="single" w:sz="4" w:space="0" w:color="auto"/>
              <w:left w:val="nil"/>
              <w:bottom w:val="single" w:sz="4" w:space="0" w:color="auto"/>
              <w:right w:val="single" w:sz="4" w:space="0" w:color="auto"/>
            </w:tcBorders>
            <w:shd w:val="clear" w:color="000000" w:fill="B4C6E7"/>
            <w:vAlign w:val="center"/>
            <w:hideMark/>
          </w:tcPr>
          <w:p w14:paraId="591DD5FF"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r>
      <w:tr w:rsidR="00D33F7C" w:rsidRPr="00037B23" w14:paraId="3B567F26"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7DD2834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B3 - Brasil Bolsa Balcão</w:t>
            </w:r>
          </w:p>
        </w:tc>
        <w:tc>
          <w:tcPr>
            <w:tcW w:w="1110" w:type="dxa"/>
            <w:tcBorders>
              <w:top w:val="single" w:sz="8" w:space="0" w:color="auto"/>
              <w:left w:val="single" w:sz="8" w:space="0" w:color="auto"/>
              <w:bottom w:val="nil"/>
              <w:right w:val="single" w:sz="8" w:space="0" w:color="auto"/>
            </w:tcBorders>
            <w:shd w:val="clear" w:color="auto" w:fill="auto"/>
            <w:vAlign w:val="center"/>
            <w:hideMark/>
          </w:tcPr>
          <w:p w14:paraId="1003E17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324,939,722</w:t>
            </w:r>
          </w:p>
        </w:tc>
        <w:tc>
          <w:tcPr>
            <w:tcW w:w="1108" w:type="dxa"/>
            <w:tcBorders>
              <w:top w:val="single" w:sz="8" w:space="0" w:color="auto"/>
              <w:left w:val="nil"/>
              <w:bottom w:val="nil"/>
              <w:right w:val="single" w:sz="8" w:space="0" w:color="auto"/>
            </w:tcBorders>
            <w:shd w:val="clear" w:color="auto" w:fill="auto"/>
            <w:vAlign w:val="center"/>
            <w:hideMark/>
          </w:tcPr>
          <w:p w14:paraId="7FEE3B0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1,578,406</w:t>
            </w:r>
          </w:p>
        </w:tc>
        <w:tc>
          <w:tcPr>
            <w:tcW w:w="1108" w:type="dxa"/>
            <w:tcBorders>
              <w:top w:val="single" w:sz="8" w:space="0" w:color="auto"/>
              <w:left w:val="nil"/>
              <w:bottom w:val="nil"/>
              <w:right w:val="single" w:sz="8" w:space="0" w:color="auto"/>
            </w:tcBorders>
            <w:shd w:val="clear" w:color="auto" w:fill="auto"/>
            <w:vAlign w:val="center"/>
            <w:hideMark/>
          </w:tcPr>
          <w:p w14:paraId="715B1B0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1,484,913</w:t>
            </w:r>
          </w:p>
        </w:tc>
        <w:tc>
          <w:tcPr>
            <w:tcW w:w="1156" w:type="dxa"/>
            <w:tcBorders>
              <w:top w:val="single" w:sz="8" w:space="0" w:color="auto"/>
              <w:left w:val="nil"/>
              <w:bottom w:val="nil"/>
              <w:right w:val="single" w:sz="8" w:space="0" w:color="auto"/>
            </w:tcBorders>
            <w:shd w:val="clear" w:color="auto" w:fill="auto"/>
            <w:vAlign w:val="center"/>
            <w:hideMark/>
          </w:tcPr>
          <w:p w14:paraId="4F28270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3,903,763</w:t>
            </w:r>
          </w:p>
        </w:tc>
        <w:tc>
          <w:tcPr>
            <w:tcW w:w="1108" w:type="dxa"/>
            <w:tcBorders>
              <w:top w:val="single" w:sz="8" w:space="0" w:color="auto"/>
              <w:left w:val="nil"/>
              <w:bottom w:val="nil"/>
              <w:right w:val="single" w:sz="8" w:space="0" w:color="auto"/>
            </w:tcBorders>
            <w:shd w:val="clear" w:color="auto" w:fill="auto"/>
            <w:vAlign w:val="center"/>
            <w:hideMark/>
          </w:tcPr>
          <w:p w14:paraId="526DB81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6,013</w:t>
            </w:r>
          </w:p>
        </w:tc>
        <w:tc>
          <w:tcPr>
            <w:tcW w:w="1108" w:type="dxa"/>
            <w:tcBorders>
              <w:top w:val="single" w:sz="8" w:space="0" w:color="auto"/>
              <w:left w:val="nil"/>
              <w:bottom w:val="nil"/>
              <w:right w:val="single" w:sz="8" w:space="0" w:color="auto"/>
            </w:tcBorders>
            <w:shd w:val="clear" w:color="auto" w:fill="auto"/>
            <w:vAlign w:val="center"/>
            <w:hideMark/>
          </w:tcPr>
          <w:p w14:paraId="563B486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585,206</w:t>
            </w:r>
          </w:p>
        </w:tc>
      </w:tr>
      <w:tr w:rsidR="00D33F7C" w:rsidRPr="00037B23" w14:paraId="7806696D"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058B0D2"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de Valores de Colombia</w:t>
            </w:r>
          </w:p>
        </w:tc>
        <w:tc>
          <w:tcPr>
            <w:tcW w:w="1110" w:type="dxa"/>
            <w:tcBorders>
              <w:top w:val="nil"/>
              <w:left w:val="single" w:sz="8" w:space="0" w:color="auto"/>
              <w:bottom w:val="nil"/>
              <w:right w:val="single" w:sz="8" w:space="0" w:color="auto"/>
            </w:tcBorders>
            <w:shd w:val="clear" w:color="auto" w:fill="auto"/>
            <w:vAlign w:val="center"/>
            <w:hideMark/>
          </w:tcPr>
          <w:p w14:paraId="65841DD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4,570</w:t>
            </w:r>
          </w:p>
        </w:tc>
        <w:tc>
          <w:tcPr>
            <w:tcW w:w="1108" w:type="dxa"/>
            <w:tcBorders>
              <w:top w:val="nil"/>
              <w:left w:val="nil"/>
              <w:bottom w:val="nil"/>
              <w:right w:val="single" w:sz="8" w:space="0" w:color="auto"/>
            </w:tcBorders>
            <w:shd w:val="clear" w:color="auto" w:fill="auto"/>
            <w:vAlign w:val="center"/>
            <w:hideMark/>
          </w:tcPr>
          <w:p w14:paraId="187A7C4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w:t>
            </w:r>
          </w:p>
        </w:tc>
        <w:tc>
          <w:tcPr>
            <w:tcW w:w="1108" w:type="dxa"/>
            <w:tcBorders>
              <w:top w:val="nil"/>
              <w:left w:val="nil"/>
              <w:bottom w:val="nil"/>
              <w:right w:val="single" w:sz="8" w:space="0" w:color="auto"/>
            </w:tcBorders>
            <w:shd w:val="clear" w:color="auto" w:fill="auto"/>
            <w:vAlign w:val="center"/>
            <w:hideMark/>
          </w:tcPr>
          <w:p w14:paraId="2DFDB11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5,125</w:t>
            </w:r>
          </w:p>
        </w:tc>
        <w:tc>
          <w:tcPr>
            <w:tcW w:w="1156" w:type="dxa"/>
            <w:tcBorders>
              <w:top w:val="nil"/>
              <w:left w:val="nil"/>
              <w:bottom w:val="nil"/>
              <w:right w:val="single" w:sz="8" w:space="0" w:color="auto"/>
            </w:tcBorders>
            <w:shd w:val="clear" w:color="auto" w:fill="auto"/>
            <w:vAlign w:val="center"/>
            <w:hideMark/>
          </w:tcPr>
          <w:p w14:paraId="787F934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5141CF0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4B111D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500C4224"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2907724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Mexicana de Valores</w:t>
            </w:r>
          </w:p>
        </w:tc>
        <w:tc>
          <w:tcPr>
            <w:tcW w:w="1110" w:type="dxa"/>
            <w:tcBorders>
              <w:top w:val="nil"/>
              <w:left w:val="single" w:sz="8" w:space="0" w:color="auto"/>
              <w:bottom w:val="nil"/>
              <w:right w:val="single" w:sz="8" w:space="0" w:color="auto"/>
            </w:tcBorders>
            <w:shd w:val="clear" w:color="auto" w:fill="auto"/>
            <w:vAlign w:val="center"/>
            <w:hideMark/>
          </w:tcPr>
          <w:p w14:paraId="1DB72AF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15,373</w:t>
            </w:r>
          </w:p>
        </w:tc>
        <w:tc>
          <w:tcPr>
            <w:tcW w:w="1108" w:type="dxa"/>
            <w:tcBorders>
              <w:top w:val="nil"/>
              <w:left w:val="nil"/>
              <w:bottom w:val="nil"/>
              <w:right w:val="single" w:sz="8" w:space="0" w:color="auto"/>
            </w:tcBorders>
            <w:shd w:val="clear" w:color="auto" w:fill="auto"/>
            <w:vAlign w:val="center"/>
            <w:hideMark/>
          </w:tcPr>
          <w:p w14:paraId="16F8092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374</w:t>
            </w:r>
          </w:p>
        </w:tc>
        <w:tc>
          <w:tcPr>
            <w:tcW w:w="1108" w:type="dxa"/>
            <w:tcBorders>
              <w:top w:val="nil"/>
              <w:left w:val="nil"/>
              <w:bottom w:val="nil"/>
              <w:right w:val="single" w:sz="8" w:space="0" w:color="auto"/>
            </w:tcBorders>
            <w:shd w:val="clear" w:color="auto" w:fill="auto"/>
            <w:vAlign w:val="center"/>
            <w:hideMark/>
          </w:tcPr>
          <w:p w14:paraId="44847C6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18,420</w:t>
            </w:r>
          </w:p>
        </w:tc>
        <w:tc>
          <w:tcPr>
            <w:tcW w:w="1156" w:type="dxa"/>
            <w:tcBorders>
              <w:top w:val="nil"/>
              <w:left w:val="nil"/>
              <w:bottom w:val="nil"/>
              <w:right w:val="single" w:sz="8" w:space="0" w:color="auto"/>
            </w:tcBorders>
            <w:shd w:val="clear" w:color="auto" w:fill="auto"/>
            <w:vAlign w:val="center"/>
            <w:hideMark/>
          </w:tcPr>
          <w:p w14:paraId="29A4733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261</w:t>
            </w:r>
          </w:p>
        </w:tc>
        <w:tc>
          <w:tcPr>
            <w:tcW w:w="1108" w:type="dxa"/>
            <w:tcBorders>
              <w:top w:val="nil"/>
              <w:left w:val="nil"/>
              <w:bottom w:val="nil"/>
              <w:right w:val="single" w:sz="8" w:space="0" w:color="auto"/>
            </w:tcBorders>
            <w:shd w:val="clear" w:color="auto" w:fill="auto"/>
            <w:vAlign w:val="center"/>
            <w:hideMark/>
          </w:tcPr>
          <w:p w14:paraId="24E43CD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w:t>
            </w:r>
          </w:p>
        </w:tc>
        <w:tc>
          <w:tcPr>
            <w:tcW w:w="1108" w:type="dxa"/>
            <w:tcBorders>
              <w:top w:val="nil"/>
              <w:left w:val="nil"/>
              <w:bottom w:val="nil"/>
              <w:right w:val="single" w:sz="8" w:space="0" w:color="auto"/>
            </w:tcBorders>
            <w:shd w:val="clear" w:color="auto" w:fill="auto"/>
            <w:vAlign w:val="center"/>
            <w:hideMark/>
          </w:tcPr>
          <w:p w14:paraId="62FE479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358</w:t>
            </w:r>
          </w:p>
        </w:tc>
      </w:tr>
      <w:tr w:rsidR="00D33F7C" w:rsidRPr="00037B23" w14:paraId="0F2F0D27"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1524F5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Cboe Global Markets</w:t>
            </w:r>
          </w:p>
        </w:tc>
        <w:tc>
          <w:tcPr>
            <w:tcW w:w="1110" w:type="dxa"/>
            <w:tcBorders>
              <w:top w:val="nil"/>
              <w:left w:val="single" w:sz="8" w:space="0" w:color="auto"/>
              <w:bottom w:val="nil"/>
              <w:right w:val="single" w:sz="8" w:space="0" w:color="auto"/>
            </w:tcBorders>
            <w:shd w:val="clear" w:color="auto" w:fill="auto"/>
            <w:vAlign w:val="center"/>
            <w:hideMark/>
          </w:tcPr>
          <w:p w14:paraId="4DB9DA6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DFB69B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112A84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56" w:type="dxa"/>
            <w:tcBorders>
              <w:top w:val="nil"/>
              <w:left w:val="nil"/>
              <w:bottom w:val="nil"/>
              <w:right w:val="single" w:sz="8" w:space="0" w:color="auto"/>
            </w:tcBorders>
            <w:shd w:val="clear" w:color="auto" w:fill="auto"/>
            <w:vAlign w:val="center"/>
            <w:hideMark/>
          </w:tcPr>
          <w:p w14:paraId="23CEAB1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39,975,754</w:t>
            </w:r>
          </w:p>
        </w:tc>
        <w:tc>
          <w:tcPr>
            <w:tcW w:w="1108" w:type="dxa"/>
            <w:tcBorders>
              <w:top w:val="nil"/>
              <w:left w:val="nil"/>
              <w:bottom w:val="nil"/>
              <w:right w:val="single" w:sz="8" w:space="0" w:color="auto"/>
            </w:tcBorders>
            <w:shd w:val="clear" w:color="auto" w:fill="auto"/>
            <w:vAlign w:val="center"/>
            <w:hideMark/>
          </w:tcPr>
          <w:p w14:paraId="4A86A8D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2B08E46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24,933,302</w:t>
            </w:r>
          </w:p>
        </w:tc>
      </w:tr>
      <w:tr w:rsidR="00D33F7C" w:rsidRPr="00037B23" w14:paraId="6F48DC65"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1B183A7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Nasdaq - US</w:t>
            </w:r>
          </w:p>
        </w:tc>
        <w:tc>
          <w:tcPr>
            <w:tcW w:w="1110" w:type="dxa"/>
            <w:tcBorders>
              <w:top w:val="nil"/>
              <w:left w:val="single" w:sz="8" w:space="0" w:color="auto"/>
              <w:bottom w:val="nil"/>
              <w:right w:val="single" w:sz="8" w:space="0" w:color="auto"/>
            </w:tcBorders>
            <w:shd w:val="clear" w:color="auto" w:fill="auto"/>
            <w:vAlign w:val="center"/>
            <w:hideMark/>
          </w:tcPr>
          <w:p w14:paraId="0B87513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143024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2BBDF3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56" w:type="dxa"/>
            <w:tcBorders>
              <w:top w:val="nil"/>
              <w:left w:val="nil"/>
              <w:bottom w:val="nil"/>
              <w:right w:val="single" w:sz="8" w:space="0" w:color="auto"/>
            </w:tcBorders>
            <w:shd w:val="clear" w:color="auto" w:fill="auto"/>
            <w:vAlign w:val="center"/>
            <w:hideMark/>
          </w:tcPr>
          <w:p w14:paraId="5C70523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551,610</w:t>
            </w:r>
          </w:p>
        </w:tc>
        <w:tc>
          <w:tcPr>
            <w:tcW w:w="1108" w:type="dxa"/>
            <w:tcBorders>
              <w:top w:val="nil"/>
              <w:left w:val="nil"/>
              <w:bottom w:val="nil"/>
              <w:right w:val="single" w:sz="8" w:space="0" w:color="auto"/>
            </w:tcBorders>
            <w:shd w:val="clear" w:color="auto" w:fill="auto"/>
            <w:vAlign w:val="center"/>
            <w:hideMark/>
          </w:tcPr>
          <w:p w14:paraId="5C0F227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4BAAB75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2037BB2A"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593C13B0"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MIAX Exchange Group</w:t>
            </w:r>
          </w:p>
        </w:tc>
        <w:tc>
          <w:tcPr>
            <w:tcW w:w="1110" w:type="dxa"/>
            <w:tcBorders>
              <w:top w:val="nil"/>
              <w:left w:val="single" w:sz="8" w:space="0" w:color="auto"/>
              <w:bottom w:val="nil"/>
              <w:right w:val="single" w:sz="8" w:space="0" w:color="auto"/>
            </w:tcBorders>
            <w:shd w:val="clear" w:color="auto" w:fill="auto"/>
            <w:vAlign w:val="center"/>
            <w:hideMark/>
          </w:tcPr>
          <w:p w14:paraId="70CC30A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473A88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4415E51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56" w:type="dxa"/>
            <w:tcBorders>
              <w:top w:val="nil"/>
              <w:left w:val="nil"/>
              <w:bottom w:val="nil"/>
              <w:right w:val="single" w:sz="8" w:space="0" w:color="auto"/>
            </w:tcBorders>
            <w:shd w:val="clear" w:color="auto" w:fill="auto"/>
            <w:vAlign w:val="center"/>
            <w:hideMark/>
          </w:tcPr>
          <w:p w14:paraId="1702823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4,506</w:t>
            </w:r>
          </w:p>
        </w:tc>
        <w:tc>
          <w:tcPr>
            <w:tcW w:w="1108" w:type="dxa"/>
            <w:tcBorders>
              <w:top w:val="nil"/>
              <w:left w:val="nil"/>
              <w:bottom w:val="nil"/>
              <w:right w:val="single" w:sz="8" w:space="0" w:color="auto"/>
            </w:tcBorders>
            <w:shd w:val="clear" w:color="auto" w:fill="auto"/>
            <w:vAlign w:val="center"/>
            <w:hideMark/>
          </w:tcPr>
          <w:p w14:paraId="564A502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w:t>
            </w:r>
          </w:p>
        </w:tc>
        <w:tc>
          <w:tcPr>
            <w:tcW w:w="1108" w:type="dxa"/>
            <w:tcBorders>
              <w:top w:val="nil"/>
              <w:left w:val="nil"/>
              <w:bottom w:val="nil"/>
              <w:right w:val="single" w:sz="8" w:space="0" w:color="auto"/>
            </w:tcBorders>
            <w:shd w:val="clear" w:color="auto" w:fill="auto"/>
            <w:vAlign w:val="center"/>
            <w:hideMark/>
          </w:tcPr>
          <w:p w14:paraId="7BF279C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6C24F692"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15140052"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Matba Rofex</w:t>
            </w:r>
          </w:p>
        </w:tc>
        <w:tc>
          <w:tcPr>
            <w:tcW w:w="1110" w:type="dxa"/>
            <w:tcBorders>
              <w:top w:val="nil"/>
              <w:left w:val="single" w:sz="8" w:space="0" w:color="auto"/>
              <w:bottom w:val="nil"/>
              <w:right w:val="single" w:sz="8" w:space="0" w:color="auto"/>
            </w:tcBorders>
            <w:shd w:val="clear" w:color="auto" w:fill="auto"/>
            <w:vAlign w:val="center"/>
            <w:hideMark/>
          </w:tcPr>
          <w:p w14:paraId="3B5CF6E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60,254</w:t>
            </w:r>
          </w:p>
        </w:tc>
        <w:tc>
          <w:tcPr>
            <w:tcW w:w="1108" w:type="dxa"/>
            <w:tcBorders>
              <w:top w:val="nil"/>
              <w:left w:val="nil"/>
              <w:bottom w:val="nil"/>
              <w:right w:val="single" w:sz="8" w:space="0" w:color="auto"/>
            </w:tcBorders>
            <w:shd w:val="clear" w:color="auto" w:fill="auto"/>
            <w:vAlign w:val="center"/>
            <w:hideMark/>
          </w:tcPr>
          <w:p w14:paraId="7878965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48</w:t>
            </w:r>
          </w:p>
        </w:tc>
        <w:tc>
          <w:tcPr>
            <w:tcW w:w="1108" w:type="dxa"/>
            <w:tcBorders>
              <w:top w:val="nil"/>
              <w:left w:val="nil"/>
              <w:bottom w:val="nil"/>
              <w:right w:val="single" w:sz="8" w:space="0" w:color="auto"/>
            </w:tcBorders>
            <w:shd w:val="clear" w:color="auto" w:fill="auto"/>
            <w:vAlign w:val="center"/>
            <w:hideMark/>
          </w:tcPr>
          <w:p w14:paraId="452D728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3,199</w:t>
            </w:r>
          </w:p>
        </w:tc>
        <w:tc>
          <w:tcPr>
            <w:tcW w:w="1156" w:type="dxa"/>
            <w:tcBorders>
              <w:top w:val="nil"/>
              <w:left w:val="nil"/>
              <w:bottom w:val="nil"/>
              <w:right w:val="single" w:sz="8" w:space="0" w:color="auto"/>
            </w:tcBorders>
            <w:shd w:val="clear" w:color="auto" w:fill="auto"/>
            <w:vAlign w:val="center"/>
            <w:hideMark/>
          </w:tcPr>
          <w:p w14:paraId="7B90ACB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487</w:t>
            </w:r>
          </w:p>
        </w:tc>
        <w:tc>
          <w:tcPr>
            <w:tcW w:w="1108" w:type="dxa"/>
            <w:tcBorders>
              <w:top w:val="nil"/>
              <w:left w:val="nil"/>
              <w:bottom w:val="nil"/>
              <w:right w:val="single" w:sz="8" w:space="0" w:color="auto"/>
            </w:tcBorders>
            <w:shd w:val="clear" w:color="auto" w:fill="auto"/>
            <w:vAlign w:val="center"/>
            <w:hideMark/>
          </w:tcPr>
          <w:p w14:paraId="783DECD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08" w:type="dxa"/>
            <w:tcBorders>
              <w:top w:val="nil"/>
              <w:left w:val="nil"/>
              <w:bottom w:val="nil"/>
              <w:right w:val="single" w:sz="8" w:space="0" w:color="auto"/>
            </w:tcBorders>
            <w:shd w:val="clear" w:color="auto" w:fill="auto"/>
            <w:vAlign w:val="center"/>
            <w:hideMark/>
          </w:tcPr>
          <w:p w14:paraId="7AB4260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174</w:t>
            </w:r>
          </w:p>
        </w:tc>
      </w:tr>
      <w:tr w:rsidR="00D33F7C" w:rsidRPr="00037B23" w14:paraId="14DEEFE5"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6114393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CME Group</w:t>
            </w:r>
          </w:p>
        </w:tc>
        <w:tc>
          <w:tcPr>
            <w:tcW w:w="1110" w:type="dxa"/>
            <w:tcBorders>
              <w:top w:val="nil"/>
              <w:left w:val="single" w:sz="8" w:space="0" w:color="auto"/>
              <w:bottom w:val="nil"/>
              <w:right w:val="single" w:sz="8" w:space="0" w:color="auto"/>
            </w:tcBorders>
            <w:shd w:val="clear" w:color="auto" w:fill="auto"/>
            <w:vAlign w:val="center"/>
            <w:hideMark/>
          </w:tcPr>
          <w:p w14:paraId="5FE5099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97,150,859</w:t>
            </w:r>
          </w:p>
        </w:tc>
        <w:tc>
          <w:tcPr>
            <w:tcW w:w="1108" w:type="dxa"/>
            <w:tcBorders>
              <w:top w:val="nil"/>
              <w:left w:val="nil"/>
              <w:bottom w:val="nil"/>
              <w:right w:val="single" w:sz="8" w:space="0" w:color="auto"/>
            </w:tcBorders>
            <w:shd w:val="clear" w:color="auto" w:fill="auto"/>
            <w:vAlign w:val="center"/>
            <w:hideMark/>
          </w:tcPr>
          <w:p w14:paraId="70AEC32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11,949,567</w:t>
            </w:r>
          </w:p>
        </w:tc>
        <w:tc>
          <w:tcPr>
            <w:tcW w:w="1108" w:type="dxa"/>
            <w:tcBorders>
              <w:top w:val="nil"/>
              <w:left w:val="nil"/>
              <w:bottom w:val="nil"/>
              <w:right w:val="single" w:sz="8" w:space="0" w:color="auto"/>
            </w:tcBorders>
            <w:shd w:val="clear" w:color="auto" w:fill="auto"/>
            <w:vAlign w:val="center"/>
            <w:hideMark/>
          </w:tcPr>
          <w:p w14:paraId="7B82417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5,003,675</w:t>
            </w:r>
          </w:p>
        </w:tc>
        <w:tc>
          <w:tcPr>
            <w:tcW w:w="1156" w:type="dxa"/>
            <w:tcBorders>
              <w:top w:val="nil"/>
              <w:left w:val="nil"/>
              <w:bottom w:val="nil"/>
              <w:right w:val="single" w:sz="8" w:space="0" w:color="auto"/>
            </w:tcBorders>
            <w:shd w:val="clear" w:color="auto" w:fill="auto"/>
            <w:vAlign w:val="center"/>
            <w:hideMark/>
          </w:tcPr>
          <w:p w14:paraId="4F16E51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14,821,186</w:t>
            </w:r>
          </w:p>
        </w:tc>
        <w:tc>
          <w:tcPr>
            <w:tcW w:w="1108" w:type="dxa"/>
            <w:tcBorders>
              <w:top w:val="nil"/>
              <w:left w:val="nil"/>
              <w:bottom w:val="nil"/>
              <w:right w:val="single" w:sz="8" w:space="0" w:color="auto"/>
            </w:tcBorders>
            <w:shd w:val="clear" w:color="auto" w:fill="auto"/>
            <w:vAlign w:val="center"/>
            <w:hideMark/>
          </w:tcPr>
          <w:p w14:paraId="3C5ED83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3,363,089</w:t>
            </w:r>
          </w:p>
        </w:tc>
        <w:tc>
          <w:tcPr>
            <w:tcW w:w="1108" w:type="dxa"/>
            <w:tcBorders>
              <w:top w:val="nil"/>
              <w:left w:val="nil"/>
              <w:bottom w:val="nil"/>
              <w:right w:val="single" w:sz="8" w:space="0" w:color="auto"/>
            </w:tcBorders>
            <w:shd w:val="clear" w:color="auto" w:fill="auto"/>
            <w:vAlign w:val="center"/>
            <w:hideMark/>
          </w:tcPr>
          <w:p w14:paraId="1D99159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2,908,138</w:t>
            </w:r>
          </w:p>
        </w:tc>
      </w:tr>
      <w:tr w:rsidR="00D33F7C" w:rsidRPr="00037B23" w14:paraId="2AF4D31A"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47A5DF1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Cboe Futures Exchange</w:t>
            </w:r>
          </w:p>
        </w:tc>
        <w:tc>
          <w:tcPr>
            <w:tcW w:w="1110" w:type="dxa"/>
            <w:tcBorders>
              <w:top w:val="nil"/>
              <w:left w:val="single" w:sz="8" w:space="0" w:color="auto"/>
              <w:bottom w:val="nil"/>
              <w:right w:val="single" w:sz="8" w:space="0" w:color="auto"/>
            </w:tcBorders>
            <w:shd w:val="clear" w:color="auto" w:fill="auto"/>
            <w:vAlign w:val="center"/>
            <w:hideMark/>
          </w:tcPr>
          <w:p w14:paraId="416C1FF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5,328,326</w:t>
            </w:r>
          </w:p>
        </w:tc>
        <w:tc>
          <w:tcPr>
            <w:tcW w:w="1108" w:type="dxa"/>
            <w:tcBorders>
              <w:top w:val="nil"/>
              <w:left w:val="nil"/>
              <w:bottom w:val="nil"/>
              <w:right w:val="single" w:sz="8" w:space="0" w:color="auto"/>
            </w:tcBorders>
            <w:shd w:val="clear" w:color="auto" w:fill="auto"/>
            <w:vAlign w:val="center"/>
            <w:hideMark/>
          </w:tcPr>
          <w:p w14:paraId="6C14144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595C0E0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340,297</w:t>
            </w:r>
          </w:p>
        </w:tc>
        <w:tc>
          <w:tcPr>
            <w:tcW w:w="1156" w:type="dxa"/>
            <w:tcBorders>
              <w:top w:val="nil"/>
              <w:left w:val="nil"/>
              <w:bottom w:val="nil"/>
              <w:right w:val="single" w:sz="8" w:space="0" w:color="auto"/>
            </w:tcBorders>
            <w:shd w:val="clear" w:color="auto" w:fill="auto"/>
            <w:vAlign w:val="center"/>
            <w:hideMark/>
          </w:tcPr>
          <w:p w14:paraId="3B9277E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7D0EF1E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4163C12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1AFBC062"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D534432"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ASX Australian Securities Exchange</w:t>
            </w:r>
          </w:p>
        </w:tc>
        <w:tc>
          <w:tcPr>
            <w:tcW w:w="1110" w:type="dxa"/>
            <w:tcBorders>
              <w:top w:val="nil"/>
              <w:left w:val="single" w:sz="8" w:space="0" w:color="auto"/>
              <w:bottom w:val="nil"/>
              <w:right w:val="single" w:sz="8" w:space="0" w:color="auto"/>
            </w:tcBorders>
            <w:shd w:val="clear" w:color="auto" w:fill="auto"/>
            <w:vAlign w:val="center"/>
            <w:hideMark/>
          </w:tcPr>
          <w:p w14:paraId="4E6BEB0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818,874</w:t>
            </w:r>
          </w:p>
        </w:tc>
        <w:tc>
          <w:tcPr>
            <w:tcW w:w="1108" w:type="dxa"/>
            <w:tcBorders>
              <w:top w:val="nil"/>
              <w:left w:val="nil"/>
              <w:bottom w:val="nil"/>
              <w:right w:val="single" w:sz="8" w:space="0" w:color="auto"/>
            </w:tcBorders>
            <w:shd w:val="clear" w:color="auto" w:fill="auto"/>
            <w:vAlign w:val="center"/>
            <w:hideMark/>
          </w:tcPr>
          <w:p w14:paraId="1D248CF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111,074</w:t>
            </w:r>
          </w:p>
        </w:tc>
        <w:tc>
          <w:tcPr>
            <w:tcW w:w="1108" w:type="dxa"/>
            <w:tcBorders>
              <w:top w:val="nil"/>
              <w:left w:val="nil"/>
              <w:bottom w:val="nil"/>
              <w:right w:val="single" w:sz="8" w:space="0" w:color="auto"/>
            </w:tcBorders>
            <w:shd w:val="clear" w:color="auto" w:fill="auto"/>
            <w:vAlign w:val="center"/>
            <w:hideMark/>
          </w:tcPr>
          <w:p w14:paraId="1E3FB6C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262,207</w:t>
            </w:r>
          </w:p>
        </w:tc>
        <w:tc>
          <w:tcPr>
            <w:tcW w:w="1156" w:type="dxa"/>
            <w:tcBorders>
              <w:top w:val="nil"/>
              <w:left w:val="nil"/>
              <w:bottom w:val="nil"/>
              <w:right w:val="single" w:sz="8" w:space="0" w:color="auto"/>
            </w:tcBorders>
            <w:shd w:val="clear" w:color="auto" w:fill="auto"/>
            <w:vAlign w:val="center"/>
            <w:hideMark/>
          </w:tcPr>
          <w:p w14:paraId="0D53666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408,935</w:t>
            </w:r>
          </w:p>
        </w:tc>
        <w:tc>
          <w:tcPr>
            <w:tcW w:w="1108" w:type="dxa"/>
            <w:tcBorders>
              <w:top w:val="nil"/>
              <w:left w:val="nil"/>
              <w:bottom w:val="nil"/>
              <w:right w:val="single" w:sz="8" w:space="0" w:color="auto"/>
            </w:tcBorders>
            <w:shd w:val="clear" w:color="auto" w:fill="auto"/>
            <w:vAlign w:val="center"/>
            <w:hideMark/>
          </w:tcPr>
          <w:p w14:paraId="538C582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21,873</w:t>
            </w:r>
          </w:p>
        </w:tc>
        <w:tc>
          <w:tcPr>
            <w:tcW w:w="1108" w:type="dxa"/>
            <w:tcBorders>
              <w:top w:val="nil"/>
              <w:left w:val="nil"/>
              <w:bottom w:val="nil"/>
              <w:right w:val="single" w:sz="8" w:space="0" w:color="auto"/>
            </w:tcBorders>
            <w:shd w:val="clear" w:color="auto" w:fill="auto"/>
            <w:vAlign w:val="center"/>
            <w:hideMark/>
          </w:tcPr>
          <w:p w14:paraId="4A1ECF1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447,470</w:t>
            </w:r>
          </w:p>
        </w:tc>
      </w:tr>
      <w:tr w:rsidR="00D33F7C" w:rsidRPr="00037B23" w14:paraId="2B9EE6FB"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4710425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Hong Kong Exchanges and Clearing</w:t>
            </w:r>
          </w:p>
        </w:tc>
        <w:tc>
          <w:tcPr>
            <w:tcW w:w="1110" w:type="dxa"/>
            <w:tcBorders>
              <w:top w:val="nil"/>
              <w:left w:val="single" w:sz="8" w:space="0" w:color="auto"/>
              <w:bottom w:val="nil"/>
              <w:right w:val="single" w:sz="8" w:space="0" w:color="auto"/>
            </w:tcBorders>
            <w:shd w:val="clear" w:color="auto" w:fill="auto"/>
            <w:vAlign w:val="center"/>
            <w:hideMark/>
          </w:tcPr>
          <w:p w14:paraId="55CD320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7,205,289</w:t>
            </w:r>
          </w:p>
        </w:tc>
        <w:tc>
          <w:tcPr>
            <w:tcW w:w="1108" w:type="dxa"/>
            <w:tcBorders>
              <w:top w:val="nil"/>
              <w:left w:val="nil"/>
              <w:bottom w:val="nil"/>
              <w:right w:val="single" w:sz="8" w:space="0" w:color="auto"/>
            </w:tcBorders>
            <w:shd w:val="clear" w:color="auto" w:fill="auto"/>
            <w:vAlign w:val="center"/>
            <w:hideMark/>
          </w:tcPr>
          <w:p w14:paraId="3C0457F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1,944,492</w:t>
            </w:r>
          </w:p>
        </w:tc>
        <w:tc>
          <w:tcPr>
            <w:tcW w:w="1108" w:type="dxa"/>
            <w:tcBorders>
              <w:top w:val="nil"/>
              <w:left w:val="nil"/>
              <w:bottom w:val="nil"/>
              <w:right w:val="single" w:sz="8" w:space="0" w:color="auto"/>
            </w:tcBorders>
            <w:shd w:val="clear" w:color="auto" w:fill="auto"/>
            <w:vAlign w:val="center"/>
            <w:hideMark/>
          </w:tcPr>
          <w:p w14:paraId="0DB02F8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523,416</w:t>
            </w:r>
          </w:p>
        </w:tc>
        <w:tc>
          <w:tcPr>
            <w:tcW w:w="1156" w:type="dxa"/>
            <w:tcBorders>
              <w:top w:val="nil"/>
              <w:left w:val="nil"/>
              <w:bottom w:val="nil"/>
              <w:right w:val="single" w:sz="8" w:space="0" w:color="auto"/>
            </w:tcBorders>
            <w:shd w:val="clear" w:color="auto" w:fill="auto"/>
            <w:vAlign w:val="center"/>
            <w:hideMark/>
          </w:tcPr>
          <w:p w14:paraId="3B1CCEE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1,517,057</w:t>
            </w:r>
          </w:p>
        </w:tc>
        <w:tc>
          <w:tcPr>
            <w:tcW w:w="1108" w:type="dxa"/>
            <w:tcBorders>
              <w:top w:val="nil"/>
              <w:left w:val="nil"/>
              <w:bottom w:val="nil"/>
              <w:right w:val="single" w:sz="8" w:space="0" w:color="auto"/>
            </w:tcBorders>
            <w:shd w:val="clear" w:color="auto" w:fill="auto"/>
            <w:vAlign w:val="center"/>
            <w:hideMark/>
          </w:tcPr>
          <w:p w14:paraId="5B3A1A8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169,382</w:t>
            </w:r>
          </w:p>
        </w:tc>
        <w:tc>
          <w:tcPr>
            <w:tcW w:w="1108" w:type="dxa"/>
            <w:tcBorders>
              <w:top w:val="nil"/>
              <w:left w:val="nil"/>
              <w:bottom w:val="nil"/>
              <w:right w:val="single" w:sz="8" w:space="0" w:color="auto"/>
            </w:tcBorders>
            <w:shd w:val="clear" w:color="auto" w:fill="auto"/>
            <w:vAlign w:val="center"/>
            <w:hideMark/>
          </w:tcPr>
          <w:p w14:paraId="5F17B59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1,629,546</w:t>
            </w:r>
          </w:p>
        </w:tc>
      </w:tr>
      <w:tr w:rsidR="00D33F7C" w:rsidRPr="00037B23" w14:paraId="3B5A855B"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A1005B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Japan Exchange Group</w:t>
            </w:r>
          </w:p>
        </w:tc>
        <w:tc>
          <w:tcPr>
            <w:tcW w:w="1110" w:type="dxa"/>
            <w:tcBorders>
              <w:top w:val="nil"/>
              <w:left w:val="single" w:sz="8" w:space="0" w:color="auto"/>
              <w:bottom w:val="nil"/>
              <w:right w:val="single" w:sz="8" w:space="0" w:color="auto"/>
            </w:tcBorders>
            <w:shd w:val="clear" w:color="auto" w:fill="auto"/>
            <w:vAlign w:val="center"/>
            <w:hideMark/>
          </w:tcPr>
          <w:p w14:paraId="23B767B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21,346,153</w:t>
            </w:r>
          </w:p>
        </w:tc>
        <w:tc>
          <w:tcPr>
            <w:tcW w:w="1108" w:type="dxa"/>
            <w:tcBorders>
              <w:top w:val="nil"/>
              <w:left w:val="nil"/>
              <w:bottom w:val="nil"/>
              <w:right w:val="single" w:sz="8" w:space="0" w:color="auto"/>
            </w:tcBorders>
            <w:shd w:val="clear" w:color="auto" w:fill="auto"/>
            <w:vAlign w:val="center"/>
            <w:hideMark/>
          </w:tcPr>
          <w:p w14:paraId="4E11A59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987,723</w:t>
            </w:r>
          </w:p>
        </w:tc>
        <w:tc>
          <w:tcPr>
            <w:tcW w:w="1108" w:type="dxa"/>
            <w:tcBorders>
              <w:top w:val="nil"/>
              <w:left w:val="nil"/>
              <w:bottom w:val="nil"/>
              <w:right w:val="single" w:sz="8" w:space="0" w:color="auto"/>
            </w:tcBorders>
            <w:shd w:val="clear" w:color="auto" w:fill="auto"/>
            <w:vAlign w:val="center"/>
            <w:hideMark/>
          </w:tcPr>
          <w:p w14:paraId="160AD68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1,678,438</w:t>
            </w:r>
          </w:p>
        </w:tc>
        <w:tc>
          <w:tcPr>
            <w:tcW w:w="1156" w:type="dxa"/>
            <w:tcBorders>
              <w:top w:val="nil"/>
              <w:left w:val="nil"/>
              <w:bottom w:val="nil"/>
              <w:right w:val="single" w:sz="8" w:space="0" w:color="auto"/>
            </w:tcBorders>
            <w:shd w:val="clear" w:color="auto" w:fill="auto"/>
            <w:vAlign w:val="center"/>
            <w:hideMark/>
          </w:tcPr>
          <w:p w14:paraId="38D564E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2,037,398</w:t>
            </w:r>
          </w:p>
        </w:tc>
        <w:tc>
          <w:tcPr>
            <w:tcW w:w="1108" w:type="dxa"/>
            <w:tcBorders>
              <w:top w:val="nil"/>
              <w:left w:val="nil"/>
              <w:bottom w:val="nil"/>
              <w:right w:val="single" w:sz="8" w:space="0" w:color="auto"/>
            </w:tcBorders>
            <w:shd w:val="clear" w:color="auto" w:fill="auto"/>
            <w:vAlign w:val="center"/>
            <w:hideMark/>
          </w:tcPr>
          <w:p w14:paraId="6D8D5DB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351273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1,636,158</w:t>
            </w:r>
          </w:p>
        </w:tc>
      </w:tr>
      <w:tr w:rsidR="00D33F7C" w:rsidRPr="00037B23" w14:paraId="1571F6D7"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1ABAD11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Korea Exchange</w:t>
            </w:r>
          </w:p>
        </w:tc>
        <w:tc>
          <w:tcPr>
            <w:tcW w:w="1110" w:type="dxa"/>
            <w:tcBorders>
              <w:top w:val="nil"/>
              <w:left w:val="single" w:sz="8" w:space="0" w:color="auto"/>
              <w:bottom w:val="nil"/>
              <w:right w:val="single" w:sz="8" w:space="0" w:color="auto"/>
            </w:tcBorders>
            <w:shd w:val="clear" w:color="auto" w:fill="auto"/>
            <w:vAlign w:val="center"/>
            <w:hideMark/>
          </w:tcPr>
          <w:p w14:paraId="0BF55CA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8,000,043</w:t>
            </w:r>
          </w:p>
        </w:tc>
        <w:tc>
          <w:tcPr>
            <w:tcW w:w="1108" w:type="dxa"/>
            <w:tcBorders>
              <w:top w:val="nil"/>
              <w:left w:val="nil"/>
              <w:bottom w:val="nil"/>
              <w:right w:val="single" w:sz="8" w:space="0" w:color="auto"/>
            </w:tcBorders>
            <w:shd w:val="clear" w:color="auto" w:fill="auto"/>
            <w:vAlign w:val="center"/>
            <w:hideMark/>
          </w:tcPr>
          <w:p w14:paraId="5EF0CDC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525,140</w:t>
            </w:r>
          </w:p>
        </w:tc>
        <w:tc>
          <w:tcPr>
            <w:tcW w:w="1108" w:type="dxa"/>
            <w:tcBorders>
              <w:top w:val="nil"/>
              <w:left w:val="nil"/>
              <w:bottom w:val="nil"/>
              <w:right w:val="single" w:sz="8" w:space="0" w:color="auto"/>
            </w:tcBorders>
            <w:shd w:val="clear" w:color="auto" w:fill="auto"/>
            <w:vAlign w:val="center"/>
            <w:hideMark/>
          </w:tcPr>
          <w:p w14:paraId="571269C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564,017</w:t>
            </w:r>
          </w:p>
        </w:tc>
        <w:tc>
          <w:tcPr>
            <w:tcW w:w="1156" w:type="dxa"/>
            <w:tcBorders>
              <w:top w:val="nil"/>
              <w:left w:val="nil"/>
              <w:bottom w:val="nil"/>
              <w:right w:val="single" w:sz="8" w:space="0" w:color="auto"/>
            </w:tcBorders>
            <w:shd w:val="clear" w:color="auto" w:fill="auto"/>
            <w:vAlign w:val="center"/>
            <w:hideMark/>
          </w:tcPr>
          <w:p w14:paraId="78721E5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57,354,862</w:t>
            </w:r>
          </w:p>
        </w:tc>
        <w:tc>
          <w:tcPr>
            <w:tcW w:w="1108" w:type="dxa"/>
            <w:tcBorders>
              <w:top w:val="nil"/>
              <w:left w:val="nil"/>
              <w:bottom w:val="nil"/>
              <w:right w:val="single" w:sz="8" w:space="0" w:color="auto"/>
            </w:tcBorders>
            <w:shd w:val="clear" w:color="auto" w:fill="auto"/>
            <w:vAlign w:val="center"/>
            <w:hideMark/>
          </w:tcPr>
          <w:p w14:paraId="4D02B7E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5,199,208</w:t>
            </w:r>
          </w:p>
        </w:tc>
        <w:tc>
          <w:tcPr>
            <w:tcW w:w="1108" w:type="dxa"/>
            <w:tcBorders>
              <w:top w:val="nil"/>
              <w:left w:val="nil"/>
              <w:bottom w:val="nil"/>
              <w:right w:val="single" w:sz="8" w:space="0" w:color="auto"/>
            </w:tcBorders>
            <w:shd w:val="clear" w:color="auto" w:fill="auto"/>
            <w:vAlign w:val="center"/>
            <w:hideMark/>
          </w:tcPr>
          <w:p w14:paraId="7C564A6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2,862,149</w:t>
            </w:r>
          </w:p>
        </w:tc>
      </w:tr>
      <w:tr w:rsidR="00D33F7C" w:rsidRPr="00037B23" w14:paraId="009B91A3"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5017554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National Stock Exchange of India</w:t>
            </w:r>
          </w:p>
        </w:tc>
        <w:tc>
          <w:tcPr>
            <w:tcW w:w="1110" w:type="dxa"/>
            <w:tcBorders>
              <w:top w:val="nil"/>
              <w:left w:val="single" w:sz="8" w:space="0" w:color="auto"/>
              <w:bottom w:val="nil"/>
              <w:right w:val="single" w:sz="8" w:space="0" w:color="auto"/>
            </w:tcBorders>
            <w:shd w:val="clear" w:color="auto" w:fill="auto"/>
            <w:vAlign w:val="center"/>
            <w:hideMark/>
          </w:tcPr>
          <w:p w14:paraId="2A2F16A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6,387,640</w:t>
            </w:r>
          </w:p>
        </w:tc>
        <w:tc>
          <w:tcPr>
            <w:tcW w:w="1108" w:type="dxa"/>
            <w:tcBorders>
              <w:top w:val="nil"/>
              <w:left w:val="nil"/>
              <w:bottom w:val="nil"/>
              <w:right w:val="single" w:sz="8" w:space="0" w:color="auto"/>
            </w:tcBorders>
            <w:shd w:val="clear" w:color="auto" w:fill="auto"/>
            <w:vAlign w:val="center"/>
            <w:hideMark/>
          </w:tcPr>
          <w:p w14:paraId="6B83DAC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84,465</w:t>
            </w:r>
          </w:p>
        </w:tc>
        <w:tc>
          <w:tcPr>
            <w:tcW w:w="1108" w:type="dxa"/>
            <w:tcBorders>
              <w:top w:val="nil"/>
              <w:left w:val="nil"/>
              <w:bottom w:val="nil"/>
              <w:right w:val="single" w:sz="8" w:space="0" w:color="auto"/>
            </w:tcBorders>
            <w:shd w:val="clear" w:color="auto" w:fill="auto"/>
            <w:vAlign w:val="center"/>
            <w:hideMark/>
          </w:tcPr>
          <w:p w14:paraId="3C6DF32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229,373</w:t>
            </w:r>
          </w:p>
        </w:tc>
        <w:tc>
          <w:tcPr>
            <w:tcW w:w="1156" w:type="dxa"/>
            <w:tcBorders>
              <w:top w:val="nil"/>
              <w:left w:val="nil"/>
              <w:bottom w:val="nil"/>
              <w:right w:val="single" w:sz="8" w:space="0" w:color="auto"/>
            </w:tcBorders>
            <w:shd w:val="clear" w:color="auto" w:fill="auto"/>
            <w:vAlign w:val="center"/>
            <w:hideMark/>
          </w:tcPr>
          <w:p w14:paraId="611591E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856,255,549</w:t>
            </w:r>
          </w:p>
        </w:tc>
        <w:tc>
          <w:tcPr>
            <w:tcW w:w="1108" w:type="dxa"/>
            <w:tcBorders>
              <w:top w:val="nil"/>
              <w:left w:val="nil"/>
              <w:bottom w:val="nil"/>
              <w:right w:val="single" w:sz="8" w:space="0" w:color="auto"/>
            </w:tcBorders>
            <w:shd w:val="clear" w:color="auto" w:fill="auto"/>
            <w:vAlign w:val="center"/>
            <w:hideMark/>
          </w:tcPr>
          <w:p w14:paraId="138B455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11,122,695</w:t>
            </w:r>
          </w:p>
        </w:tc>
        <w:tc>
          <w:tcPr>
            <w:tcW w:w="1108" w:type="dxa"/>
            <w:tcBorders>
              <w:top w:val="nil"/>
              <w:left w:val="nil"/>
              <w:bottom w:val="nil"/>
              <w:right w:val="single" w:sz="8" w:space="0" w:color="auto"/>
            </w:tcBorders>
            <w:shd w:val="clear" w:color="auto" w:fill="auto"/>
            <w:vAlign w:val="center"/>
            <w:hideMark/>
          </w:tcPr>
          <w:p w14:paraId="60F05FE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3,302,516</w:t>
            </w:r>
          </w:p>
        </w:tc>
      </w:tr>
      <w:tr w:rsidR="00D33F7C" w:rsidRPr="00037B23" w14:paraId="02BBACD3"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6B2ECB97"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Singapore Exchange</w:t>
            </w:r>
          </w:p>
        </w:tc>
        <w:tc>
          <w:tcPr>
            <w:tcW w:w="1110" w:type="dxa"/>
            <w:tcBorders>
              <w:top w:val="nil"/>
              <w:left w:val="single" w:sz="8" w:space="0" w:color="auto"/>
              <w:bottom w:val="nil"/>
              <w:right w:val="single" w:sz="8" w:space="0" w:color="auto"/>
            </w:tcBorders>
            <w:shd w:val="clear" w:color="auto" w:fill="auto"/>
            <w:vAlign w:val="center"/>
            <w:hideMark/>
          </w:tcPr>
          <w:p w14:paraId="7D45549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13,010,150</w:t>
            </w:r>
          </w:p>
        </w:tc>
        <w:tc>
          <w:tcPr>
            <w:tcW w:w="1108" w:type="dxa"/>
            <w:tcBorders>
              <w:top w:val="nil"/>
              <w:left w:val="nil"/>
              <w:bottom w:val="nil"/>
              <w:right w:val="single" w:sz="8" w:space="0" w:color="auto"/>
            </w:tcBorders>
            <w:shd w:val="clear" w:color="auto" w:fill="auto"/>
            <w:vAlign w:val="center"/>
            <w:hideMark/>
          </w:tcPr>
          <w:p w14:paraId="67CB307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790E6E8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1,399,584</w:t>
            </w:r>
          </w:p>
        </w:tc>
        <w:tc>
          <w:tcPr>
            <w:tcW w:w="1156" w:type="dxa"/>
            <w:tcBorders>
              <w:top w:val="nil"/>
              <w:left w:val="nil"/>
              <w:bottom w:val="nil"/>
              <w:right w:val="single" w:sz="8" w:space="0" w:color="auto"/>
            </w:tcBorders>
            <w:shd w:val="clear" w:color="auto" w:fill="auto"/>
            <w:vAlign w:val="center"/>
            <w:hideMark/>
          </w:tcPr>
          <w:p w14:paraId="39B377E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395,466</w:t>
            </w:r>
          </w:p>
        </w:tc>
        <w:tc>
          <w:tcPr>
            <w:tcW w:w="1108" w:type="dxa"/>
            <w:tcBorders>
              <w:top w:val="nil"/>
              <w:left w:val="nil"/>
              <w:bottom w:val="nil"/>
              <w:right w:val="single" w:sz="8" w:space="0" w:color="auto"/>
            </w:tcBorders>
            <w:shd w:val="clear" w:color="auto" w:fill="auto"/>
            <w:vAlign w:val="center"/>
            <w:hideMark/>
          </w:tcPr>
          <w:p w14:paraId="350BB5C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1D4888F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1,700,023</w:t>
            </w:r>
          </w:p>
        </w:tc>
      </w:tr>
      <w:tr w:rsidR="00D33F7C" w:rsidRPr="00037B23" w14:paraId="7CF5E6ED"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74E1D17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Taiwan Futures Exchange</w:t>
            </w:r>
          </w:p>
        </w:tc>
        <w:tc>
          <w:tcPr>
            <w:tcW w:w="1110" w:type="dxa"/>
            <w:tcBorders>
              <w:top w:val="nil"/>
              <w:left w:val="single" w:sz="8" w:space="0" w:color="auto"/>
              <w:bottom w:val="nil"/>
              <w:right w:val="single" w:sz="8" w:space="0" w:color="auto"/>
            </w:tcBorders>
            <w:shd w:val="clear" w:color="auto" w:fill="auto"/>
            <w:vAlign w:val="center"/>
            <w:hideMark/>
          </w:tcPr>
          <w:p w14:paraId="162EF3D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14,928,950</w:t>
            </w:r>
          </w:p>
        </w:tc>
        <w:tc>
          <w:tcPr>
            <w:tcW w:w="1108" w:type="dxa"/>
            <w:tcBorders>
              <w:top w:val="nil"/>
              <w:left w:val="nil"/>
              <w:bottom w:val="nil"/>
              <w:right w:val="single" w:sz="8" w:space="0" w:color="auto"/>
            </w:tcBorders>
            <w:shd w:val="clear" w:color="auto" w:fill="auto"/>
            <w:vAlign w:val="center"/>
            <w:hideMark/>
          </w:tcPr>
          <w:p w14:paraId="224D75D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929,796</w:t>
            </w:r>
          </w:p>
        </w:tc>
        <w:tc>
          <w:tcPr>
            <w:tcW w:w="1108" w:type="dxa"/>
            <w:tcBorders>
              <w:top w:val="nil"/>
              <w:left w:val="nil"/>
              <w:bottom w:val="nil"/>
              <w:right w:val="single" w:sz="8" w:space="0" w:color="auto"/>
            </w:tcBorders>
            <w:shd w:val="clear" w:color="auto" w:fill="auto"/>
            <w:vAlign w:val="center"/>
            <w:hideMark/>
          </w:tcPr>
          <w:p w14:paraId="10AF9BA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153,279</w:t>
            </w:r>
          </w:p>
        </w:tc>
        <w:tc>
          <w:tcPr>
            <w:tcW w:w="1156" w:type="dxa"/>
            <w:tcBorders>
              <w:top w:val="nil"/>
              <w:left w:val="nil"/>
              <w:bottom w:val="nil"/>
              <w:right w:val="single" w:sz="8" w:space="0" w:color="auto"/>
            </w:tcBorders>
            <w:shd w:val="clear" w:color="auto" w:fill="auto"/>
            <w:vAlign w:val="center"/>
            <w:hideMark/>
          </w:tcPr>
          <w:p w14:paraId="3BF3B6A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20,991,709</w:t>
            </w:r>
          </w:p>
        </w:tc>
        <w:tc>
          <w:tcPr>
            <w:tcW w:w="1108" w:type="dxa"/>
            <w:tcBorders>
              <w:top w:val="nil"/>
              <w:left w:val="nil"/>
              <w:bottom w:val="nil"/>
              <w:right w:val="single" w:sz="8" w:space="0" w:color="auto"/>
            </w:tcBorders>
            <w:shd w:val="clear" w:color="auto" w:fill="auto"/>
            <w:vAlign w:val="center"/>
            <w:hideMark/>
          </w:tcPr>
          <w:p w14:paraId="0FB3F69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627,657</w:t>
            </w:r>
          </w:p>
        </w:tc>
        <w:tc>
          <w:tcPr>
            <w:tcW w:w="1108" w:type="dxa"/>
            <w:tcBorders>
              <w:top w:val="nil"/>
              <w:left w:val="nil"/>
              <w:bottom w:val="nil"/>
              <w:right w:val="single" w:sz="8" w:space="0" w:color="auto"/>
            </w:tcBorders>
            <w:shd w:val="clear" w:color="auto" w:fill="auto"/>
            <w:vAlign w:val="center"/>
            <w:hideMark/>
          </w:tcPr>
          <w:p w14:paraId="060806B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479,316</w:t>
            </w:r>
          </w:p>
        </w:tc>
      </w:tr>
      <w:tr w:rsidR="00D33F7C" w:rsidRPr="00037B23" w14:paraId="38C58E79"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0A91381"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Thailand Futures Exchange</w:t>
            </w:r>
          </w:p>
        </w:tc>
        <w:tc>
          <w:tcPr>
            <w:tcW w:w="1110" w:type="dxa"/>
            <w:tcBorders>
              <w:top w:val="nil"/>
              <w:left w:val="single" w:sz="8" w:space="0" w:color="auto"/>
              <w:bottom w:val="nil"/>
              <w:right w:val="single" w:sz="8" w:space="0" w:color="auto"/>
            </w:tcBorders>
            <w:shd w:val="clear" w:color="auto" w:fill="auto"/>
            <w:vAlign w:val="center"/>
            <w:hideMark/>
          </w:tcPr>
          <w:p w14:paraId="715DE3A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4,098,314</w:t>
            </w:r>
          </w:p>
        </w:tc>
        <w:tc>
          <w:tcPr>
            <w:tcW w:w="1108" w:type="dxa"/>
            <w:tcBorders>
              <w:top w:val="nil"/>
              <w:left w:val="nil"/>
              <w:bottom w:val="nil"/>
              <w:right w:val="single" w:sz="8" w:space="0" w:color="auto"/>
            </w:tcBorders>
            <w:shd w:val="clear" w:color="auto" w:fill="auto"/>
            <w:vAlign w:val="center"/>
            <w:hideMark/>
          </w:tcPr>
          <w:p w14:paraId="39F3427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444937C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359,361</w:t>
            </w:r>
          </w:p>
        </w:tc>
        <w:tc>
          <w:tcPr>
            <w:tcW w:w="1156" w:type="dxa"/>
            <w:tcBorders>
              <w:top w:val="nil"/>
              <w:left w:val="nil"/>
              <w:bottom w:val="nil"/>
              <w:right w:val="single" w:sz="8" w:space="0" w:color="auto"/>
            </w:tcBorders>
            <w:shd w:val="clear" w:color="auto" w:fill="auto"/>
            <w:vAlign w:val="center"/>
            <w:hideMark/>
          </w:tcPr>
          <w:p w14:paraId="47EDACC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133,678</w:t>
            </w:r>
          </w:p>
        </w:tc>
        <w:tc>
          <w:tcPr>
            <w:tcW w:w="1108" w:type="dxa"/>
            <w:tcBorders>
              <w:top w:val="nil"/>
              <w:left w:val="nil"/>
              <w:bottom w:val="nil"/>
              <w:right w:val="single" w:sz="8" w:space="0" w:color="auto"/>
            </w:tcBorders>
            <w:shd w:val="clear" w:color="auto" w:fill="auto"/>
            <w:vAlign w:val="center"/>
            <w:hideMark/>
          </w:tcPr>
          <w:p w14:paraId="04092B5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ECFE65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68,093</w:t>
            </w:r>
          </w:p>
        </w:tc>
      </w:tr>
      <w:tr w:rsidR="00D33F7C" w:rsidRPr="00037B23" w14:paraId="76077859"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DF7883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Bursa Malaysia Derivatives</w:t>
            </w:r>
          </w:p>
        </w:tc>
        <w:tc>
          <w:tcPr>
            <w:tcW w:w="1110" w:type="dxa"/>
            <w:tcBorders>
              <w:top w:val="nil"/>
              <w:left w:val="single" w:sz="8" w:space="0" w:color="auto"/>
              <w:bottom w:val="nil"/>
              <w:right w:val="single" w:sz="8" w:space="0" w:color="auto"/>
            </w:tcBorders>
            <w:shd w:val="clear" w:color="auto" w:fill="auto"/>
            <w:vAlign w:val="center"/>
            <w:hideMark/>
          </w:tcPr>
          <w:p w14:paraId="6C31215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236,431</w:t>
            </w:r>
          </w:p>
        </w:tc>
        <w:tc>
          <w:tcPr>
            <w:tcW w:w="1108" w:type="dxa"/>
            <w:tcBorders>
              <w:top w:val="nil"/>
              <w:left w:val="nil"/>
              <w:bottom w:val="nil"/>
              <w:right w:val="single" w:sz="8" w:space="0" w:color="auto"/>
            </w:tcBorders>
            <w:shd w:val="clear" w:color="auto" w:fill="auto"/>
            <w:vAlign w:val="center"/>
            <w:hideMark/>
          </w:tcPr>
          <w:p w14:paraId="33D8B00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4,447</w:t>
            </w:r>
          </w:p>
        </w:tc>
        <w:tc>
          <w:tcPr>
            <w:tcW w:w="1108" w:type="dxa"/>
            <w:tcBorders>
              <w:top w:val="nil"/>
              <w:left w:val="nil"/>
              <w:bottom w:val="nil"/>
              <w:right w:val="single" w:sz="8" w:space="0" w:color="auto"/>
            </w:tcBorders>
            <w:shd w:val="clear" w:color="auto" w:fill="auto"/>
            <w:vAlign w:val="center"/>
            <w:hideMark/>
          </w:tcPr>
          <w:p w14:paraId="1AE65AB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38,581</w:t>
            </w:r>
          </w:p>
        </w:tc>
        <w:tc>
          <w:tcPr>
            <w:tcW w:w="1156" w:type="dxa"/>
            <w:tcBorders>
              <w:top w:val="nil"/>
              <w:left w:val="nil"/>
              <w:bottom w:val="nil"/>
              <w:right w:val="single" w:sz="8" w:space="0" w:color="auto"/>
            </w:tcBorders>
            <w:shd w:val="clear" w:color="auto" w:fill="auto"/>
            <w:vAlign w:val="center"/>
            <w:hideMark/>
          </w:tcPr>
          <w:p w14:paraId="12329AE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335</w:t>
            </w:r>
          </w:p>
        </w:tc>
        <w:tc>
          <w:tcPr>
            <w:tcW w:w="1108" w:type="dxa"/>
            <w:tcBorders>
              <w:top w:val="nil"/>
              <w:left w:val="nil"/>
              <w:bottom w:val="nil"/>
              <w:right w:val="single" w:sz="8" w:space="0" w:color="auto"/>
            </w:tcBorders>
            <w:shd w:val="clear" w:color="auto" w:fill="auto"/>
            <w:vAlign w:val="center"/>
            <w:hideMark/>
          </w:tcPr>
          <w:p w14:paraId="3A6CB4B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08" w:type="dxa"/>
            <w:tcBorders>
              <w:top w:val="nil"/>
              <w:left w:val="nil"/>
              <w:bottom w:val="nil"/>
              <w:right w:val="single" w:sz="8" w:space="0" w:color="auto"/>
            </w:tcBorders>
            <w:shd w:val="clear" w:color="auto" w:fill="auto"/>
            <w:vAlign w:val="center"/>
            <w:hideMark/>
          </w:tcPr>
          <w:p w14:paraId="775E419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84</w:t>
            </w:r>
          </w:p>
        </w:tc>
      </w:tr>
      <w:tr w:rsidR="00D33F7C" w:rsidRPr="00037B23" w14:paraId="79A34B25"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17A0F29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China Financial Futures Exchange</w:t>
            </w:r>
          </w:p>
        </w:tc>
        <w:tc>
          <w:tcPr>
            <w:tcW w:w="1110" w:type="dxa"/>
            <w:tcBorders>
              <w:top w:val="nil"/>
              <w:left w:val="single" w:sz="8" w:space="0" w:color="auto"/>
              <w:bottom w:val="nil"/>
              <w:right w:val="single" w:sz="8" w:space="0" w:color="auto"/>
            </w:tcBorders>
            <w:shd w:val="clear" w:color="auto" w:fill="auto"/>
            <w:vAlign w:val="center"/>
            <w:hideMark/>
          </w:tcPr>
          <w:p w14:paraId="1487088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3,283,882</w:t>
            </w:r>
          </w:p>
        </w:tc>
        <w:tc>
          <w:tcPr>
            <w:tcW w:w="1108" w:type="dxa"/>
            <w:tcBorders>
              <w:top w:val="nil"/>
              <w:left w:val="nil"/>
              <w:bottom w:val="nil"/>
              <w:right w:val="single" w:sz="8" w:space="0" w:color="auto"/>
            </w:tcBorders>
            <w:shd w:val="clear" w:color="auto" w:fill="auto"/>
            <w:vAlign w:val="center"/>
            <w:hideMark/>
          </w:tcPr>
          <w:p w14:paraId="1B5F316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719,549</w:t>
            </w:r>
          </w:p>
        </w:tc>
        <w:tc>
          <w:tcPr>
            <w:tcW w:w="1108" w:type="dxa"/>
            <w:tcBorders>
              <w:top w:val="nil"/>
              <w:left w:val="nil"/>
              <w:bottom w:val="nil"/>
              <w:right w:val="single" w:sz="8" w:space="0" w:color="auto"/>
            </w:tcBorders>
            <w:shd w:val="clear" w:color="auto" w:fill="auto"/>
            <w:vAlign w:val="center"/>
            <w:hideMark/>
          </w:tcPr>
          <w:p w14:paraId="2DF7411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309,423</w:t>
            </w:r>
          </w:p>
        </w:tc>
        <w:tc>
          <w:tcPr>
            <w:tcW w:w="1156" w:type="dxa"/>
            <w:tcBorders>
              <w:top w:val="nil"/>
              <w:left w:val="nil"/>
              <w:bottom w:val="nil"/>
              <w:right w:val="single" w:sz="8" w:space="0" w:color="auto"/>
            </w:tcBorders>
            <w:shd w:val="clear" w:color="auto" w:fill="auto"/>
            <w:vAlign w:val="center"/>
            <w:hideMark/>
          </w:tcPr>
          <w:p w14:paraId="0189E9A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2,211,745</w:t>
            </w:r>
          </w:p>
        </w:tc>
        <w:tc>
          <w:tcPr>
            <w:tcW w:w="1108" w:type="dxa"/>
            <w:tcBorders>
              <w:top w:val="nil"/>
              <w:left w:val="nil"/>
              <w:bottom w:val="nil"/>
              <w:right w:val="single" w:sz="8" w:space="0" w:color="auto"/>
            </w:tcBorders>
            <w:shd w:val="clear" w:color="auto" w:fill="auto"/>
            <w:vAlign w:val="center"/>
            <w:hideMark/>
          </w:tcPr>
          <w:p w14:paraId="22D65A2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2,824</w:t>
            </w:r>
          </w:p>
        </w:tc>
        <w:tc>
          <w:tcPr>
            <w:tcW w:w="1108" w:type="dxa"/>
            <w:tcBorders>
              <w:top w:val="nil"/>
              <w:left w:val="nil"/>
              <w:bottom w:val="nil"/>
              <w:right w:val="single" w:sz="8" w:space="0" w:color="auto"/>
            </w:tcBorders>
            <w:shd w:val="clear" w:color="auto" w:fill="auto"/>
            <w:vAlign w:val="center"/>
            <w:hideMark/>
          </w:tcPr>
          <w:p w14:paraId="144D6EE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200,200</w:t>
            </w:r>
          </w:p>
        </w:tc>
      </w:tr>
      <w:tr w:rsidR="00D33F7C" w:rsidRPr="00037B23" w14:paraId="739F3480"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886C2BE"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Athens Stock Exchange</w:t>
            </w:r>
          </w:p>
        </w:tc>
        <w:tc>
          <w:tcPr>
            <w:tcW w:w="1110" w:type="dxa"/>
            <w:tcBorders>
              <w:top w:val="nil"/>
              <w:left w:val="single" w:sz="8" w:space="0" w:color="auto"/>
              <w:bottom w:val="nil"/>
              <w:right w:val="single" w:sz="8" w:space="0" w:color="auto"/>
            </w:tcBorders>
            <w:shd w:val="clear" w:color="auto" w:fill="auto"/>
            <w:vAlign w:val="center"/>
            <w:hideMark/>
          </w:tcPr>
          <w:p w14:paraId="34E9AB4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29,564</w:t>
            </w:r>
          </w:p>
        </w:tc>
        <w:tc>
          <w:tcPr>
            <w:tcW w:w="1108" w:type="dxa"/>
            <w:tcBorders>
              <w:top w:val="nil"/>
              <w:left w:val="nil"/>
              <w:bottom w:val="nil"/>
              <w:right w:val="single" w:sz="8" w:space="0" w:color="auto"/>
            </w:tcBorders>
            <w:shd w:val="clear" w:color="auto" w:fill="auto"/>
            <w:vAlign w:val="center"/>
            <w:hideMark/>
          </w:tcPr>
          <w:p w14:paraId="035D45E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155</w:t>
            </w:r>
          </w:p>
        </w:tc>
        <w:tc>
          <w:tcPr>
            <w:tcW w:w="1108" w:type="dxa"/>
            <w:tcBorders>
              <w:top w:val="nil"/>
              <w:left w:val="nil"/>
              <w:bottom w:val="nil"/>
              <w:right w:val="single" w:sz="8" w:space="0" w:color="auto"/>
            </w:tcBorders>
            <w:shd w:val="clear" w:color="auto" w:fill="auto"/>
            <w:vAlign w:val="center"/>
            <w:hideMark/>
          </w:tcPr>
          <w:p w14:paraId="2C4F406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5,958</w:t>
            </w:r>
          </w:p>
        </w:tc>
        <w:tc>
          <w:tcPr>
            <w:tcW w:w="1156" w:type="dxa"/>
            <w:tcBorders>
              <w:top w:val="nil"/>
              <w:left w:val="nil"/>
              <w:bottom w:val="nil"/>
              <w:right w:val="single" w:sz="8" w:space="0" w:color="auto"/>
            </w:tcBorders>
            <w:shd w:val="clear" w:color="auto" w:fill="auto"/>
            <w:vAlign w:val="center"/>
            <w:hideMark/>
          </w:tcPr>
          <w:p w14:paraId="7765891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2,663</w:t>
            </w:r>
          </w:p>
        </w:tc>
        <w:tc>
          <w:tcPr>
            <w:tcW w:w="1108" w:type="dxa"/>
            <w:tcBorders>
              <w:top w:val="nil"/>
              <w:left w:val="nil"/>
              <w:bottom w:val="nil"/>
              <w:right w:val="single" w:sz="8" w:space="0" w:color="auto"/>
            </w:tcBorders>
            <w:shd w:val="clear" w:color="auto" w:fill="auto"/>
            <w:vAlign w:val="center"/>
            <w:hideMark/>
          </w:tcPr>
          <w:p w14:paraId="0D4894D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w:t>
            </w:r>
          </w:p>
        </w:tc>
        <w:tc>
          <w:tcPr>
            <w:tcW w:w="1108" w:type="dxa"/>
            <w:tcBorders>
              <w:top w:val="nil"/>
              <w:left w:val="nil"/>
              <w:bottom w:val="nil"/>
              <w:right w:val="single" w:sz="8" w:space="0" w:color="auto"/>
            </w:tcBorders>
            <w:shd w:val="clear" w:color="auto" w:fill="auto"/>
            <w:vAlign w:val="center"/>
            <w:hideMark/>
          </w:tcPr>
          <w:p w14:paraId="3481D39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1,322</w:t>
            </w:r>
          </w:p>
        </w:tc>
      </w:tr>
      <w:tr w:rsidR="00D33F7C" w:rsidRPr="00037B23" w14:paraId="0C9934C8"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3DADFAE0"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BME Spanish Exchanges</w:t>
            </w:r>
          </w:p>
        </w:tc>
        <w:tc>
          <w:tcPr>
            <w:tcW w:w="1110" w:type="dxa"/>
            <w:tcBorders>
              <w:top w:val="nil"/>
              <w:left w:val="single" w:sz="8" w:space="0" w:color="auto"/>
              <w:bottom w:val="nil"/>
              <w:right w:val="single" w:sz="8" w:space="0" w:color="auto"/>
            </w:tcBorders>
            <w:shd w:val="clear" w:color="auto" w:fill="auto"/>
            <w:vAlign w:val="center"/>
            <w:hideMark/>
          </w:tcPr>
          <w:p w14:paraId="567E3E4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491,348</w:t>
            </w:r>
          </w:p>
        </w:tc>
        <w:tc>
          <w:tcPr>
            <w:tcW w:w="1108" w:type="dxa"/>
            <w:tcBorders>
              <w:top w:val="nil"/>
              <w:left w:val="nil"/>
              <w:bottom w:val="nil"/>
              <w:right w:val="single" w:sz="8" w:space="0" w:color="auto"/>
            </w:tcBorders>
            <w:shd w:val="clear" w:color="auto" w:fill="auto"/>
            <w:vAlign w:val="center"/>
            <w:hideMark/>
          </w:tcPr>
          <w:p w14:paraId="442776D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46,620</w:t>
            </w:r>
          </w:p>
        </w:tc>
        <w:tc>
          <w:tcPr>
            <w:tcW w:w="1108" w:type="dxa"/>
            <w:tcBorders>
              <w:top w:val="nil"/>
              <w:left w:val="nil"/>
              <w:bottom w:val="nil"/>
              <w:right w:val="single" w:sz="8" w:space="0" w:color="auto"/>
            </w:tcBorders>
            <w:shd w:val="clear" w:color="auto" w:fill="auto"/>
            <w:vAlign w:val="center"/>
            <w:hideMark/>
          </w:tcPr>
          <w:p w14:paraId="3907028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110,418</w:t>
            </w:r>
          </w:p>
        </w:tc>
        <w:tc>
          <w:tcPr>
            <w:tcW w:w="1156" w:type="dxa"/>
            <w:tcBorders>
              <w:top w:val="nil"/>
              <w:left w:val="nil"/>
              <w:bottom w:val="nil"/>
              <w:right w:val="single" w:sz="8" w:space="0" w:color="auto"/>
            </w:tcBorders>
            <w:shd w:val="clear" w:color="auto" w:fill="auto"/>
            <w:vAlign w:val="center"/>
            <w:hideMark/>
          </w:tcPr>
          <w:p w14:paraId="5CF8C88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117,505</w:t>
            </w:r>
          </w:p>
        </w:tc>
        <w:tc>
          <w:tcPr>
            <w:tcW w:w="1108" w:type="dxa"/>
            <w:tcBorders>
              <w:top w:val="nil"/>
              <w:left w:val="nil"/>
              <w:bottom w:val="nil"/>
              <w:right w:val="single" w:sz="8" w:space="0" w:color="auto"/>
            </w:tcBorders>
            <w:shd w:val="clear" w:color="auto" w:fill="auto"/>
            <w:vAlign w:val="center"/>
            <w:hideMark/>
          </w:tcPr>
          <w:p w14:paraId="4F3130C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1,284</w:t>
            </w:r>
          </w:p>
        </w:tc>
        <w:tc>
          <w:tcPr>
            <w:tcW w:w="1108" w:type="dxa"/>
            <w:tcBorders>
              <w:top w:val="nil"/>
              <w:left w:val="nil"/>
              <w:bottom w:val="nil"/>
              <w:right w:val="single" w:sz="8" w:space="0" w:color="auto"/>
            </w:tcBorders>
            <w:shd w:val="clear" w:color="auto" w:fill="auto"/>
            <w:vAlign w:val="center"/>
            <w:hideMark/>
          </w:tcPr>
          <w:p w14:paraId="2D28AD9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628,431</w:t>
            </w:r>
          </w:p>
        </w:tc>
      </w:tr>
      <w:tr w:rsidR="00D33F7C" w:rsidRPr="00037B23" w14:paraId="201FACB8"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6C8AA0D7"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Borsa Istanbul</w:t>
            </w:r>
          </w:p>
        </w:tc>
        <w:tc>
          <w:tcPr>
            <w:tcW w:w="1110" w:type="dxa"/>
            <w:tcBorders>
              <w:top w:val="nil"/>
              <w:left w:val="single" w:sz="8" w:space="0" w:color="auto"/>
              <w:bottom w:val="nil"/>
              <w:right w:val="single" w:sz="8" w:space="0" w:color="auto"/>
            </w:tcBorders>
            <w:shd w:val="clear" w:color="auto" w:fill="auto"/>
            <w:vAlign w:val="center"/>
            <w:hideMark/>
          </w:tcPr>
          <w:p w14:paraId="1D493D3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5,076,929</w:t>
            </w:r>
          </w:p>
        </w:tc>
        <w:tc>
          <w:tcPr>
            <w:tcW w:w="1108" w:type="dxa"/>
            <w:tcBorders>
              <w:top w:val="nil"/>
              <w:left w:val="nil"/>
              <w:bottom w:val="nil"/>
              <w:right w:val="single" w:sz="8" w:space="0" w:color="auto"/>
            </w:tcBorders>
            <w:shd w:val="clear" w:color="auto" w:fill="auto"/>
            <w:vAlign w:val="center"/>
            <w:hideMark/>
          </w:tcPr>
          <w:p w14:paraId="1DBD0F4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9,107</w:t>
            </w:r>
          </w:p>
        </w:tc>
        <w:tc>
          <w:tcPr>
            <w:tcW w:w="1108" w:type="dxa"/>
            <w:tcBorders>
              <w:top w:val="nil"/>
              <w:left w:val="nil"/>
              <w:bottom w:val="nil"/>
              <w:right w:val="single" w:sz="8" w:space="0" w:color="auto"/>
            </w:tcBorders>
            <w:shd w:val="clear" w:color="auto" w:fill="auto"/>
            <w:vAlign w:val="center"/>
            <w:hideMark/>
          </w:tcPr>
          <w:p w14:paraId="78FF595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587,022</w:t>
            </w:r>
          </w:p>
        </w:tc>
        <w:tc>
          <w:tcPr>
            <w:tcW w:w="1156" w:type="dxa"/>
            <w:tcBorders>
              <w:top w:val="nil"/>
              <w:left w:val="nil"/>
              <w:bottom w:val="nil"/>
              <w:right w:val="single" w:sz="8" w:space="0" w:color="auto"/>
            </w:tcBorders>
            <w:shd w:val="clear" w:color="auto" w:fill="auto"/>
            <w:vAlign w:val="center"/>
            <w:hideMark/>
          </w:tcPr>
          <w:p w14:paraId="7713ADA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20,035</w:t>
            </w:r>
          </w:p>
        </w:tc>
        <w:tc>
          <w:tcPr>
            <w:tcW w:w="1108" w:type="dxa"/>
            <w:tcBorders>
              <w:top w:val="nil"/>
              <w:left w:val="nil"/>
              <w:bottom w:val="nil"/>
              <w:right w:val="single" w:sz="8" w:space="0" w:color="auto"/>
            </w:tcBorders>
            <w:shd w:val="clear" w:color="auto" w:fill="auto"/>
            <w:vAlign w:val="center"/>
            <w:hideMark/>
          </w:tcPr>
          <w:p w14:paraId="48F8F4E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36</w:t>
            </w:r>
          </w:p>
        </w:tc>
        <w:tc>
          <w:tcPr>
            <w:tcW w:w="1108" w:type="dxa"/>
            <w:tcBorders>
              <w:top w:val="nil"/>
              <w:left w:val="nil"/>
              <w:bottom w:val="nil"/>
              <w:right w:val="single" w:sz="8" w:space="0" w:color="auto"/>
            </w:tcBorders>
            <w:shd w:val="clear" w:color="auto" w:fill="auto"/>
            <w:vAlign w:val="center"/>
            <w:hideMark/>
          </w:tcPr>
          <w:p w14:paraId="11D7D55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18,367</w:t>
            </w:r>
          </w:p>
        </w:tc>
      </w:tr>
      <w:tr w:rsidR="00D33F7C" w:rsidRPr="00037B23" w14:paraId="3EE24384"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7A31C0F8"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Budapest Stock Exchange</w:t>
            </w:r>
          </w:p>
        </w:tc>
        <w:tc>
          <w:tcPr>
            <w:tcW w:w="1110" w:type="dxa"/>
            <w:tcBorders>
              <w:top w:val="nil"/>
              <w:left w:val="single" w:sz="8" w:space="0" w:color="auto"/>
              <w:bottom w:val="nil"/>
              <w:right w:val="single" w:sz="8" w:space="0" w:color="auto"/>
            </w:tcBorders>
            <w:shd w:val="clear" w:color="auto" w:fill="auto"/>
            <w:vAlign w:val="center"/>
            <w:hideMark/>
          </w:tcPr>
          <w:p w14:paraId="61C4D7C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32,883</w:t>
            </w:r>
          </w:p>
        </w:tc>
        <w:tc>
          <w:tcPr>
            <w:tcW w:w="1108" w:type="dxa"/>
            <w:tcBorders>
              <w:top w:val="nil"/>
              <w:left w:val="nil"/>
              <w:bottom w:val="nil"/>
              <w:right w:val="single" w:sz="8" w:space="0" w:color="auto"/>
            </w:tcBorders>
            <w:shd w:val="clear" w:color="auto" w:fill="auto"/>
            <w:vAlign w:val="center"/>
            <w:hideMark/>
          </w:tcPr>
          <w:p w14:paraId="5797373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52</w:t>
            </w:r>
          </w:p>
        </w:tc>
        <w:tc>
          <w:tcPr>
            <w:tcW w:w="1108" w:type="dxa"/>
            <w:tcBorders>
              <w:top w:val="nil"/>
              <w:left w:val="nil"/>
              <w:bottom w:val="nil"/>
              <w:right w:val="single" w:sz="8" w:space="0" w:color="auto"/>
            </w:tcBorders>
            <w:shd w:val="clear" w:color="auto" w:fill="auto"/>
            <w:vAlign w:val="center"/>
            <w:hideMark/>
          </w:tcPr>
          <w:p w14:paraId="5F2E738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12,750</w:t>
            </w:r>
          </w:p>
        </w:tc>
        <w:tc>
          <w:tcPr>
            <w:tcW w:w="1156" w:type="dxa"/>
            <w:tcBorders>
              <w:top w:val="nil"/>
              <w:left w:val="nil"/>
              <w:bottom w:val="nil"/>
              <w:right w:val="single" w:sz="8" w:space="0" w:color="auto"/>
            </w:tcBorders>
            <w:shd w:val="clear" w:color="auto" w:fill="auto"/>
            <w:vAlign w:val="center"/>
            <w:hideMark/>
          </w:tcPr>
          <w:p w14:paraId="1413CD0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08" w:type="dxa"/>
            <w:tcBorders>
              <w:top w:val="nil"/>
              <w:left w:val="nil"/>
              <w:bottom w:val="nil"/>
              <w:right w:val="single" w:sz="8" w:space="0" w:color="auto"/>
            </w:tcBorders>
            <w:shd w:val="clear" w:color="auto" w:fill="auto"/>
            <w:vAlign w:val="center"/>
            <w:hideMark/>
          </w:tcPr>
          <w:p w14:paraId="56AC5E9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08" w:type="dxa"/>
            <w:tcBorders>
              <w:top w:val="nil"/>
              <w:left w:val="nil"/>
              <w:bottom w:val="nil"/>
              <w:right w:val="single" w:sz="8" w:space="0" w:color="auto"/>
            </w:tcBorders>
            <w:shd w:val="clear" w:color="auto" w:fill="auto"/>
            <w:vAlign w:val="center"/>
            <w:hideMark/>
          </w:tcPr>
          <w:p w14:paraId="2DB61F7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5BF7FA47"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094501A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Deutsche Boerse AG</w:t>
            </w:r>
          </w:p>
        </w:tc>
        <w:tc>
          <w:tcPr>
            <w:tcW w:w="1110" w:type="dxa"/>
            <w:tcBorders>
              <w:top w:val="nil"/>
              <w:left w:val="single" w:sz="8" w:space="0" w:color="auto"/>
              <w:bottom w:val="nil"/>
              <w:right w:val="single" w:sz="8" w:space="0" w:color="auto"/>
            </w:tcBorders>
            <w:shd w:val="clear" w:color="auto" w:fill="auto"/>
            <w:vAlign w:val="center"/>
            <w:hideMark/>
          </w:tcPr>
          <w:p w14:paraId="375C862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30,062,311</w:t>
            </w:r>
          </w:p>
        </w:tc>
        <w:tc>
          <w:tcPr>
            <w:tcW w:w="1108" w:type="dxa"/>
            <w:tcBorders>
              <w:top w:val="nil"/>
              <w:left w:val="nil"/>
              <w:bottom w:val="nil"/>
              <w:right w:val="single" w:sz="8" w:space="0" w:color="auto"/>
            </w:tcBorders>
            <w:shd w:val="clear" w:color="auto" w:fill="auto"/>
            <w:vAlign w:val="center"/>
            <w:hideMark/>
          </w:tcPr>
          <w:p w14:paraId="7393925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1,762,695</w:t>
            </w:r>
          </w:p>
        </w:tc>
        <w:tc>
          <w:tcPr>
            <w:tcW w:w="1108" w:type="dxa"/>
            <w:tcBorders>
              <w:top w:val="nil"/>
              <w:left w:val="nil"/>
              <w:bottom w:val="nil"/>
              <w:right w:val="single" w:sz="8" w:space="0" w:color="auto"/>
            </w:tcBorders>
            <w:shd w:val="clear" w:color="auto" w:fill="auto"/>
            <w:vAlign w:val="center"/>
            <w:hideMark/>
          </w:tcPr>
          <w:p w14:paraId="7F62A77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10,538,720</w:t>
            </w:r>
          </w:p>
        </w:tc>
        <w:tc>
          <w:tcPr>
            <w:tcW w:w="1156" w:type="dxa"/>
            <w:tcBorders>
              <w:top w:val="nil"/>
              <w:left w:val="nil"/>
              <w:bottom w:val="nil"/>
              <w:right w:val="single" w:sz="8" w:space="0" w:color="auto"/>
            </w:tcBorders>
            <w:shd w:val="clear" w:color="auto" w:fill="auto"/>
            <w:vAlign w:val="center"/>
            <w:hideMark/>
          </w:tcPr>
          <w:p w14:paraId="06C05F2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29,222,391</w:t>
            </w:r>
          </w:p>
        </w:tc>
        <w:tc>
          <w:tcPr>
            <w:tcW w:w="1108" w:type="dxa"/>
            <w:tcBorders>
              <w:top w:val="nil"/>
              <w:left w:val="nil"/>
              <w:bottom w:val="nil"/>
              <w:right w:val="single" w:sz="8" w:space="0" w:color="auto"/>
            </w:tcBorders>
            <w:shd w:val="clear" w:color="auto" w:fill="auto"/>
            <w:vAlign w:val="center"/>
            <w:hideMark/>
          </w:tcPr>
          <w:p w14:paraId="1D0DF3B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1,301,595</w:t>
            </w:r>
          </w:p>
        </w:tc>
        <w:tc>
          <w:tcPr>
            <w:tcW w:w="1108" w:type="dxa"/>
            <w:tcBorders>
              <w:top w:val="nil"/>
              <w:left w:val="nil"/>
              <w:bottom w:val="nil"/>
              <w:right w:val="single" w:sz="8" w:space="0" w:color="auto"/>
            </w:tcBorders>
            <w:shd w:val="clear" w:color="auto" w:fill="auto"/>
            <w:vAlign w:val="center"/>
            <w:hideMark/>
          </w:tcPr>
          <w:p w14:paraId="3B4B89F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54,096,355</w:t>
            </w:r>
          </w:p>
        </w:tc>
      </w:tr>
      <w:tr w:rsidR="00D33F7C" w:rsidRPr="00037B23" w14:paraId="0250F432"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53496F2D"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Euronext</w:t>
            </w:r>
          </w:p>
        </w:tc>
        <w:tc>
          <w:tcPr>
            <w:tcW w:w="1110" w:type="dxa"/>
            <w:tcBorders>
              <w:top w:val="nil"/>
              <w:left w:val="single" w:sz="8" w:space="0" w:color="auto"/>
              <w:bottom w:val="nil"/>
              <w:right w:val="single" w:sz="8" w:space="0" w:color="auto"/>
            </w:tcBorders>
            <w:shd w:val="clear" w:color="auto" w:fill="auto"/>
            <w:vAlign w:val="center"/>
            <w:hideMark/>
          </w:tcPr>
          <w:p w14:paraId="433AF51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3,246,883</w:t>
            </w:r>
          </w:p>
        </w:tc>
        <w:tc>
          <w:tcPr>
            <w:tcW w:w="1108" w:type="dxa"/>
            <w:tcBorders>
              <w:top w:val="nil"/>
              <w:left w:val="nil"/>
              <w:bottom w:val="nil"/>
              <w:right w:val="single" w:sz="8" w:space="0" w:color="auto"/>
            </w:tcBorders>
            <w:shd w:val="clear" w:color="auto" w:fill="auto"/>
            <w:vAlign w:val="center"/>
            <w:hideMark/>
          </w:tcPr>
          <w:p w14:paraId="47D8D10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314,161</w:t>
            </w:r>
          </w:p>
        </w:tc>
        <w:tc>
          <w:tcPr>
            <w:tcW w:w="1108" w:type="dxa"/>
            <w:tcBorders>
              <w:top w:val="nil"/>
              <w:left w:val="nil"/>
              <w:bottom w:val="nil"/>
              <w:right w:val="single" w:sz="8" w:space="0" w:color="auto"/>
            </w:tcBorders>
            <w:shd w:val="clear" w:color="auto" w:fill="auto"/>
            <w:vAlign w:val="center"/>
            <w:hideMark/>
          </w:tcPr>
          <w:p w14:paraId="63D83F2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785,691</w:t>
            </w:r>
          </w:p>
        </w:tc>
        <w:tc>
          <w:tcPr>
            <w:tcW w:w="1156" w:type="dxa"/>
            <w:tcBorders>
              <w:top w:val="nil"/>
              <w:left w:val="nil"/>
              <w:bottom w:val="nil"/>
              <w:right w:val="single" w:sz="8" w:space="0" w:color="auto"/>
            </w:tcBorders>
            <w:shd w:val="clear" w:color="auto" w:fill="auto"/>
            <w:vAlign w:val="center"/>
            <w:hideMark/>
          </w:tcPr>
          <w:p w14:paraId="79FAAE4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1,582,192</w:t>
            </w:r>
          </w:p>
        </w:tc>
        <w:tc>
          <w:tcPr>
            <w:tcW w:w="1108" w:type="dxa"/>
            <w:tcBorders>
              <w:top w:val="nil"/>
              <w:left w:val="nil"/>
              <w:bottom w:val="nil"/>
              <w:right w:val="single" w:sz="8" w:space="0" w:color="auto"/>
            </w:tcBorders>
            <w:shd w:val="clear" w:color="auto" w:fill="auto"/>
            <w:vAlign w:val="center"/>
            <w:hideMark/>
          </w:tcPr>
          <w:p w14:paraId="20FDAD9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121,286</w:t>
            </w:r>
          </w:p>
        </w:tc>
        <w:tc>
          <w:tcPr>
            <w:tcW w:w="1108" w:type="dxa"/>
            <w:tcBorders>
              <w:top w:val="nil"/>
              <w:left w:val="nil"/>
              <w:bottom w:val="nil"/>
              <w:right w:val="single" w:sz="8" w:space="0" w:color="auto"/>
            </w:tcBorders>
            <w:shd w:val="clear" w:color="auto" w:fill="auto"/>
            <w:vAlign w:val="center"/>
            <w:hideMark/>
          </w:tcPr>
          <w:p w14:paraId="3EF9702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939,806</w:t>
            </w:r>
          </w:p>
        </w:tc>
      </w:tr>
      <w:tr w:rsidR="00D33F7C" w:rsidRPr="00037B23" w14:paraId="4CFFE66E"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76B4DC1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Moscow Exchange</w:t>
            </w:r>
          </w:p>
        </w:tc>
        <w:tc>
          <w:tcPr>
            <w:tcW w:w="1110" w:type="dxa"/>
            <w:tcBorders>
              <w:top w:val="nil"/>
              <w:left w:val="single" w:sz="8" w:space="0" w:color="auto"/>
              <w:bottom w:val="nil"/>
              <w:right w:val="single" w:sz="8" w:space="0" w:color="auto"/>
            </w:tcBorders>
            <w:shd w:val="clear" w:color="auto" w:fill="auto"/>
            <w:vAlign w:val="center"/>
            <w:hideMark/>
          </w:tcPr>
          <w:p w14:paraId="136BFB2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10,706,090</w:t>
            </w:r>
          </w:p>
        </w:tc>
        <w:tc>
          <w:tcPr>
            <w:tcW w:w="1108" w:type="dxa"/>
            <w:tcBorders>
              <w:top w:val="nil"/>
              <w:left w:val="nil"/>
              <w:bottom w:val="nil"/>
              <w:right w:val="single" w:sz="8" w:space="0" w:color="auto"/>
            </w:tcBorders>
            <w:shd w:val="clear" w:color="auto" w:fill="auto"/>
            <w:vAlign w:val="center"/>
            <w:hideMark/>
          </w:tcPr>
          <w:p w14:paraId="308E085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32,425</w:t>
            </w:r>
          </w:p>
        </w:tc>
        <w:tc>
          <w:tcPr>
            <w:tcW w:w="1108" w:type="dxa"/>
            <w:tcBorders>
              <w:top w:val="nil"/>
              <w:left w:val="nil"/>
              <w:bottom w:val="nil"/>
              <w:right w:val="single" w:sz="8" w:space="0" w:color="auto"/>
            </w:tcBorders>
            <w:shd w:val="clear" w:color="auto" w:fill="auto"/>
            <w:vAlign w:val="center"/>
            <w:hideMark/>
          </w:tcPr>
          <w:p w14:paraId="53E1D16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571,296</w:t>
            </w:r>
          </w:p>
        </w:tc>
        <w:tc>
          <w:tcPr>
            <w:tcW w:w="1156" w:type="dxa"/>
            <w:tcBorders>
              <w:top w:val="nil"/>
              <w:left w:val="nil"/>
              <w:bottom w:val="nil"/>
              <w:right w:val="single" w:sz="8" w:space="0" w:color="auto"/>
            </w:tcBorders>
            <w:shd w:val="clear" w:color="auto" w:fill="auto"/>
            <w:vAlign w:val="center"/>
            <w:hideMark/>
          </w:tcPr>
          <w:p w14:paraId="192B75A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1,089,081</w:t>
            </w:r>
          </w:p>
        </w:tc>
        <w:tc>
          <w:tcPr>
            <w:tcW w:w="1108" w:type="dxa"/>
            <w:tcBorders>
              <w:top w:val="nil"/>
              <w:left w:val="nil"/>
              <w:bottom w:val="nil"/>
              <w:right w:val="single" w:sz="8" w:space="0" w:color="auto"/>
            </w:tcBorders>
            <w:shd w:val="clear" w:color="auto" w:fill="auto"/>
            <w:vAlign w:val="center"/>
            <w:hideMark/>
          </w:tcPr>
          <w:p w14:paraId="334D263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3,360</w:t>
            </w:r>
          </w:p>
        </w:tc>
        <w:tc>
          <w:tcPr>
            <w:tcW w:w="1108" w:type="dxa"/>
            <w:tcBorders>
              <w:top w:val="nil"/>
              <w:left w:val="nil"/>
              <w:bottom w:val="nil"/>
              <w:right w:val="single" w:sz="8" w:space="0" w:color="auto"/>
            </w:tcBorders>
            <w:shd w:val="clear" w:color="auto" w:fill="auto"/>
            <w:vAlign w:val="center"/>
            <w:hideMark/>
          </w:tcPr>
          <w:p w14:paraId="31C0D03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472,146</w:t>
            </w:r>
          </w:p>
        </w:tc>
      </w:tr>
      <w:tr w:rsidR="00D33F7C" w:rsidRPr="00037B23" w14:paraId="102FE77D"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1037E2C1"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Nasdaq Nordic and Baltics</w:t>
            </w:r>
          </w:p>
        </w:tc>
        <w:tc>
          <w:tcPr>
            <w:tcW w:w="1110" w:type="dxa"/>
            <w:tcBorders>
              <w:top w:val="nil"/>
              <w:left w:val="single" w:sz="8" w:space="0" w:color="auto"/>
              <w:bottom w:val="nil"/>
              <w:right w:val="single" w:sz="8" w:space="0" w:color="auto"/>
            </w:tcBorders>
            <w:shd w:val="clear" w:color="auto" w:fill="auto"/>
            <w:vAlign w:val="center"/>
            <w:hideMark/>
          </w:tcPr>
          <w:p w14:paraId="4B02C2F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2,820,480</w:t>
            </w:r>
          </w:p>
        </w:tc>
        <w:tc>
          <w:tcPr>
            <w:tcW w:w="1108" w:type="dxa"/>
            <w:tcBorders>
              <w:top w:val="nil"/>
              <w:left w:val="nil"/>
              <w:bottom w:val="nil"/>
              <w:right w:val="single" w:sz="8" w:space="0" w:color="auto"/>
            </w:tcBorders>
            <w:shd w:val="clear" w:color="auto" w:fill="auto"/>
            <w:vAlign w:val="center"/>
            <w:hideMark/>
          </w:tcPr>
          <w:p w14:paraId="43FDF75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75,072</w:t>
            </w:r>
          </w:p>
        </w:tc>
        <w:tc>
          <w:tcPr>
            <w:tcW w:w="1108" w:type="dxa"/>
            <w:tcBorders>
              <w:top w:val="nil"/>
              <w:left w:val="nil"/>
              <w:bottom w:val="nil"/>
              <w:right w:val="single" w:sz="8" w:space="0" w:color="auto"/>
            </w:tcBorders>
            <w:shd w:val="clear" w:color="auto" w:fill="auto"/>
            <w:vAlign w:val="center"/>
            <w:hideMark/>
          </w:tcPr>
          <w:p w14:paraId="010773C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430,885</w:t>
            </w:r>
          </w:p>
        </w:tc>
        <w:tc>
          <w:tcPr>
            <w:tcW w:w="1156" w:type="dxa"/>
            <w:tcBorders>
              <w:top w:val="nil"/>
              <w:left w:val="nil"/>
              <w:bottom w:val="nil"/>
              <w:right w:val="single" w:sz="8" w:space="0" w:color="auto"/>
            </w:tcBorders>
            <w:shd w:val="clear" w:color="auto" w:fill="auto"/>
            <w:vAlign w:val="center"/>
            <w:hideMark/>
          </w:tcPr>
          <w:p w14:paraId="15F0FCE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341,269</w:t>
            </w:r>
          </w:p>
        </w:tc>
        <w:tc>
          <w:tcPr>
            <w:tcW w:w="1108" w:type="dxa"/>
            <w:tcBorders>
              <w:top w:val="nil"/>
              <w:left w:val="nil"/>
              <w:bottom w:val="nil"/>
              <w:right w:val="single" w:sz="8" w:space="0" w:color="auto"/>
            </w:tcBorders>
            <w:shd w:val="clear" w:color="auto" w:fill="auto"/>
            <w:vAlign w:val="center"/>
            <w:hideMark/>
          </w:tcPr>
          <w:p w14:paraId="5922BD1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9,043</w:t>
            </w:r>
          </w:p>
        </w:tc>
        <w:tc>
          <w:tcPr>
            <w:tcW w:w="1108" w:type="dxa"/>
            <w:tcBorders>
              <w:top w:val="nil"/>
              <w:left w:val="nil"/>
              <w:bottom w:val="nil"/>
              <w:right w:val="single" w:sz="8" w:space="0" w:color="auto"/>
            </w:tcBorders>
            <w:shd w:val="clear" w:color="auto" w:fill="auto"/>
            <w:vAlign w:val="center"/>
            <w:hideMark/>
          </w:tcPr>
          <w:p w14:paraId="24BD609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417,485</w:t>
            </w:r>
          </w:p>
        </w:tc>
      </w:tr>
      <w:tr w:rsidR="00D33F7C" w:rsidRPr="00037B23" w14:paraId="7EAE4CE4" w14:textId="77777777" w:rsidTr="00E213CE">
        <w:trPr>
          <w:trHeight w:val="248"/>
        </w:trPr>
        <w:tc>
          <w:tcPr>
            <w:tcW w:w="3555" w:type="dxa"/>
            <w:tcBorders>
              <w:top w:val="nil"/>
              <w:left w:val="single" w:sz="4" w:space="0" w:color="auto"/>
              <w:bottom w:val="nil"/>
              <w:right w:val="nil"/>
            </w:tcBorders>
            <w:shd w:val="clear" w:color="000000" w:fill="B4C6E7"/>
            <w:vAlign w:val="center"/>
            <w:hideMark/>
          </w:tcPr>
          <w:p w14:paraId="18D05D5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Tel-Aviv Stock Exchange</w:t>
            </w:r>
          </w:p>
        </w:tc>
        <w:tc>
          <w:tcPr>
            <w:tcW w:w="1110" w:type="dxa"/>
            <w:tcBorders>
              <w:top w:val="nil"/>
              <w:left w:val="single" w:sz="8" w:space="0" w:color="auto"/>
              <w:bottom w:val="nil"/>
              <w:right w:val="single" w:sz="8" w:space="0" w:color="auto"/>
            </w:tcBorders>
            <w:shd w:val="clear" w:color="auto" w:fill="auto"/>
            <w:vAlign w:val="center"/>
            <w:hideMark/>
          </w:tcPr>
          <w:p w14:paraId="0C99653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73CBBE1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8" w:type="dxa"/>
            <w:tcBorders>
              <w:top w:val="nil"/>
              <w:left w:val="nil"/>
              <w:bottom w:val="nil"/>
              <w:right w:val="single" w:sz="8" w:space="0" w:color="auto"/>
            </w:tcBorders>
            <w:shd w:val="clear" w:color="auto" w:fill="auto"/>
            <w:vAlign w:val="center"/>
            <w:hideMark/>
          </w:tcPr>
          <w:p w14:paraId="6A47BE5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56" w:type="dxa"/>
            <w:tcBorders>
              <w:top w:val="nil"/>
              <w:left w:val="nil"/>
              <w:bottom w:val="nil"/>
              <w:right w:val="single" w:sz="8" w:space="0" w:color="auto"/>
            </w:tcBorders>
            <w:shd w:val="clear" w:color="auto" w:fill="auto"/>
            <w:vAlign w:val="center"/>
            <w:hideMark/>
          </w:tcPr>
          <w:p w14:paraId="5D5EB92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2,207,010</w:t>
            </w:r>
          </w:p>
        </w:tc>
        <w:tc>
          <w:tcPr>
            <w:tcW w:w="1108" w:type="dxa"/>
            <w:tcBorders>
              <w:top w:val="nil"/>
              <w:left w:val="nil"/>
              <w:bottom w:val="nil"/>
              <w:right w:val="single" w:sz="8" w:space="0" w:color="auto"/>
            </w:tcBorders>
            <w:shd w:val="clear" w:color="auto" w:fill="auto"/>
            <w:vAlign w:val="center"/>
            <w:hideMark/>
          </w:tcPr>
          <w:p w14:paraId="15F1A59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113,560</w:t>
            </w:r>
          </w:p>
        </w:tc>
        <w:tc>
          <w:tcPr>
            <w:tcW w:w="1108" w:type="dxa"/>
            <w:tcBorders>
              <w:top w:val="nil"/>
              <w:left w:val="nil"/>
              <w:bottom w:val="nil"/>
              <w:right w:val="single" w:sz="8" w:space="0" w:color="auto"/>
            </w:tcBorders>
            <w:shd w:val="clear" w:color="auto" w:fill="auto"/>
            <w:vAlign w:val="center"/>
            <w:hideMark/>
          </w:tcPr>
          <w:p w14:paraId="726A9A4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151,822</w:t>
            </w:r>
          </w:p>
        </w:tc>
      </w:tr>
      <w:tr w:rsidR="00D33F7C" w:rsidRPr="00037B23" w14:paraId="2E4B0DC3" w14:textId="77777777" w:rsidTr="00E213CE">
        <w:trPr>
          <w:trHeight w:val="260"/>
        </w:trPr>
        <w:tc>
          <w:tcPr>
            <w:tcW w:w="3555" w:type="dxa"/>
            <w:tcBorders>
              <w:top w:val="nil"/>
              <w:left w:val="single" w:sz="4" w:space="0" w:color="auto"/>
              <w:bottom w:val="nil"/>
              <w:right w:val="nil"/>
            </w:tcBorders>
            <w:shd w:val="clear" w:color="000000" w:fill="B4C6E7"/>
            <w:vAlign w:val="center"/>
            <w:hideMark/>
          </w:tcPr>
          <w:p w14:paraId="7FC8CD9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Warsaw Stock Exchange</w:t>
            </w:r>
          </w:p>
        </w:tc>
        <w:tc>
          <w:tcPr>
            <w:tcW w:w="1110" w:type="dxa"/>
            <w:tcBorders>
              <w:top w:val="nil"/>
              <w:left w:val="single" w:sz="8" w:space="0" w:color="auto"/>
              <w:bottom w:val="nil"/>
              <w:right w:val="single" w:sz="8" w:space="0" w:color="auto"/>
            </w:tcBorders>
            <w:shd w:val="clear" w:color="auto" w:fill="auto"/>
            <w:vAlign w:val="center"/>
            <w:hideMark/>
          </w:tcPr>
          <w:p w14:paraId="5585444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478,475</w:t>
            </w:r>
          </w:p>
        </w:tc>
        <w:tc>
          <w:tcPr>
            <w:tcW w:w="1108" w:type="dxa"/>
            <w:tcBorders>
              <w:top w:val="nil"/>
              <w:left w:val="nil"/>
              <w:bottom w:val="nil"/>
              <w:right w:val="single" w:sz="8" w:space="0" w:color="auto"/>
            </w:tcBorders>
            <w:shd w:val="clear" w:color="auto" w:fill="auto"/>
            <w:vAlign w:val="center"/>
            <w:hideMark/>
          </w:tcPr>
          <w:p w14:paraId="7499007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5,441</w:t>
            </w:r>
          </w:p>
        </w:tc>
        <w:tc>
          <w:tcPr>
            <w:tcW w:w="1108" w:type="dxa"/>
            <w:tcBorders>
              <w:top w:val="nil"/>
              <w:left w:val="nil"/>
              <w:bottom w:val="nil"/>
              <w:right w:val="single" w:sz="8" w:space="0" w:color="auto"/>
            </w:tcBorders>
            <w:shd w:val="clear" w:color="auto" w:fill="auto"/>
            <w:vAlign w:val="center"/>
            <w:hideMark/>
          </w:tcPr>
          <w:p w14:paraId="2CB43A5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40,305</w:t>
            </w:r>
          </w:p>
        </w:tc>
        <w:tc>
          <w:tcPr>
            <w:tcW w:w="1156" w:type="dxa"/>
            <w:tcBorders>
              <w:top w:val="nil"/>
              <w:left w:val="nil"/>
              <w:bottom w:val="nil"/>
              <w:right w:val="single" w:sz="8" w:space="0" w:color="auto"/>
            </w:tcBorders>
            <w:shd w:val="clear" w:color="auto" w:fill="auto"/>
            <w:vAlign w:val="center"/>
            <w:hideMark/>
          </w:tcPr>
          <w:p w14:paraId="192FC6F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32,043</w:t>
            </w:r>
          </w:p>
        </w:tc>
        <w:tc>
          <w:tcPr>
            <w:tcW w:w="1108" w:type="dxa"/>
            <w:tcBorders>
              <w:top w:val="nil"/>
              <w:left w:val="nil"/>
              <w:bottom w:val="nil"/>
              <w:right w:val="single" w:sz="8" w:space="0" w:color="auto"/>
            </w:tcBorders>
            <w:shd w:val="clear" w:color="auto" w:fill="auto"/>
            <w:vAlign w:val="center"/>
            <w:hideMark/>
          </w:tcPr>
          <w:p w14:paraId="58EFFE7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186</w:t>
            </w:r>
          </w:p>
        </w:tc>
        <w:tc>
          <w:tcPr>
            <w:tcW w:w="1108" w:type="dxa"/>
            <w:tcBorders>
              <w:top w:val="nil"/>
              <w:left w:val="nil"/>
              <w:bottom w:val="nil"/>
              <w:right w:val="single" w:sz="8" w:space="0" w:color="auto"/>
            </w:tcBorders>
            <w:shd w:val="clear" w:color="auto" w:fill="auto"/>
            <w:vAlign w:val="center"/>
            <w:hideMark/>
          </w:tcPr>
          <w:p w14:paraId="0A02F3A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20,467</w:t>
            </w:r>
          </w:p>
        </w:tc>
      </w:tr>
      <w:tr w:rsidR="00D33F7C" w:rsidRPr="00037B23" w14:paraId="0957C5EA" w14:textId="77777777" w:rsidTr="00E213CE">
        <w:trPr>
          <w:trHeight w:val="260"/>
        </w:trPr>
        <w:tc>
          <w:tcPr>
            <w:tcW w:w="3555" w:type="dxa"/>
            <w:tcBorders>
              <w:top w:val="single" w:sz="8" w:space="0" w:color="auto"/>
              <w:left w:val="single" w:sz="8" w:space="0" w:color="auto"/>
              <w:bottom w:val="single" w:sz="8" w:space="0" w:color="auto"/>
              <w:right w:val="nil"/>
            </w:tcBorders>
            <w:shd w:val="clear" w:color="000000" w:fill="D9E1F2"/>
            <w:vAlign w:val="center"/>
            <w:hideMark/>
          </w:tcPr>
          <w:p w14:paraId="105BCA7C" w14:textId="77777777" w:rsidR="00D33F7C" w:rsidRPr="00037B23" w:rsidRDefault="00D33F7C" w:rsidP="00E213CE">
            <w:pP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Grand Total</w:t>
            </w:r>
          </w:p>
        </w:tc>
        <w:tc>
          <w:tcPr>
            <w:tcW w:w="1110" w:type="dxa"/>
            <w:tcBorders>
              <w:top w:val="single" w:sz="8" w:space="0" w:color="auto"/>
              <w:left w:val="nil"/>
              <w:bottom w:val="single" w:sz="8" w:space="0" w:color="auto"/>
              <w:right w:val="nil"/>
            </w:tcBorders>
            <w:shd w:val="clear" w:color="000000" w:fill="D9E1F2"/>
            <w:vAlign w:val="bottom"/>
            <w:hideMark/>
          </w:tcPr>
          <w:p w14:paraId="2C73A5F4"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559,759,793</w:t>
            </w:r>
          </w:p>
        </w:tc>
        <w:tc>
          <w:tcPr>
            <w:tcW w:w="1108" w:type="dxa"/>
            <w:tcBorders>
              <w:top w:val="single" w:sz="8" w:space="0" w:color="auto"/>
              <w:left w:val="nil"/>
              <w:bottom w:val="single" w:sz="8" w:space="0" w:color="auto"/>
              <w:right w:val="nil"/>
            </w:tcBorders>
            <w:shd w:val="clear" w:color="000000" w:fill="D9E1F2"/>
            <w:vAlign w:val="bottom"/>
            <w:hideMark/>
          </w:tcPr>
          <w:p w14:paraId="6BB2503D"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21,080,812</w:t>
            </w:r>
          </w:p>
        </w:tc>
        <w:tc>
          <w:tcPr>
            <w:tcW w:w="1108" w:type="dxa"/>
            <w:tcBorders>
              <w:top w:val="single" w:sz="8" w:space="0" w:color="auto"/>
              <w:left w:val="nil"/>
              <w:bottom w:val="single" w:sz="8" w:space="0" w:color="auto"/>
              <w:right w:val="nil"/>
            </w:tcBorders>
            <w:shd w:val="clear" w:color="000000" w:fill="D9E1F2"/>
            <w:vAlign w:val="bottom"/>
            <w:hideMark/>
          </w:tcPr>
          <w:p w14:paraId="32BD22C1"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25,456,353</w:t>
            </w:r>
          </w:p>
        </w:tc>
        <w:tc>
          <w:tcPr>
            <w:tcW w:w="1156" w:type="dxa"/>
            <w:tcBorders>
              <w:top w:val="single" w:sz="8" w:space="0" w:color="auto"/>
              <w:left w:val="nil"/>
              <w:bottom w:val="single" w:sz="8" w:space="0" w:color="auto"/>
              <w:right w:val="nil"/>
            </w:tcBorders>
            <w:shd w:val="clear" w:color="000000" w:fill="D9E1F2"/>
            <w:vAlign w:val="bottom"/>
            <w:hideMark/>
          </w:tcPr>
          <w:p w14:paraId="1CEB23DA"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1035,178,490</w:t>
            </w:r>
          </w:p>
        </w:tc>
        <w:tc>
          <w:tcPr>
            <w:tcW w:w="1108" w:type="dxa"/>
            <w:tcBorders>
              <w:top w:val="single" w:sz="8" w:space="0" w:color="auto"/>
              <w:left w:val="nil"/>
              <w:bottom w:val="single" w:sz="8" w:space="0" w:color="auto"/>
              <w:right w:val="nil"/>
            </w:tcBorders>
            <w:shd w:val="clear" w:color="000000" w:fill="D9E1F2"/>
            <w:vAlign w:val="bottom"/>
            <w:hideMark/>
          </w:tcPr>
          <w:p w14:paraId="03CB1E97"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22,063,123</w:t>
            </w:r>
          </w:p>
        </w:tc>
        <w:tc>
          <w:tcPr>
            <w:tcW w:w="1108" w:type="dxa"/>
            <w:tcBorders>
              <w:top w:val="single" w:sz="8" w:space="0" w:color="auto"/>
              <w:left w:val="nil"/>
              <w:bottom w:val="single" w:sz="8" w:space="0" w:color="auto"/>
              <w:right w:val="single" w:sz="8" w:space="0" w:color="auto"/>
            </w:tcBorders>
            <w:shd w:val="clear" w:color="000000" w:fill="D9E1F2"/>
            <w:vAlign w:val="bottom"/>
            <w:hideMark/>
          </w:tcPr>
          <w:p w14:paraId="226149C5"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97,498,934</w:t>
            </w:r>
          </w:p>
        </w:tc>
      </w:tr>
    </w:tbl>
    <w:p w14:paraId="07505018" w14:textId="77777777" w:rsidR="00D33F7C" w:rsidRPr="00E25198" w:rsidRDefault="00D33F7C" w:rsidP="00D33F7C">
      <w:pPr>
        <w:spacing w:line="23" w:lineRule="atLeast"/>
        <w:rPr>
          <w:rFonts w:ascii="Garamond" w:hAnsi="Garamond"/>
          <w:bCs/>
          <w:sz w:val="18"/>
          <w:szCs w:val="18"/>
        </w:rPr>
      </w:pPr>
    </w:p>
    <w:p w14:paraId="2F1D5108" w14:textId="77777777" w:rsidR="00D33F7C" w:rsidRPr="00E25198" w:rsidRDefault="00D33F7C" w:rsidP="00D33F7C">
      <w:pPr>
        <w:spacing w:line="23" w:lineRule="atLeast"/>
        <w:jc w:val="both"/>
        <w:outlineLvl w:val="0"/>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r w:rsidRPr="00E25198">
        <w:rPr>
          <w:rFonts w:ascii="Garamond" w:eastAsia="Times New Roman" w:hAnsi="Garamond" w:cs="Calibri"/>
          <w:color w:val="000000"/>
          <w:sz w:val="20"/>
          <w:szCs w:val="20"/>
          <w:lang w:val="en-IN" w:eastAsia="en-IN"/>
        </w:rPr>
        <w:t>.</w:t>
      </w:r>
    </w:p>
    <w:p w14:paraId="12BA6F1C" w14:textId="77777777" w:rsidR="00D33F7C" w:rsidRPr="00E25198" w:rsidRDefault="00D33F7C" w:rsidP="00D33F7C">
      <w:pPr>
        <w:spacing w:line="23" w:lineRule="atLeast"/>
        <w:jc w:val="both"/>
        <w:outlineLvl w:val="0"/>
        <w:rPr>
          <w:rFonts w:ascii="Garamond" w:eastAsia="Times New Roman" w:hAnsi="Garamond"/>
          <w:bCs/>
          <w:sz w:val="18"/>
          <w:szCs w:val="18"/>
          <w:lang w:val="en-US"/>
        </w:rPr>
      </w:pPr>
      <w:r w:rsidRPr="00E25198">
        <w:rPr>
          <w:rFonts w:ascii="Garamond" w:hAnsi="Garamond"/>
          <w:bCs/>
          <w:sz w:val="18"/>
          <w:szCs w:val="18"/>
        </w:rPr>
        <w:t>Source: World Federation of Exchanges</w:t>
      </w:r>
      <w:r w:rsidRPr="00E25198">
        <w:rPr>
          <w:rFonts w:ascii="Garamond" w:eastAsia="Times New Roman" w:hAnsi="Garamond"/>
          <w:bCs/>
          <w:sz w:val="18"/>
          <w:szCs w:val="18"/>
          <w:lang w:val="en-US"/>
        </w:rPr>
        <w:tab/>
      </w:r>
    </w:p>
    <w:p w14:paraId="1545386D" w14:textId="77777777" w:rsidR="00D33F7C" w:rsidRPr="00E25198" w:rsidRDefault="00D33F7C" w:rsidP="00D33F7C">
      <w:pPr>
        <w:spacing w:line="23" w:lineRule="atLeast"/>
        <w:jc w:val="both"/>
        <w:outlineLvl w:val="0"/>
        <w:rPr>
          <w:rFonts w:ascii="Garamond" w:eastAsia="Times New Roman" w:hAnsi="Garamond"/>
          <w:bCs/>
          <w:sz w:val="18"/>
          <w:szCs w:val="18"/>
          <w:lang w:val="en-US"/>
        </w:rPr>
      </w:pPr>
    </w:p>
    <w:p w14:paraId="1B926A5E" w14:textId="77777777" w:rsidR="00D33F7C" w:rsidRPr="002061D1" w:rsidRDefault="00D33F7C" w:rsidP="00D33F7C">
      <w:pPr>
        <w:rPr>
          <w:rFonts w:ascii="Garamond" w:hAnsi="Garamond"/>
          <w:bCs/>
          <w:sz w:val="22"/>
          <w:szCs w:val="22"/>
        </w:rPr>
      </w:pPr>
      <w:r w:rsidRPr="00E25198">
        <w:rPr>
          <w:rFonts w:ascii="Garamond" w:hAnsi="Garamond"/>
          <w:bCs/>
          <w:sz w:val="22"/>
          <w:szCs w:val="22"/>
        </w:rPr>
        <w:br w:type="page"/>
      </w:r>
    </w:p>
    <w:p w14:paraId="5B075789" w14:textId="77777777" w:rsidR="00D33F7C" w:rsidRPr="002061D1" w:rsidRDefault="00D33F7C" w:rsidP="00D33F7C">
      <w:pPr>
        <w:spacing w:line="23" w:lineRule="atLeast"/>
        <w:jc w:val="both"/>
        <w:rPr>
          <w:rFonts w:ascii="Garamond" w:hAnsi="Garamond"/>
          <w:b/>
          <w:sz w:val="28"/>
          <w:lang w:val="en-US"/>
        </w:rPr>
      </w:pPr>
      <w:r w:rsidRPr="002061D1">
        <w:rPr>
          <w:rFonts w:ascii="Garamond" w:hAnsi="Garamond"/>
          <w:b/>
          <w:bCs/>
          <w:szCs w:val="22"/>
        </w:rPr>
        <w:lastRenderedPageBreak/>
        <w:t>Table A6: Currency Futures and Options Traded in Major Exchanges</w:t>
      </w:r>
    </w:p>
    <w:p w14:paraId="43B6163C" w14:textId="77777777" w:rsidR="00D33F7C" w:rsidRPr="002061D1" w:rsidRDefault="00D33F7C" w:rsidP="00D33F7C">
      <w:pPr>
        <w:ind w:right="-318"/>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10329" w:type="dxa"/>
        <w:tblInd w:w="113" w:type="dxa"/>
        <w:tblLook w:val="04A0" w:firstRow="1" w:lastRow="0" w:firstColumn="1" w:lastColumn="0" w:noHBand="0" w:noVBand="1"/>
      </w:tblPr>
      <w:tblGrid>
        <w:gridCol w:w="3607"/>
        <w:gridCol w:w="1135"/>
        <w:gridCol w:w="1117"/>
        <w:gridCol w:w="1117"/>
        <w:gridCol w:w="1118"/>
        <w:gridCol w:w="1117"/>
        <w:gridCol w:w="1118"/>
      </w:tblGrid>
      <w:tr w:rsidR="00D33F7C" w:rsidRPr="00037B23" w14:paraId="429C2FFE" w14:textId="77777777" w:rsidTr="00E213CE">
        <w:trPr>
          <w:trHeight w:val="241"/>
        </w:trPr>
        <w:tc>
          <w:tcPr>
            <w:tcW w:w="3620"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3B7FD21D"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Exchange</w:t>
            </w:r>
          </w:p>
        </w:tc>
        <w:tc>
          <w:tcPr>
            <w:tcW w:w="6709" w:type="dxa"/>
            <w:gridSpan w:val="6"/>
            <w:tcBorders>
              <w:top w:val="single" w:sz="4" w:space="0" w:color="auto"/>
              <w:left w:val="nil"/>
              <w:bottom w:val="single" w:sz="4" w:space="0" w:color="auto"/>
              <w:right w:val="single" w:sz="4" w:space="0" w:color="auto"/>
            </w:tcBorders>
            <w:shd w:val="clear" w:color="000000" w:fill="B4C6E7"/>
            <w:vAlign w:val="center"/>
            <w:hideMark/>
          </w:tcPr>
          <w:p w14:paraId="31AC85F7"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May-21</w:t>
            </w:r>
          </w:p>
        </w:tc>
      </w:tr>
      <w:tr w:rsidR="00D33F7C" w:rsidRPr="00037B23" w14:paraId="21C30DE8" w14:textId="77777777" w:rsidTr="00E213CE">
        <w:trPr>
          <w:trHeight w:val="241"/>
        </w:trPr>
        <w:tc>
          <w:tcPr>
            <w:tcW w:w="3620" w:type="dxa"/>
            <w:vMerge/>
            <w:tcBorders>
              <w:top w:val="single" w:sz="4" w:space="0" w:color="auto"/>
              <w:left w:val="single" w:sz="4" w:space="0" w:color="auto"/>
              <w:bottom w:val="single" w:sz="4" w:space="0" w:color="auto"/>
              <w:right w:val="single" w:sz="4" w:space="0" w:color="auto"/>
            </w:tcBorders>
            <w:vAlign w:val="center"/>
            <w:hideMark/>
          </w:tcPr>
          <w:p w14:paraId="7CEA0640"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3354" w:type="dxa"/>
            <w:gridSpan w:val="3"/>
            <w:tcBorders>
              <w:top w:val="single" w:sz="4" w:space="0" w:color="auto"/>
              <w:left w:val="nil"/>
              <w:bottom w:val="single" w:sz="4" w:space="0" w:color="auto"/>
              <w:right w:val="single" w:sz="4" w:space="0" w:color="auto"/>
            </w:tcBorders>
            <w:shd w:val="clear" w:color="000000" w:fill="B4C6E7"/>
            <w:vAlign w:val="center"/>
            <w:hideMark/>
          </w:tcPr>
          <w:p w14:paraId="38FEC36E"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Currency Futures</w:t>
            </w:r>
          </w:p>
        </w:tc>
        <w:tc>
          <w:tcPr>
            <w:tcW w:w="3354" w:type="dxa"/>
            <w:gridSpan w:val="3"/>
            <w:tcBorders>
              <w:top w:val="single" w:sz="4" w:space="0" w:color="auto"/>
              <w:left w:val="nil"/>
              <w:bottom w:val="single" w:sz="4" w:space="0" w:color="auto"/>
              <w:right w:val="single" w:sz="4" w:space="0" w:color="auto"/>
            </w:tcBorders>
            <w:shd w:val="clear" w:color="000000" w:fill="B4C6E7"/>
            <w:vAlign w:val="center"/>
            <w:hideMark/>
          </w:tcPr>
          <w:p w14:paraId="209C284E"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Currency Options</w:t>
            </w:r>
          </w:p>
        </w:tc>
      </w:tr>
      <w:tr w:rsidR="00D33F7C" w:rsidRPr="00037B23" w14:paraId="19050040" w14:textId="77777777" w:rsidTr="00E213CE">
        <w:trPr>
          <w:trHeight w:val="626"/>
        </w:trPr>
        <w:tc>
          <w:tcPr>
            <w:tcW w:w="3620" w:type="dxa"/>
            <w:vMerge/>
            <w:tcBorders>
              <w:top w:val="single" w:sz="4" w:space="0" w:color="auto"/>
              <w:left w:val="single" w:sz="4" w:space="0" w:color="auto"/>
              <w:bottom w:val="single" w:sz="4" w:space="0" w:color="auto"/>
              <w:right w:val="single" w:sz="4" w:space="0" w:color="auto"/>
            </w:tcBorders>
            <w:vAlign w:val="center"/>
            <w:hideMark/>
          </w:tcPr>
          <w:p w14:paraId="52F94164"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1118" w:type="dxa"/>
            <w:tcBorders>
              <w:top w:val="nil"/>
              <w:left w:val="nil"/>
              <w:bottom w:val="single" w:sz="4" w:space="0" w:color="auto"/>
              <w:right w:val="single" w:sz="4" w:space="0" w:color="auto"/>
            </w:tcBorders>
            <w:shd w:val="clear" w:color="000000" w:fill="B4C6E7"/>
            <w:vAlign w:val="center"/>
            <w:hideMark/>
          </w:tcPr>
          <w:p w14:paraId="3F4E7770"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118" w:type="dxa"/>
            <w:tcBorders>
              <w:top w:val="nil"/>
              <w:left w:val="nil"/>
              <w:bottom w:val="single" w:sz="4" w:space="0" w:color="auto"/>
              <w:right w:val="single" w:sz="4" w:space="0" w:color="auto"/>
            </w:tcBorders>
            <w:shd w:val="clear" w:color="000000" w:fill="B4C6E7"/>
            <w:vAlign w:val="center"/>
            <w:hideMark/>
          </w:tcPr>
          <w:p w14:paraId="4048E2EC"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18" w:type="dxa"/>
            <w:tcBorders>
              <w:top w:val="nil"/>
              <w:left w:val="nil"/>
              <w:bottom w:val="single" w:sz="4" w:space="0" w:color="auto"/>
              <w:right w:val="single" w:sz="4" w:space="0" w:color="auto"/>
            </w:tcBorders>
            <w:shd w:val="clear" w:color="000000" w:fill="B4C6E7"/>
            <w:vAlign w:val="center"/>
            <w:hideMark/>
          </w:tcPr>
          <w:p w14:paraId="47364C67"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c>
          <w:tcPr>
            <w:tcW w:w="1118" w:type="dxa"/>
            <w:tcBorders>
              <w:top w:val="nil"/>
              <w:left w:val="nil"/>
              <w:bottom w:val="single" w:sz="4" w:space="0" w:color="auto"/>
              <w:right w:val="single" w:sz="4" w:space="0" w:color="auto"/>
            </w:tcBorders>
            <w:shd w:val="clear" w:color="000000" w:fill="B4C6E7"/>
            <w:vAlign w:val="center"/>
            <w:hideMark/>
          </w:tcPr>
          <w:p w14:paraId="091DEF00"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118" w:type="dxa"/>
            <w:tcBorders>
              <w:top w:val="nil"/>
              <w:left w:val="nil"/>
              <w:bottom w:val="single" w:sz="4" w:space="0" w:color="auto"/>
              <w:right w:val="single" w:sz="4" w:space="0" w:color="auto"/>
            </w:tcBorders>
            <w:shd w:val="clear" w:color="000000" w:fill="B4C6E7"/>
            <w:vAlign w:val="center"/>
            <w:hideMark/>
          </w:tcPr>
          <w:p w14:paraId="5C6695D6"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18" w:type="dxa"/>
            <w:tcBorders>
              <w:top w:val="nil"/>
              <w:left w:val="nil"/>
              <w:bottom w:val="single" w:sz="4" w:space="0" w:color="auto"/>
              <w:right w:val="single" w:sz="4" w:space="0" w:color="auto"/>
            </w:tcBorders>
            <w:shd w:val="clear" w:color="000000" w:fill="B4C6E7"/>
            <w:vAlign w:val="center"/>
            <w:hideMark/>
          </w:tcPr>
          <w:p w14:paraId="668F0D7A"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r>
      <w:tr w:rsidR="00D33F7C" w:rsidRPr="00037B23" w14:paraId="06E48723"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6FE7658C"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B3 - Brasil Bolsa Balcão</w:t>
            </w:r>
          </w:p>
        </w:tc>
        <w:tc>
          <w:tcPr>
            <w:tcW w:w="1118" w:type="dxa"/>
            <w:tcBorders>
              <w:top w:val="single" w:sz="8" w:space="0" w:color="auto"/>
              <w:left w:val="single" w:sz="8" w:space="0" w:color="auto"/>
              <w:bottom w:val="nil"/>
              <w:right w:val="single" w:sz="8" w:space="0" w:color="auto"/>
            </w:tcBorders>
            <w:shd w:val="clear" w:color="auto" w:fill="auto"/>
            <w:vAlign w:val="center"/>
            <w:hideMark/>
          </w:tcPr>
          <w:p w14:paraId="1B2FA4F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69,395,443</w:t>
            </w:r>
          </w:p>
        </w:tc>
        <w:tc>
          <w:tcPr>
            <w:tcW w:w="1118" w:type="dxa"/>
            <w:tcBorders>
              <w:top w:val="single" w:sz="8" w:space="0" w:color="auto"/>
              <w:left w:val="nil"/>
              <w:bottom w:val="nil"/>
              <w:right w:val="single" w:sz="8" w:space="0" w:color="auto"/>
            </w:tcBorders>
            <w:shd w:val="clear" w:color="auto" w:fill="auto"/>
            <w:vAlign w:val="center"/>
            <w:hideMark/>
          </w:tcPr>
          <w:p w14:paraId="0DD79FC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887,019</w:t>
            </w:r>
          </w:p>
        </w:tc>
        <w:tc>
          <w:tcPr>
            <w:tcW w:w="1118" w:type="dxa"/>
            <w:tcBorders>
              <w:top w:val="single" w:sz="8" w:space="0" w:color="auto"/>
              <w:left w:val="nil"/>
              <w:bottom w:val="nil"/>
              <w:right w:val="single" w:sz="8" w:space="0" w:color="auto"/>
            </w:tcBorders>
            <w:shd w:val="clear" w:color="auto" w:fill="auto"/>
            <w:vAlign w:val="center"/>
            <w:hideMark/>
          </w:tcPr>
          <w:p w14:paraId="241929D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4,628,467</w:t>
            </w:r>
          </w:p>
        </w:tc>
        <w:tc>
          <w:tcPr>
            <w:tcW w:w="1118" w:type="dxa"/>
            <w:tcBorders>
              <w:top w:val="single" w:sz="8" w:space="0" w:color="auto"/>
              <w:left w:val="nil"/>
              <w:bottom w:val="nil"/>
              <w:right w:val="single" w:sz="8" w:space="0" w:color="auto"/>
            </w:tcBorders>
            <w:shd w:val="clear" w:color="auto" w:fill="auto"/>
            <w:vAlign w:val="center"/>
            <w:hideMark/>
          </w:tcPr>
          <w:p w14:paraId="746654A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435,976</w:t>
            </w:r>
          </w:p>
        </w:tc>
        <w:tc>
          <w:tcPr>
            <w:tcW w:w="1118" w:type="dxa"/>
            <w:tcBorders>
              <w:top w:val="single" w:sz="8" w:space="0" w:color="auto"/>
              <w:left w:val="nil"/>
              <w:bottom w:val="nil"/>
              <w:right w:val="single" w:sz="8" w:space="0" w:color="auto"/>
            </w:tcBorders>
            <w:shd w:val="clear" w:color="auto" w:fill="auto"/>
            <w:vAlign w:val="center"/>
            <w:hideMark/>
          </w:tcPr>
          <w:p w14:paraId="14CA4BB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314</w:t>
            </w:r>
          </w:p>
        </w:tc>
        <w:tc>
          <w:tcPr>
            <w:tcW w:w="1118" w:type="dxa"/>
            <w:tcBorders>
              <w:top w:val="single" w:sz="8" w:space="0" w:color="auto"/>
              <w:left w:val="nil"/>
              <w:bottom w:val="nil"/>
              <w:right w:val="single" w:sz="8" w:space="0" w:color="auto"/>
            </w:tcBorders>
            <w:shd w:val="clear" w:color="auto" w:fill="auto"/>
            <w:vAlign w:val="center"/>
            <w:hideMark/>
          </w:tcPr>
          <w:p w14:paraId="2FC72BB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870,265</w:t>
            </w:r>
          </w:p>
        </w:tc>
      </w:tr>
      <w:tr w:rsidR="00D33F7C" w:rsidRPr="00037B23" w14:paraId="76C6FCB1"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08210F07"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de Valores de Colombia</w:t>
            </w:r>
          </w:p>
        </w:tc>
        <w:tc>
          <w:tcPr>
            <w:tcW w:w="1118" w:type="dxa"/>
            <w:tcBorders>
              <w:top w:val="nil"/>
              <w:left w:val="single" w:sz="8" w:space="0" w:color="auto"/>
              <w:bottom w:val="nil"/>
              <w:right w:val="single" w:sz="8" w:space="0" w:color="auto"/>
            </w:tcBorders>
            <w:shd w:val="clear" w:color="auto" w:fill="auto"/>
            <w:vAlign w:val="center"/>
            <w:hideMark/>
          </w:tcPr>
          <w:p w14:paraId="774A33B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39,659</w:t>
            </w:r>
          </w:p>
        </w:tc>
        <w:tc>
          <w:tcPr>
            <w:tcW w:w="1118" w:type="dxa"/>
            <w:tcBorders>
              <w:top w:val="nil"/>
              <w:left w:val="nil"/>
              <w:bottom w:val="nil"/>
              <w:right w:val="single" w:sz="8" w:space="0" w:color="auto"/>
            </w:tcBorders>
            <w:shd w:val="clear" w:color="auto" w:fill="auto"/>
            <w:vAlign w:val="center"/>
            <w:hideMark/>
          </w:tcPr>
          <w:p w14:paraId="74ADF75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1,803</w:t>
            </w:r>
          </w:p>
        </w:tc>
        <w:tc>
          <w:tcPr>
            <w:tcW w:w="1118" w:type="dxa"/>
            <w:tcBorders>
              <w:top w:val="nil"/>
              <w:left w:val="nil"/>
              <w:bottom w:val="nil"/>
              <w:right w:val="single" w:sz="8" w:space="0" w:color="auto"/>
            </w:tcBorders>
            <w:shd w:val="clear" w:color="auto" w:fill="auto"/>
            <w:vAlign w:val="center"/>
            <w:hideMark/>
          </w:tcPr>
          <w:p w14:paraId="50F605E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11,733</w:t>
            </w:r>
          </w:p>
        </w:tc>
        <w:tc>
          <w:tcPr>
            <w:tcW w:w="1118" w:type="dxa"/>
            <w:tcBorders>
              <w:top w:val="nil"/>
              <w:left w:val="nil"/>
              <w:bottom w:val="nil"/>
              <w:right w:val="single" w:sz="8" w:space="0" w:color="auto"/>
            </w:tcBorders>
            <w:shd w:val="clear" w:color="auto" w:fill="auto"/>
            <w:vAlign w:val="center"/>
            <w:hideMark/>
          </w:tcPr>
          <w:p w14:paraId="094CD47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w:t>
            </w:r>
          </w:p>
        </w:tc>
        <w:tc>
          <w:tcPr>
            <w:tcW w:w="1118" w:type="dxa"/>
            <w:tcBorders>
              <w:top w:val="nil"/>
              <w:left w:val="nil"/>
              <w:bottom w:val="nil"/>
              <w:right w:val="single" w:sz="8" w:space="0" w:color="auto"/>
            </w:tcBorders>
            <w:shd w:val="clear" w:color="auto" w:fill="auto"/>
            <w:vAlign w:val="center"/>
            <w:hideMark/>
          </w:tcPr>
          <w:p w14:paraId="637FD4D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3A15F0E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w:t>
            </w:r>
          </w:p>
        </w:tc>
      </w:tr>
      <w:tr w:rsidR="00D33F7C" w:rsidRPr="00037B23" w14:paraId="1E386125"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4AD9166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Mexicana de Valores</w:t>
            </w:r>
          </w:p>
        </w:tc>
        <w:tc>
          <w:tcPr>
            <w:tcW w:w="1118" w:type="dxa"/>
            <w:tcBorders>
              <w:top w:val="nil"/>
              <w:left w:val="single" w:sz="8" w:space="0" w:color="auto"/>
              <w:bottom w:val="nil"/>
              <w:right w:val="single" w:sz="8" w:space="0" w:color="auto"/>
            </w:tcBorders>
            <w:shd w:val="clear" w:color="auto" w:fill="auto"/>
            <w:vAlign w:val="center"/>
            <w:hideMark/>
          </w:tcPr>
          <w:p w14:paraId="053D29E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721,486</w:t>
            </w:r>
          </w:p>
        </w:tc>
        <w:tc>
          <w:tcPr>
            <w:tcW w:w="1118" w:type="dxa"/>
            <w:tcBorders>
              <w:top w:val="nil"/>
              <w:left w:val="nil"/>
              <w:bottom w:val="nil"/>
              <w:right w:val="single" w:sz="8" w:space="0" w:color="auto"/>
            </w:tcBorders>
            <w:shd w:val="clear" w:color="auto" w:fill="auto"/>
            <w:vAlign w:val="center"/>
            <w:hideMark/>
          </w:tcPr>
          <w:p w14:paraId="167CB35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7,272</w:t>
            </w:r>
          </w:p>
        </w:tc>
        <w:tc>
          <w:tcPr>
            <w:tcW w:w="1118" w:type="dxa"/>
            <w:tcBorders>
              <w:top w:val="nil"/>
              <w:left w:val="nil"/>
              <w:bottom w:val="nil"/>
              <w:right w:val="single" w:sz="8" w:space="0" w:color="auto"/>
            </w:tcBorders>
            <w:shd w:val="clear" w:color="auto" w:fill="auto"/>
            <w:vAlign w:val="center"/>
            <w:hideMark/>
          </w:tcPr>
          <w:p w14:paraId="48F9148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909,651</w:t>
            </w:r>
          </w:p>
        </w:tc>
        <w:tc>
          <w:tcPr>
            <w:tcW w:w="1118" w:type="dxa"/>
            <w:tcBorders>
              <w:top w:val="nil"/>
              <w:left w:val="nil"/>
              <w:bottom w:val="nil"/>
              <w:right w:val="single" w:sz="8" w:space="0" w:color="auto"/>
            </w:tcBorders>
            <w:shd w:val="clear" w:color="auto" w:fill="auto"/>
            <w:vAlign w:val="center"/>
            <w:hideMark/>
          </w:tcPr>
          <w:p w14:paraId="1696606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2,000</w:t>
            </w:r>
          </w:p>
        </w:tc>
        <w:tc>
          <w:tcPr>
            <w:tcW w:w="1118" w:type="dxa"/>
            <w:tcBorders>
              <w:top w:val="nil"/>
              <w:left w:val="nil"/>
              <w:bottom w:val="nil"/>
              <w:right w:val="single" w:sz="8" w:space="0" w:color="auto"/>
            </w:tcBorders>
            <w:shd w:val="clear" w:color="auto" w:fill="auto"/>
            <w:vAlign w:val="center"/>
            <w:hideMark/>
          </w:tcPr>
          <w:p w14:paraId="21FD40F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21</w:t>
            </w:r>
          </w:p>
        </w:tc>
        <w:tc>
          <w:tcPr>
            <w:tcW w:w="1118" w:type="dxa"/>
            <w:tcBorders>
              <w:top w:val="nil"/>
              <w:left w:val="nil"/>
              <w:bottom w:val="nil"/>
              <w:right w:val="single" w:sz="8" w:space="0" w:color="auto"/>
            </w:tcBorders>
            <w:shd w:val="clear" w:color="auto" w:fill="auto"/>
            <w:vAlign w:val="center"/>
            <w:hideMark/>
          </w:tcPr>
          <w:p w14:paraId="0BB0F1C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6,105</w:t>
            </w:r>
          </w:p>
        </w:tc>
      </w:tr>
      <w:tr w:rsidR="00D33F7C" w:rsidRPr="00037B23" w14:paraId="749AFDC0"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73F399F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Matba Rofex</w:t>
            </w:r>
          </w:p>
        </w:tc>
        <w:tc>
          <w:tcPr>
            <w:tcW w:w="1118" w:type="dxa"/>
            <w:tcBorders>
              <w:top w:val="nil"/>
              <w:left w:val="single" w:sz="8" w:space="0" w:color="auto"/>
              <w:bottom w:val="nil"/>
              <w:right w:val="single" w:sz="8" w:space="0" w:color="auto"/>
            </w:tcBorders>
            <w:shd w:val="clear" w:color="auto" w:fill="auto"/>
            <w:vAlign w:val="center"/>
            <w:hideMark/>
          </w:tcPr>
          <w:p w14:paraId="6366642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7,084,793</w:t>
            </w:r>
          </w:p>
        </w:tc>
        <w:tc>
          <w:tcPr>
            <w:tcW w:w="1118" w:type="dxa"/>
            <w:tcBorders>
              <w:top w:val="nil"/>
              <w:left w:val="nil"/>
              <w:bottom w:val="nil"/>
              <w:right w:val="single" w:sz="8" w:space="0" w:color="auto"/>
            </w:tcBorders>
            <w:shd w:val="clear" w:color="auto" w:fill="auto"/>
            <w:vAlign w:val="center"/>
            <w:hideMark/>
          </w:tcPr>
          <w:p w14:paraId="6A1E359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7,540</w:t>
            </w:r>
          </w:p>
        </w:tc>
        <w:tc>
          <w:tcPr>
            <w:tcW w:w="1118" w:type="dxa"/>
            <w:tcBorders>
              <w:top w:val="nil"/>
              <w:left w:val="nil"/>
              <w:bottom w:val="nil"/>
              <w:right w:val="single" w:sz="8" w:space="0" w:color="auto"/>
            </w:tcBorders>
            <w:shd w:val="clear" w:color="auto" w:fill="auto"/>
            <w:vAlign w:val="center"/>
            <w:hideMark/>
          </w:tcPr>
          <w:p w14:paraId="23FBC05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2,265,405</w:t>
            </w:r>
          </w:p>
        </w:tc>
        <w:tc>
          <w:tcPr>
            <w:tcW w:w="1118" w:type="dxa"/>
            <w:tcBorders>
              <w:top w:val="nil"/>
              <w:left w:val="nil"/>
              <w:bottom w:val="nil"/>
              <w:right w:val="single" w:sz="8" w:space="0" w:color="auto"/>
            </w:tcBorders>
            <w:shd w:val="clear" w:color="auto" w:fill="auto"/>
            <w:vAlign w:val="center"/>
            <w:hideMark/>
          </w:tcPr>
          <w:p w14:paraId="0C0FCB6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1,682</w:t>
            </w:r>
          </w:p>
        </w:tc>
        <w:tc>
          <w:tcPr>
            <w:tcW w:w="1118" w:type="dxa"/>
            <w:tcBorders>
              <w:top w:val="nil"/>
              <w:left w:val="nil"/>
              <w:bottom w:val="nil"/>
              <w:right w:val="single" w:sz="8" w:space="0" w:color="auto"/>
            </w:tcBorders>
            <w:shd w:val="clear" w:color="auto" w:fill="auto"/>
            <w:vAlign w:val="center"/>
            <w:hideMark/>
          </w:tcPr>
          <w:p w14:paraId="54FB5F3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4A81E78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584</w:t>
            </w:r>
          </w:p>
        </w:tc>
      </w:tr>
      <w:tr w:rsidR="00D33F7C" w:rsidRPr="00037B23" w14:paraId="0F4068FE"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7905B04C"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CME Group</w:t>
            </w:r>
          </w:p>
        </w:tc>
        <w:tc>
          <w:tcPr>
            <w:tcW w:w="1118" w:type="dxa"/>
            <w:tcBorders>
              <w:top w:val="nil"/>
              <w:left w:val="single" w:sz="8" w:space="0" w:color="auto"/>
              <w:bottom w:val="nil"/>
              <w:right w:val="single" w:sz="8" w:space="0" w:color="auto"/>
            </w:tcBorders>
            <w:shd w:val="clear" w:color="auto" w:fill="auto"/>
            <w:vAlign w:val="center"/>
            <w:hideMark/>
          </w:tcPr>
          <w:p w14:paraId="6A49560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13,294,034</w:t>
            </w:r>
          </w:p>
        </w:tc>
        <w:tc>
          <w:tcPr>
            <w:tcW w:w="1118" w:type="dxa"/>
            <w:tcBorders>
              <w:top w:val="nil"/>
              <w:left w:val="nil"/>
              <w:bottom w:val="nil"/>
              <w:right w:val="single" w:sz="8" w:space="0" w:color="auto"/>
            </w:tcBorders>
            <w:shd w:val="clear" w:color="auto" w:fill="auto"/>
            <w:vAlign w:val="center"/>
            <w:hideMark/>
          </w:tcPr>
          <w:p w14:paraId="1A77606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1,288,896</w:t>
            </w:r>
          </w:p>
        </w:tc>
        <w:tc>
          <w:tcPr>
            <w:tcW w:w="1118" w:type="dxa"/>
            <w:tcBorders>
              <w:top w:val="nil"/>
              <w:left w:val="nil"/>
              <w:bottom w:val="nil"/>
              <w:right w:val="single" w:sz="8" w:space="0" w:color="auto"/>
            </w:tcBorders>
            <w:shd w:val="clear" w:color="auto" w:fill="auto"/>
            <w:vAlign w:val="center"/>
            <w:hideMark/>
          </w:tcPr>
          <w:p w14:paraId="70BB33C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1,917,975</w:t>
            </w:r>
          </w:p>
        </w:tc>
        <w:tc>
          <w:tcPr>
            <w:tcW w:w="1118" w:type="dxa"/>
            <w:tcBorders>
              <w:top w:val="nil"/>
              <w:left w:val="nil"/>
              <w:bottom w:val="nil"/>
              <w:right w:val="single" w:sz="8" w:space="0" w:color="auto"/>
            </w:tcBorders>
            <w:shd w:val="clear" w:color="auto" w:fill="auto"/>
            <w:vAlign w:val="center"/>
            <w:hideMark/>
          </w:tcPr>
          <w:p w14:paraId="58BE2EA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732,894</w:t>
            </w:r>
          </w:p>
        </w:tc>
        <w:tc>
          <w:tcPr>
            <w:tcW w:w="1118" w:type="dxa"/>
            <w:tcBorders>
              <w:top w:val="nil"/>
              <w:left w:val="nil"/>
              <w:bottom w:val="nil"/>
              <w:right w:val="single" w:sz="8" w:space="0" w:color="auto"/>
            </w:tcBorders>
            <w:shd w:val="clear" w:color="auto" w:fill="auto"/>
            <w:vAlign w:val="center"/>
            <w:hideMark/>
          </w:tcPr>
          <w:p w14:paraId="130FF8D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83,225</w:t>
            </w:r>
          </w:p>
        </w:tc>
        <w:tc>
          <w:tcPr>
            <w:tcW w:w="1118" w:type="dxa"/>
            <w:tcBorders>
              <w:top w:val="nil"/>
              <w:left w:val="nil"/>
              <w:bottom w:val="nil"/>
              <w:right w:val="single" w:sz="8" w:space="0" w:color="auto"/>
            </w:tcBorders>
            <w:shd w:val="clear" w:color="auto" w:fill="auto"/>
            <w:vAlign w:val="center"/>
            <w:hideMark/>
          </w:tcPr>
          <w:p w14:paraId="66CADAF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670,358</w:t>
            </w:r>
          </w:p>
        </w:tc>
      </w:tr>
      <w:tr w:rsidR="00D33F7C" w:rsidRPr="00037B23" w14:paraId="0DC73771"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3508918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Hong Kong Exchanges and Clearing</w:t>
            </w:r>
          </w:p>
        </w:tc>
        <w:tc>
          <w:tcPr>
            <w:tcW w:w="1118" w:type="dxa"/>
            <w:tcBorders>
              <w:top w:val="nil"/>
              <w:left w:val="single" w:sz="8" w:space="0" w:color="auto"/>
              <w:bottom w:val="nil"/>
              <w:right w:val="single" w:sz="8" w:space="0" w:color="auto"/>
            </w:tcBorders>
            <w:shd w:val="clear" w:color="auto" w:fill="auto"/>
            <w:vAlign w:val="center"/>
            <w:hideMark/>
          </w:tcPr>
          <w:p w14:paraId="24C36C7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306,738</w:t>
            </w:r>
          </w:p>
        </w:tc>
        <w:tc>
          <w:tcPr>
            <w:tcW w:w="1118" w:type="dxa"/>
            <w:tcBorders>
              <w:top w:val="nil"/>
              <w:left w:val="nil"/>
              <w:bottom w:val="nil"/>
              <w:right w:val="single" w:sz="8" w:space="0" w:color="auto"/>
            </w:tcBorders>
            <w:shd w:val="clear" w:color="auto" w:fill="auto"/>
            <w:vAlign w:val="center"/>
            <w:hideMark/>
          </w:tcPr>
          <w:p w14:paraId="7824E03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16,293</w:t>
            </w:r>
          </w:p>
        </w:tc>
        <w:tc>
          <w:tcPr>
            <w:tcW w:w="1118" w:type="dxa"/>
            <w:tcBorders>
              <w:top w:val="nil"/>
              <w:left w:val="nil"/>
              <w:bottom w:val="nil"/>
              <w:right w:val="single" w:sz="8" w:space="0" w:color="auto"/>
            </w:tcBorders>
            <w:shd w:val="clear" w:color="auto" w:fill="auto"/>
            <w:vAlign w:val="center"/>
            <w:hideMark/>
          </w:tcPr>
          <w:p w14:paraId="39BA15F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26,686</w:t>
            </w:r>
          </w:p>
        </w:tc>
        <w:tc>
          <w:tcPr>
            <w:tcW w:w="1118" w:type="dxa"/>
            <w:tcBorders>
              <w:top w:val="nil"/>
              <w:left w:val="nil"/>
              <w:bottom w:val="nil"/>
              <w:right w:val="single" w:sz="8" w:space="0" w:color="auto"/>
            </w:tcBorders>
            <w:shd w:val="clear" w:color="auto" w:fill="auto"/>
            <w:vAlign w:val="center"/>
            <w:hideMark/>
          </w:tcPr>
          <w:p w14:paraId="32E96DF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516</w:t>
            </w:r>
          </w:p>
        </w:tc>
        <w:tc>
          <w:tcPr>
            <w:tcW w:w="1118" w:type="dxa"/>
            <w:tcBorders>
              <w:top w:val="nil"/>
              <w:left w:val="nil"/>
              <w:bottom w:val="nil"/>
              <w:right w:val="single" w:sz="8" w:space="0" w:color="auto"/>
            </w:tcBorders>
            <w:shd w:val="clear" w:color="auto" w:fill="auto"/>
            <w:vAlign w:val="center"/>
            <w:hideMark/>
          </w:tcPr>
          <w:p w14:paraId="402B556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52</w:t>
            </w:r>
          </w:p>
        </w:tc>
        <w:tc>
          <w:tcPr>
            <w:tcW w:w="1118" w:type="dxa"/>
            <w:tcBorders>
              <w:top w:val="nil"/>
              <w:left w:val="nil"/>
              <w:bottom w:val="nil"/>
              <w:right w:val="single" w:sz="8" w:space="0" w:color="auto"/>
            </w:tcBorders>
            <w:shd w:val="clear" w:color="auto" w:fill="auto"/>
            <w:vAlign w:val="center"/>
            <w:hideMark/>
          </w:tcPr>
          <w:p w14:paraId="5978E3C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2,754</w:t>
            </w:r>
          </w:p>
        </w:tc>
      </w:tr>
      <w:tr w:rsidR="00D33F7C" w:rsidRPr="00037B23" w14:paraId="3D15D018"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2EA69DFA"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Korea Exchange</w:t>
            </w:r>
          </w:p>
        </w:tc>
        <w:tc>
          <w:tcPr>
            <w:tcW w:w="1118" w:type="dxa"/>
            <w:tcBorders>
              <w:top w:val="nil"/>
              <w:left w:val="single" w:sz="8" w:space="0" w:color="auto"/>
              <w:bottom w:val="nil"/>
              <w:right w:val="single" w:sz="8" w:space="0" w:color="auto"/>
            </w:tcBorders>
            <w:shd w:val="clear" w:color="auto" w:fill="auto"/>
            <w:vAlign w:val="center"/>
            <w:hideMark/>
          </w:tcPr>
          <w:p w14:paraId="490754F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7,522,220</w:t>
            </w:r>
          </w:p>
        </w:tc>
        <w:tc>
          <w:tcPr>
            <w:tcW w:w="1118" w:type="dxa"/>
            <w:tcBorders>
              <w:top w:val="nil"/>
              <w:left w:val="nil"/>
              <w:bottom w:val="nil"/>
              <w:right w:val="single" w:sz="8" w:space="0" w:color="auto"/>
            </w:tcBorders>
            <w:shd w:val="clear" w:color="auto" w:fill="auto"/>
            <w:vAlign w:val="center"/>
            <w:hideMark/>
          </w:tcPr>
          <w:p w14:paraId="3952623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76,482</w:t>
            </w:r>
          </w:p>
        </w:tc>
        <w:tc>
          <w:tcPr>
            <w:tcW w:w="1118" w:type="dxa"/>
            <w:tcBorders>
              <w:top w:val="nil"/>
              <w:left w:val="nil"/>
              <w:bottom w:val="nil"/>
              <w:right w:val="single" w:sz="8" w:space="0" w:color="auto"/>
            </w:tcBorders>
            <w:shd w:val="clear" w:color="auto" w:fill="auto"/>
            <w:vAlign w:val="center"/>
            <w:hideMark/>
          </w:tcPr>
          <w:p w14:paraId="288EA87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917,701</w:t>
            </w:r>
          </w:p>
        </w:tc>
        <w:tc>
          <w:tcPr>
            <w:tcW w:w="1118" w:type="dxa"/>
            <w:tcBorders>
              <w:top w:val="nil"/>
              <w:left w:val="nil"/>
              <w:bottom w:val="nil"/>
              <w:right w:val="single" w:sz="8" w:space="0" w:color="auto"/>
            </w:tcBorders>
            <w:shd w:val="clear" w:color="auto" w:fill="auto"/>
            <w:vAlign w:val="center"/>
            <w:hideMark/>
          </w:tcPr>
          <w:p w14:paraId="03E1472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7472806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67B59B5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4E1254C0"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08DD00FD"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National Stock Exchange of India</w:t>
            </w:r>
          </w:p>
        </w:tc>
        <w:tc>
          <w:tcPr>
            <w:tcW w:w="1118" w:type="dxa"/>
            <w:tcBorders>
              <w:top w:val="nil"/>
              <w:left w:val="single" w:sz="8" w:space="0" w:color="auto"/>
              <w:bottom w:val="nil"/>
              <w:right w:val="single" w:sz="8" w:space="0" w:color="auto"/>
            </w:tcBorders>
            <w:shd w:val="clear" w:color="auto" w:fill="auto"/>
            <w:vAlign w:val="center"/>
            <w:hideMark/>
          </w:tcPr>
          <w:p w14:paraId="217B9C5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56,850,686</w:t>
            </w:r>
          </w:p>
        </w:tc>
        <w:tc>
          <w:tcPr>
            <w:tcW w:w="1118" w:type="dxa"/>
            <w:tcBorders>
              <w:top w:val="nil"/>
              <w:left w:val="nil"/>
              <w:bottom w:val="nil"/>
              <w:right w:val="single" w:sz="8" w:space="0" w:color="auto"/>
            </w:tcBorders>
            <w:shd w:val="clear" w:color="auto" w:fill="auto"/>
            <w:vAlign w:val="center"/>
            <w:hideMark/>
          </w:tcPr>
          <w:p w14:paraId="1E29727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60,685</w:t>
            </w:r>
          </w:p>
        </w:tc>
        <w:tc>
          <w:tcPr>
            <w:tcW w:w="1118" w:type="dxa"/>
            <w:tcBorders>
              <w:top w:val="nil"/>
              <w:left w:val="nil"/>
              <w:bottom w:val="nil"/>
              <w:right w:val="single" w:sz="8" w:space="0" w:color="auto"/>
            </w:tcBorders>
            <w:shd w:val="clear" w:color="auto" w:fill="auto"/>
            <w:vAlign w:val="center"/>
            <w:hideMark/>
          </w:tcPr>
          <w:p w14:paraId="37186C2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3,826,264</w:t>
            </w:r>
          </w:p>
        </w:tc>
        <w:tc>
          <w:tcPr>
            <w:tcW w:w="1118" w:type="dxa"/>
            <w:tcBorders>
              <w:top w:val="nil"/>
              <w:left w:val="nil"/>
              <w:bottom w:val="nil"/>
              <w:right w:val="single" w:sz="8" w:space="0" w:color="auto"/>
            </w:tcBorders>
            <w:shd w:val="clear" w:color="auto" w:fill="auto"/>
            <w:vAlign w:val="center"/>
            <w:hideMark/>
          </w:tcPr>
          <w:p w14:paraId="3EF943B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90,313,872</w:t>
            </w:r>
          </w:p>
        </w:tc>
        <w:tc>
          <w:tcPr>
            <w:tcW w:w="1118" w:type="dxa"/>
            <w:tcBorders>
              <w:top w:val="nil"/>
              <w:left w:val="nil"/>
              <w:bottom w:val="nil"/>
              <w:right w:val="single" w:sz="8" w:space="0" w:color="auto"/>
            </w:tcBorders>
            <w:shd w:val="clear" w:color="auto" w:fill="auto"/>
            <w:vAlign w:val="center"/>
            <w:hideMark/>
          </w:tcPr>
          <w:p w14:paraId="7BA6DA5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91,743</w:t>
            </w:r>
          </w:p>
        </w:tc>
        <w:tc>
          <w:tcPr>
            <w:tcW w:w="1118" w:type="dxa"/>
            <w:tcBorders>
              <w:top w:val="nil"/>
              <w:left w:val="nil"/>
              <w:bottom w:val="nil"/>
              <w:right w:val="single" w:sz="8" w:space="0" w:color="auto"/>
            </w:tcBorders>
            <w:shd w:val="clear" w:color="auto" w:fill="auto"/>
            <w:vAlign w:val="center"/>
            <w:hideMark/>
          </w:tcPr>
          <w:p w14:paraId="4B13B4F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2,743,592</w:t>
            </w:r>
          </w:p>
        </w:tc>
      </w:tr>
      <w:tr w:rsidR="00D33F7C" w:rsidRPr="00037B23" w14:paraId="48F375C9"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304A2E9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Singapore Exchange</w:t>
            </w:r>
          </w:p>
        </w:tc>
        <w:tc>
          <w:tcPr>
            <w:tcW w:w="1118" w:type="dxa"/>
            <w:tcBorders>
              <w:top w:val="nil"/>
              <w:left w:val="single" w:sz="8" w:space="0" w:color="auto"/>
              <w:bottom w:val="nil"/>
              <w:right w:val="single" w:sz="8" w:space="0" w:color="auto"/>
            </w:tcBorders>
            <w:shd w:val="clear" w:color="auto" w:fill="auto"/>
            <w:vAlign w:val="center"/>
            <w:hideMark/>
          </w:tcPr>
          <w:p w14:paraId="28EAB68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2,040,872</w:t>
            </w:r>
          </w:p>
        </w:tc>
        <w:tc>
          <w:tcPr>
            <w:tcW w:w="1118" w:type="dxa"/>
            <w:tcBorders>
              <w:top w:val="nil"/>
              <w:left w:val="nil"/>
              <w:bottom w:val="nil"/>
              <w:right w:val="single" w:sz="8" w:space="0" w:color="auto"/>
            </w:tcBorders>
            <w:shd w:val="clear" w:color="auto" w:fill="auto"/>
            <w:vAlign w:val="center"/>
            <w:hideMark/>
          </w:tcPr>
          <w:p w14:paraId="4F68C75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01B4F35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172,387</w:t>
            </w:r>
          </w:p>
        </w:tc>
        <w:tc>
          <w:tcPr>
            <w:tcW w:w="1118" w:type="dxa"/>
            <w:tcBorders>
              <w:top w:val="nil"/>
              <w:left w:val="nil"/>
              <w:bottom w:val="nil"/>
              <w:right w:val="single" w:sz="8" w:space="0" w:color="auto"/>
            </w:tcBorders>
            <w:shd w:val="clear" w:color="auto" w:fill="auto"/>
            <w:vAlign w:val="center"/>
            <w:hideMark/>
          </w:tcPr>
          <w:p w14:paraId="15E8C93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433</w:t>
            </w:r>
          </w:p>
        </w:tc>
        <w:tc>
          <w:tcPr>
            <w:tcW w:w="1118" w:type="dxa"/>
            <w:tcBorders>
              <w:top w:val="nil"/>
              <w:left w:val="nil"/>
              <w:bottom w:val="nil"/>
              <w:right w:val="single" w:sz="8" w:space="0" w:color="auto"/>
            </w:tcBorders>
            <w:shd w:val="clear" w:color="auto" w:fill="auto"/>
            <w:vAlign w:val="center"/>
            <w:hideMark/>
          </w:tcPr>
          <w:p w14:paraId="1E7C370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1E589FB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460</w:t>
            </w:r>
          </w:p>
        </w:tc>
      </w:tr>
      <w:tr w:rsidR="00D33F7C" w:rsidRPr="00037B23" w14:paraId="00605913"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3EFA7F1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Taiwan Futures Exchange</w:t>
            </w:r>
          </w:p>
        </w:tc>
        <w:tc>
          <w:tcPr>
            <w:tcW w:w="1118" w:type="dxa"/>
            <w:tcBorders>
              <w:top w:val="nil"/>
              <w:left w:val="single" w:sz="8" w:space="0" w:color="auto"/>
              <w:bottom w:val="nil"/>
              <w:right w:val="single" w:sz="8" w:space="0" w:color="auto"/>
            </w:tcBorders>
            <w:shd w:val="clear" w:color="auto" w:fill="auto"/>
            <w:vAlign w:val="center"/>
            <w:hideMark/>
          </w:tcPr>
          <w:p w14:paraId="2AEAF58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21,693</w:t>
            </w:r>
          </w:p>
        </w:tc>
        <w:tc>
          <w:tcPr>
            <w:tcW w:w="1118" w:type="dxa"/>
            <w:tcBorders>
              <w:top w:val="nil"/>
              <w:left w:val="nil"/>
              <w:bottom w:val="nil"/>
              <w:right w:val="single" w:sz="8" w:space="0" w:color="auto"/>
            </w:tcBorders>
            <w:shd w:val="clear" w:color="auto" w:fill="auto"/>
            <w:vAlign w:val="center"/>
            <w:hideMark/>
          </w:tcPr>
          <w:p w14:paraId="12DA9AF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691</w:t>
            </w:r>
          </w:p>
        </w:tc>
        <w:tc>
          <w:tcPr>
            <w:tcW w:w="1118" w:type="dxa"/>
            <w:tcBorders>
              <w:top w:val="nil"/>
              <w:left w:val="nil"/>
              <w:bottom w:val="nil"/>
              <w:right w:val="single" w:sz="8" w:space="0" w:color="auto"/>
            </w:tcBorders>
            <w:shd w:val="clear" w:color="auto" w:fill="auto"/>
            <w:vAlign w:val="center"/>
            <w:hideMark/>
          </w:tcPr>
          <w:p w14:paraId="67776B1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2,726</w:t>
            </w:r>
          </w:p>
        </w:tc>
        <w:tc>
          <w:tcPr>
            <w:tcW w:w="1118" w:type="dxa"/>
            <w:tcBorders>
              <w:top w:val="nil"/>
              <w:left w:val="nil"/>
              <w:bottom w:val="nil"/>
              <w:right w:val="single" w:sz="8" w:space="0" w:color="auto"/>
            </w:tcBorders>
            <w:shd w:val="clear" w:color="auto" w:fill="auto"/>
            <w:vAlign w:val="center"/>
            <w:hideMark/>
          </w:tcPr>
          <w:p w14:paraId="6B54332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183AA12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1C44398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385</w:t>
            </w:r>
          </w:p>
        </w:tc>
      </w:tr>
      <w:tr w:rsidR="00D33F7C" w:rsidRPr="00037B23" w14:paraId="2DC87BE8"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0B45DDA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Thailand Futures Exchange</w:t>
            </w:r>
          </w:p>
        </w:tc>
        <w:tc>
          <w:tcPr>
            <w:tcW w:w="1118" w:type="dxa"/>
            <w:tcBorders>
              <w:top w:val="nil"/>
              <w:left w:val="single" w:sz="8" w:space="0" w:color="auto"/>
              <w:bottom w:val="nil"/>
              <w:right w:val="single" w:sz="8" w:space="0" w:color="auto"/>
            </w:tcBorders>
            <w:shd w:val="clear" w:color="auto" w:fill="auto"/>
            <w:vAlign w:val="center"/>
            <w:hideMark/>
          </w:tcPr>
          <w:p w14:paraId="12545E6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242,262</w:t>
            </w:r>
          </w:p>
        </w:tc>
        <w:tc>
          <w:tcPr>
            <w:tcW w:w="1118" w:type="dxa"/>
            <w:tcBorders>
              <w:top w:val="nil"/>
              <w:left w:val="nil"/>
              <w:bottom w:val="nil"/>
              <w:right w:val="single" w:sz="8" w:space="0" w:color="auto"/>
            </w:tcBorders>
            <w:shd w:val="clear" w:color="auto" w:fill="auto"/>
            <w:vAlign w:val="center"/>
            <w:hideMark/>
          </w:tcPr>
          <w:p w14:paraId="49B57EE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52D14B8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38,817</w:t>
            </w:r>
          </w:p>
        </w:tc>
        <w:tc>
          <w:tcPr>
            <w:tcW w:w="1118" w:type="dxa"/>
            <w:tcBorders>
              <w:top w:val="nil"/>
              <w:left w:val="nil"/>
              <w:bottom w:val="nil"/>
              <w:right w:val="single" w:sz="8" w:space="0" w:color="auto"/>
            </w:tcBorders>
            <w:shd w:val="clear" w:color="auto" w:fill="auto"/>
            <w:vAlign w:val="center"/>
            <w:hideMark/>
          </w:tcPr>
          <w:p w14:paraId="424C3F3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0222A09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05767DE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066BF8B7"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7F46493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Borsa Istanbul</w:t>
            </w:r>
          </w:p>
        </w:tc>
        <w:tc>
          <w:tcPr>
            <w:tcW w:w="1118" w:type="dxa"/>
            <w:tcBorders>
              <w:top w:val="nil"/>
              <w:left w:val="single" w:sz="8" w:space="0" w:color="auto"/>
              <w:bottom w:val="nil"/>
              <w:right w:val="single" w:sz="8" w:space="0" w:color="auto"/>
            </w:tcBorders>
            <w:shd w:val="clear" w:color="auto" w:fill="auto"/>
            <w:vAlign w:val="center"/>
            <w:hideMark/>
          </w:tcPr>
          <w:p w14:paraId="46739AA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4,498,277</w:t>
            </w:r>
          </w:p>
        </w:tc>
        <w:tc>
          <w:tcPr>
            <w:tcW w:w="1118" w:type="dxa"/>
            <w:tcBorders>
              <w:top w:val="nil"/>
              <w:left w:val="nil"/>
              <w:bottom w:val="nil"/>
              <w:right w:val="single" w:sz="8" w:space="0" w:color="auto"/>
            </w:tcBorders>
            <w:shd w:val="clear" w:color="auto" w:fill="auto"/>
            <w:vAlign w:val="center"/>
            <w:hideMark/>
          </w:tcPr>
          <w:p w14:paraId="5C0209C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4,642</w:t>
            </w:r>
          </w:p>
        </w:tc>
        <w:tc>
          <w:tcPr>
            <w:tcW w:w="1118" w:type="dxa"/>
            <w:tcBorders>
              <w:top w:val="nil"/>
              <w:left w:val="nil"/>
              <w:bottom w:val="nil"/>
              <w:right w:val="single" w:sz="8" w:space="0" w:color="auto"/>
            </w:tcBorders>
            <w:shd w:val="clear" w:color="auto" w:fill="auto"/>
            <w:vAlign w:val="center"/>
            <w:hideMark/>
          </w:tcPr>
          <w:p w14:paraId="553D3DA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1,752,052</w:t>
            </w:r>
          </w:p>
        </w:tc>
        <w:tc>
          <w:tcPr>
            <w:tcW w:w="1118" w:type="dxa"/>
            <w:tcBorders>
              <w:top w:val="nil"/>
              <w:left w:val="nil"/>
              <w:bottom w:val="nil"/>
              <w:right w:val="single" w:sz="8" w:space="0" w:color="auto"/>
            </w:tcBorders>
            <w:shd w:val="clear" w:color="auto" w:fill="auto"/>
            <w:vAlign w:val="center"/>
            <w:hideMark/>
          </w:tcPr>
          <w:p w14:paraId="29740CC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31,765</w:t>
            </w:r>
          </w:p>
        </w:tc>
        <w:tc>
          <w:tcPr>
            <w:tcW w:w="1118" w:type="dxa"/>
            <w:tcBorders>
              <w:top w:val="nil"/>
              <w:left w:val="nil"/>
              <w:bottom w:val="nil"/>
              <w:right w:val="single" w:sz="8" w:space="0" w:color="auto"/>
            </w:tcBorders>
            <w:shd w:val="clear" w:color="auto" w:fill="auto"/>
            <w:vAlign w:val="center"/>
            <w:hideMark/>
          </w:tcPr>
          <w:p w14:paraId="641A526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w:t>
            </w:r>
          </w:p>
        </w:tc>
        <w:tc>
          <w:tcPr>
            <w:tcW w:w="1118" w:type="dxa"/>
            <w:tcBorders>
              <w:top w:val="nil"/>
              <w:left w:val="nil"/>
              <w:bottom w:val="nil"/>
              <w:right w:val="single" w:sz="8" w:space="0" w:color="auto"/>
            </w:tcBorders>
            <w:shd w:val="clear" w:color="auto" w:fill="auto"/>
            <w:vAlign w:val="center"/>
            <w:hideMark/>
          </w:tcPr>
          <w:p w14:paraId="60D92BA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27,754</w:t>
            </w:r>
          </w:p>
        </w:tc>
      </w:tr>
      <w:tr w:rsidR="00D33F7C" w:rsidRPr="00037B23" w14:paraId="72084CB3"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7731388D"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Budapest Stock Exchange</w:t>
            </w:r>
          </w:p>
        </w:tc>
        <w:tc>
          <w:tcPr>
            <w:tcW w:w="1118" w:type="dxa"/>
            <w:tcBorders>
              <w:top w:val="nil"/>
              <w:left w:val="single" w:sz="8" w:space="0" w:color="auto"/>
              <w:bottom w:val="nil"/>
              <w:right w:val="single" w:sz="8" w:space="0" w:color="auto"/>
            </w:tcBorders>
            <w:shd w:val="clear" w:color="auto" w:fill="auto"/>
            <w:vAlign w:val="center"/>
            <w:hideMark/>
          </w:tcPr>
          <w:p w14:paraId="365382A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596,226</w:t>
            </w:r>
          </w:p>
        </w:tc>
        <w:tc>
          <w:tcPr>
            <w:tcW w:w="1118" w:type="dxa"/>
            <w:tcBorders>
              <w:top w:val="nil"/>
              <w:left w:val="nil"/>
              <w:bottom w:val="nil"/>
              <w:right w:val="single" w:sz="8" w:space="0" w:color="auto"/>
            </w:tcBorders>
            <w:shd w:val="clear" w:color="auto" w:fill="auto"/>
            <w:vAlign w:val="center"/>
            <w:hideMark/>
          </w:tcPr>
          <w:p w14:paraId="3CC7AC8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729</w:t>
            </w:r>
          </w:p>
        </w:tc>
        <w:tc>
          <w:tcPr>
            <w:tcW w:w="1118" w:type="dxa"/>
            <w:tcBorders>
              <w:top w:val="nil"/>
              <w:left w:val="nil"/>
              <w:bottom w:val="nil"/>
              <w:right w:val="single" w:sz="8" w:space="0" w:color="auto"/>
            </w:tcBorders>
            <w:shd w:val="clear" w:color="auto" w:fill="auto"/>
            <w:vAlign w:val="center"/>
            <w:hideMark/>
          </w:tcPr>
          <w:p w14:paraId="5331FCB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750,001</w:t>
            </w:r>
          </w:p>
        </w:tc>
        <w:tc>
          <w:tcPr>
            <w:tcW w:w="1118" w:type="dxa"/>
            <w:tcBorders>
              <w:top w:val="nil"/>
              <w:left w:val="nil"/>
              <w:bottom w:val="nil"/>
              <w:right w:val="single" w:sz="8" w:space="0" w:color="auto"/>
            </w:tcBorders>
            <w:shd w:val="clear" w:color="auto" w:fill="auto"/>
            <w:vAlign w:val="center"/>
            <w:hideMark/>
          </w:tcPr>
          <w:p w14:paraId="3FBA1F7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6255667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01493F2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1E3E47B8"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43735C33"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Moscow Exchange</w:t>
            </w:r>
          </w:p>
        </w:tc>
        <w:tc>
          <w:tcPr>
            <w:tcW w:w="1118" w:type="dxa"/>
            <w:tcBorders>
              <w:top w:val="nil"/>
              <w:left w:val="single" w:sz="8" w:space="0" w:color="auto"/>
              <w:bottom w:val="nil"/>
              <w:right w:val="single" w:sz="8" w:space="0" w:color="auto"/>
            </w:tcBorders>
            <w:shd w:val="clear" w:color="auto" w:fill="auto"/>
            <w:vAlign w:val="center"/>
            <w:hideMark/>
          </w:tcPr>
          <w:p w14:paraId="3BA4E89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58,018,143</w:t>
            </w:r>
          </w:p>
        </w:tc>
        <w:tc>
          <w:tcPr>
            <w:tcW w:w="1118" w:type="dxa"/>
            <w:tcBorders>
              <w:top w:val="nil"/>
              <w:left w:val="nil"/>
              <w:bottom w:val="nil"/>
              <w:right w:val="single" w:sz="8" w:space="0" w:color="auto"/>
            </w:tcBorders>
            <w:shd w:val="clear" w:color="auto" w:fill="auto"/>
            <w:vAlign w:val="center"/>
            <w:hideMark/>
          </w:tcPr>
          <w:p w14:paraId="407AECE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60,182</w:t>
            </w:r>
          </w:p>
        </w:tc>
        <w:tc>
          <w:tcPr>
            <w:tcW w:w="1118" w:type="dxa"/>
            <w:tcBorders>
              <w:top w:val="nil"/>
              <w:left w:val="nil"/>
              <w:bottom w:val="nil"/>
              <w:right w:val="single" w:sz="8" w:space="0" w:color="auto"/>
            </w:tcBorders>
            <w:shd w:val="clear" w:color="auto" w:fill="auto"/>
            <w:vAlign w:val="center"/>
            <w:hideMark/>
          </w:tcPr>
          <w:p w14:paraId="46E0094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4,054,780</w:t>
            </w:r>
          </w:p>
        </w:tc>
        <w:tc>
          <w:tcPr>
            <w:tcW w:w="1118" w:type="dxa"/>
            <w:tcBorders>
              <w:top w:val="nil"/>
              <w:left w:val="nil"/>
              <w:bottom w:val="nil"/>
              <w:right w:val="single" w:sz="8" w:space="0" w:color="auto"/>
            </w:tcBorders>
            <w:shd w:val="clear" w:color="auto" w:fill="auto"/>
            <w:vAlign w:val="center"/>
            <w:hideMark/>
          </w:tcPr>
          <w:p w14:paraId="1BD1BA9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1,244,014</w:t>
            </w:r>
          </w:p>
        </w:tc>
        <w:tc>
          <w:tcPr>
            <w:tcW w:w="1118" w:type="dxa"/>
            <w:tcBorders>
              <w:top w:val="nil"/>
              <w:left w:val="nil"/>
              <w:bottom w:val="nil"/>
              <w:right w:val="single" w:sz="8" w:space="0" w:color="auto"/>
            </w:tcBorders>
            <w:shd w:val="clear" w:color="auto" w:fill="auto"/>
            <w:vAlign w:val="center"/>
            <w:hideMark/>
          </w:tcPr>
          <w:p w14:paraId="57EF469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1,321</w:t>
            </w:r>
          </w:p>
        </w:tc>
        <w:tc>
          <w:tcPr>
            <w:tcW w:w="1118" w:type="dxa"/>
            <w:tcBorders>
              <w:top w:val="nil"/>
              <w:left w:val="nil"/>
              <w:bottom w:val="nil"/>
              <w:right w:val="single" w:sz="8" w:space="0" w:color="auto"/>
            </w:tcBorders>
            <w:shd w:val="clear" w:color="auto" w:fill="auto"/>
            <w:vAlign w:val="center"/>
            <w:hideMark/>
          </w:tcPr>
          <w:p w14:paraId="1173B04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1,663,190</w:t>
            </w:r>
          </w:p>
        </w:tc>
      </w:tr>
      <w:tr w:rsidR="00D33F7C" w:rsidRPr="00037B23" w14:paraId="3382319B" w14:textId="77777777" w:rsidTr="00E213CE">
        <w:trPr>
          <w:trHeight w:val="241"/>
        </w:trPr>
        <w:tc>
          <w:tcPr>
            <w:tcW w:w="3620" w:type="dxa"/>
            <w:tcBorders>
              <w:top w:val="nil"/>
              <w:left w:val="single" w:sz="4" w:space="0" w:color="auto"/>
              <w:bottom w:val="nil"/>
              <w:right w:val="nil"/>
            </w:tcBorders>
            <w:shd w:val="clear" w:color="000000" w:fill="B4C6E7"/>
            <w:vAlign w:val="center"/>
            <w:hideMark/>
          </w:tcPr>
          <w:p w14:paraId="565232F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Tel-Aviv Stock Exchange</w:t>
            </w:r>
          </w:p>
        </w:tc>
        <w:tc>
          <w:tcPr>
            <w:tcW w:w="1118" w:type="dxa"/>
            <w:tcBorders>
              <w:top w:val="nil"/>
              <w:left w:val="single" w:sz="8" w:space="0" w:color="auto"/>
              <w:bottom w:val="nil"/>
              <w:right w:val="single" w:sz="8" w:space="0" w:color="auto"/>
            </w:tcBorders>
            <w:shd w:val="clear" w:color="auto" w:fill="auto"/>
            <w:vAlign w:val="center"/>
            <w:hideMark/>
          </w:tcPr>
          <w:p w14:paraId="2A79EE6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22BB692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0ABE4D3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41A62D5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921,309</w:t>
            </w:r>
          </w:p>
        </w:tc>
        <w:tc>
          <w:tcPr>
            <w:tcW w:w="1118" w:type="dxa"/>
            <w:tcBorders>
              <w:top w:val="nil"/>
              <w:left w:val="nil"/>
              <w:bottom w:val="nil"/>
              <w:right w:val="single" w:sz="8" w:space="0" w:color="auto"/>
            </w:tcBorders>
            <w:shd w:val="clear" w:color="auto" w:fill="auto"/>
            <w:vAlign w:val="center"/>
            <w:hideMark/>
          </w:tcPr>
          <w:p w14:paraId="1F258EE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9,274</w:t>
            </w:r>
          </w:p>
        </w:tc>
        <w:tc>
          <w:tcPr>
            <w:tcW w:w="1118" w:type="dxa"/>
            <w:tcBorders>
              <w:top w:val="nil"/>
              <w:left w:val="nil"/>
              <w:bottom w:val="nil"/>
              <w:right w:val="single" w:sz="8" w:space="0" w:color="auto"/>
            </w:tcBorders>
            <w:shd w:val="clear" w:color="auto" w:fill="auto"/>
            <w:vAlign w:val="center"/>
            <w:hideMark/>
          </w:tcPr>
          <w:p w14:paraId="7EE85E9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621,383</w:t>
            </w:r>
          </w:p>
        </w:tc>
      </w:tr>
      <w:tr w:rsidR="00D33F7C" w:rsidRPr="00037B23" w14:paraId="7D8995A9" w14:textId="77777777" w:rsidTr="00E213CE">
        <w:trPr>
          <w:trHeight w:val="253"/>
        </w:trPr>
        <w:tc>
          <w:tcPr>
            <w:tcW w:w="3620" w:type="dxa"/>
            <w:tcBorders>
              <w:top w:val="nil"/>
              <w:left w:val="single" w:sz="4" w:space="0" w:color="auto"/>
              <w:bottom w:val="nil"/>
              <w:right w:val="nil"/>
            </w:tcBorders>
            <w:shd w:val="clear" w:color="000000" w:fill="B4C6E7"/>
            <w:vAlign w:val="center"/>
            <w:hideMark/>
          </w:tcPr>
          <w:p w14:paraId="24B5E44C"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Dubai Gold and Commodities Exchange</w:t>
            </w:r>
          </w:p>
        </w:tc>
        <w:tc>
          <w:tcPr>
            <w:tcW w:w="1118" w:type="dxa"/>
            <w:tcBorders>
              <w:top w:val="nil"/>
              <w:left w:val="single" w:sz="8" w:space="0" w:color="auto"/>
              <w:bottom w:val="single" w:sz="8" w:space="0" w:color="auto"/>
              <w:right w:val="single" w:sz="8" w:space="0" w:color="auto"/>
            </w:tcBorders>
            <w:shd w:val="clear" w:color="auto" w:fill="auto"/>
            <w:vAlign w:val="center"/>
            <w:hideMark/>
          </w:tcPr>
          <w:p w14:paraId="7103FB0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603,984</w:t>
            </w:r>
          </w:p>
        </w:tc>
        <w:tc>
          <w:tcPr>
            <w:tcW w:w="1118" w:type="dxa"/>
            <w:tcBorders>
              <w:top w:val="nil"/>
              <w:left w:val="nil"/>
              <w:bottom w:val="single" w:sz="8" w:space="0" w:color="auto"/>
              <w:right w:val="single" w:sz="8" w:space="0" w:color="auto"/>
            </w:tcBorders>
            <w:shd w:val="clear" w:color="auto" w:fill="auto"/>
            <w:vAlign w:val="center"/>
            <w:hideMark/>
          </w:tcPr>
          <w:p w14:paraId="40C2C11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3,352</w:t>
            </w:r>
          </w:p>
        </w:tc>
        <w:tc>
          <w:tcPr>
            <w:tcW w:w="1118" w:type="dxa"/>
            <w:tcBorders>
              <w:top w:val="nil"/>
              <w:left w:val="nil"/>
              <w:bottom w:val="single" w:sz="8" w:space="0" w:color="auto"/>
              <w:right w:val="single" w:sz="8" w:space="0" w:color="auto"/>
            </w:tcBorders>
            <w:shd w:val="clear" w:color="auto" w:fill="auto"/>
            <w:vAlign w:val="center"/>
            <w:hideMark/>
          </w:tcPr>
          <w:p w14:paraId="0A7779F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206,972</w:t>
            </w:r>
          </w:p>
        </w:tc>
        <w:tc>
          <w:tcPr>
            <w:tcW w:w="1118" w:type="dxa"/>
            <w:tcBorders>
              <w:top w:val="nil"/>
              <w:left w:val="nil"/>
              <w:bottom w:val="single" w:sz="8" w:space="0" w:color="auto"/>
              <w:right w:val="single" w:sz="8" w:space="0" w:color="auto"/>
            </w:tcBorders>
            <w:shd w:val="clear" w:color="auto" w:fill="auto"/>
            <w:vAlign w:val="center"/>
            <w:hideMark/>
          </w:tcPr>
          <w:p w14:paraId="248D9E1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single" w:sz="8" w:space="0" w:color="auto"/>
              <w:right w:val="single" w:sz="8" w:space="0" w:color="auto"/>
            </w:tcBorders>
            <w:shd w:val="clear" w:color="auto" w:fill="auto"/>
            <w:vAlign w:val="center"/>
            <w:hideMark/>
          </w:tcPr>
          <w:p w14:paraId="67F6B12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single" w:sz="8" w:space="0" w:color="auto"/>
              <w:right w:val="single" w:sz="8" w:space="0" w:color="auto"/>
            </w:tcBorders>
            <w:shd w:val="clear" w:color="auto" w:fill="auto"/>
            <w:vAlign w:val="center"/>
            <w:hideMark/>
          </w:tcPr>
          <w:p w14:paraId="7DF6BBA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663F1512" w14:textId="77777777" w:rsidTr="00E213CE">
        <w:trPr>
          <w:trHeight w:val="253"/>
        </w:trPr>
        <w:tc>
          <w:tcPr>
            <w:tcW w:w="3620" w:type="dxa"/>
            <w:tcBorders>
              <w:top w:val="single" w:sz="8" w:space="0" w:color="auto"/>
              <w:left w:val="single" w:sz="8" w:space="0" w:color="auto"/>
              <w:bottom w:val="single" w:sz="8" w:space="0" w:color="auto"/>
              <w:right w:val="nil"/>
            </w:tcBorders>
            <w:shd w:val="clear" w:color="000000" w:fill="D9E1F2"/>
            <w:vAlign w:val="center"/>
            <w:hideMark/>
          </w:tcPr>
          <w:p w14:paraId="223F63D1" w14:textId="77777777" w:rsidR="00D33F7C" w:rsidRPr="00037B23" w:rsidRDefault="00D33F7C" w:rsidP="00E213CE">
            <w:pP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Grand Total</w:t>
            </w:r>
          </w:p>
        </w:tc>
        <w:tc>
          <w:tcPr>
            <w:tcW w:w="1118" w:type="dxa"/>
            <w:tcBorders>
              <w:top w:val="nil"/>
              <w:left w:val="nil"/>
              <w:bottom w:val="single" w:sz="8" w:space="0" w:color="auto"/>
              <w:right w:val="nil"/>
            </w:tcBorders>
            <w:shd w:val="clear" w:color="000000" w:fill="D9E1F2"/>
            <w:vAlign w:val="bottom"/>
            <w:hideMark/>
          </w:tcPr>
          <w:p w14:paraId="74E5004B"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221,236,516</w:t>
            </w:r>
          </w:p>
        </w:tc>
        <w:tc>
          <w:tcPr>
            <w:tcW w:w="1118" w:type="dxa"/>
            <w:tcBorders>
              <w:top w:val="nil"/>
              <w:left w:val="nil"/>
              <w:bottom w:val="single" w:sz="8" w:space="0" w:color="auto"/>
              <w:right w:val="nil"/>
            </w:tcBorders>
            <w:shd w:val="clear" w:color="000000" w:fill="D9E1F2"/>
            <w:vAlign w:val="bottom"/>
            <w:hideMark/>
          </w:tcPr>
          <w:p w14:paraId="1049465E"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2,415,587</w:t>
            </w:r>
          </w:p>
        </w:tc>
        <w:tc>
          <w:tcPr>
            <w:tcW w:w="1118" w:type="dxa"/>
            <w:tcBorders>
              <w:top w:val="nil"/>
              <w:left w:val="nil"/>
              <w:bottom w:val="single" w:sz="8" w:space="0" w:color="auto"/>
              <w:right w:val="nil"/>
            </w:tcBorders>
            <w:shd w:val="clear" w:color="000000" w:fill="D9E1F2"/>
            <w:vAlign w:val="bottom"/>
            <w:hideMark/>
          </w:tcPr>
          <w:p w14:paraId="661D4735"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21,481,617</w:t>
            </w:r>
          </w:p>
        </w:tc>
        <w:tc>
          <w:tcPr>
            <w:tcW w:w="1118" w:type="dxa"/>
            <w:tcBorders>
              <w:top w:val="nil"/>
              <w:left w:val="nil"/>
              <w:bottom w:val="single" w:sz="8" w:space="0" w:color="auto"/>
              <w:right w:val="nil"/>
            </w:tcBorders>
            <w:shd w:val="clear" w:color="000000" w:fill="D9E1F2"/>
            <w:vAlign w:val="bottom"/>
            <w:hideMark/>
          </w:tcPr>
          <w:p w14:paraId="0C41ABE7"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93,684,469</w:t>
            </w:r>
          </w:p>
        </w:tc>
        <w:tc>
          <w:tcPr>
            <w:tcW w:w="1118" w:type="dxa"/>
            <w:tcBorders>
              <w:top w:val="nil"/>
              <w:left w:val="nil"/>
              <w:bottom w:val="single" w:sz="8" w:space="0" w:color="auto"/>
              <w:right w:val="nil"/>
            </w:tcBorders>
            <w:shd w:val="clear" w:color="000000" w:fill="D9E1F2"/>
            <w:vAlign w:val="bottom"/>
            <w:hideMark/>
          </w:tcPr>
          <w:p w14:paraId="4E6C62C2"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185,981</w:t>
            </w:r>
          </w:p>
        </w:tc>
        <w:tc>
          <w:tcPr>
            <w:tcW w:w="1118" w:type="dxa"/>
            <w:tcBorders>
              <w:top w:val="nil"/>
              <w:left w:val="nil"/>
              <w:bottom w:val="single" w:sz="8" w:space="0" w:color="auto"/>
              <w:right w:val="single" w:sz="8" w:space="0" w:color="auto"/>
            </w:tcBorders>
            <w:shd w:val="clear" w:color="000000" w:fill="D9E1F2"/>
            <w:vAlign w:val="bottom"/>
            <w:hideMark/>
          </w:tcPr>
          <w:p w14:paraId="2F157BE7"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6,606,841</w:t>
            </w:r>
          </w:p>
        </w:tc>
      </w:tr>
    </w:tbl>
    <w:p w14:paraId="1D1850AC" w14:textId="77777777" w:rsidR="00D33F7C" w:rsidRPr="002061D1" w:rsidRDefault="00D33F7C" w:rsidP="00D33F7C">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p>
    <w:p w14:paraId="48DB96FF" w14:textId="77777777" w:rsidR="00D33F7C" w:rsidRPr="002061D1" w:rsidRDefault="00D33F7C" w:rsidP="00D33F7C">
      <w:pPr>
        <w:spacing w:line="23" w:lineRule="atLeast"/>
        <w:jc w:val="both"/>
        <w:rPr>
          <w:rFonts w:ascii="Garamond" w:hAnsi="Garamond"/>
          <w:bCs/>
          <w:sz w:val="18"/>
          <w:szCs w:val="18"/>
        </w:rPr>
      </w:pPr>
      <w:r w:rsidRPr="002061D1">
        <w:rPr>
          <w:rFonts w:ascii="Garamond" w:hAnsi="Garamond"/>
          <w:bCs/>
          <w:sz w:val="18"/>
          <w:szCs w:val="18"/>
        </w:rPr>
        <w:t>NA: Not Available</w:t>
      </w:r>
    </w:p>
    <w:p w14:paraId="2B3C9D8A" w14:textId="77777777" w:rsidR="00D33F7C" w:rsidRPr="002061D1" w:rsidRDefault="00D33F7C" w:rsidP="00D33F7C">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14:paraId="4F7475FF" w14:textId="77777777" w:rsidR="00D33F7C" w:rsidRPr="002061D1" w:rsidRDefault="00D33F7C" w:rsidP="00D33F7C">
      <w:pPr>
        <w:spacing w:line="23" w:lineRule="atLeast"/>
        <w:rPr>
          <w:rFonts w:ascii="Garamond" w:hAnsi="Garamond"/>
          <w:bCs/>
          <w:sz w:val="22"/>
          <w:szCs w:val="22"/>
        </w:rPr>
      </w:pPr>
    </w:p>
    <w:p w14:paraId="41DFA0B0" w14:textId="77777777" w:rsidR="00D33F7C" w:rsidRPr="002061D1" w:rsidRDefault="00D33F7C" w:rsidP="00D33F7C">
      <w:pPr>
        <w:rPr>
          <w:rFonts w:ascii="Garamond" w:eastAsia="Times New Roman" w:hAnsi="Garamond"/>
          <w:bCs/>
          <w:sz w:val="22"/>
          <w:szCs w:val="22"/>
          <w:lang w:val="en-US"/>
        </w:rPr>
      </w:pPr>
      <w:r>
        <w:rPr>
          <w:rFonts w:ascii="Garamond" w:eastAsia="Times New Roman" w:hAnsi="Garamond"/>
          <w:b/>
          <w:bCs/>
          <w:szCs w:val="22"/>
          <w:lang w:val="en-US"/>
        </w:rPr>
        <w:br w:type="page"/>
      </w:r>
      <w:r w:rsidRPr="002061D1">
        <w:rPr>
          <w:rFonts w:ascii="Garamond" w:eastAsia="Times New Roman" w:hAnsi="Garamond"/>
          <w:b/>
          <w:bCs/>
          <w:szCs w:val="22"/>
          <w:lang w:val="en-US"/>
        </w:rPr>
        <w:lastRenderedPageBreak/>
        <w:t>Table A7: Interest Rate Futures and Options Traded in Major Exchanges</w:t>
      </w:r>
    </w:p>
    <w:p w14:paraId="3B244CBD" w14:textId="77777777" w:rsidR="00D33F7C" w:rsidRPr="002061D1" w:rsidRDefault="00D33F7C" w:rsidP="00D33F7C">
      <w:pPr>
        <w:spacing w:line="23" w:lineRule="atLeast"/>
        <w:ind w:right="-602"/>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10329" w:type="dxa"/>
        <w:tblInd w:w="113" w:type="dxa"/>
        <w:tblLook w:val="04A0" w:firstRow="1" w:lastRow="0" w:firstColumn="1" w:lastColumn="0" w:noHBand="0" w:noVBand="1"/>
      </w:tblPr>
      <w:tblGrid>
        <w:gridCol w:w="3579"/>
        <w:gridCol w:w="1164"/>
        <w:gridCol w:w="1117"/>
        <w:gridCol w:w="1117"/>
        <w:gridCol w:w="1117"/>
        <w:gridCol w:w="1117"/>
        <w:gridCol w:w="1118"/>
      </w:tblGrid>
      <w:tr w:rsidR="00D33F7C" w:rsidRPr="00037B23" w14:paraId="792CF147" w14:textId="77777777" w:rsidTr="00E213CE">
        <w:trPr>
          <w:trHeight w:val="230"/>
        </w:trPr>
        <w:tc>
          <w:tcPr>
            <w:tcW w:w="3620"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7AA0CF77"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Exchange</w:t>
            </w:r>
          </w:p>
        </w:tc>
        <w:tc>
          <w:tcPr>
            <w:tcW w:w="6709" w:type="dxa"/>
            <w:gridSpan w:val="6"/>
            <w:tcBorders>
              <w:top w:val="single" w:sz="4" w:space="0" w:color="auto"/>
              <w:left w:val="nil"/>
              <w:bottom w:val="single" w:sz="4" w:space="0" w:color="auto"/>
              <w:right w:val="single" w:sz="4" w:space="0" w:color="auto"/>
            </w:tcBorders>
            <w:shd w:val="clear" w:color="000000" w:fill="B4C6E7"/>
            <w:vAlign w:val="center"/>
            <w:hideMark/>
          </w:tcPr>
          <w:p w14:paraId="0643FC26"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May-21</w:t>
            </w:r>
          </w:p>
        </w:tc>
      </w:tr>
      <w:tr w:rsidR="00D33F7C" w:rsidRPr="00037B23" w14:paraId="0CA61644" w14:textId="77777777" w:rsidTr="00E213CE">
        <w:trPr>
          <w:trHeight w:val="230"/>
        </w:trPr>
        <w:tc>
          <w:tcPr>
            <w:tcW w:w="3620" w:type="dxa"/>
            <w:vMerge/>
            <w:tcBorders>
              <w:top w:val="single" w:sz="4" w:space="0" w:color="auto"/>
              <w:left w:val="single" w:sz="4" w:space="0" w:color="auto"/>
              <w:bottom w:val="single" w:sz="4" w:space="0" w:color="auto"/>
              <w:right w:val="single" w:sz="4" w:space="0" w:color="auto"/>
            </w:tcBorders>
            <w:vAlign w:val="center"/>
            <w:hideMark/>
          </w:tcPr>
          <w:p w14:paraId="4C3128D4"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3354" w:type="dxa"/>
            <w:gridSpan w:val="3"/>
            <w:tcBorders>
              <w:top w:val="single" w:sz="4" w:space="0" w:color="auto"/>
              <w:left w:val="nil"/>
              <w:bottom w:val="single" w:sz="4" w:space="0" w:color="auto"/>
              <w:right w:val="single" w:sz="4" w:space="0" w:color="auto"/>
            </w:tcBorders>
            <w:shd w:val="clear" w:color="000000" w:fill="B4C6E7"/>
            <w:vAlign w:val="center"/>
            <w:hideMark/>
          </w:tcPr>
          <w:p w14:paraId="14F8268F"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Interest Rate Futures</w:t>
            </w:r>
          </w:p>
        </w:tc>
        <w:tc>
          <w:tcPr>
            <w:tcW w:w="3354" w:type="dxa"/>
            <w:gridSpan w:val="3"/>
            <w:tcBorders>
              <w:top w:val="single" w:sz="4" w:space="0" w:color="auto"/>
              <w:left w:val="nil"/>
              <w:bottom w:val="single" w:sz="4" w:space="0" w:color="auto"/>
              <w:right w:val="single" w:sz="4" w:space="0" w:color="auto"/>
            </w:tcBorders>
            <w:shd w:val="clear" w:color="000000" w:fill="B4C6E7"/>
            <w:vAlign w:val="center"/>
            <w:hideMark/>
          </w:tcPr>
          <w:p w14:paraId="0EEBF1C0"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Interest Rate Options</w:t>
            </w:r>
          </w:p>
        </w:tc>
      </w:tr>
      <w:tr w:rsidR="00D33F7C" w:rsidRPr="00037B23" w14:paraId="058A9783" w14:textId="77777777" w:rsidTr="00E213CE">
        <w:trPr>
          <w:trHeight w:val="599"/>
        </w:trPr>
        <w:tc>
          <w:tcPr>
            <w:tcW w:w="3620" w:type="dxa"/>
            <w:vMerge/>
            <w:tcBorders>
              <w:top w:val="single" w:sz="4" w:space="0" w:color="auto"/>
              <w:left w:val="single" w:sz="4" w:space="0" w:color="auto"/>
              <w:bottom w:val="single" w:sz="4" w:space="0" w:color="auto"/>
              <w:right w:val="single" w:sz="4" w:space="0" w:color="auto"/>
            </w:tcBorders>
            <w:vAlign w:val="center"/>
            <w:hideMark/>
          </w:tcPr>
          <w:p w14:paraId="5AB0D511"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1118" w:type="dxa"/>
            <w:tcBorders>
              <w:top w:val="nil"/>
              <w:left w:val="nil"/>
              <w:bottom w:val="single" w:sz="4" w:space="0" w:color="auto"/>
              <w:right w:val="single" w:sz="4" w:space="0" w:color="auto"/>
            </w:tcBorders>
            <w:shd w:val="clear" w:color="000000" w:fill="B4C6E7"/>
            <w:vAlign w:val="center"/>
            <w:hideMark/>
          </w:tcPr>
          <w:p w14:paraId="4CEAC704"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118" w:type="dxa"/>
            <w:tcBorders>
              <w:top w:val="nil"/>
              <w:left w:val="nil"/>
              <w:bottom w:val="single" w:sz="4" w:space="0" w:color="auto"/>
              <w:right w:val="single" w:sz="4" w:space="0" w:color="auto"/>
            </w:tcBorders>
            <w:shd w:val="clear" w:color="000000" w:fill="B4C6E7"/>
            <w:vAlign w:val="center"/>
            <w:hideMark/>
          </w:tcPr>
          <w:p w14:paraId="65E1B61F"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18" w:type="dxa"/>
            <w:tcBorders>
              <w:top w:val="nil"/>
              <w:left w:val="nil"/>
              <w:bottom w:val="single" w:sz="4" w:space="0" w:color="auto"/>
              <w:right w:val="single" w:sz="4" w:space="0" w:color="auto"/>
            </w:tcBorders>
            <w:shd w:val="clear" w:color="000000" w:fill="B4C6E7"/>
            <w:vAlign w:val="center"/>
            <w:hideMark/>
          </w:tcPr>
          <w:p w14:paraId="1F14C304"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c>
          <w:tcPr>
            <w:tcW w:w="1118" w:type="dxa"/>
            <w:tcBorders>
              <w:top w:val="nil"/>
              <w:left w:val="nil"/>
              <w:bottom w:val="single" w:sz="4" w:space="0" w:color="auto"/>
              <w:right w:val="single" w:sz="4" w:space="0" w:color="auto"/>
            </w:tcBorders>
            <w:shd w:val="clear" w:color="000000" w:fill="B4C6E7"/>
            <w:vAlign w:val="center"/>
            <w:hideMark/>
          </w:tcPr>
          <w:p w14:paraId="7A8A3EAD"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118" w:type="dxa"/>
            <w:tcBorders>
              <w:top w:val="nil"/>
              <w:left w:val="nil"/>
              <w:bottom w:val="single" w:sz="4" w:space="0" w:color="auto"/>
              <w:right w:val="single" w:sz="4" w:space="0" w:color="auto"/>
            </w:tcBorders>
            <w:shd w:val="clear" w:color="000000" w:fill="B4C6E7"/>
            <w:vAlign w:val="center"/>
            <w:hideMark/>
          </w:tcPr>
          <w:p w14:paraId="249364F7"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18" w:type="dxa"/>
            <w:tcBorders>
              <w:top w:val="nil"/>
              <w:left w:val="nil"/>
              <w:bottom w:val="single" w:sz="4" w:space="0" w:color="auto"/>
              <w:right w:val="single" w:sz="4" w:space="0" w:color="auto"/>
            </w:tcBorders>
            <w:shd w:val="clear" w:color="000000" w:fill="B4C6E7"/>
            <w:vAlign w:val="center"/>
            <w:hideMark/>
          </w:tcPr>
          <w:p w14:paraId="459523C8"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r>
      <w:tr w:rsidR="00D33F7C" w:rsidRPr="00037B23" w14:paraId="4831417D"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30E326A0"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B3 - Brasil Bolsa Balcão</w:t>
            </w:r>
          </w:p>
        </w:tc>
        <w:tc>
          <w:tcPr>
            <w:tcW w:w="1118" w:type="dxa"/>
            <w:tcBorders>
              <w:top w:val="single" w:sz="8" w:space="0" w:color="auto"/>
              <w:left w:val="single" w:sz="8" w:space="0" w:color="auto"/>
              <w:bottom w:val="nil"/>
              <w:right w:val="single" w:sz="8" w:space="0" w:color="auto"/>
            </w:tcBorders>
            <w:shd w:val="clear" w:color="auto" w:fill="auto"/>
            <w:vAlign w:val="center"/>
            <w:hideMark/>
          </w:tcPr>
          <w:p w14:paraId="154D9E2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43,057,271</w:t>
            </w:r>
          </w:p>
        </w:tc>
        <w:tc>
          <w:tcPr>
            <w:tcW w:w="1118" w:type="dxa"/>
            <w:tcBorders>
              <w:top w:val="single" w:sz="8" w:space="0" w:color="auto"/>
              <w:left w:val="nil"/>
              <w:bottom w:val="nil"/>
              <w:right w:val="single" w:sz="8" w:space="0" w:color="auto"/>
            </w:tcBorders>
            <w:shd w:val="clear" w:color="auto" w:fill="auto"/>
            <w:vAlign w:val="center"/>
            <w:hideMark/>
          </w:tcPr>
          <w:p w14:paraId="5DB8B8F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766,971</w:t>
            </w:r>
          </w:p>
        </w:tc>
        <w:tc>
          <w:tcPr>
            <w:tcW w:w="1118" w:type="dxa"/>
            <w:tcBorders>
              <w:top w:val="single" w:sz="8" w:space="0" w:color="auto"/>
              <w:left w:val="nil"/>
              <w:bottom w:val="nil"/>
              <w:right w:val="single" w:sz="8" w:space="0" w:color="auto"/>
            </w:tcBorders>
            <w:shd w:val="clear" w:color="auto" w:fill="auto"/>
            <w:vAlign w:val="center"/>
            <w:hideMark/>
          </w:tcPr>
          <w:p w14:paraId="129DFA6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31,800,135</w:t>
            </w:r>
          </w:p>
        </w:tc>
        <w:tc>
          <w:tcPr>
            <w:tcW w:w="1118" w:type="dxa"/>
            <w:tcBorders>
              <w:top w:val="single" w:sz="8" w:space="0" w:color="auto"/>
              <w:left w:val="nil"/>
              <w:bottom w:val="nil"/>
              <w:right w:val="single" w:sz="8" w:space="0" w:color="auto"/>
            </w:tcBorders>
            <w:shd w:val="clear" w:color="auto" w:fill="auto"/>
            <w:vAlign w:val="center"/>
            <w:hideMark/>
          </w:tcPr>
          <w:p w14:paraId="519B631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10,098,780</w:t>
            </w:r>
          </w:p>
        </w:tc>
        <w:tc>
          <w:tcPr>
            <w:tcW w:w="1118" w:type="dxa"/>
            <w:tcBorders>
              <w:top w:val="single" w:sz="8" w:space="0" w:color="auto"/>
              <w:left w:val="nil"/>
              <w:bottom w:val="nil"/>
              <w:right w:val="single" w:sz="8" w:space="0" w:color="auto"/>
            </w:tcBorders>
            <w:shd w:val="clear" w:color="auto" w:fill="auto"/>
            <w:vAlign w:val="center"/>
            <w:hideMark/>
          </w:tcPr>
          <w:p w14:paraId="5135028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232</w:t>
            </w:r>
          </w:p>
        </w:tc>
        <w:tc>
          <w:tcPr>
            <w:tcW w:w="1118" w:type="dxa"/>
            <w:tcBorders>
              <w:top w:val="single" w:sz="8" w:space="0" w:color="auto"/>
              <w:left w:val="nil"/>
              <w:bottom w:val="nil"/>
              <w:right w:val="single" w:sz="8" w:space="0" w:color="auto"/>
            </w:tcBorders>
            <w:shd w:val="clear" w:color="auto" w:fill="auto"/>
            <w:vAlign w:val="center"/>
            <w:hideMark/>
          </w:tcPr>
          <w:p w14:paraId="79AEF67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36,966,368</w:t>
            </w:r>
          </w:p>
        </w:tc>
      </w:tr>
      <w:tr w:rsidR="00D33F7C" w:rsidRPr="00037B23" w14:paraId="4DFA9DE4"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24AA3CBE"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de Valores de Colombia</w:t>
            </w:r>
          </w:p>
        </w:tc>
        <w:tc>
          <w:tcPr>
            <w:tcW w:w="1118" w:type="dxa"/>
            <w:tcBorders>
              <w:top w:val="nil"/>
              <w:left w:val="single" w:sz="8" w:space="0" w:color="auto"/>
              <w:bottom w:val="nil"/>
              <w:right w:val="single" w:sz="8" w:space="0" w:color="auto"/>
            </w:tcBorders>
            <w:shd w:val="clear" w:color="auto" w:fill="auto"/>
            <w:vAlign w:val="center"/>
            <w:hideMark/>
          </w:tcPr>
          <w:p w14:paraId="31E900D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30,803</w:t>
            </w:r>
          </w:p>
        </w:tc>
        <w:tc>
          <w:tcPr>
            <w:tcW w:w="1118" w:type="dxa"/>
            <w:tcBorders>
              <w:top w:val="nil"/>
              <w:left w:val="nil"/>
              <w:bottom w:val="nil"/>
              <w:right w:val="single" w:sz="8" w:space="0" w:color="auto"/>
            </w:tcBorders>
            <w:shd w:val="clear" w:color="auto" w:fill="auto"/>
            <w:vAlign w:val="center"/>
            <w:hideMark/>
          </w:tcPr>
          <w:p w14:paraId="52D129D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2,077</w:t>
            </w:r>
          </w:p>
        </w:tc>
        <w:tc>
          <w:tcPr>
            <w:tcW w:w="1118" w:type="dxa"/>
            <w:tcBorders>
              <w:top w:val="nil"/>
              <w:left w:val="nil"/>
              <w:bottom w:val="nil"/>
              <w:right w:val="single" w:sz="8" w:space="0" w:color="auto"/>
            </w:tcBorders>
            <w:shd w:val="clear" w:color="auto" w:fill="auto"/>
            <w:vAlign w:val="center"/>
            <w:hideMark/>
          </w:tcPr>
          <w:p w14:paraId="3D3E133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14,161</w:t>
            </w:r>
          </w:p>
        </w:tc>
        <w:tc>
          <w:tcPr>
            <w:tcW w:w="1118" w:type="dxa"/>
            <w:tcBorders>
              <w:top w:val="nil"/>
              <w:left w:val="nil"/>
              <w:bottom w:val="nil"/>
              <w:right w:val="single" w:sz="8" w:space="0" w:color="auto"/>
            </w:tcBorders>
            <w:shd w:val="clear" w:color="auto" w:fill="auto"/>
            <w:vAlign w:val="center"/>
            <w:hideMark/>
          </w:tcPr>
          <w:p w14:paraId="1174DC9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4B40112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73DF061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7D25188F"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22880A5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Bolsa Mexicana de Valores</w:t>
            </w:r>
          </w:p>
        </w:tc>
        <w:tc>
          <w:tcPr>
            <w:tcW w:w="1118" w:type="dxa"/>
            <w:tcBorders>
              <w:top w:val="nil"/>
              <w:left w:val="single" w:sz="8" w:space="0" w:color="auto"/>
              <w:bottom w:val="nil"/>
              <w:right w:val="single" w:sz="8" w:space="0" w:color="auto"/>
            </w:tcBorders>
            <w:shd w:val="clear" w:color="auto" w:fill="auto"/>
            <w:vAlign w:val="center"/>
            <w:hideMark/>
          </w:tcPr>
          <w:p w14:paraId="5802B07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500</w:t>
            </w:r>
          </w:p>
        </w:tc>
        <w:tc>
          <w:tcPr>
            <w:tcW w:w="1118" w:type="dxa"/>
            <w:tcBorders>
              <w:top w:val="nil"/>
              <w:left w:val="nil"/>
              <w:bottom w:val="nil"/>
              <w:right w:val="single" w:sz="8" w:space="0" w:color="auto"/>
            </w:tcBorders>
            <w:shd w:val="clear" w:color="auto" w:fill="auto"/>
            <w:vAlign w:val="center"/>
            <w:hideMark/>
          </w:tcPr>
          <w:p w14:paraId="7A3953F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w:t>
            </w:r>
          </w:p>
        </w:tc>
        <w:tc>
          <w:tcPr>
            <w:tcW w:w="1118" w:type="dxa"/>
            <w:tcBorders>
              <w:top w:val="nil"/>
              <w:left w:val="nil"/>
              <w:bottom w:val="nil"/>
              <w:right w:val="single" w:sz="8" w:space="0" w:color="auto"/>
            </w:tcBorders>
            <w:shd w:val="clear" w:color="auto" w:fill="auto"/>
            <w:vAlign w:val="center"/>
            <w:hideMark/>
          </w:tcPr>
          <w:p w14:paraId="04564F0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4,500</w:t>
            </w:r>
          </w:p>
        </w:tc>
        <w:tc>
          <w:tcPr>
            <w:tcW w:w="1118" w:type="dxa"/>
            <w:tcBorders>
              <w:top w:val="nil"/>
              <w:left w:val="nil"/>
              <w:bottom w:val="nil"/>
              <w:right w:val="single" w:sz="8" w:space="0" w:color="auto"/>
            </w:tcBorders>
            <w:shd w:val="clear" w:color="auto" w:fill="auto"/>
            <w:vAlign w:val="center"/>
            <w:hideMark/>
          </w:tcPr>
          <w:p w14:paraId="7E22401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0300B06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4C7D474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38427AAD"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132C10A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CME Group</w:t>
            </w:r>
          </w:p>
        </w:tc>
        <w:tc>
          <w:tcPr>
            <w:tcW w:w="1118" w:type="dxa"/>
            <w:tcBorders>
              <w:top w:val="nil"/>
              <w:left w:val="single" w:sz="8" w:space="0" w:color="auto"/>
              <w:bottom w:val="nil"/>
              <w:right w:val="single" w:sz="8" w:space="0" w:color="auto"/>
            </w:tcBorders>
            <w:shd w:val="clear" w:color="auto" w:fill="auto"/>
            <w:vAlign w:val="center"/>
            <w:hideMark/>
          </w:tcPr>
          <w:p w14:paraId="1C877CF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166,416,486</w:t>
            </w:r>
          </w:p>
        </w:tc>
        <w:tc>
          <w:tcPr>
            <w:tcW w:w="1118" w:type="dxa"/>
            <w:tcBorders>
              <w:top w:val="nil"/>
              <w:left w:val="nil"/>
              <w:bottom w:val="nil"/>
              <w:right w:val="single" w:sz="8" w:space="0" w:color="auto"/>
            </w:tcBorders>
            <w:shd w:val="clear" w:color="auto" w:fill="auto"/>
            <w:vAlign w:val="center"/>
            <w:hideMark/>
          </w:tcPr>
          <w:p w14:paraId="14D195E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66,598,333</w:t>
            </w:r>
          </w:p>
        </w:tc>
        <w:tc>
          <w:tcPr>
            <w:tcW w:w="1118" w:type="dxa"/>
            <w:tcBorders>
              <w:top w:val="nil"/>
              <w:left w:val="nil"/>
              <w:bottom w:val="nil"/>
              <w:right w:val="single" w:sz="8" w:space="0" w:color="auto"/>
            </w:tcBorders>
            <w:shd w:val="clear" w:color="auto" w:fill="auto"/>
            <w:vAlign w:val="center"/>
            <w:hideMark/>
          </w:tcPr>
          <w:p w14:paraId="476F882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30,043,702</w:t>
            </w:r>
          </w:p>
        </w:tc>
        <w:tc>
          <w:tcPr>
            <w:tcW w:w="1118" w:type="dxa"/>
            <w:tcBorders>
              <w:top w:val="nil"/>
              <w:left w:val="nil"/>
              <w:bottom w:val="nil"/>
              <w:right w:val="single" w:sz="8" w:space="0" w:color="auto"/>
            </w:tcBorders>
            <w:shd w:val="clear" w:color="auto" w:fill="auto"/>
            <w:vAlign w:val="center"/>
            <w:hideMark/>
          </w:tcPr>
          <w:p w14:paraId="1CC7B2A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37,441,724</w:t>
            </w:r>
          </w:p>
        </w:tc>
        <w:tc>
          <w:tcPr>
            <w:tcW w:w="1118" w:type="dxa"/>
            <w:tcBorders>
              <w:top w:val="nil"/>
              <w:left w:val="nil"/>
              <w:bottom w:val="nil"/>
              <w:right w:val="single" w:sz="8" w:space="0" w:color="auto"/>
            </w:tcBorders>
            <w:shd w:val="clear" w:color="auto" w:fill="auto"/>
            <w:vAlign w:val="center"/>
            <w:hideMark/>
          </w:tcPr>
          <w:p w14:paraId="341CE8F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20,452,873</w:t>
            </w:r>
          </w:p>
        </w:tc>
        <w:tc>
          <w:tcPr>
            <w:tcW w:w="1118" w:type="dxa"/>
            <w:tcBorders>
              <w:top w:val="nil"/>
              <w:left w:val="nil"/>
              <w:bottom w:val="nil"/>
              <w:right w:val="single" w:sz="8" w:space="0" w:color="auto"/>
            </w:tcBorders>
            <w:shd w:val="clear" w:color="auto" w:fill="auto"/>
            <w:vAlign w:val="center"/>
            <w:hideMark/>
          </w:tcPr>
          <w:p w14:paraId="542205B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43,727,713</w:t>
            </w:r>
          </w:p>
        </w:tc>
      </w:tr>
      <w:tr w:rsidR="00D33F7C" w:rsidRPr="00037B23" w14:paraId="5B3A95A7"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69690AF9"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ASX Australian Securities Exchange</w:t>
            </w:r>
          </w:p>
        </w:tc>
        <w:tc>
          <w:tcPr>
            <w:tcW w:w="1118" w:type="dxa"/>
            <w:tcBorders>
              <w:top w:val="nil"/>
              <w:left w:val="single" w:sz="8" w:space="0" w:color="auto"/>
              <w:bottom w:val="nil"/>
              <w:right w:val="single" w:sz="8" w:space="0" w:color="auto"/>
            </w:tcBorders>
            <w:shd w:val="clear" w:color="auto" w:fill="auto"/>
            <w:vAlign w:val="center"/>
            <w:hideMark/>
          </w:tcPr>
          <w:p w14:paraId="7DD6E14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7,587,132</w:t>
            </w:r>
          </w:p>
        </w:tc>
        <w:tc>
          <w:tcPr>
            <w:tcW w:w="1118" w:type="dxa"/>
            <w:tcBorders>
              <w:top w:val="nil"/>
              <w:left w:val="nil"/>
              <w:bottom w:val="nil"/>
              <w:right w:val="single" w:sz="8" w:space="0" w:color="auto"/>
            </w:tcBorders>
            <w:shd w:val="clear" w:color="auto" w:fill="auto"/>
            <w:vAlign w:val="center"/>
            <w:hideMark/>
          </w:tcPr>
          <w:p w14:paraId="378D2D1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1,213,092</w:t>
            </w:r>
          </w:p>
        </w:tc>
        <w:tc>
          <w:tcPr>
            <w:tcW w:w="1118" w:type="dxa"/>
            <w:tcBorders>
              <w:top w:val="nil"/>
              <w:left w:val="nil"/>
              <w:bottom w:val="nil"/>
              <w:right w:val="single" w:sz="8" w:space="0" w:color="auto"/>
            </w:tcBorders>
            <w:shd w:val="clear" w:color="auto" w:fill="auto"/>
            <w:vAlign w:val="center"/>
            <w:hideMark/>
          </w:tcPr>
          <w:p w14:paraId="3E06E21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3,475,559</w:t>
            </w:r>
          </w:p>
        </w:tc>
        <w:tc>
          <w:tcPr>
            <w:tcW w:w="1118" w:type="dxa"/>
            <w:tcBorders>
              <w:top w:val="nil"/>
              <w:left w:val="nil"/>
              <w:bottom w:val="nil"/>
              <w:right w:val="single" w:sz="8" w:space="0" w:color="auto"/>
            </w:tcBorders>
            <w:shd w:val="clear" w:color="auto" w:fill="auto"/>
            <w:vAlign w:val="center"/>
            <w:hideMark/>
          </w:tcPr>
          <w:p w14:paraId="291C119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9,150</w:t>
            </w:r>
          </w:p>
        </w:tc>
        <w:tc>
          <w:tcPr>
            <w:tcW w:w="1118" w:type="dxa"/>
            <w:tcBorders>
              <w:top w:val="nil"/>
              <w:left w:val="nil"/>
              <w:bottom w:val="nil"/>
              <w:right w:val="single" w:sz="8" w:space="0" w:color="auto"/>
            </w:tcBorders>
            <w:shd w:val="clear" w:color="auto" w:fill="auto"/>
            <w:vAlign w:val="center"/>
            <w:hideMark/>
          </w:tcPr>
          <w:p w14:paraId="34DC0FD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708</w:t>
            </w:r>
          </w:p>
        </w:tc>
        <w:tc>
          <w:tcPr>
            <w:tcW w:w="1118" w:type="dxa"/>
            <w:tcBorders>
              <w:top w:val="nil"/>
              <w:left w:val="nil"/>
              <w:bottom w:val="nil"/>
              <w:right w:val="single" w:sz="8" w:space="0" w:color="auto"/>
            </w:tcBorders>
            <w:shd w:val="clear" w:color="auto" w:fill="auto"/>
            <w:vAlign w:val="center"/>
            <w:hideMark/>
          </w:tcPr>
          <w:p w14:paraId="7958B59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0F428232"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718C0BF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Japan Exchange Group</w:t>
            </w:r>
          </w:p>
        </w:tc>
        <w:tc>
          <w:tcPr>
            <w:tcW w:w="1118" w:type="dxa"/>
            <w:tcBorders>
              <w:top w:val="nil"/>
              <w:left w:val="single" w:sz="8" w:space="0" w:color="auto"/>
              <w:bottom w:val="nil"/>
              <w:right w:val="single" w:sz="8" w:space="0" w:color="auto"/>
            </w:tcBorders>
            <w:shd w:val="clear" w:color="auto" w:fill="auto"/>
            <w:vAlign w:val="center"/>
            <w:hideMark/>
          </w:tcPr>
          <w:p w14:paraId="24B517C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413,969</w:t>
            </w:r>
          </w:p>
        </w:tc>
        <w:tc>
          <w:tcPr>
            <w:tcW w:w="1118" w:type="dxa"/>
            <w:tcBorders>
              <w:top w:val="nil"/>
              <w:left w:val="nil"/>
              <w:bottom w:val="nil"/>
              <w:right w:val="single" w:sz="8" w:space="0" w:color="auto"/>
            </w:tcBorders>
            <w:shd w:val="clear" w:color="auto" w:fill="auto"/>
            <w:vAlign w:val="center"/>
            <w:hideMark/>
          </w:tcPr>
          <w:p w14:paraId="525E9EC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12FE6F4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89,764</w:t>
            </w:r>
          </w:p>
        </w:tc>
        <w:tc>
          <w:tcPr>
            <w:tcW w:w="1118" w:type="dxa"/>
            <w:tcBorders>
              <w:top w:val="nil"/>
              <w:left w:val="nil"/>
              <w:bottom w:val="nil"/>
              <w:right w:val="single" w:sz="8" w:space="0" w:color="auto"/>
            </w:tcBorders>
            <w:shd w:val="clear" w:color="auto" w:fill="auto"/>
            <w:vAlign w:val="center"/>
            <w:hideMark/>
          </w:tcPr>
          <w:p w14:paraId="45FF734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9,626</w:t>
            </w:r>
          </w:p>
        </w:tc>
        <w:tc>
          <w:tcPr>
            <w:tcW w:w="1118" w:type="dxa"/>
            <w:tcBorders>
              <w:top w:val="nil"/>
              <w:left w:val="nil"/>
              <w:bottom w:val="nil"/>
              <w:right w:val="single" w:sz="8" w:space="0" w:color="auto"/>
            </w:tcBorders>
            <w:shd w:val="clear" w:color="auto" w:fill="auto"/>
            <w:vAlign w:val="center"/>
            <w:hideMark/>
          </w:tcPr>
          <w:p w14:paraId="73F609A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40DD924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652</w:t>
            </w:r>
          </w:p>
        </w:tc>
      </w:tr>
      <w:tr w:rsidR="00D33F7C" w:rsidRPr="00037B23" w14:paraId="300A5107"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05897310"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Korea Exchange</w:t>
            </w:r>
          </w:p>
        </w:tc>
        <w:tc>
          <w:tcPr>
            <w:tcW w:w="1118" w:type="dxa"/>
            <w:tcBorders>
              <w:top w:val="nil"/>
              <w:left w:val="single" w:sz="8" w:space="0" w:color="auto"/>
              <w:bottom w:val="nil"/>
              <w:right w:val="single" w:sz="8" w:space="0" w:color="auto"/>
            </w:tcBorders>
            <w:shd w:val="clear" w:color="auto" w:fill="auto"/>
            <w:vAlign w:val="center"/>
            <w:hideMark/>
          </w:tcPr>
          <w:p w14:paraId="050FD77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3,217,110</w:t>
            </w:r>
          </w:p>
        </w:tc>
        <w:tc>
          <w:tcPr>
            <w:tcW w:w="1118" w:type="dxa"/>
            <w:tcBorders>
              <w:top w:val="nil"/>
              <w:left w:val="nil"/>
              <w:bottom w:val="nil"/>
              <w:right w:val="single" w:sz="8" w:space="0" w:color="auto"/>
            </w:tcBorders>
            <w:shd w:val="clear" w:color="auto" w:fill="auto"/>
            <w:vAlign w:val="center"/>
            <w:hideMark/>
          </w:tcPr>
          <w:p w14:paraId="4BC917D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336,293</w:t>
            </w:r>
          </w:p>
        </w:tc>
        <w:tc>
          <w:tcPr>
            <w:tcW w:w="1118" w:type="dxa"/>
            <w:tcBorders>
              <w:top w:val="nil"/>
              <w:left w:val="nil"/>
              <w:bottom w:val="nil"/>
              <w:right w:val="single" w:sz="8" w:space="0" w:color="auto"/>
            </w:tcBorders>
            <w:shd w:val="clear" w:color="auto" w:fill="auto"/>
            <w:vAlign w:val="center"/>
            <w:hideMark/>
          </w:tcPr>
          <w:p w14:paraId="7CA379E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585,333</w:t>
            </w:r>
          </w:p>
        </w:tc>
        <w:tc>
          <w:tcPr>
            <w:tcW w:w="1118" w:type="dxa"/>
            <w:tcBorders>
              <w:top w:val="nil"/>
              <w:left w:val="nil"/>
              <w:bottom w:val="nil"/>
              <w:right w:val="single" w:sz="8" w:space="0" w:color="auto"/>
            </w:tcBorders>
            <w:shd w:val="clear" w:color="auto" w:fill="auto"/>
            <w:vAlign w:val="center"/>
            <w:hideMark/>
          </w:tcPr>
          <w:p w14:paraId="2687751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35A4EBB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12F3DA4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6CDD2BEC"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16D354F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National Stock Exchange of India</w:t>
            </w:r>
          </w:p>
        </w:tc>
        <w:tc>
          <w:tcPr>
            <w:tcW w:w="1118" w:type="dxa"/>
            <w:tcBorders>
              <w:top w:val="nil"/>
              <w:left w:val="single" w:sz="8" w:space="0" w:color="auto"/>
              <w:bottom w:val="nil"/>
              <w:right w:val="single" w:sz="8" w:space="0" w:color="auto"/>
            </w:tcBorders>
            <w:shd w:val="clear" w:color="auto" w:fill="auto"/>
            <w:vAlign w:val="center"/>
            <w:hideMark/>
          </w:tcPr>
          <w:p w14:paraId="446F058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141,400</w:t>
            </w:r>
          </w:p>
        </w:tc>
        <w:tc>
          <w:tcPr>
            <w:tcW w:w="1118" w:type="dxa"/>
            <w:tcBorders>
              <w:top w:val="nil"/>
              <w:left w:val="nil"/>
              <w:bottom w:val="nil"/>
              <w:right w:val="single" w:sz="8" w:space="0" w:color="auto"/>
            </w:tcBorders>
            <w:shd w:val="clear" w:color="auto" w:fill="auto"/>
            <w:vAlign w:val="center"/>
            <w:hideMark/>
          </w:tcPr>
          <w:p w14:paraId="72350E8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388</w:t>
            </w:r>
          </w:p>
        </w:tc>
        <w:tc>
          <w:tcPr>
            <w:tcW w:w="1118" w:type="dxa"/>
            <w:tcBorders>
              <w:top w:val="nil"/>
              <w:left w:val="nil"/>
              <w:bottom w:val="nil"/>
              <w:right w:val="single" w:sz="8" w:space="0" w:color="auto"/>
            </w:tcBorders>
            <w:shd w:val="clear" w:color="auto" w:fill="auto"/>
            <w:vAlign w:val="center"/>
            <w:hideMark/>
          </w:tcPr>
          <w:p w14:paraId="787B00C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40,882</w:t>
            </w:r>
          </w:p>
        </w:tc>
        <w:tc>
          <w:tcPr>
            <w:tcW w:w="1118" w:type="dxa"/>
            <w:tcBorders>
              <w:top w:val="nil"/>
              <w:left w:val="nil"/>
              <w:bottom w:val="nil"/>
              <w:right w:val="single" w:sz="8" w:space="0" w:color="auto"/>
            </w:tcBorders>
            <w:shd w:val="clear" w:color="auto" w:fill="auto"/>
            <w:vAlign w:val="center"/>
            <w:hideMark/>
          </w:tcPr>
          <w:p w14:paraId="21D97A8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2F3E7BB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18" w:type="dxa"/>
            <w:tcBorders>
              <w:top w:val="nil"/>
              <w:left w:val="nil"/>
              <w:bottom w:val="nil"/>
              <w:right w:val="single" w:sz="8" w:space="0" w:color="auto"/>
            </w:tcBorders>
            <w:shd w:val="clear" w:color="auto" w:fill="auto"/>
            <w:vAlign w:val="center"/>
            <w:hideMark/>
          </w:tcPr>
          <w:p w14:paraId="0B1CD9D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740745D2"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7BEAE661"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Singapore Exchange</w:t>
            </w:r>
          </w:p>
        </w:tc>
        <w:tc>
          <w:tcPr>
            <w:tcW w:w="1118" w:type="dxa"/>
            <w:tcBorders>
              <w:top w:val="nil"/>
              <w:left w:val="single" w:sz="8" w:space="0" w:color="auto"/>
              <w:bottom w:val="nil"/>
              <w:right w:val="single" w:sz="8" w:space="0" w:color="auto"/>
            </w:tcBorders>
            <w:shd w:val="clear" w:color="auto" w:fill="auto"/>
            <w:vAlign w:val="center"/>
            <w:hideMark/>
          </w:tcPr>
          <w:p w14:paraId="7D951BE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14,797</w:t>
            </w:r>
          </w:p>
        </w:tc>
        <w:tc>
          <w:tcPr>
            <w:tcW w:w="1118" w:type="dxa"/>
            <w:tcBorders>
              <w:top w:val="nil"/>
              <w:left w:val="nil"/>
              <w:bottom w:val="nil"/>
              <w:right w:val="single" w:sz="8" w:space="0" w:color="auto"/>
            </w:tcBorders>
            <w:shd w:val="clear" w:color="auto" w:fill="auto"/>
            <w:vAlign w:val="center"/>
            <w:hideMark/>
          </w:tcPr>
          <w:p w14:paraId="5C5D940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0D0512F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13,751</w:t>
            </w:r>
          </w:p>
        </w:tc>
        <w:tc>
          <w:tcPr>
            <w:tcW w:w="1118" w:type="dxa"/>
            <w:tcBorders>
              <w:top w:val="nil"/>
              <w:left w:val="nil"/>
              <w:bottom w:val="nil"/>
              <w:right w:val="single" w:sz="8" w:space="0" w:color="auto"/>
            </w:tcBorders>
            <w:shd w:val="clear" w:color="auto" w:fill="auto"/>
            <w:vAlign w:val="center"/>
            <w:hideMark/>
          </w:tcPr>
          <w:p w14:paraId="16B60EB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61601D2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3F4C7A9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5C846C96"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560E831F"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China Financial Futures Exchange</w:t>
            </w:r>
          </w:p>
        </w:tc>
        <w:tc>
          <w:tcPr>
            <w:tcW w:w="1118" w:type="dxa"/>
            <w:tcBorders>
              <w:top w:val="nil"/>
              <w:left w:val="single" w:sz="8" w:space="0" w:color="auto"/>
              <w:bottom w:val="nil"/>
              <w:right w:val="single" w:sz="8" w:space="0" w:color="auto"/>
            </w:tcBorders>
            <w:shd w:val="clear" w:color="auto" w:fill="auto"/>
            <w:vAlign w:val="center"/>
            <w:hideMark/>
          </w:tcPr>
          <w:p w14:paraId="05C9239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2,104,536</w:t>
            </w:r>
          </w:p>
        </w:tc>
        <w:tc>
          <w:tcPr>
            <w:tcW w:w="1118" w:type="dxa"/>
            <w:tcBorders>
              <w:top w:val="nil"/>
              <w:left w:val="nil"/>
              <w:bottom w:val="nil"/>
              <w:right w:val="single" w:sz="8" w:space="0" w:color="auto"/>
            </w:tcBorders>
            <w:shd w:val="clear" w:color="auto" w:fill="auto"/>
            <w:vAlign w:val="center"/>
            <w:hideMark/>
          </w:tcPr>
          <w:p w14:paraId="10671DD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359,919</w:t>
            </w:r>
          </w:p>
        </w:tc>
        <w:tc>
          <w:tcPr>
            <w:tcW w:w="1118" w:type="dxa"/>
            <w:tcBorders>
              <w:top w:val="nil"/>
              <w:left w:val="nil"/>
              <w:bottom w:val="nil"/>
              <w:right w:val="single" w:sz="8" w:space="0" w:color="auto"/>
            </w:tcBorders>
            <w:shd w:val="clear" w:color="auto" w:fill="auto"/>
            <w:vAlign w:val="center"/>
            <w:hideMark/>
          </w:tcPr>
          <w:p w14:paraId="5EF08D9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207,594</w:t>
            </w:r>
          </w:p>
        </w:tc>
        <w:tc>
          <w:tcPr>
            <w:tcW w:w="1118" w:type="dxa"/>
            <w:tcBorders>
              <w:top w:val="nil"/>
              <w:left w:val="nil"/>
              <w:bottom w:val="nil"/>
              <w:right w:val="single" w:sz="8" w:space="0" w:color="auto"/>
            </w:tcBorders>
            <w:shd w:val="clear" w:color="auto" w:fill="auto"/>
            <w:vAlign w:val="center"/>
            <w:hideMark/>
          </w:tcPr>
          <w:p w14:paraId="4D755E9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2ABB3E5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6C538E3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2A7B5BB1"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5F4699C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Deutsche Boerse AG</w:t>
            </w:r>
          </w:p>
        </w:tc>
        <w:tc>
          <w:tcPr>
            <w:tcW w:w="1118" w:type="dxa"/>
            <w:tcBorders>
              <w:top w:val="nil"/>
              <w:left w:val="single" w:sz="8" w:space="0" w:color="auto"/>
              <w:bottom w:val="nil"/>
              <w:right w:val="single" w:sz="8" w:space="0" w:color="auto"/>
            </w:tcBorders>
            <w:shd w:val="clear" w:color="auto" w:fill="auto"/>
            <w:vAlign w:val="center"/>
            <w:hideMark/>
          </w:tcPr>
          <w:p w14:paraId="32860E4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44,838,937</w:t>
            </w:r>
          </w:p>
        </w:tc>
        <w:tc>
          <w:tcPr>
            <w:tcW w:w="1118" w:type="dxa"/>
            <w:tcBorders>
              <w:top w:val="nil"/>
              <w:left w:val="nil"/>
              <w:bottom w:val="nil"/>
              <w:right w:val="single" w:sz="8" w:space="0" w:color="auto"/>
            </w:tcBorders>
            <w:shd w:val="clear" w:color="auto" w:fill="auto"/>
            <w:vAlign w:val="center"/>
            <w:hideMark/>
          </w:tcPr>
          <w:p w14:paraId="5BDDBED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8,209,463</w:t>
            </w:r>
          </w:p>
        </w:tc>
        <w:tc>
          <w:tcPr>
            <w:tcW w:w="1118" w:type="dxa"/>
            <w:tcBorders>
              <w:top w:val="nil"/>
              <w:left w:val="nil"/>
              <w:bottom w:val="nil"/>
              <w:right w:val="single" w:sz="8" w:space="0" w:color="auto"/>
            </w:tcBorders>
            <w:shd w:val="clear" w:color="auto" w:fill="auto"/>
            <w:vAlign w:val="center"/>
            <w:hideMark/>
          </w:tcPr>
          <w:p w14:paraId="64EEEEC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6,126,606</w:t>
            </w:r>
          </w:p>
        </w:tc>
        <w:tc>
          <w:tcPr>
            <w:tcW w:w="1118" w:type="dxa"/>
            <w:tcBorders>
              <w:top w:val="nil"/>
              <w:left w:val="nil"/>
              <w:bottom w:val="nil"/>
              <w:right w:val="single" w:sz="8" w:space="0" w:color="auto"/>
            </w:tcBorders>
            <w:shd w:val="clear" w:color="auto" w:fill="auto"/>
            <w:vAlign w:val="center"/>
            <w:hideMark/>
          </w:tcPr>
          <w:p w14:paraId="3D4C579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4,697,146</w:t>
            </w:r>
          </w:p>
        </w:tc>
        <w:tc>
          <w:tcPr>
            <w:tcW w:w="1118" w:type="dxa"/>
            <w:tcBorders>
              <w:top w:val="nil"/>
              <w:left w:val="nil"/>
              <w:bottom w:val="nil"/>
              <w:right w:val="single" w:sz="8" w:space="0" w:color="auto"/>
            </w:tcBorders>
            <w:shd w:val="clear" w:color="auto" w:fill="auto"/>
            <w:vAlign w:val="center"/>
            <w:hideMark/>
          </w:tcPr>
          <w:p w14:paraId="34C8EDE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941,047</w:t>
            </w:r>
          </w:p>
        </w:tc>
        <w:tc>
          <w:tcPr>
            <w:tcW w:w="1118" w:type="dxa"/>
            <w:tcBorders>
              <w:top w:val="nil"/>
              <w:left w:val="nil"/>
              <w:bottom w:val="nil"/>
              <w:right w:val="single" w:sz="8" w:space="0" w:color="auto"/>
            </w:tcBorders>
            <w:shd w:val="clear" w:color="auto" w:fill="auto"/>
            <w:vAlign w:val="center"/>
            <w:hideMark/>
          </w:tcPr>
          <w:p w14:paraId="1B5BC40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1,277,866</w:t>
            </w:r>
          </w:p>
        </w:tc>
      </w:tr>
      <w:tr w:rsidR="00D33F7C" w:rsidRPr="00037B23" w14:paraId="32E38896" w14:textId="77777777" w:rsidTr="00E213CE">
        <w:trPr>
          <w:trHeight w:val="230"/>
        </w:trPr>
        <w:tc>
          <w:tcPr>
            <w:tcW w:w="3620" w:type="dxa"/>
            <w:tcBorders>
              <w:top w:val="nil"/>
              <w:left w:val="single" w:sz="4" w:space="0" w:color="auto"/>
              <w:bottom w:val="nil"/>
              <w:right w:val="nil"/>
            </w:tcBorders>
            <w:shd w:val="clear" w:color="000000" w:fill="B4C6E7"/>
            <w:vAlign w:val="center"/>
            <w:hideMark/>
          </w:tcPr>
          <w:p w14:paraId="59795C68"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Moscow Exchange</w:t>
            </w:r>
          </w:p>
        </w:tc>
        <w:tc>
          <w:tcPr>
            <w:tcW w:w="1118" w:type="dxa"/>
            <w:tcBorders>
              <w:top w:val="nil"/>
              <w:left w:val="single" w:sz="8" w:space="0" w:color="auto"/>
              <w:bottom w:val="nil"/>
              <w:right w:val="single" w:sz="8" w:space="0" w:color="auto"/>
            </w:tcBorders>
            <w:shd w:val="clear" w:color="auto" w:fill="auto"/>
            <w:vAlign w:val="center"/>
            <w:hideMark/>
          </w:tcPr>
          <w:p w14:paraId="1FDAEA1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5,589</w:t>
            </w:r>
          </w:p>
        </w:tc>
        <w:tc>
          <w:tcPr>
            <w:tcW w:w="1118" w:type="dxa"/>
            <w:tcBorders>
              <w:top w:val="nil"/>
              <w:left w:val="nil"/>
              <w:bottom w:val="nil"/>
              <w:right w:val="single" w:sz="8" w:space="0" w:color="auto"/>
            </w:tcBorders>
            <w:shd w:val="clear" w:color="auto" w:fill="auto"/>
            <w:vAlign w:val="center"/>
            <w:hideMark/>
          </w:tcPr>
          <w:p w14:paraId="2C52FB7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w:t>
            </w:r>
          </w:p>
        </w:tc>
        <w:tc>
          <w:tcPr>
            <w:tcW w:w="1118" w:type="dxa"/>
            <w:tcBorders>
              <w:top w:val="nil"/>
              <w:left w:val="nil"/>
              <w:bottom w:val="nil"/>
              <w:right w:val="single" w:sz="8" w:space="0" w:color="auto"/>
            </w:tcBorders>
            <w:shd w:val="clear" w:color="auto" w:fill="auto"/>
            <w:vAlign w:val="center"/>
            <w:hideMark/>
          </w:tcPr>
          <w:p w14:paraId="0686349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40,790</w:t>
            </w:r>
          </w:p>
        </w:tc>
        <w:tc>
          <w:tcPr>
            <w:tcW w:w="1118" w:type="dxa"/>
            <w:tcBorders>
              <w:top w:val="nil"/>
              <w:left w:val="nil"/>
              <w:bottom w:val="nil"/>
              <w:right w:val="single" w:sz="8" w:space="0" w:color="auto"/>
            </w:tcBorders>
            <w:shd w:val="clear" w:color="auto" w:fill="auto"/>
            <w:vAlign w:val="center"/>
            <w:hideMark/>
          </w:tcPr>
          <w:p w14:paraId="659D34D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5B00F2B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18" w:type="dxa"/>
            <w:tcBorders>
              <w:top w:val="nil"/>
              <w:left w:val="nil"/>
              <w:bottom w:val="nil"/>
              <w:right w:val="single" w:sz="8" w:space="0" w:color="auto"/>
            </w:tcBorders>
            <w:shd w:val="clear" w:color="auto" w:fill="auto"/>
            <w:vAlign w:val="center"/>
            <w:hideMark/>
          </w:tcPr>
          <w:p w14:paraId="4E6C7C2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098CEDD5" w14:textId="77777777" w:rsidTr="00E213CE">
        <w:trPr>
          <w:trHeight w:val="242"/>
        </w:trPr>
        <w:tc>
          <w:tcPr>
            <w:tcW w:w="3620" w:type="dxa"/>
            <w:tcBorders>
              <w:top w:val="nil"/>
              <w:left w:val="single" w:sz="4" w:space="0" w:color="auto"/>
              <w:bottom w:val="nil"/>
              <w:right w:val="nil"/>
            </w:tcBorders>
            <w:shd w:val="clear" w:color="000000" w:fill="B4C6E7"/>
            <w:vAlign w:val="center"/>
            <w:hideMark/>
          </w:tcPr>
          <w:p w14:paraId="5DFBA09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Nasdaq Nordic and Baltics</w:t>
            </w:r>
          </w:p>
        </w:tc>
        <w:tc>
          <w:tcPr>
            <w:tcW w:w="1118" w:type="dxa"/>
            <w:tcBorders>
              <w:top w:val="nil"/>
              <w:left w:val="single" w:sz="8" w:space="0" w:color="auto"/>
              <w:bottom w:val="single" w:sz="8" w:space="0" w:color="auto"/>
              <w:right w:val="single" w:sz="8" w:space="0" w:color="auto"/>
            </w:tcBorders>
            <w:shd w:val="clear" w:color="auto" w:fill="auto"/>
            <w:vAlign w:val="center"/>
            <w:hideMark/>
          </w:tcPr>
          <w:p w14:paraId="194D4A6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1,104,808</w:t>
            </w:r>
          </w:p>
        </w:tc>
        <w:tc>
          <w:tcPr>
            <w:tcW w:w="1118" w:type="dxa"/>
            <w:tcBorders>
              <w:top w:val="nil"/>
              <w:left w:val="nil"/>
              <w:bottom w:val="single" w:sz="8" w:space="0" w:color="auto"/>
              <w:right w:val="single" w:sz="8" w:space="0" w:color="auto"/>
            </w:tcBorders>
            <w:shd w:val="clear" w:color="auto" w:fill="auto"/>
            <w:vAlign w:val="center"/>
            <w:hideMark/>
          </w:tcPr>
          <w:p w14:paraId="452C211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133,218</w:t>
            </w:r>
          </w:p>
        </w:tc>
        <w:tc>
          <w:tcPr>
            <w:tcW w:w="1118" w:type="dxa"/>
            <w:tcBorders>
              <w:top w:val="nil"/>
              <w:left w:val="nil"/>
              <w:bottom w:val="single" w:sz="8" w:space="0" w:color="auto"/>
              <w:right w:val="single" w:sz="8" w:space="0" w:color="auto"/>
            </w:tcBorders>
            <w:shd w:val="clear" w:color="auto" w:fill="auto"/>
            <w:vAlign w:val="center"/>
            <w:hideMark/>
          </w:tcPr>
          <w:p w14:paraId="48FD663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1,830,241</w:t>
            </w:r>
          </w:p>
        </w:tc>
        <w:tc>
          <w:tcPr>
            <w:tcW w:w="1118" w:type="dxa"/>
            <w:tcBorders>
              <w:top w:val="nil"/>
              <w:left w:val="nil"/>
              <w:bottom w:val="single" w:sz="8" w:space="0" w:color="auto"/>
              <w:right w:val="single" w:sz="8" w:space="0" w:color="auto"/>
            </w:tcBorders>
            <w:shd w:val="clear" w:color="auto" w:fill="auto"/>
            <w:vAlign w:val="center"/>
            <w:hideMark/>
          </w:tcPr>
          <w:p w14:paraId="3C47FC9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445,763</w:t>
            </w:r>
          </w:p>
        </w:tc>
        <w:tc>
          <w:tcPr>
            <w:tcW w:w="1118" w:type="dxa"/>
            <w:tcBorders>
              <w:top w:val="nil"/>
              <w:left w:val="nil"/>
              <w:bottom w:val="single" w:sz="8" w:space="0" w:color="auto"/>
              <w:right w:val="single" w:sz="8" w:space="0" w:color="auto"/>
            </w:tcBorders>
            <w:shd w:val="clear" w:color="auto" w:fill="auto"/>
            <w:vAlign w:val="center"/>
            <w:hideMark/>
          </w:tcPr>
          <w:p w14:paraId="30B1085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53,750</w:t>
            </w:r>
          </w:p>
        </w:tc>
        <w:tc>
          <w:tcPr>
            <w:tcW w:w="1118" w:type="dxa"/>
            <w:tcBorders>
              <w:top w:val="nil"/>
              <w:left w:val="nil"/>
              <w:bottom w:val="single" w:sz="8" w:space="0" w:color="auto"/>
              <w:right w:val="single" w:sz="8" w:space="0" w:color="auto"/>
            </w:tcBorders>
            <w:shd w:val="clear" w:color="auto" w:fill="auto"/>
            <w:vAlign w:val="center"/>
            <w:hideMark/>
          </w:tcPr>
          <w:p w14:paraId="1298C36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r>
      <w:tr w:rsidR="00D33F7C" w:rsidRPr="00037B23" w14:paraId="325E775D" w14:textId="77777777" w:rsidTr="00E213CE">
        <w:trPr>
          <w:trHeight w:val="242"/>
        </w:trPr>
        <w:tc>
          <w:tcPr>
            <w:tcW w:w="3620" w:type="dxa"/>
            <w:tcBorders>
              <w:top w:val="single" w:sz="8" w:space="0" w:color="auto"/>
              <w:left w:val="single" w:sz="8" w:space="0" w:color="auto"/>
              <w:bottom w:val="single" w:sz="8" w:space="0" w:color="auto"/>
              <w:right w:val="nil"/>
            </w:tcBorders>
            <w:shd w:val="clear" w:color="000000" w:fill="D9E1F2"/>
            <w:vAlign w:val="center"/>
            <w:hideMark/>
          </w:tcPr>
          <w:p w14:paraId="7E8CCCAE" w14:textId="77777777" w:rsidR="00D33F7C" w:rsidRPr="00037B23" w:rsidRDefault="00D33F7C" w:rsidP="00E213CE">
            <w:pP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Grand Total</w:t>
            </w:r>
          </w:p>
        </w:tc>
        <w:tc>
          <w:tcPr>
            <w:tcW w:w="1118" w:type="dxa"/>
            <w:tcBorders>
              <w:top w:val="nil"/>
              <w:left w:val="nil"/>
              <w:bottom w:val="single" w:sz="8" w:space="0" w:color="auto"/>
              <w:right w:val="nil"/>
            </w:tcBorders>
            <w:shd w:val="clear" w:color="000000" w:fill="D9E1F2"/>
            <w:vAlign w:val="bottom"/>
            <w:hideMark/>
          </w:tcPr>
          <w:p w14:paraId="7A953A46"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268,933,338</w:t>
            </w:r>
          </w:p>
        </w:tc>
        <w:tc>
          <w:tcPr>
            <w:tcW w:w="1118" w:type="dxa"/>
            <w:tcBorders>
              <w:top w:val="nil"/>
              <w:left w:val="nil"/>
              <w:bottom w:val="single" w:sz="8" w:space="0" w:color="auto"/>
              <w:right w:val="nil"/>
            </w:tcBorders>
            <w:shd w:val="clear" w:color="000000" w:fill="D9E1F2"/>
            <w:vAlign w:val="bottom"/>
            <w:hideMark/>
          </w:tcPr>
          <w:p w14:paraId="49E9946D"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77,619,761</w:t>
            </w:r>
          </w:p>
        </w:tc>
        <w:tc>
          <w:tcPr>
            <w:tcW w:w="1118" w:type="dxa"/>
            <w:tcBorders>
              <w:top w:val="nil"/>
              <w:left w:val="nil"/>
              <w:bottom w:val="single" w:sz="8" w:space="0" w:color="auto"/>
              <w:right w:val="nil"/>
            </w:tcBorders>
            <w:shd w:val="clear" w:color="000000" w:fill="D9E1F2"/>
            <w:vAlign w:val="bottom"/>
            <w:hideMark/>
          </w:tcPr>
          <w:p w14:paraId="20F00353"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74,273,018</w:t>
            </w:r>
          </w:p>
        </w:tc>
        <w:tc>
          <w:tcPr>
            <w:tcW w:w="1118" w:type="dxa"/>
            <w:tcBorders>
              <w:top w:val="nil"/>
              <w:left w:val="nil"/>
              <w:bottom w:val="single" w:sz="8" w:space="0" w:color="auto"/>
              <w:right w:val="nil"/>
            </w:tcBorders>
            <w:shd w:val="clear" w:color="000000" w:fill="D9E1F2"/>
            <w:vAlign w:val="bottom"/>
            <w:hideMark/>
          </w:tcPr>
          <w:p w14:paraId="32BC45F2"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52,702,189</w:t>
            </w:r>
          </w:p>
        </w:tc>
        <w:tc>
          <w:tcPr>
            <w:tcW w:w="1118" w:type="dxa"/>
            <w:tcBorders>
              <w:top w:val="nil"/>
              <w:left w:val="nil"/>
              <w:bottom w:val="single" w:sz="8" w:space="0" w:color="auto"/>
              <w:right w:val="nil"/>
            </w:tcBorders>
            <w:shd w:val="clear" w:color="000000" w:fill="D9E1F2"/>
            <w:vAlign w:val="bottom"/>
            <w:hideMark/>
          </w:tcPr>
          <w:p w14:paraId="7BD410A1"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21,448,609</w:t>
            </w:r>
          </w:p>
        </w:tc>
        <w:tc>
          <w:tcPr>
            <w:tcW w:w="1118" w:type="dxa"/>
            <w:tcBorders>
              <w:top w:val="nil"/>
              <w:left w:val="nil"/>
              <w:bottom w:val="single" w:sz="8" w:space="0" w:color="auto"/>
              <w:right w:val="single" w:sz="8" w:space="0" w:color="auto"/>
            </w:tcBorders>
            <w:shd w:val="clear" w:color="000000" w:fill="D9E1F2"/>
            <w:vAlign w:val="bottom"/>
            <w:hideMark/>
          </w:tcPr>
          <w:p w14:paraId="118EE7C7"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81,972,599</w:t>
            </w:r>
          </w:p>
        </w:tc>
      </w:tr>
    </w:tbl>
    <w:p w14:paraId="6D15FBDB" w14:textId="77777777" w:rsidR="00D33F7C" w:rsidRPr="002061D1" w:rsidRDefault="00D33F7C" w:rsidP="00D33F7C">
      <w:pPr>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p>
    <w:p w14:paraId="7F6BEEED" w14:textId="77777777" w:rsidR="00D33F7C" w:rsidRPr="002061D1" w:rsidRDefault="00D33F7C" w:rsidP="00D33F7C">
      <w:pPr>
        <w:spacing w:line="23" w:lineRule="atLeast"/>
        <w:jc w:val="both"/>
        <w:rPr>
          <w:rFonts w:ascii="Garamond" w:hAnsi="Garamond"/>
          <w:bCs/>
          <w:sz w:val="18"/>
          <w:szCs w:val="18"/>
        </w:rPr>
      </w:pPr>
      <w:r w:rsidRPr="002061D1">
        <w:rPr>
          <w:rFonts w:ascii="Garamond" w:hAnsi="Garamond"/>
          <w:bCs/>
          <w:sz w:val="18"/>
          <w:szCs w:val="18"/>
        </w:rPr>
        <w:t>NA: Not Available</w:t>
      </w:r>
    </w:p>
    <w:p w14:paraId="6AB9E95D" w14:textId="77777777" w:rsidR="00D33F7C" w:rsidRPr="002061D1" w:rsidRDefault="00D33F7C" w:rsidP="00D33F7C">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14:paraId="793A8AF2" w14:textId="77777777" w:rsidR="00D33F7C" w:rsidRPr="002061D1" w:rsidRDefault="00D33F7C" w:rsidP="00D33F7C">
      <w:pPr>
        <w:rPr>
          <w:rFonts w:ascii="Garamond" w:eastAsia="Times New Roman" w:hAnsi="Garamond"/>
          <w:bCs/>
          <w:sz w:val="22"/>
          <w:szCs w:val="22"/>
          <w:lang w:val="en-US"/>
        </w:rPr>
      </w:pPr>
    </w:p>
    <w:p w14:paraId="55F150E9" w14:textId="77777777" w:rsidR="00D33F7C" w:rsidRPr="001D2656" w:rsidRDefault="00D33F7C" w:rsidP="00D33F7C">
      <w:pPr>
        <w:rPr>
          <w:rFonts w:ascii="Garamond" w:eastAsia="Times New Roman" w:hAnsi="Garamond"/>
          <w:bCs/>
          <w:sz w:val="22"/>
          <w:szCs w:val="22"/>
          <w:lang w:val="en-US"/>
        </w:rPr>
      </w:pPr>
      <w:r w:rsidRPr="001D2656">
        <w:rPr>
          <w:rFonts w:ascii="Garamond" w:eastAsia="Times New Roman" w:hAnsi="Garamond"/>
          <w:bCs/>
          <w:sz w:val="22"/>
          <w:szCs w:val="22"/>
          <w:lang w:val="en-US"/>
        </w:rPr>
        <w:br w:type="page"/>
      </w:r>
    </w:p>
    <w:p w14:paraId="25B9E32C" w14:textId="77777777" w:rsidR="00D33F7C" w:rsidRPr="001D2656" w:rsidRDefault="00D33F7C" w:rsidP="00D33F7C">
      <w:pPr>
        <w:spacing w:line="23" w:lineRule="atLeast"/>
        <w:rPr>
          <w:rFonts w:ascii="Garamond" w:hAnsi="Garamond"/>
          <w:b/>
          <w:bCs/>
          <w:szCs w:val="22"/>
        </w:rPr>
      </w:pPr>
      <w:r w:rsidRPr="001D2656">
        <w:rPr>
          <w:rFonts w:ascii="Garamond" w:eastAsia="Times New Roman" w:hAnsi="Garamond"/>
          <w:b/>
          <w:bCs/>
          <w:szCs w:val="22"/>
          <w:lang w:val="en-US"/>
        </w:rPr>
        <w:lastRenderedPageBreak/>
        <w:t>Table A8: Commodity Futures and Options Traded in Major Exchanges</w:t>
      </w:r>
    </w:p>
    <w:p w14:paraId="674CD15E" w14:textId="77777777" w:rsidR="00D33F7C" w:rsidRPr="001D2656" w:rsidRDefault="00D33F7C" w:rsidP="00D33F7C">
      <w:pPr>
        <w:spacing w:line="23" w:lineRule="atLeast"/>
        <w:ind w:right="348"/>
        <w:jc w:val="right"/>
        <w:rPr>
          <w:rFonts w:ascii="Garamond" w:hAnsi="Garamond"/>
          <w:bCs/>
          <w:sz w:val="22"/>
          <w:szCs w:val="22"/>
        </w:rPr>
      </w:pPr>
      <w:r w:rsidRPr="001D2656">
        <w:rPr>
          <w:rFonts w:ascii="Garamond" w:hAnsi="Garamond"/>
          <w:bCs/>
          <w:sz w:val="22"/>
          <w:szCs w:val="22"/>
        </w:rPr>
        <w:t>Notional Turnover in (USD million)</w:t>
      </w:r>
    </w:p>
    <w:tbl>
      <w:tblPr>
        <w:tblW w:w="10163" w:type="dxa"/>
        <w:tblInd w:w="113" w:type="dxa"/>
        <w:tblLook w:val="04A0" w:firstRow="1" w:lastRow="0" w:firstColumn="1" w:lastColumn="0" w:noHBand="0" w:noVBand="1"/>
      </w:tblPr>
      <w:tblGrid>
        <w:gridCol w:w="3498"/>
        <w:gridCol w:w="1170"/>
        <w:gridCol w:w="1097"/>
        <w:gridCol w:w="1101"/>
        <w:gridCol w:w="1098"/>
        <w:gridCol w:w="1096"/>
        <w:gridCol w:w="1103"/>
      </w:tblGrid>
      <w:tr w:rsidR="00D33F7C" w:rsidRPr="00037B23" w14:paraId="322D9042" w14:textId="77777777" w:rsidTr="00E213CE">
        <w:trPr>
          <w:trHeight w:val="209"/>
        </w:trPr>
        <w:tc>
          <w:tcPr>
            <w:tcW w:w="349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14:paraId="090900CF"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Exchange</w:t>
            </w:r>
          </w:p>
        </w:tc>
        <w:tc>
          <w:tcPr>
            <w:tcW w:w="6665" w:type="dxa"/>
            <w:gridSpan w:val="6"/>
            <w:tcBorders>
              <w:top w:val="single" w:sz="4" w:space="0" w:color="auto"/>
              <w:left w:val="nil"/>
              <w:bottom w:val="single" w:sz="4" w:space="0" w:color="auto"/>
              <w:right w:val="single" w:sz="4" w:space="0" w:color="auto"/>
            </w:tcBorders>
            <w:shd w:val="clear" w:color="000000" w:fill="B4C6E7"/>
            <w:vAlign w:val="center"/>
            <w:hideMark/>
          </w:tcPr>
          <w:p w14:paraId="3970A9C4"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May-21</w:t>
            </w:r>
          </w:p>
        </w:tc>
      </w:tr>
      <w:tr w:rsidR="00D33F7C" w:rsidRPr="00037B23" w14:paraId="7D6DF6C8" w14:textId="77777777" w:rsidTr="00E213CE">
        <w:trPr>
          <w:trHeight w:val="209"/>
        </w:trPr>
        <w:tc>
          <w:tcPr>
            <w:tcW w:w="3498" w:type="dxa"/>
            <w:vMerge/>
            <w:tcBorders>
              <w:top w:val="single" w:sz="4" w:space="0" w:color="auto"/>
              <w:left w:val="single" w:sz="4" w:space="0" w:color="auto"/>
              <w:bottom w:val="single" w:sz="4" w:space="0" w:color="auto"/>
              <w:right w:val="single" w:sz="4" w:space="0" w:color="auto"/>
            </w:tcBorders>
            <w:vAlign w:val="center"/>
            <w:hideMark/>
          </w:tcPr>
          <w:p w14:paraId="1903F577"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3368" w:type="dxa"/>
            <w:gridSpan w:val="3"/>
            <w:tcBorders>
              <w:top w:val="single" w:sz="4" w:space="0" w:color="auto"/>
              <w:left w:val="nil"/>
              <w:bottom w:val="single" w:sz="4" w:space="0" w:color="auto"/>
              <w:right w:val="single" w:sz="4" w:space="0" w:color="auto"/>
            </w:tcBorders>
            <w:shd w:val="clear" w:color="000000" w:fill="B4C6E7"/>
            <w:vAlign w:val="center"/>
            <w:hideMark/>
          </w:tcPr>
          <w:p w14:paraId="47ECA6A1"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Commodities Futures</w:t>
            </w:r>
          </w:p>
        </w:tc>
        <w:tc>
          <w:tcPr>
            <w:tcW w:w="3296" w:type="dxa"/>
            <w:gridSpan w:val="3"/>
            <w:tcBorders>
              <w:top w:val="single" w:sz="4" w:space="0" w:color="auto"/>
              <w:left w:val="nil"/>
              <w:bottom w:val="single" w:sz="4" w:space="0" w:color="auto"/>
              <w:right w:val="single" w:sz="4" w:space="0" w:color="auto"/>
            </w:tcBorders>
            <w:shd w:val="clear" w:color="000000" w:fill="B4C6E7"/>
            <w:vAlign w:val="center"/>
            <w:hideMark/>
          </w:tcPr>
          <w:p w14:paraId="5CC14481"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Commodities Options</w:t>
            </w:r>
          </w:p>
        </w:tc>
      </w:tr>
      <w:tr w:rsidR="00D33F7C" w:rsidRPr="00037B23" w14:paraId="63D28CA9" w14:textId="77777777" w:rsidTr="00E213CE">
        <w:trPr>
          <w:trHeight w:val="544"/>
        </w:trPr>
        <w:tc>
          <w:tcPr>
            <w:tcW w:w="3498" w:type="dxa"/>
            <w:vMerge/>
            <w:tcBorders>
              <w:top w:val="single" w:sz="4" w:space="0" w:color="auto"/>
              <w:left w:val="single" w:sz="4" w:space="0" w:color="auto"/>
              <w:bottom w:val="single" w:sz="4" w:space="0" w:color="auto"/>
              <w:right w:val="single" w:sz="4" w:space="0" w:color="auto"/>
            </w:tcBorders>
            <w:vAlign w:val="center"/>
            <w:hideMark/>
          </w:tcPr>
          <w:p w14:paraId="7EA14266" w14:textId="77777777" w:rsidR="00D33F7C" w:rsidRPr="00037B23" w:rsidRDefault="00D33F7C" w:rsidP="00E213CE">
            <w:pPr>
              <w:rPr>
                <w:rFonts w:ascii="Garamond" w:eastAsia="Times New Roman" w:hAnsi="Garamond" w:cs="Calibri"/>
                <w:b/>
                <w:bCs/>
                <w:color w:val="000000"/>
                <w:sz w:val="20"/>
                <w:szCs w:val="20"/>
                <w:lang w:val="en-IN" w:eastAsia="en-IN" w:bidi="hi-IN"/>
              </w:rPr>
            </w:pPr>
          </w:p>
        </w:tc>
        <w:tc>
          <w:tcPr>
            <w:tcW w:w="1170" w:type="dxa"/>
            <w:tcBorders>
              <w:top w:val="nil"/>
              <w:left w:val="nil"/>
              <w:bottom w:val="single" w:sz="4" w:space="0" w:color="auto"/>
              <w:right w:val="single" w:sz="4" w:space="0" w:color="auto"/>
            </w:tcBorders>
            <w:shd w:val="clear" w:color="000000" w:fill="B4C6E7"/>
            <w:vAlign w:val="center"/>
            <w:hideMark/>
          </w:tcPr>
          <w:p w14:paraId="0B7D4B0E"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097" w:type="dxa"/>
            <w:tcBorders>
              <w:top w:val="nil"/>
              <w:left w:val="nil"/>
              <w:bottom w:val="single" w:sz="4" w:space="0" w:color="auto"/>
              <w:right w:val="single" w:sz="4" w:space="0" w:color="auto"/>
            </w:tcBorders>
            <w:shd w:val="clear" w:color="000000" w:fill="B4C6E7"/>
            <w:vAlign w:val="center"/>
            <w:hideMark/>
          </w:tcPr>
          <w:p w14:paraId="60B4FF46"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00" w:type="dxa"/>
            <w:tcBorders>
              <w:top w:val="nil"/>
              <w:left w:val="nil"/>
              <w:bottom w:val="single" w:sz="4" w:space="0" w:color="auto"/>
              <w:right w:val="single" w:sz="4" w:space="0" w:color="auto"/>
            </w:tcBorders>
            <w:shd w:val="clear" w:color="000000" w:fill="B4C6E7"/>
            <w:vAlign w:val="center"/>
            <w:hideMark/>
          </w:tcPr>
          <w:p w14:paraId="1AB1FA32"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c>
          <w:tcPr>
            <w:tcW w:w="1098" w:type="dxa"/>
            <w:tcBorders>
              <w:top w:val="nil"/>
              <w:left w:val="nil"/>
              <w:bottom w:val="single" w:sz="4" w:space="0" w:color="auto"/>
              <w:right w:val="single" w:sz="4" w:space="0" w:color="auto"/>
            </w:tcBorders>
            <w:shd w:val="clear" w:color="000000" w:fill="B4C6E7"/>
            <w:vAlign w:val="center"/>
            <w:hideMark/>
          </w:tcPr>
          <w:p w14:paraId="38D81ADE"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Number of</w:t>
            </w:r>
            <w:r w:rsidRPr="00037B23">
              <w:rPr>
                <w:rFonts w:ascii="Garamond" w:eastAsia="Times New Roman" w:hAnsi="Garamond" w:cs="Calibri"/>
                <w:b/>
                <w:bCs/>
                <w:color w:val="000000"/>
                <w:sz w:val="20"/>
                <w:szCs w:val="20"/>
                <w:lang w:val="en-IN" w:eastAsia="en-IN" w:bidi="hi-IN"/>
              </w:rPr>
              <w:br/>
              <w:t>Contracts Traded</w:t>
            </w:r>
          </w:p>
        </w:tc>
        <w:tc>
          <w:tcPr>
            <w:tcW w:w="1096" w:type="dxa"/>
            <w:tcBorders>
              <w:top w:val="nil"/>
              <w:left w:val="nil"/>
              <w:bottom w:val="single" w:sz="4" w:space="0" w:color="auto"/>
              <w:right w:val="single" w:sz="4" w:space="0" w:color="auto"/>
            </w:tcBorders>
            <w:shd w:val="clear" w:color="000000" w:fill="B4C6E7"/>
            <w:vAlign w:val="center"/>
            <w:hideMark/>
          </w:tcPr>
          <w:p w14:paraId="558B9428"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Notional</w:t>
            </w:r>
            <w:r w:rsidRPr="00037B23">
              <w:rPr>
                <w:rFonts w:ascii="Garamond" w:eastAsia="Times New Roman" w:hAnsi="Garamond" w:cs="Calibri"/>
                <w:b/>
                <w:bCs/>
                <w:color w:val="000000"/>
                <w:sz w:val="20"/>
                <w:szCs w:val="20"/>
                <w:lang w:val="en-IN" w:eastAsia="en-IN" w:bidi="hi-IN"/>
              </w:rPr>
              <w:br/>
              <w:t>Turnover</w:t>
            </w:r>
          </w:p>
        </w:tc>
        <w:tc>
          <w:tcPr>
            <w:tcW w:w="1101" w:type="dxa"/>
            <w:tcBorders>
              <w:top w:val="nil"/>
              <w:left w:val="nil"/>
              <w:bottom w:val="single" w:sz="4" w:space="0" w:color="auto"/>
              <w:right w:val="single" w:sz="4" w:space="0" w:color="auto"/>
            </w:tcBorders>
            <w:shd w:val="clear" w:color="000000" w:fill="B4C6E7"/>
            <w:vAlign w:val="center"/>
            <w:hideMark/>
          </w:tcPr>
          <w:p w14:paraId="66BFB6BE" w14:textId="77777777" w:rsidR="00D33F7C" w:rsidRPr="00037B23" w:rsidRDefault="00D33F7C" w:rsidP="00E213CE">
            <w:pPr>
              <w:jc w:val="cente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Open</w:t>
            </w:r>
            <w:r w:rsidRPr="00037B23">
              <w:rPr>
                <w:rFonts w:ascii="Garamond" w:eastAsia="Times New Roman" w:hAnsi="Garamond" w:cs="Calibri"/>
                <w:b/>
                <w:bCs/>
                <w:color w:val="000000"/>
                <w:sz w:val="20"/>
                <w:szCs w:val="20"/>
                <w:lang w:val="en-IN" w:eastAsia="en-IN" w:bidi="hi-IN"/>
              </w:rPr>
              <w:br/>
              <w:t>Interest</w:t>
            </w:r>
          </w:p>
        </w:tc>
      </w:tr>
      <w:tr w:rsidR="00D33F7C" w:rsidRPr="00037B23" w14:paraId="13143E69"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1F6B0FF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B3 - Brasil Bolsa Balcão</w:t>
            </w:r>
          </w:p>
        </w:tc>
        <w:tc>
          <w:tcPr>
            <w:tcW w:w="1170" w:type="dxa"/>
            <w:tcBorders>
              <w:top w:val="single" w:sz="8" w:space="0" w:color="auto"/>
              <w:left w:val="single" w:sz="8" w:space="0" w:color="auto"/>
              <w:bottom w:val="nil"/>
              <w:right w:val="single" w:sz="8" w:space="0" w:color="auto"/>
            </w:tcBorders>
            <w:shd w:val="clear" w:color="auto" w:fill="auto"/>
            <w:vAlign w:val="center"/>
            <w:hideMark/>
          </w:tcPr>
          <w:p w14:paraId="6950C8D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375,004</w:t>
            </w:r>
          </w:p>
        </w:tc>
        <w:tc>
          <w:tcPr>
            <w:tcW w:w="1097" w:type="dxa"/>
            <w:tcBorders>
              <w:top w:val="single" w:sz="8" w:space="0" w:color="auto"/>
              <w:left w:val="nil"/>
              <w:bottom w:val="nil"/>
              <w:right w:val="single" w:sz="8" w:space="0" w:color="auto"/>
            </w:tcBorders>
            <w:shd w:val="clear" w:color="auto" w:fill="auto"/>
            <w:vAlign w:val="center"/>
            <w:hideMark/>
          </w:tcPr>
          <w:p w14:paraId="5B35532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3,934</w:t>
            </w:r>
          </w:p>
        </w:tc>
        <w:tc>
          <w:tcPr>
            <w:tcW w:w="1100" w:type="dxa"/>
            <w:tcBorders>
              <w:top w:val="single" w:sz="8" w:space="0" w:color="auto"/>
              <w:left w:val="nil"/>
              <w:bottom w:val="nil"/>
              <w:right w:val="single" w:sz="8" w:space="0" w:color="auto"/>
            </w:tcBorders>
            <w:shd w:val="clear" w:color="auto" w:fill="auto"/>
            <w:vAlign w:val="center"/>
            <w:hideMark/>
          </w:tcPr>
          <w:p w14:paraId="27C37C0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122,812</w:t>
            </w:r>
          </w:p>
        </w:tc>
        <w:tc>
          <w:tcPr>
            <w:tcW w:w="1098" w:type="dxa"/>
            <w:tcBorders>
              <w:top w:val="single" w:sz="8" w:space="0" w:color="auto"/>
              <w:left w:val="nil"/>
              <w:bottom w:val="nil"/>
              <w:right w:val="single" w:sz="8" w:space="0" w:color="auto"/>
            </w:tcBorders>
            <w:shd w:val="clear" w:color="auto" w:fill="auto"/>
            <w:vAlign w:val="center"/>
            <w:hideMark/>
          </w:tcPr>
          <w:p w14:paraId="1179B3E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90,237</w:t>
            </w:r>
          </w:p>
        </w:tc>
        <w:tc>
          <w:tcPr>
            <w:tcW w:w="1096" w:type="dxa"/>
            <w:tcBorders>
              <w:top w:val="single" w:sz="8" w:space="0" w:color="auto"/>
              <w:left w:val="nil"/>
              <w:bottom w:val="nil"/>
              <w:right w:val="single" w:sz="8" w:space="0" w:color="auto"/>
            </w:tcBorders>
            <w:shd w:val="clear" w:color="auto" w:fill="auto"/>
            <w:vAlign w:val="center"/>
            <w:hideMark/>
          </w:tcPr>
          <w:p w14:paraId="04F7172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55</w:t>
            </w:r>
          </w:p>
        </w:tc>
        <w:tc>
          <w:tcPr>
            <w:tcW w:w="1101" w:type="dxa"/>
            <w:tcBorders>
              <w:top w:val="single" w:sz="8" w:space="0" w:color="auto"/>
              <w:left w:val="nil"/>
              <w:bottom w:val="nil"/>
              <w:right w:val="single" w:sz="8" w:space="0" w:color="auto"/>
            </w:tcBorders>
            <w:shd w:val="clear" w:color="auto" w:fill="auto"/>
            <w:vAlign w:val="center"/>
            <w:hideMark/>
          </w:tcPr>
          <w:p w14:paraId="163F3D0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125,588</w:t>
            </w:r>
          </w:p>
        </w:tc>
      </w:tr>
      <w:tr w:rsidR="00D33F7C" w:rsidRPr="00037B23" w14:paraId="6657E02F"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0AAAFCF8"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Matba Rofex</w:t>
            </w:r>
          </w:p>
        </w:tc>
        <w:tc>
          <w:tcPr>
            <w:tcW w:w="1170" w:type="dxa"/>
            <w:tcBorders>
              <w:top w:val="nil"/>
              <w:left w:val="single" w:sz="8" w:space="0" w:color="auto"/>
              <w:bottom w:val="nil"/>
              <w:right w:val="single" w:sz="8" w:space="0" w:color="auto"/>
            </w:tcBorders>
            <w:shd w:val="clear" w:color="auto" w:fill="auto"/>
            <w:vAlign w:val="center"/>
            <w:hideMark/>
          </w:tcPr>
          <w:p w14:paraId="5CB759C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73,761</w:t>
            </w:r>
          </w:p>
        </w:tc>
        <w:tc>
          <w:tcPr>
            <w:tcW w:w="1097" w:type="dxa"/>
            <w:tcBorders>
              <w:top w:val="nil"/>
              <w:left w:val="nil"/>
              <w:bottom w:val="nil"/>
              <w:right w:val="single" w:sz="8" w:space="0" w:color="auto"/>
            </w:tcBorders>
            <w:shd w:val="clear" w:color="auto" w:fill="auto"/>
            <w:vAlign w:val="center"/>
            <w:hideMark/>
          </w:tcPr>
          <w:p w14:paraId="00FB530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1,403</w:t>
            </w:r>
          </w:p>
        </w:tc>
        <w:tc>
          <w:tcPr>
            <w:tcW w:w="1100" w:type="dxa"/>
            <w:tcBorders>
              <w:top w:val="nil"/>
              <w:left w:val="nil"/>
              <w:bottom w:val="nil"/>
              <w:right w:val="single" w:sz="8" w:space="0" w:color="auto"/>
            </w:tcBorders>
            <w:shd w:val="clear" w:color="auto" w:fill="auto"/>
            <w:vAlign w:val="center"/>
            <w:hideMark/>
          </w:tcPr>
          <w:p w14:paraId="44ABF39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59,286</w:t>
            </w:r>
          </w:p>
        </w:tc>
        <w:tc>
          <w:tcPr>
            <w:tcW w:w="1098" w:type="dxa"/>
            <w:tcBorders>
              <w:top w:val="nil"/>
              <w:left w:val="nil"/>
              <w:bottom w:val="nil"/>
              <w:right w:val="single" w:sz="8" w:space="0" w:color="auto"/>
            </w:tcBorders>
            <w:shd w:val="clear" w:color="auto" w:fill="auto"/>
            <w:vAlign w:val="center"/>
            <w:hideMark/>
          </w:tcPr>
          <w:p w14:paraId="13AC40A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11,926</w:t>
            </w:r>
          </w:p>
        </w:tc>
        <w:tc>
          <w:tcPr>
            <w:tcW w:w="1096" w:type="dxa"/>
            <w:tcBorders>
              <w:top w:val="nil"/>
              <w:left w:val="nil"/>
              <w:bottom w:val="nil"/>
              <w:right w:val="single" w:sz="8" w:space="0" w:color="auto"/>
            </w:tcBorders>
            <w:shd w:val="clear" w:color="auto" w:fill="auto"/>
            <w:vAlign w:val="center"/>
            <w:hideMark/>
          </w:tcPr>
          <w:p w14:paraId="5239C58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w:t>
            </w:r>
          </w:p>
        </w:tc>
        <w:tc>
          <w:tcPr>
            <w:tcW w:w="1101" w:type="dxa"/>
            <w:tcBorders>
              <w:top w:val="nil"/>
              <w:left w:val="nil"/>
              <w:bottom w:val="nil"/>
              <w:right w:val="single" w:sz="8" w:space="0" w:color="auto"/>
            </w:tcBorders>
            <w:shd w:val="clear" w:color="auto" w:fill="auto"/>
            <w:vAlign w:val="center"/>
            <w:hideMark/>
          </w:tcPr>
          <w:p w14:paraId="0D5A902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28,141</w:t>
            </w:r>
          </w:p>
        </w:tc>
      </w:tr>
      <w:tr w:rsidR="00D33F7C" w:rsidRPr="00037B23" w14:paraId="3ACB7DA1"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54404CA1"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CME Group</w:t>
            </w:r>
          </w:p>
        </w:tc>
        <w:tc>
          <w:tcPr>
            <w:tcW w:w="1170" w:type="dxa"/>
            <w:tcBorders>
              <w:top w:val="nil"/>
              <w:left w:val="single" w:sz="8" w:space="0" w:color="auto"/>
              <w:bottom w:val="nil"/>
              <w:right w:val="single" w:sz="8" w:space="0" w:color="auto"/>
            </w:tcBorders>
            <w:shd w:val="clear" w:color="auto" w:fill="auto"/>
            <w:vAlign w:val="center"/>
            <w:hideMark/>
          </w:tcPr>
          <w:p w14:paraId="41C8A95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68,853,242</w:t>
            </w:r>
          </w:p>
        </w:tc>
        <w:tc>
          <w:tcPr>
            <w:tcW w:w="1097" w:type="dxa"/>
            <w:tcBorders>
              <w:top w:val="nil"/>
              <w:left w:val="nil"/>
              <w:bottom w:val="nil"/>
              <w:right w:val="single" w:sz="8" w:space="0" w:color="auto"/>
            </w:tcBorders>
            <w:shd w:val="clear" w:color="auto" w:fill="auto"/>
            <w:vAlign w:val="center"/>
            <w:hideMark/>
          </w:tcPr>
          <w:p w14:paraId="4A16055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4,786,627</w:t>
            </w:r>
          </w:p>
        </w:tc>
        <w:tc>
          <w:tcPr>
            <w:tcW w:w="1100" w:type="dxa"/>
            <w:tcBorders>
              <w:top w:val="nil"/>
              <w:left w:val="nil"/>
              <w:bottom w:val="nil"/>
              <w:right w:val="single" w:sz="8" w:space="0" w:color="auto"/>
            </w:tcBorders>
            <w:shd w:val="clear" w:color="auto" w:fill="auto"/>
            <w:vAlign w:val="center"/>
            <w:hideMark/>
          </w:tcPr>
          <w:p w14:paraId="49D7A90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14,127,912</w:t>
            </w:r>
          </w:p>
        </w:tc>
        <w:tc>
          <w:tcPr>
            <w:tcW w:w="1098" w:type="dxa"/>
            <w:tcBorders>
              <w:top w:val="nil"/>
              <w:left w:val="nil"/>
              <w:bottom w:val="nil"/>
              <w:right w:val="single" w:sz="8" w:space="0" w:color="auto"/>
            </w:tcBorders>
            <w:shd w:val="clear" w:color="auto" w:fill="auto"/>
            <w:vAlign w:val="center"/>
            <w:hideMark/>
          </w:tcPr>
          <w:p w14:paraId="717D5EB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12,527,714</w:t>
            </w:r>
          </w:p>
        </w:tc>
        <w:tc>
          <w:tcPr>
            <w:tcW w:w="1096" w:type="dxa"/>
            <w:tcBorders>
              <w:top w:val="nil"/>
              <w:left w:val="nil"/>
              <w:bottom w:val="nil"/>
              <w:right w:val="single" w:sz="8" w:space="0" w:color="auto"/>
            </w:tcBorders>
            <w:shd w:val="clear" w:color="auto" w:fill="auto"/>
            <w:vAlign w:val="center"/>
            <w:hideMark/>
          </w:tcPr>
          <w:p w14:paraId="71A8850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701,746</w:t>
            </w:r>
          </w:p>
        </w:tc>
        <w:tc>
          <w:tcPr>
            <w:tcW w:w="1101" w:type="dxa"/>
            <w:tcBorders>
              <w:top w:val="nil"/>
              <w:left w:val="nil"/>
              <w:bottom w:val="nil"/>
              <w:right w:val="single" w:sz="8" w:space="0" w:color="auto"/>
            </w:tcBorders>
            <w:shd w:val="clear" w:color="auto" w:fill="auto"/>
            <w:vAlign w:val="center"/>
            <w:hideMark/>
          </w:tcPr>
          <w:p w14:paraId="6903331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11,114,794</w:t>
            </w:r>
          </w:p>
        </w:tc>
      </w:tr>
      <w:tr w:rsidR="00D33F7C" w:rsidRPr="00037B23" w14:paraId="31B1F9F4"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2B9F4A87"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ASX Australian Securities Exchange</w:t>
            </w:r>
          </w:p>
        </w:tc>
        <w:tc>
          <w:tcPr>
            <w:tcW w:w="1170" w:type="dxa"/>
            <w:tcBorders>
              <w:top w:val="nil"/>
              <w:left w:val="single" w:sz="8" w:space="0" w:color="auto"/>
              <w:bottom w:val="nil"/>
              <w:right w:val="single" w:sz="8" w:space="0" w:color="auto"/>
            </w:tcBorders>
            <w:shd w:val="clear" w:color="auto" w:fill="auto"/>
            <w:vAlign w:val="center"/>
            <w:hideMark/>
          </w:tcPr>
          <w:p w14:paraId="18FAE9F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114,474</w:t>
            </w:r>
          </w:p>
        </w:tc>
        <w:tc>
          <w:tcPr>
            <w:tcW w:w="1097" w:type="dxa"/>
            <w:tcBorders>
              <w:top w:val="nil"/>
              <w:left w:val="nil"/>
              <w:bottom w:val="nil"/>
              <w:right w:val="single" w:sz="8" w:space="0" w:color="auto"/>
            </w:tcBorders>
            <w:shd w:val="clear" w:color="auto" w:fill="auto"/>
            <w:vAlign w:val="center"/>
            <w:hideMark/>
          </w:tcPr>
          <w:p w14:paraId="6CEFA40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5,251</w:t>
            </w:r>
          </w:p>
        </w:tc>
        <w:tc>
          <w:tcPr>
            <w:tcW w:w="1100" w:type="dxa"/>
            <w:tcBorders>
              <w:top w:val="nil"/>
              <w:left w:val="nil"/>
              <w:bottom w:val="nil"/>
              <w:right w:val="single" w:sz="8" w:space="0" w:color="auto"/>
            </w:tcBorders>
            <w:shd w:val="clear" w:color="auto" w:fill="auto"/>
            <w:vAlign w:val="center"/>
            <w:hideMark/>
          </w:tcPr>
          <w:p w14:paraId="4074192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196,329</w:t>
            </w:r>
          </w:p>
        </w:tc>
        <w:tc>
          <w:tcPr>
            <w:tcW w:w="1098" w:type="dxa"/>
            <w:tcBorders>
              <w:top w:val="nil"/>
              <w:left w:val="nil"/>
              <w:bottom w:val="nil"/>
              <w:right w:val="single" w:sz="8" w:space="0" w:color="auto"/>
            </w:tcBorders>
            <w:shd w:val="clear" w:color="auto" w:fill="auto"/>
            <w:vAlign w:val="center"/>
            <w:hideMark/>
          </w:tcPr>
          <w:p w14:paraId="40F4BB3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9,280</w:t>
            </w:r>
          </w:p>
        </w:tc>
        <w:tc>
          <w:tcPr>
            <w:tcW w:w="1096" w:type="dxa"/>
            <w:tcBorders>
              <w:top w:val="nil"/>
              <w:left w:val="nil"/>
              <w:bottom w:val="nil"/>
              <w:right w:val="single" w:sz="8" w:space="0" w:color="auto"/>
            </w:tcBorders>
            <w:shd w:val="clear" w:color="auto" w:fill="auto"/>
            <w:vAlign w:val="center"/>
            <w:hideMark/>
          </w:tcPr>
          <w:p w14:paraId="07BEF79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1,998</w:t>
            </w:r>
          </w:p>
        </w:tc>
        <w:tc>
          <w:tcPr>
            <w:tcW w:w="1101" w:type="dxa"/>
            <w:tcBorders>
              <w:top w:val="nil"/>
              <w:left w:val="nil"/>
              <w:bottom w:val="nil"/>
              <w:right w:val="single" w:sz="8" w:space="0" w:color="auto"/>
            </w:tcBorders>
            <w:shd w:val="clear" w:color="auto" w:fill="auto"/>
            <w:vAlign w:val="center"/>
            <w:hideMark/>
          </w:tcPr>
          <w:p w14:paraId="442DF23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43,335</w:t>
            </w:r>
          </w:p>
        </w:tc>
      </w:tr>
      <w:tr w:rsidR="00D33F7C" w:rsidRPr="00037B23" w14:paraId="479A7B79"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13CED48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Hong Kong Exchanges and Clearing</w:t>
            </w:r>
          </w:p>
        </w:tc>
        <w:tc>
          <w:tcPr>
            <w:tcW w:w="1170" w:type="dxa"/>
            <w:tcBorders>
              <w:top w:val="nil"/>
              <w:left w:val="single" w:sz="8" w:space="0" w:color="auto"/>
              <w:bottom w:val="nil"/>
              <w:right w:val="single" w:sz="8" w:space="0" w:color="auto"/>
            </w:tcBorders>
            <w:shd w:val="clear" w:color="auto" w:fill="auto"/>
            <w:vAlign w:val="center"/>
            <w:hideMark/>
          </w:tcPr>
          <w:p w14:paraId="00BC963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25,547</w:t>
            </w:r>
          </w:p>
        </w:tc>
        <w:tc>
          <w:tcPr>
            <w:tcW w:w="1097" w:type="dxa"/>
            <w:tcBorders>
              <w:top w:val="nil"/>
              <w:left w:val="nil"/>
              <w:bottom w:val="nil"/>
              <w:right w:val="single" w:sz="8" w:space="0" w:color="auto"/>
            </w:tcBorders>
            <w:shd w:val="clear" w:color="auto" w:fill="auto"/>
            <w:vAlign w:val="center"/>
            <w:hideMark/>
          </w:tcPr>
          <w:p w14:paraId="5DDC6F6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851</w:t>
            </w:r>
          </w:p>
        </w:tc>
        <w:tc>
          <w:tcPr>
            <w:tcW w:w="1100" w:type="dxa"/>
            <w:tcBorders>
              <w:top w:val="nil"/>
              <w:left w:val="nil"/>
              <w:bottom w:val="nil"/>
              <w:right w:val="single" w:sz="8" w:space="0" w:color="auto"/>
            </w:tcBorders>
            <w:shd w:val="clear" w:color="auto" w:fill="auto"/>
            <w:vAlign w:val="center"/>
            <w:hideMark/>
          </w:tcPr>
          <w:p w14:paraId="6CAAF36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1,132</w:t>
            </w:r>
          </w:p>
        </w:tc>
        <w:tc>
          <w:tcPr>
            <w:tcW w:w="1098" w:type="dxa"/>
            <w:tcBorders>
              <w:top w:val="nil"/>
              <w:left w:val="nil"/>
              <w:bottom w:val="nil"/>
              <w:right w:val="single" w:sz="8" w:space="0" w:color="auto"/>
            </w:tcBorders>
            <w:shd w:val="clear" w:color="auto" w:fill="auto"/>
            <w:vAlign w:val="center"/>
            <w:hideMark/>
          </w:tcPr>
          <w:p w14:paraId="754876B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6" w:type="dxa"/>
            <w:tcBorders>
              <w:top w:val="nil"/>
              <w:left w:val="nil"/>
              <w:bottom w:val="nil"/>
              <w:right w:val="single" w:sz="8" w:space="0" w:color="auto"/>
            </w:tcBorders>
            <w:shd w:val="clear" w:color="auto" w:fill="auto"/>
            <w:vAlign w:val="center"/>
            <w:hideMark/>
          </w:tcPr>
          <w:p w14:paraId="77FED1E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1" w:type="dxa"/>
            <w:tcBorders>
              <w:top w:val="nil"/>
              <w:left w:val="nil"/>
              <w:bottom w:val="nil"/>
              <w:right w:val="single" w:sz="8" w:space="0" w:color="auto"/>
            </w:tcBorders>
            <w:shd w:val="clear" w:color="auto" w:fill="auto"/>
            <w:vAlign w:val="center"/>
            <w:hideMark/>
          </w:tcPr>
          <w:p w14:paraId="05C73DC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3E0C25DC"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0C7FABEC"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National Stock Exchange of India</w:t>
            </w:r>
          </w:p>
        </w:tc>
        <w:tc>
          <w:tcPr>
            <w:tcW w:w="1170" w:type="dxa"/>
            <w:tcBorders>
              <w:top w:val="nil"/>
              <w:left w:val="single" w:sz="8" w:space="0" w:color="auto"/>
              <w:bottom w:val="nil"/>
              <w:right w:val="single" w:sz="8" w:space="0" w:color="auto"/>
            </w:tcBorders>
            <w:shd w:val="clear" w:color="auto" w:fill="auto"/>
            <w:vAlign w:val="center"/>
            <w:hideMark/>
          </w:tcPr>
          <w:p w14:paraId="18F343D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2,353</w:t>
            </w:r>
          </w:p>
        </w:tc>
        <w:tc>
          <w:tcPr>
            <w:tcW w:w="1097" w:type="dxa"/>
            <w:tcBorders>
              <w:top w:val="nil"/>
              <w:left w:val="nil"/>
              <w:bottom w:val="nil"/>
              <w:right w:val="single" w:sz="8" w:space="0" w:color="auto"/>
            </w:tcBorders>
            <w:shd w:val="clear" w:color="auto" w:fill="auto"/>
            <w:vAlign w:val="center"/>
            <w:hideMark/>
          </w:tcPr>
          <w:p w14:paraId="477E776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43</w:t>
            </w:r>
          </w:p>
        </w:tc>
        <w:tc>
          <w:tcPr>
            <w:tcW w:w="1100" w:type="dxa"/>
            <w:tcBorders>
              <w:top w:val="nil"/>
              <w:left w:val="nil"/>
              <w:bottom w:val="nil"/>
              <w:right w:val="single" w:sz="8" w:space="0" w:color="auto"/>
            </w:tcBorders>
            <w:shd w:val="clear" w:color="auto" w:fill="auto"/>
            <w:vAlign w:val="center"/>
            <w:hideMark/>
          </w:tcPr>
          <w:p w14:paraId="59B7A4A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72</w:t>
            </w:r>
          </w:p>
        </w:tc>
        <w:tc>
          <w:tcPr>
            <w:tcW w:w="1098" w:type="dxa"/>
            <w:tcBorders>
              <w:top w:val="nil"/>
              <w:left w:val="nil"/>
              <w:bottom w:val="nil"/>
              <w:right w:val="single" w:sz="8" w:space="0" w:color="auto"/>
            </w:tcBorders>
            <w:shd w:val="clear" w:color="auto" w:fill="auto"/>
            <w:vAlign w:val="center"/>
            <w:hideMark/>
          </w:tcPr>
          <w:p w14:paraId="753371C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17,568</w:t>
            </w:r>
          </w:p>
        </w:tc>
        <w:tc>
          <w:tcPr>
            <w:tcW w:w="1096" w:type="dxa"/>
            <w:tcBorders>
              <w:top w:val="nil"/>
              <w:left w:val="nil"/>
              <w:bottom w:val="nil"/>
              <w:right w:val="single" w:sz="8" w:space="0" w:color="auto"/>
            </w:tcBorders>
            <w:shd w:val="clear" w:color="auto" w:fill="auto"/>
            <w:vAlign w:val="center"/>
            <w:hideMark/>
          </w:tcPr>
          <w:p w14:paraId="51A0CF7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117</w:t>
            </w:r>
          </w:p>
        </w:tc>
        <w:tc>
          <w:tcPr>
            <w:tcW w:w="1101" w:type="dxa"/>
            <w:tcBorders>
              <w:top w:val="nil"/>
              <w:left w:val="nil"/>
              <w:bottom w:val="nil"/>
              <w:right w:val="single" w:sz="8" w:space="0" w:color="auto"/>
            </w:tcBorders>
            <w:shd w:val="clear" w:color="auto" w:fill="auto"/>
            <w:vAlign w:val="center"/>
            <w:hideMark/>
          </w:tcPr>
          <w:p w14:paraId="2143B89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2,388</w:t>
            </w:r>
          </w:p>
        </w:tc>
      </w:tr>
      <w:tr w:rsidR="00D33F7C" w:rsidRPr="00037B23" w14:paraId="77E86DE6"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73152F94"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NZX Limited</w:t>
            </w:r>
          </w:p>
        </w:tc>
        <w:tc>
          <w:tcPr>
            <w:tcW w:w="1170" w:type="dxa"/>
            <w:tcBorders>
              <w:top w:val="nil"/>
              <w:left w:val="single" w:sz="8" w:space="0" w:color="auto"/>
              <w:bottom w:val="nil"/>
              <w:right w:val="single" w:sz="8" w:space="0" w:color="auto"/>
            </w:tcBorders>
            <w:shd w:val="clear" w:color="auto" w:fill="auto"/>
            <w:vAlign w:val="center"/>
            <w:hideMark/>
          </w:tcPr>
          <w:p w14:paraId="0ECF259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18,689</w:t>
            </w:r>
          </w:p>
        </w:tc>
        <w:tc>
          <w:tcPr>
            <w:tcW w:w="1097" w:type="dxa"/>
            <w:tcBorders>
              <w:top w:val="nil"/>
              <w:left w:val="nil"/>
              <w:bottom w:val="nil"/>
              <w:right w:val="single" w:sz="8" w:space="0" w:color="auto"/>
            </w:tcBorders>
            <w:shd w:val="clear" w:color="auto" w:fill="auto"/>
            <w:vAlign w:val="center"/>
            <w:hideMark/>
          </w:tcPr>
          <w:p w14:paraId="3BE30B1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130</w:t>
            </w:r>
          </w:p>
        </w:tc>
        <w:tc>
          <w:tcPr>
            <w:tcW w:w="1100" w:type="dxa"/>
            <w:tcBorders>
              <w:top w:val="nil"/>
              <w:left w:val="nil"/>
              <w:bottom w:val="nil"/>
              <w:right w:val="single" w:sz="8" w:space="0" w:color="auto"/>
            </w:tcBorders>
            <w:shd w:val="clear" w:color="auto" w:fill="auto"/>
            <w:vAlign w:val="center"/>
            <w:hideMark/>
          </w:tcPr>
          <w:p w14:paraId="102E6D3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50,869</w:t>
            </w:r>
          </w:p>
        </w:tc>
        <w:tc>
          <w:tcPr>
            <w:tcW w:w="1098" w:type="dxa"/>
            <w:tcBorders>
              <w:top w:val="nil"/>
              <w:left w:val="nil"/>
              <w:bottom w:val="nil"/>
              <w:right w:val="single" w:sz="8" w:space="0" w:color="auto"/>
            </w:tcBorders>
            <w:shd w:val="clear" w:color="auto" w:fill="auto"/>
            <w:vAlign w:val="center"/>
            <w:hideMark/>
          </w:tcPr>
          <w:p w14:paraId="6021BA3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990</w:t>
            </w:r>
          </w:p>
        </w:tc>
        <w:tc>
          <w:tcPr>
            <w:tcW w:w="1096" w:type="dxa"/>
            <w:tcBorders>
              <w:top w:val="nil"/>
              <w:left w:val="nil"/>
              <w:bottom w:val="nil"/>
              <w:right w:val="single" w:sz="8" w:space="0" w:color="auto"/>
            </w:tcBorders>
            <w:shd w:val="clear" w:color="auto" w:fill="auto"/>
            <w:vAlign w:val="center"/>
            <w:hideMark/>
          </w:tcPr>
          <w:p w14:paraId="08F1AFE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w:t>
            </w:r>
          </w:p>
        </w:tc>
        <w:tc>
          <w:tcPr>
            <w:tcW w:w="1101" w:type="dxa"/>
            <w:tcBorders>
              <w:top w:val="nil"/>
              <w:left w:val="nil"/>
              <w:bottom w:val="nil"/>
              <w:right w:val="single" w:sz="8" w:space="0" w:color="auto"/>
            </w:tcBorders>
            <w:shd w:val="clear" w:color="auto" w:fill="auto"/>
            <w:vAlign w:val="center"/>
            <w:hideMark/>
          </w:tcPr>
          <w:p w14:paraId="3AF5847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7,488</w:t>
            </w:r>
          </w:p>
        </w:tc>
      </w:tr>
      <w:tr w:rsidR="00D33F7C" w:rsidRPr="00037B23" w14:paraId="40FB117E"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2ACCFD21"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Singapore Exchange</w:t>
            </w:r>
          </w:p>
        </w:tc>
        <w:tc>
          <w:tcPr>
            <w:tcW w:w="1170" w:type="dxa"/>
            <w:tcBorders>
              <w:top w:val="nil"/>
              <w:left w:val="single" w:sz="8" w:space="0" w:color="auto"/>
              <w:bottom w:val="nil"/>
              <w:right w:val="single" w:sz="8" w:space="0" w:color="auto"/>
            </w:tcBorders>
            <w:shd w:val="clear" w:color="auto" w:fill="auto"/>
            <w:vAlign w:val="center"/>
            <w:hideMark/>
          </w:tcPr>
          <w:p w14:paraId="1517961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1,943,200</w:t>
            </w:r>
          </w:p>
        </w:tc>
        <w:tc>
          <w:tcPr>
            <w:tcW w:w="1097" w:type="dxa"/>
            <w:tcBorders>
              <w:top w:val="nil"/>
              <w:left w:val="nil"/>
              <w:bottom w:val="nil"/>
              <w:right w:val="single" w:sz="8" w:space="0" w:color="auto"/>
            </w:tcBorders>
            <w:shd w:val="clear" w:color="auto" w:fill="auto"/>
            <w:vAlign w:val="center"/>
            <w:hideMark/>
          </w:tcPr>
          <w:p w14:paraId="44E66FB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0" w:type="dxa"/>
            <w:tcBorders>
              <w:top w:val="nil"/>
              <w:left w:val="nil"/>
              <w:bottom w:val="nil"/>
              <w:right w:val="single" w:sz="8" w:space="0" w:color="auto"/>
            </w:tcBorders>
            <w:shd w:val="clear" w:color="auto" w:fill="auto"/>
            <w:vAlign w:val="center"/>
            <w:hideMark/>
          </w:tcPr>
          <w:p w14:paraId="5758742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1,105,747</w:t>
            </w:r>
          </w:p>
        </w:tc>
        <w:tc>
          <w:tcPr>
            <w:tcW w:w="1098" w:type="dxa"/>
            <w:tcBorders>
              <w:top w:val="nil"/>
              <w:left w:val="nil"/>
              <w:bottom w:val="nil"/>
              <w:right w:val="single" w:sz="8" w:space="0" w:color="auto"/>
            </w:tcBorders>
            <w:shd w:val="clear" w:color="auto" w:fill="auto"/>
            <w:vAlign w:val="center"/>
            <w:hideMark/>
          </w:tcPr>
          <w:p w14:paraId="776CF09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381,223</w:t>
            </w:r>
          </w:p>
        </w:tc>
        <w:tc>
          <w:tcPr>
            <w:tcW w:w="1096" w:type="dxa"/>
            <w:tcBorders>
              <w:top w:val="nil"/>
              <w:left w:val="nil"/>
              <w:bottom w:val="nil"/>
              <w:right w:val="single" w:sz="8" w:space="0" w:color="auto"/>
            </w:tcBorders>
            <w:shd w:val="clear" w:color="auto" w:fill="auto"/>
            <w:vAlign w:val="center"/>
            <w:hideMark/>
          </w:tcPr>
          <w:p w14:paraId="29574E7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1" w:type="dxa"/>
            <w:tcBorders>
              <w:top w:val="nil"/>
              <w:left w:val="nil"/>
              <w:bottom w:val="nil"/>
              <w:right w:val="single" w:sz="8" w:space="0" w:color="auto"/>
            </w:tcBorders>
            <w:shd w:val="clear" w:color="auto" w:fill="auto"/>
            <w:vAlign w:val="center"/>
            <w:hideMark/>
          </w:tcPr>
          <w:p w14:paraId="156AE5B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780,898</w:t>
            </w:r>
          </w:p>
        </w:tc>
      </w:tr>
      <w:tr w:rsidR="00D33F7C" w:rsidRPr="00037B23" w14:paraId="0C4B0774"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7ADAE63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Taiwan Futures Exchange</w:t>
            </w:r>
          </w:p>
        </w:tc>
        <w:tc>
          <w:tcPr>
            <w:tcW w:w="1170" w:type="dxa"/>
            <w:tcBorders>
              <w:top w:val="nil"/>
              <w:left w:val="single" w:sz="8" w:space="0" w:color="auto"/>
              <w:bottom w:val="nil"/>
              <w:right w:val="single" w:sz="8" w:space="0" w:color="auto"/>
            </w:tcBorders>
            <w:shd w:val="clear" w:color="auto" w:fill="auto"/>
            <w:vAlign w:val="center"/>
            <w:hideMark/>
          </w:tcPr>
          <w:p w14:paraId="3ABEA4D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13,866</w:t>
            </w:r>
          </w:p>
        </w:tc>
        <w:tc>
          <w:tcPr>
            <w:tcW w:w="1097" w:type="dxa"/>
            <w:tcBorders>
              <w:top w:val="nil"/>
              <w:left w:val="nil"/>
              <w:bottom w:val="nil"/>
              <w:right w:val="single" w:sz="8" w:space="0" w:color="auto"/>
            </w:tcBorders>
            <w:shd w:val="clear" w:color="auto" w:fill="auto"/>
            <w:vAlign w:val="center"/>
            <w:hideMark/>
          </w:tcPr>
          <w:p w14:paraId="3EC6DCC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272</w:t>
            </w:r>
          </w:p>
        </w:tc>
        <w:tc>
          <w:tcPr>
            <w:tcW w:w="1100" w:type="dxa"/>
            <w:tcBorders>
              <w:top w:val="nil"/>
              <w:left w:val="nil"/>
              <w:bottom w:val="nil"/>
              <w:right w:val="single" w:sz="8" w:space="0" w:color="auto"/>
            </w:tcBorders>
            <w:shd w:val="clear" w:color="auto" w:fill="auto"/>
            <w:vAlign w:val="center"/>
            <w:hideMark/>
          </w:tcPr>
          <w:p w14:paraId="6E1127E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1,519</w:t>
            </w:r>
          </w:p>
        </w:tc>
        <w:tc>
          <w:tcPr>
            <w:tcW w:w="1098" w:type="dxa"/>
            <w:tcBorders>
              <w:top w:val="nil"/>
              <w:left w:val="nil"/>
              <w:bottom w:val="nil"/>
              <w:right w:val="single" w:sz="8" w:space="0" w:color="auto"/>
            </w:tcBorders>
            <w:shd w:val="clear" w:color="auto" w:fill="auto"/>
            <w:vAlign w:val="center"/>
            <w:hideMark/>
          </w:tcPr>
          <w:p w14:paraId="233549D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2,327</w:t>
            </w:r>
          </w:p>
        </w:tc>
        <w:tc>
          <w:tcPr>
            <w:tcW w:w="1096" w:type="dxa"/>
            <w:tcBorders>
              <w:top w:val="nil"/>
              <w:left w:val="nil"/>
              <w:bottom w:val="nil"/>
              <w:right w:val="single" w:sz="8" w:space="0" w:color="auto"/>
            </w:tcBorders>
            <w:shd w:val="clear" w:color="auto" w:fill="auto"/>
            <w:vAlign w:val="center"/>
            <w:hideMark/>
          </w:tcPr>
          <w:p w14:paraId="4E5EDDD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w:t>
            </w:r>
          </w:p>
        </w:tc>
        <w:tc>
          <w:tcPr>
            <w:tcW w:w="1101" w:type="dxa"/>
            <w:tcBorders>
              <w:top w:val="nil"/>
              <w:left w:val="nil"/>
              <w:bottom w:val="nil"/>
              <w:right w:val="single" w:sz="8" w:space="0" w:color="auto"/>
            </w:tcBorders>
            <w:shd w:val="clear" w:color="auto" w:fill="auto"/>
            <w:vAlign w:val="center"/>
            <w:hideMark/>
          </w:tcPr>
          <w:p w14:paraId="2870D93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782</w:t>
            </w:r>
          </w:p>
        </w:tc>
      </w:tr>
      <w:tr w:rsidR="00D33F7C" w:rsidRPr="00037B23" w14:paraId="4772221B"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35699E25"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Thailand Futures Exchange</w:t>
            </w:r>
          </w:p>
        </w:tc>
        <w:tc>
          <w:tcPr>
            <w:tcW w:w="1170" w:type="dxa"/>
            <w:tcBorders>
              <w:top w:val="nil"/>
              <w:left w:val="single" w:sz="8" w:space="0" w:color="auto"/>
              <w:bottom w:val="nil"/>
              <w:right w:val="single" w:sz="8" w:space="0" w:color="auto"/>
            </w:tcBorders>
            <w:shd w:val="clear" w:color="auto" w:fill="auto"/>
            <w:vAlign w:val="center"/>
            <w:hideMark/>
          </w:tcPr>
          <w:p w14:paraId="2FE4C35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921,925</w:t>
            </w:r>
          </w:p>
        </w:tc>
        <w:tc>
          <w:tcPr>
            <w:tcW w:w="1097" w:type="dxa"/>
            <w:tcBorders>
              <w:top w:val="nil"/>
              <w:left w:val="nil"/>
              <w:bottom w:val="nil"/>
              <w:right w:val="single" w:sz="8" w:space="0" w:color="auto"/>
            </w:tcBorders>
            <w:shd w:val="clear" w:color="auto" w:fill="auto"/>
            <w:vAlign w:val="center"/>
            <w:hideMark/>
          </w:tcPr>
          <w:p w14:paraId="7626A88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0" w:type="dxa"/>
            <w:tcBorders>
              <w:top w:val="nil"/>
              <w:left w:val="nil"/>
              <w:bottom w:val="nil"/>
              <w:right w:val="single" w:sz="8" w:space="0" w:color="auto"/>
            </w:tcBorders>
            <w:shd w:val="clear" w:color="auto" w:fill="auto"/>
            <w:vAlign w:val="center"/>
            <w:hideMark/>
          </w:tcPr>
          <w:p w14:paraId="441C77F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46,758</w:t>
            </w:r>
          </w:p>
        </w:tc>
        <w:tc>
          <w:tcPr>
            <w:tcW w:w="1098" w:type="dxa"/>
            <w:tcBorders>
              <w:top w:val="nil"/>
              <w:left w:val="nil"/>
              <w:bottom w:val="nil"/>
              <w:right w:val="single" w:sz="8" w:space="0" w:color="auto"/>
            </w:tcBorders>
            <w:shd w:val="clear" w:color="auto" w:fill="auto"/>
            <w:vAlign w:val="center"/>
            <w:hideMark/>
          </w:tcPr>
          <w:p w14:paraId="13343E9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6" w:type="dxa"/>
            <w:tcBorders>
              <w:top w:val="nil"/>
              <w:left w:val="nil"/>
              <w:bottom w:val="nil"/>
              <w:right w:val="single" w:sz="8" w:space="0" w:color="auto"/>
            </w:tcBorders>
            <w:shd w:val="clear" w:color="auto" w:fill="auto"/>
            <w:vAlign w:val="center"/>
            <w:hideMark/>
          </w:tcPr>
          <w:p w14:paraId="5651EF3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1" w:type="dxa"/>
            <w:tcBorders>
              <w:top w:val="nil"/>
              <w:left w:val="nil"/>
              <w:bottom w:val="nil"/>
              <w:right w:val="single" w:sz="8" w:space="0" w:color="auto"/>
            </w:tcBorders>
            <w:shd w:val="clear" w:color="auto" w:fill="auto"/>
            <w:vAlign w:val="center"/>
            <w:hideMark/>
          </w:tcPr>
          <w:p w14:paraId="2053BC7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4CAD8274"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00934FD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Bursa Malaysia Derivatives</w:t>
            </w:r>
          </w:p>
        </w:tc>
        <w:tc>
          <w:tcPr>
            <w:tcW w:w="1170" w:type="dxa"/>
            <w:tcBorders>
              <w:top w:val="nil"/>
              <w:left w:val="single" w:sz="8" w:space="0" w:color="auto"/>
              <w:bottom w:val="nil"/>
              <w:right w:val="single" w:sz="8" w:space="0" w:color="auto"/>
            </w:tcBorders>
            <w:shd w:val="clear" w:color="auto" w:fill="auto"/>
            <w:vAlign w:val="center"/>
            <w:hideMark/>
          </w:tcPr>
          <w:p w14:paraId="2E6A790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1,174,934</w:t>
            </w:r>
          </w:p>
        </w:tc>
        <w:tc>
          <w:tcPr>
            <w:tcW w:w="1097" w:type="dxa"/>
            <w:tcBorders>
              <w:top w:val="nil"/>
              <w:left w:val="nil"/>
              <w:bottom w:val="nil"/>
              <w:right w:val="single" w:sz="8" w:space="0" w:color="auto"/>
            </w:tcBorders>
            <w:shd w:val="clear" w:color="auto" w:fill="auto"/>
            <w:vAlign w:val="center"/>
            <w:hideMark/>
          </w:tcPr>
          <w:p w14:paraId="45B26C9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28,299</w:t>
            </w:r>
          </w:p>
        </w:tc>
        <w:tc>
          <w:tcPr>
            <w:tcW w:w="1100" w:type="dxa"/>
            <w:tcBorders>
              <w:top w:val="nil"/>
              <w:left w:val="nil"/>
              <w:bottom w:val="nil"/>
              <w:right w:val="single" w:sz="8" w:space="0" w:color="auto"/>
            </w:tcBorders>
            <w:shd w:val="clear" w:color="auto" w:fill="auto"/>
            <w:vAlign w:val="center"/>
            <w:hideMark/>
          </w:tcPr>
          <w:p w14:paraId="68FCE12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183,934</w:t>
            </w:r>
          </w:p>
        </w:tc>
        <w:tc>
          <w:tcPr>
            <w:tcW w:w="1098" w:type="dxa"/>
            <w:tcBorders>
              <w:top w:val="nil"/>
              <w:left w:val="nil"/>
              <w:bottom w:val="nil"/>
              <w:right w:val="single" w:sz="8" w:space="0" w:color="auto"/>
            </w:tcBorders>
            <w:shd w:val="clear" w:color="auto" w:fill="auto"/>
            <w:vAlign w:val="center"/>
            <w:hideMark/>
          </w:tcPr>
          <w:p w14:paraId="4856030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9,700</w:t>
            </w:r>
          </w:p>
        </w:tc>
        <w:tc>
          <w:tcPr>
            <w:tcW w:w="1096" w:type="dxa"/>
            <w:tcBorders>
              <w:top w:val="nil"/>
              <w:left w:val="nil"/>
              <w:bottom w:val="nil"/>
              <w:right w:val="single" w:sz="8" w:space="0" w:color="auto"/>
            </w:tcBorders>
            <w:shd w:val="clear" w:color="auto" w:fill="auto"/>
            <w:vAlign w:val="center"/>
            <w:hideMark/>
          </w:tcPr>
          <w:p w14:paraId="26BF4BC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0</w:t>
            </w:r>
          </w:p>
        </w:tc>
        <w:tc>
          <w:tcPr>
            <w:tcW w:w="1101" w:type="dxa"/>
            <w:tcBorders>
              <w:top w:val="nil"/>
              <w:left w:val="nil"/>
              <w:bottom w:val="nil"/>
              <w:right w:val="single" w:sz="8" w:space="0" w:color="auto"/>
            </w:tcBorders>
            <w:shd w:val="clear" w:color="auto" w:fill="auto"/>
            <w:vAlign w:val="center"/>
            <w:hideMark/>
          </w:tcPr>
          <w:p w14:paraId="13CA230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29,800</w:t>
            </w:r>
          </w:p>
        </w:tc>
      </w:tr>
      <w:tr w:rsidR="00D33F7C" w:rsidRPr="00037B23" w14:paraId="377AEA75"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3772729C"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Zhengzhou Commodity Exchange</w:t>
            </w:r>
          </w:p>
        </w:tc>
        <w:tc>
          <w:tcPr>
            <w:tcW w:w="1170" w:type="dxa"/>
            <w:tcBorders>
              <w:top w:val="nil"/>
              <w:left w:val="single" w:sz="8" w:space="0" w:color="auto"/>
              <w:bottom w:val="nil"/>
              <w:right w:val="single" w:sz="8" w:space="0" w:color="auto"/>
            </w:tcBorders>
            <w:shd w:val="clear" w:color="auto" w:fill="auto"/>
            <w:vAlign w:val="center"/>
            <w:hideMark/>
          </w:tcPr>
          <w:p w14:paraId="3CA395A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229,658,618</w:t>
            </w:r>
          </w:p>
        </w:tc>
        <w:tc>
          <w:tcPr>
            <w:tcW w:w="1097" w:type="dxa"/>
            <w:tcBorders>
              <w:top w:val="nil"/>
              <w:left w:val="nil"/>
              <w:bottom w:val="nil"/>
              <w:right w:val="single" w:sz="8" w:space="0" w:color="auto"/>
            </w:tcBorders>
            <w:shd w:val="clear" w:color="auto" w:fill="auto"/>
            <w:vAlign w:val="center"/>
            <w:hideMark/>
          </w:tcPr>
          <w:p w14:paraId="6AB1E0D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1,578,109</w:t>
            </w:r>
          </w:p>
        </w:tc>
        <w:tc>
          <w:tcPr>
            <w:tcW w:w="1100" w:type="dxa"/>
            <w:tcBorders>
              <w:top w:val="nil"/>
              <w:left w:val="nil"/>
              <w:bottom w:val="nil"/>
              <w:right w:val="single" w:sz="8" w:space="0" w:color="auto"/>
            </w:tcBorders>
            <w:shd w:val="clear" w:color="auto" w:fill="auto"/>
            <w:vAlign w:val="center"/>
            <w:hideMark/>
          </w:tcPr>
          <w:p w14:paraId="450C886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8,735,162</w:t>
            </w:r>
          </w:p>
        </w:tc>
        <w:tc>
          <w:tcPr>
            <w:tcW w:w="1098" w:type="dxa"/>
            <w:tcBorders>
              <w:top w:val="nil"/>
              <w:left w:val="nil"/>
              <w:bottom w:val="nil"/>
              <w:right w:val="single" w:sz="8" w:space="0" w:color="auto"/>
            </w:tcBorders>
            <w:shd w:val="clear" w:color="auto" w:fill="auto"/>
            <w:vAlign w:val="center"/>
            <w:hideMark/>
          </w:tcPr>
          <w:p w14:paraId="0CD8C20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6,304,894</w:t>
            </w:r>
          </w:p>
        </w:tc>
        <w:tc>
          <w:tcPr>
            <w:tcW w:w="1096" w:type="dxa"/>
            <w:tcBorders>
              <w:top w:val="nil"/>
              <w:left w:val="nil"/>
              <w:bottom w:val="nil"/>
              <w:right w:val="single" w:sz="8" w:space="0" w:color="auto"/>
            </w:tcBorders>
            <w:shd w:val="clear" w:color="auto" w:fill="auto"/>
            <w:vAlign w:val="center"/>
            <w:hideMark/>
          </w:tcPr>
          <w:p w14:paraId="7297BF9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963</w:t>
            </w:r>
          </w:p>
        </w:tc>
        <w:tc>
          <w:tcPr>
            <w:tcW w:w="1101" w:type="dxa"/>
            <w:tcBorders>
              <w:top w:val="nil"/>
              <w:left w:val="nil"/>
              <w:bottom w:val="nil"/>
              <w:right w:val="single" w:sz="8" w:space="0" w:color="auto"/>
            </w:tcBorders>
            <w:shd w:val="clear" w:color="auto" w:fill="auto"/>
            <w:vAlign w:val="center"/>
            <w:hideMark/>
          </w:tcPr>
          <w:p w14:paraId="429DB6C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914,574</w:t>
            </w:r>
          </w:p>
        </w:tc>
      </w:tr>
      <w:tr w:rsidR="00D33F7C" w:rsidRPr="00037B23" w14:paraId="2286310D"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01815A62"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Dalian Commodity Exchange</w:t>
            </w:r>
          </w:p>
        </w:tc>
        <w:tc>
          <w:tcPr>
            <w:tcW w:w="1170" w:type="dxa"/>
            <w:tcBorders>
              <w:top w:val="nil"/>
              <w:left w:val="single" w:sz="8" w:space="0" w:color="auto"/>
              <w:bottom w:val="nil"/>
              <w:right w:val="single" w:sz="8" w:space="0" w:color="auto"/>
            </w:tcBorders>
            <w:shd w:val="clear" w:color="auto" w:fill="auto"/>
            <w:vAlign w:val="center"/>
            <w:hideMark/>
          </w:tcPr>
          <w:p w14:paraId="5A7506D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164,630,192</w:t>
            </w:r>
          </w:p>
        </w:tc>
        <w:tc>
          <w:tcPr>
            <w:tcW w:w="1097" w:type="dxa"/>
            <w:tcBorders>
              <w:top w:val="nil"/>
              <w:left w:val="nil"/>
              <w:bottom w:val="nil"/>
              <w:right w:val="single" w:sz="8" w:space="0" w:color="auto"/>
            </w:tcBorders>
            <w:shd w:val="clear" w:color="auto" w:fill="auto"/>
            <w:vAlign w:val="center"/>
            <w:hideMark/>
          </w:tcPr>
          <w:p w14:paraId="56944A8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1,708,911</w:t>
            </w:r>
          </w:p>
        </w:tc>
        <w:tc>
          <w:tcPr>
            <w:tcW w:w="1100" w:type="dxa"/>
            <w:tcBorders>
              <w:top w:val="nil"/>
              <w:left w:val="nil"/>
              <w:bottom w:val="nil"/>
              <w:right w:val="single" w:sz="8" w:space="0" w:color="auto"/>
            </w:tcBorders>
            <w:shd w:val="clear" w:color="auto" w:fill="auto"/>
            <w:vAlign w:val="center"/>
            <w:hideMark/>
          </w:tcPr>
          <w:p w14:paraId="11FB51D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8,553,437</w:t>
            </w:r>
          </w:p>
        </w:tc>
        <w:tc>
          <w:tcPr>
            <w:tcW w:w="1098" w:type="dxa"/>
            <w:tcBorders>
              <w:top w:val="nil"/>
              <w:left w:val="nil"/>
              <w:bottom w:val="nil"/>
              <w:right w:val="single" w:sz="8" w:space="0" w:color="auto"/>
            </w:tcBorders>
            <w:shd w:val="clear" w:color="auto" w:fill="auto"/>
            <w:vAlign w:val="center"/>
            <w:hideMark/>
          </w:tcPr>
          <w:p w14:paraId="717E8AA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5,435,054</w:t>
            </w:r>
          </w:p>
        </w:tc>
        <w:tc>
          <w:tcPr>
            <w:tcW w:w="1096" w:type="dxa"/>
            <w:tcBorders>
              <w:top w:val="nil"/>
              <w:left w:val="nil"/>
              <w:bottom w:val="nil"/>
              <w:right w:val="single" w:sz="8" w:space="0" w:color="auto"/>
            </w:tcBorders>
            <w:shd w:val="clear" w:color="auto" w:fill="auto"/>
            <w:vAlign w:val="center"/>
            <w:hideMark/>
          </w:tcPr>
          <w:p w14:paraId="1E9B013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1,270</w:t>
            </w:r>
          </w:p>
        </w:tc>
        <w:tc>
          <w:tcPr>
            <w:tcW w:w="1101" w:type="dxa"/>
            <w:tcBorders>
              <w:top w:val="nil"/>
              <w:left w:val="nil"/>
              <w:bottom w:val="nil"/>
              <w:right w:val="single" w:sz="8" w:space="0" w:color="auto"/>
            </w:tcBorders>
            <w:shd w:val="clear" w:color="auto" w:fill="auto"/>
            <w:vAlign w:val="center"/>
            <w:hideMark/>
          </w:tcPr>
          <w:p w14:paraId="3B896F7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1,225,632</w:t>
            </w:r>
          </w:p>
        </w:tc>
      </w:tr>
      <w:tr w:rsidR="00D33F7C" w:rsidRPr="00037B23" w14:paraId="36207EE0"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11148D20"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Multi Commodity Exchange of India</w:t>
            </w:r>
          </w:p>
        </w:tc>
        <w:tc>
          <w:tcPr>
            <w:tcW w:w="1170" w:type="dxa"/>
            <w:tcBorders>
              <w:top w:val="nil"/>
              <w:left w:val="single" w:sz="8" w:space="0" w:color="auto"/>
              <w:bottom w:val="nil"/>
              <w:right w:val="single" w:sz="8" w:space="0" w:color="auto"/>
            </w:tcBorders>
            <w:shd w:val="clear" w:color="auto" w:fill="auto"/>
            <w:vAlign w:val="center"/>
            <w:hideMark/>
          </w:tcPr>
          <w:p w14:paraId="5C76D07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15,183,048</w:t>
            </w:r>
          </w:p>
        </w:tc>
        <w:tc>
          <w:tcPr>
            <w:tcW w:w="1097" w:type="dxa"/>
            <w:tcBorders>
              <w:top w:val="nil"/>
              <w:left w:val="nil"/>
              <w:bottom w:val="nil"/>
              <w:right w:val="single" w:sz="8" w:space="0" w:color="auto"/>
            </w:tcBorders>
            <w:shd w:val="clear" w:color="auto" w:fill="auto"/>
            <w:vAlign w:val="center"/>
            <w:hideMark/>
          </w:tcPr>
          <w:p w14:paraId="5527C51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92,138</w:t>
            </w:r>
          </w:p>
        </w:tc>
        <w:tc>
          <w:tcPr>
            <w:tcW w:w="1100" w:type="dxa"/>
            <w:tcBorders>
              <w:top w:val="nil"/>
              <w:left w:val="nil"/>
              <w:bottom w:val="nil"/>
              <w:right w:val="single" w:sz="8" w:space="0" w:color="auto"/>
            </w:tcBorders>
            <w:shd w:val="clear" w:color="auto" w:fill="auto"/>
            <w:vAlign w:val="center"/>
            <w:hideMark/>
          </w:tcPr>
          <w:p w14:paraId="71C0B9C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244,722</w:t>
            </w:r>
          </w:p>
        </w:tc>
        <w:tc>
          <w:tcPr>
            <w:tcW w:w="1098" w:type="dxa"/>
            <w:tcBorders>
              <w:top w:val="nil"/>
              <w:left w:val="nil"/>
              <w:bottom w:val="nil"/>
              <w:right w:val="single" w:sz="8" w:space="0" w:color="auto"/>
            </w:tcBorders>
            <w:shd w:val="clear" w:color="auto" w:fill="auto"/>
            <w:vAlign w:val="center"/>
            <w:hideMark/>
          </w:tcPr>
          <w:p w14:paraId="09A2F60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530,286</w:t>
            </w:r>
          </w:p>
        </w:tc>
        <w:tc>
          <w:tcPr>
            <w:tcW w:w="1096" w:type="dxa"/>
            <w:tcBorders>
              <w:top w:val="nil"/>
              <w:left w:val="nil"/>
              <w:bottom w:val="nil"/>
              <w:right w:val="single" w:sz="8" w:space="0" w:color="auto"/>
            </w:tcBorders>
            <w:shd w:val="clear" w:color="auto" w:fill="auto"/>
            <w:vAlign w:val="center"/>
            <w:hideMark/>
          </w:tcPr>
          <w:p w14:paraId="4BC47CE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5,756</w:t>
            </w:r>
          </w:p>
        </w:tc>
        <w:tc>
          <w:tcPr>
            <w:tcW w:w="1101" w:type="dxa"/>
            <w:tcBorders>
              <w:top w:val="nil"/>
              <w:left w:val="nil"/>
              <w:bottom w:val="nil"/>
              <w:right w:val="single" w:sz="8" w:space="0" w:color="auto"/>
            </w:tcBorders>
            <w:shd w:val="clear" w:color="auto" w:fill="auto"/>
            <w:vAlign w:val="center"/>
            <w:hideMark/>
          </w:tcPr>
          <w:p w14:paraId="4BF94D8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11,929</w:t>
            </w:r>
          </w:p>
        </w:tc>
      </w:tr>
      <w:tr w:rsidR="00D33F7C" w:rsidRPr="00037B23" w14:paraId="38B5D6AF"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17B025C1"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Shanghai Futures Exchange</w:t>
            </w:r>
          </w:p>
        </w:tc>
        <w:tc>
          <w:tcPr>
            <w:tcW w:w="1170" w:type="dxa"/>
            <w:tcBorders>
              <w:top w:val="nil"/>
              <w:left w:val="single" w:sz="8" w:space="0" w:color="auto"/>
              <w:bottom w:val="nil"/>
              <w:right w:val="single" w:sz="8" w:space="0" w:color="auto"/>
            </w:tcBorders>
            <w:shd w:val="clear" w:color="auto" w:fill="auto"/>
            <w:vAlign w:val="center"/>
            <w:hideMark/>
          </w:tcPr>
          <w:p w14:paraId="5BA5107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218,064,267</w:t>
            </w:r>
          </w:p>
        </w:tc>
        <w:tc>
          <w:tcPr>
            <w:tcW w:w="1097" w:type="dxa"/>
            <w:tcBorders>
              <w:top w:val="nil"/>
              <w:left w:val="nil"/>
              <w:bottom w:val="nil"/>
              <w:right w:val="single" w:sz="8" w:space="0" w:color="auto"/>
            </w:tcBorders>
            <w:shd w:val="clear" w:color="auto" w:fill="auto"/>
            <w:vAlign w:val="center"/>
            <w:hideMark/>
          </w:tcPr>
          <w:p w14:paraId="667482C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3,071,585</w:t>
            </w:r>
          </w:p>
        </w:tc>
        <w:tc>
          <w:tcPr>
            <w:tcW w:w="1100" w:type="dxa"/>
            <w:tcBorders>
              <w:top w:val="nil"/>
              <w:left w:val="nil"/>
              <w:bottom w:val="nil"/>
              <w:right w:val="single" w:sz="8" w:space="0" w:color="auto"/>
            </w:tcBorders>
            <w:shd w:val="clear" w:color="auto" w:fill="auto"/>
            <w:vAlign w:val="center"/>
            <w:hideMark/>
          </w:tcPr>
          <w:p w14:paraId="1ECA3AA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5,935,373</w:t>
            </w:r>
          </w:p>
        </w:tc>
        <w:tc>
          <w:tcPr>
            <w:tcW w:w="1098" w:type="dxa"/>
            <w:tcBorders>
              <w:top w:val="nil"/>
              <w:left w:val="nil"/>
              <w:bottom w:val="nil"/>
              <w:right w:val="single" w:sz="8" w:space="0" w:color="auto"/>
            </w:tcBorders>
            <w:shd w:val="clear" w:color="auto" w:fill="auto"/>
            <w:vAlign w:val="center"/>
            <w:hideMark/>
          </w:tcPr>
          <w:p w14:paraId="4F38E62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2,336,248</w:t>
            </w:r>
          </w:p>
        </w:tc>
        <w:tc>
          <w:tcPr>
            <w:tcW w:w="1096" w:type="dxa"/>
            <w:tcBorders>
              <w:top w:val="nil"/>
              <w:left w:val="nil"/>
              <w:bottom w:val="nil"/>
              <w:right w:val="single" w:sz="8" w:space="0" w:color="auto"/>
            </w:tcBorders>
            <w:shd w:val="clear" w:color="auto" w:fill="auto"/>
            <w:vAlign w:val="center"/>
            <w:hideMark/>
          </w:tcPr>
          <w:p w14:paraId="54E1EC3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1,139</w:t>
            </w:r>
          </w:p>
        </w:tc>
        <w:tc>
          <w:tcPr>
            <w:tcW w:w="1101" w:type="dxa"/>
            <w:tcBorders>
              <w:top w:val="nil"/>
              <w:left w:val="nil"/>
              <w:bottom w:val="nil"/>
              <w:right w:val="single" w:sz="8" w:space="0" w:color="auto"/>
            </w:tcBorders>
            <w:shd w:val="clear" w:color="auto" w:fill="auto"/>
            <w:vAlign w:val="center"/>
            <w:hideMark/>
          </w:tcPr>
          <w:p w14:paraId="7A30AEF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177,711</w:t>
            </w:r>
          </w:p>
        </w:tc>
      </w:tr>
      <w:tr w:rsidR="00D33F7C" w:rsidRPr="00037B23" w14:paraId="783269B6"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32F9C90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Borsa Istanbul</w:t>
            </w:r>
          </w:p>
        </w:tc>
        <w:tc>
          <w:tcPr>
            <w:tcW w:w="1170" w:type="dxa"/>
            <w:tcBorders>
              <w:top w:val="nil"/>
              <w:left w:val="single" w:sz="8" w:space="0" w:color="auto"/>
              <w:bottom w:val="nil"/>
              <w:right w:val="single" w:sz="8" w:space="0" w:color="auto"/>
            </w:tcBorders>
            <w:shd w:val="clear" w:color="auto" w:fill="auto"/>
            <w:vAlign w:val="center"/>
            <w:hideMark/>
          </w:tcPr>
          <w:p w14:paraId="33A1AFA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7,934,230</w:t>
            </w:r>
          </w:p>
        </w:tc>
        <w:tc>
          <w:tcPr>
            <w:tcW w:w="1097" w:type="dxa"/>
            <w:tcBorders>
              <w:top w:val="nil"/>
              <w:left w:val="nil"/>
              <w:bottom w:val="nil"/>
              <w:right w:val="single" w:sz="8" w:space="0" w:color="auto"/>
            </w:tcBorders>
            <w:shd w:val="clear" w:color="auto" w:fill="auto"/>
            <w:vAlign w:val="center"/>
            <w:hideMark/>
          </w:tcPr>
          <w:p w14:paraId="5CDCE758"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2,545</w:t>
            </w:r>
          </w:p>
        </w:tc>
        <w:tc>
          <w:tcPr>
            <w:tcW w:w="1100" w:type="dxa"/>
            <w:tcBorders>
              <w:top w:val="nil"/>
              <w:left w:val="nil"/>
              <w:bottom w:val="nil"/>
              <w:right w:val="single" w:sz="8" w:space="0" w:color="auto"/>
            </w:tcBorders>
            <w:shd w:val="clear" w:color="auto" w:fill="auto"/>
            <w:vAlign w:val="center"/>
            <w:hideMark/>
          </w:tcPr>
          <w:p w14:paraId="21A40BF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1,525,115</w:t>
            </w:r>
          </w:p>
        </w:tc>
        <w:tc>
          <w:tcPr>
            <w:tcW w:w="1098" w:type="dxa"/>
            <w:tcBorders>
              <w:top w:val="nil"/>
              <w:left w:val="nil"/>
              <w:bottom w:val="nil"/>
              <w:right w:val="single" w:sz="8" w:space="0" w:color="auto"/>
            </w:tcBorders>
            <w:shd w:val="clear" w:color="auto" w:fill="auto"/>
            <w:vAlign w:val="center"/>
            <w:hideMark/>
          </w:tcPr>
          <w:p w14:paraId="2D6BB2E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6" w:type="dxa"/>
            <w:tcBorders>
              <w:top w:val="nil"/>
              <w:left w:val="nil"/>
              <w:bottom w:val="nil"/>
              <w:right w:val="single" w:sz="8" w:space="0" w:color="auto"/>
            </w:tcBorders>
            <w:shd w:val="clear" w:color="auto" w:fill="auto"/>
            <w:vAlign w:val="center"/>
            <w:hideMark/>
          </w:tcPr>
          <w:p w14:paraId="17BB669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1" w:type="dxa"/>
            <w:tcBorders>
              <w:top w:val="nil"/>
              <w:left w:val="nil"/>
              <w:bottom w:val="nil"/>
              <w:right w:val="single" w:sz="8" w:space="0" w:color="auto"/>
            </w:tcBorders>
            <w:shd w:val="clear" w:color="auto" w:fill="auto"/>
            <w:vAlign w:val="center"/>
            <w:hideMark/>
          </w:tcPr>
          <w:p w14:paraId="0B5C8A4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270B6E27"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410E5EB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Deutsche Boerse AG</w:t>
            </w:r>
          </w:p>
        </w:tc>
        <w:tc>
          <w:tcPr>
            <w:tcW w:w="1170" w:type="dxa"/>
            <w:tcBorders>
              <w:top w:val="nil"/>
              <w:left w:val="single" w:sz="8" w:space="0" w:color="auto"/>
              <w:bottom w:val="nil"/>
              <w:right w:val="single" w:sz="8" w:space="0" w:color="auto"/>
            </w:tcBorders>
            <w:shd w:val="clear" w:color="auto" w:fill="auto"/>
            <w:vAlign w:val="center"/>
            <w:hideMark/>
          </w:tcPr>
          <w:p w14:paraId="5F55104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450,961</w:t>
            </w:r>
          </w:p>
        </w:tc>
        <w:tc>
          <w:tcPr>
            <w:tcW w:w="1097" w:type="dxa"/>
            <w:tcBorders>
              <w:top w:val="nil"/>
              <w:left w:val="nil"/>
              <w:bottom w:val="nil"/>
              <w:right w:val="single" w:sz="8" w:space="0" w:color="auto"/>
            </w:tcBorders>
            <w:shd w:val="clear" w:color="auto" w:fill="auto"/>
            <w:vAlign w:val="center"/>
            <w:hideMark/>
          </w:tcPr>
          <w:p w14:paraId="5D5DBC7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35,625</w:t>
            </w:r>
          </w:p>
        </w:tc>
        <w:tc>
          <w:tcPr>
            <w:tcW w:w="1100" w:type="dxa"/>
            <w:tcBorders>
              <w:top w:val="nil"/>
              <w:left w:val="nil"/>
              <w:bottom w:val="nil"/>
              <w:right w:val="single" w:sz="8" w:space="0" w:color="auto"/>
            </w:tcBorders>
            <w:shd w:val="clear" w:color="auto" w:fill="auto"/>
            <w:vAlign w:val="center"/>
            <w:hideMark/>
          </w:tcPr>
          <w:p w14:paraId="70152C0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1,852,412</w:t>
            </w:r>
          </w:p>
        </w:tc>
        <w:tc>
          <w:tcPr>
            <w:tcW w:w="1098" w:type="dxa"/>
            <w:tcBorders>
              <w:top w:val="nil"/>
              <w:left w:val="nil"/>
              <w:bottom w:val="nil"/>
              <w:right w:val="single" w:sz="8" w:space="0" w:color="auto"/>
            </w:tcBorders>
            <w:shd w:val="clear" w:color="auto" w:fill="auto"/>
            <w:vAlign w:val="center"/>
            <w:hideMark/>
          </w:tcPr>
          <w:p w14:paraId="7746E4D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167,189</w:t>
            </w:r>
          </w:p>
        </w:tc>
        <w:tc>
          <w:tcPr>
            <w:tcW w:w="1096" w:type="dxa"/>
            <w:tcBorders>
              <w:top w:val="nil"/>
              <w:left w:val="nil"/>
              <w:bottom w:val="nil"/>
              <w:right w:val="single" w:sz="8" w:space="0" w:color="auto"/>
            </w:tcBorders>
            <w:shd w:val="clear" w:color="auto" w:fill="auto"/>
            <w:vAlign w:val="center"/>
            <w:hideMark/>
          </w:tcPr>
          <w:p w14:paraId="75C6770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1,518</w:t>
            </w:r>
          </w:p>
        </w:tc>
        <w:tc>
          <w:tcPr>
            <w:tcW w:w="1101" w:type="dxa"/>
            <w:tcBorders>
              <w:top w:val="nil"/>
              <w:left w:val="nil"/>
              <w:bottom w:val="nil"/>
              <w:right w:val="single" w:sz="8" w:space="0" w:color="auto"/>
            </w:tcBorders>
            <w:shd w:val="clear" w:color="auto" w:fill="auto"/>
            <w:vAlign w:val="center"/>
            <w:hideMark/>
          </w:tcPr>
          <w:p w14:paraId="59D04C4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339,278</w:t>
            </w:r>
          </w:p>
        </w:tc>
      </w:tr>
      <w:tr w:rsidR="00D33F7C" w:rsidRPr="00037B23" w14:paraId="02B3622B"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7C8D9BA4"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Euronext</w:t>
            </w:r>
          </w:p>
        </w:tc>
        <w:tc>
          <w:tcPr>
            <w:tcW w:w="1170" w:type="dxa"/>
            <w:tcBorders>
              <w:top w:val="nil"/>
              <w:left w:val="single" w:sz="8" w:space="0" w:color="auto"/>
              <w:bottom w:val="nil"/>
              <w:right w:val="single" w:sz="8" w:space="0" w:color="auto"/>
            </w:tcBorders>
            <w:shd w:val="clear" w:color="auto" w:fill="auto"/>
            <w:vAlign w:val="center"/>
            <w:hideMark/>
          </w:tcPr>
          <w:p w14:paraId="5F98DBB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1,321,813</w:t>
            </w:r>
          </w:p>
        </w:tc>
        <w:tc>
          <w:tcPr>
            <w:tcW w:w="1097" w:type="dxa"/>
            <w:tcBorders>
              <w:top w:val="nil"/>
              <w:left w:val="nil"/>
              <w:bottom w:val="nil"/>
              <w:right w:val="single" w:sz="8" w:space="0" w:color="auto"/>
            </w:tcBorders>
            <w:shd w:val="clear" w:color="auto" w:fill="auto"/>
            <w:vAlign w:val="center"/>
            <w:hideMark/>
          </w:tcPr>
          <w:p w14:paraId="0632B09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20,895</w:t>
            </w:r>
          </w:p>
        </w:tc>
        <w:tc>
          <w:tcPr>
            <w:tcW w:w="1100" w:type="dxa"/>
            <w:tcBorders>
              <w:top w:val="nil"/>
              <w:left w:val="nil"/>
              <w:bottom w:val="nil"/>
              <w:right w:val="single" w:sz="8" w:space="0" w:color="auto"/>
            </w:tcBorders>
            <w:shd w:val="clear" w:color="auto" w:fill="auto"/>
            <w:vAlign w:val="center"/>
            <w:hideMark/>
          </w:tcPr>
          <w:p w14:paraId="61AC420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569,035</w:t>
            </w:r>
          </w:p>
        </w:tc>
        <w:tc>
          <w:tcPr>
            <w:tcW w:w="1098" w:type="dxa"/>
            <w:tcBorders>
              <w:top w:val="nil"/>
              <w:left w:val="nil"/>
              <w:bottom w:val="nil"/>
              <w:right w:val="single" w:sz="8" w:space="0" w:color="auto"/>
            </w:tcBorders>
            <w:shd w:val="clear" w:color="auto" w:fill="auto"/>
            <w:vAlign w:val="center"/>
            <w:hideMark/>
          </w:tcPr>
          <w:p w14:paraId="286EE05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158,102</w:t>
            </w:r>
          </w:p>
        </w:tc>
        <w:tc>
          <w:tcPr>
            <w:tcW w:w="1096" w:type="dxa"/>
            <w:tcBorders>
              <w:top w:val="nil"/>
              <w:left w:val="nil"/>
              <w:bottom w:val="nil"/>
              <w:right w:val="single" w:sz="8" w:space="0" w:color="auto"/>
            </w:tcBorders>
            <w:shd w:val="clear" w:color="auto" w:fill="auto"/>
            <w:vAlign w:val="center"/>
            <w:hideMark/>
          </w:tcPr>
          <w:p w14:paraId="40A1277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2,522</w:t>
            </w:r>
          </w:p>
        </w:tc>
        <w:tc>
          <w:tcPr>
            <w:tcW w:w="1101" w:type="dxa"/>
            <w:tcBorders>
              <w:top w:val="nil"/>
              <w:left w:val="nil"/>
              <w:bottom w:val="nil"/>
              <w:right w:val="single" w:sz="8" w:space="0" w:color="auto"/>
            </w:tcBorders>
            <w:shd w:val="clear" w:color="auto" w:fill="auto"/>
            <w:vAlign w:val="center"/>
            <w:hideMark/>
          </w:tcPr>
          <w:p w14:paraId="01750E5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262,779</w:t>
            </w:r>
          </w:p>
        </w:tc>
      </w:tr>
      <w:tr w:rsidR="00D33F7C" w:rsidRPr="00037B23" w14:paraId="0CBC9722"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36C9C132"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LSE Group London Stock Exchange</w:t>
            </w:r>
          </w:p>
        </w:tc>
        <w:tc>
          <w:tcPr>
            <w:tcW w:w="1170" w:type="dxa"/>
            <w:tcBorders>
              <w:top w:val="nil"/>
              <w:left w:val="single" w:sz="8" w:space="0" w:color="auto"/>
              <w:bottom w:val="nil"/>
              <w:right w:val="single" w:sz="8" w:space="0" w:color="auto"/>
            </w:tcBorders>
            <w:shd w:val="clear" w:color="auto" w:fill="auto"/>
            <w:vAlign w:val="center"/>
            <w:hideMark/>
          </w:tcPr>
          <w:p w14:paraId="75057BA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7" w:type="dxa"/>
            <w:tcBorders>
              <w:top w:val="nil"/>
              <w:left w:val="nil"/>
              <w:bottom w:val="nil"/>
              <w:right w:val="single" w:sz="8" w:space="0" w:color="auto"/>
            </w:tcBorders>
            <w:shd w:val="clear" w:color="auto" w:fill="auto"/>
            <w:vAlign w:val="center"/>
            <w:hideMark/>
          </w:tcPr>
          <w:p w14:paraId="6E64C69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0" w:type="dxa"/>
            <w:tcBorders>
              <w:top w:val="nil"/>
              <w:left w:val="nil"/>
              <w:bottom w:val="nil"/>
              <w:right w:val="single" w:sz="8" w:space="0" w:color="auto"/>
            </w:tcBorders>
            <w:shd w:val="clear" w:color="auto" w:fill="auto"/>
            <w:vAlign w:val="center"/>
            <w:hideMark/>
          </w:tcPr>
          <w:p w14:paraId="2B24BAC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8" w:type="dxa"/>
            <w:tcBorders>
              <w:top w:val="nil"/>
              <w:left w:val="nil"/>
              <w:bottom w:val="nil"/>
              <w:right w:val="single" w:sz="8" w:space="0" w:color="auto"/>
            </w:tcBorders>
            <w:shd w:val="clear" w:color="auto" w:fill="auto"/>
            <w:vAlign w:val="center"/>
            <w:hideMark/>
          </w:tcPr>
          <w:p w14:paraId="3B1DFEE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6" w:type="dxa"/>
            <w:tcBorders>
              <w:top w:val="nil"/>
              <w:left w:val="nil"/>
              <w:bottom w:val="nil"/>
              <w:right w:val="single" w:sz="8" w:space="0" w:color="auto"/>
            </w:tcBorders>
            <w:shd w:val="clear" w:color="auto" w:fill="auto"/>
            <w:vAlign w:val="center"/>
            <w:hideMark/>
          </w:tcPr>
          <w:p w14:paraId="08C85D2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1" w:type="dxa"/>
            <w:tcBorders>
              <w:top w:val="nil"/>
              <w:left w:val="nil"/>
              <w:bottom w:val="nil"/>
              <w:right w:val="single" w:sz="8" w:space="0" w:color="auto"/>
            </w:tcBorders>
            <w:shd w:val="clear" w:color="auto" w:fill="auto"/>
            <w:vAlign w:val="center"/>
            <w:hideMark/>
          </w:tcPr>
          <w:p w14:paraId="09AB53DA"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015DF3DD"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39FEAB06"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Moscow Exchange</w:t>
            </w:r>
          </w:p>
        </w:tc>
        <w:tc>
          <w:tcPr>
            <w:tcW w:w="1170" w:type="dxa"/>
            <w:tcBorders>
              <w:top w:val="nil"/>
              <w:left w:val="single" w:sz="8" w:space="0" w:color="auto"/>
              <w:bottom w:val="nil"/>
              <w:right w:val="single" w:sz="8" w:space="0" w:color="auto"/>
            </w:tcBorders>
            <w:shd w:val="clear" w:color="auto" w:fill="auto"/>
            <w:vAlign w:val="center"/>
            <w:hideMark/>
          </w:tcPr>
          <w:p w14:paraId="79F3DD7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52,604,601</w:t>
            </w:r>
          </w:p>
        </w:tc>
        <w:tc>
          <w:tcPr>
            <w:tcW w:w="1097" w:type="dxa"/>
            <w:tcBorders>
              <w:top w:val="nil"/>
              <w:left w:val="nil"/>
              <w:bottom w:val="nil"/>
              <w:right w:val="single" w:sz="8" w:space="0" w:color="auto"/>
            </w:tcBorders>
            <w:shd w:val="clear" w:color="auto" w:fill="auto"/>
            <w:vAlign w:val="center"/>
            <w:hideMark/>
          </w:tcPr>
          <w:p w14:paraId="1B833735"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38,243</w:t>
            </w:r>
          </w:p>
        </w:tc>
        <w:tc>
          <w:tcPr>
            <w:tcW w:w="1100" w:type="dxa"/>
            <w:tcBorders>
              <w:top w:val="nil"/>
              <w:left w:val="nil"/>
              <w:bottom w:val="nil"/>
              <w:right w:val="single" w:sz="8" w:space="0" w:color="auto"/>
            </w:tcBorders>
            <w:shd w:val="clear" w:color="auto" w:fill="auto"/>
            <w:vAlign w:val="center"/>
            <w:hideMark/>
          </w:tcPr>
          <w:p w14:paraId="13E9A92C"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1,923,192</w:t>
            </w:r>
          </w:p>
        </w:tc>
        <w:tc>
          <w:tcPr>
            <w:tcW w:w="1098" w:type="dxa"/>
            <w:tcBorders>
              <w:top w:val="nil"/>
              <w:left w:val="nil"/>
              <w:bottom w:val="nil"/>
              <w:right w:val="single" w:sz="8" w:space="0" w:color="auto"/>
            </w:tcBorders>
            <w:shd w:val="clear" w:color="auto" w:fill="auto"/>
            <w:vAlign w:val="center"/>
            <w:hideMark/>
          </w:tcPr>
          <w:p w14:paraId="060BCA50"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416,649</w:t>
            </w:r>
          </w:p>
        </w:tc>
        <w:tc>
          <w:tcPr>
            <w:tcW w:w="1096" w:type="dxa"/>
            <w:tcBorders>
              <w:top w:val="nil"/>
              <w:left w:val="nil"/>
              <w:bottom w:val="nil"/>
              <w:right w:val="single" w:sz="8" w:space="0" w:color="auto"/>
            </w:tcBorders>
            <w:shd w:val="clear" w:color="auto" w:fill="auto"/>
            <w:vAlign w:val="center"/>
            <w:hideMark/>
          </w:tcPr>
          <w:p w14:paraId="0D5D23E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283</w:t>
            </w:r>
          </w:p>
        </w:tc>
        <w:tc>
          <w:tcPr>
            <w:tcW w:w="1101" w:type="dxa"/>
            <w:tcBorders>
              <w:top w:val="nil"/>
              <w:left w:val="nil"/>
              <w:bottom w:val="nil"/>
              <w:right w:val="single" w:sz="8" w:space="0" w:color="auto"/>
            </w:tcBorders>
            <w:shd w:val="clear" w:color="auto" w:fill="auto"/>
            <w:vAlign w:val="center"/>
            <w:hideMark/>
          </w:tcPr>
          <w:p w14:paraId="4937EBC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82,834</w:t>
            </w:r>
          </w:p>
        </w:tc>
      </w:tr>
      <w:tr w:rsidR="00D33F7C" w:rsidRPr="00037B23" w14:paraId="09D8D31B"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0C611757"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Dubai Gold and Commodities Exchange</w:t>
            </w:r>
          </w:p>
        </w:tc>
        <w:tc>
          <w:tcPr>
            <w:tcW w:w="1170" w:type="dxa"/>
            <w:tcBorders>
              <w:top w:val="nil"/>
              <w:left w:val="single" w:sz="8" w:space="0" w:color="auto"/>
              <w:bottom w:val="nil"/>
              <w:right w:val="single" w:sz="8" w:space="0" w:color="auto"/>
            </w:tcBorders>
            <w:shd w:val="clear" w:color="auto" w:fill="auto"/>
            <w:vAlign w:val="center"/>
            <w:hideMark/>
          </w:tcPr>
          <w:p w14:paraId="03C924F9"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8,996</w:t>
            </w:r>
          </w:p>
        </w:tc>
        <w:tc>
          <w:tcPr>
            <w:tcW w:w="1097" w:type="dxa"/>
            <w:tcBorders>
              <w:top w:val="nil"/>
              <w:left w:val="nil"/>
              <w:bottom w:val="nil"/>
              <w:right w:val="single" w:sz="8" w:space="0" w:color="auto"/>
            </w:tcBorders>
            <w:shd w:val="clear" w:color="auto" w:fill="auto"/>
            <w:vAlign w:val="center"/>
            <w:hideMark/>
          </w:tcPr>
          <w:p w14:paraId="569C248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144</w:t>
            </w:r>
          </w:p>
        </w:tc>
        <w:tc>
          <w:tcPr>
            <w:tcW w:w="1100" w:type="dxa"/>
            <w:tcBorders>
              <w:top w:val="nil"/>
              <w:left w:val="nil"/>
              <w:bottom w:val="nil"/>
              <w:right w:val="single" w:sz="8" w:space="0" w:color="auto"/>
            </w:tcBorders>
            <w:shd w:val="clear" w:color="auto" w:fill="auto"/>
            <w:vAlign w:val="center"/>
            <w:hideMark/>
          </w:tcPr>
          <w:p w14:paraId="3F3357B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978</w:t>
            </w:r>
          </w:p>
        </w:tc>
        <w:tc>
          <w:tcPr>
            <w:tcW w:w="1098" w:type="dxa"/>
            <w:tcBorders>
              <w:top w:val="nil"/>
              <w:left w:val="nil"/>
              <w:bottom w:val="nil"/>
              <w:right w:val="single" w:sz="8" w:space="0" w:color="auto"/>
            </w:tcBorders>
            <w:shd w:val="clear" w:color="auto" w:fill="auto"/>
            <w:vAlign w:val="center"/>
            <w:hideMark/>
          </w:tcPr>
          <w:p w14:paraId="2FB87D2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6" w:type="dxa"/>
            <w:tcBorders>
              <w:top w:val="nil"/>
              <w:left w:val="nil"/>
              <w:bottom w:val="nil"/>
              <w:right w:val="single" w:sz="8" w:space="0" w:color="auto"/>
            </w:tcBorders>
            <w:shd w:val="clear" w:color="auto" w:fill="auto"/>
            <w:vAlign w:val="center"/>
            <w:hideMark/>
          </w:tcPr>
          <w:p w14:paraId="53A5A55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1" w:type="dxa"/>
            <w:tcBorders>
              <w:top w:val="nil"/>
              <w:left w:val="nil"/>
              <w:bottom w:val="nil"/>
              <w:right w:val="single" w:sz="8" w:space="0" w:color="auto"/>
            </w:tcBorders>
            <w:shd w:val="clear" w:color="auto" w:fill="auto"/>
            <w:vAlign w:val="center"/>
            <w:hideMark/>
          </w:tcPr>
          <w:p w14:paraId="14C5F871"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65B248E2" w14:textId="77777777" w:rsidTr="00E213CE">
        <w:trPr>
          <w:trHeight w:val="209"/>
        </w:trPr>
        <w:tc>
          <w:tcPr>
            <w:tcW w:w="3498" w:type="dxa"/>
            <w:tcBorders>
              <w:top w:val="nil"/>
              <w:left w:val="single" w:sz="4" w:space="0" w:color="auto"/>
              <w:bottom w:val="nil"/>
              <w:right w:val="nil"/>
            </w:tcBorders>
            <w:shd w:val="clear" w:color="000000" w:fill="B4C6E7"/>
            <w:vAlign w:val="center"/>
            <w:hideMark/>
          </w:tcPr>
          <w:p w14:paraId="5E27744B"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London Metal Exchange</w:t>
            </w:r>
          </w:p>
        </w:tc>
        <w:tc>
          <w:tcPr>
            <w:tcW w:w="1170" w:type="dxa"/>
            <w:tcBorders>
              <w:top w:val="nil"/>
              <w:left w:val="single" w:sz="8" w:space="0" w:color="auto"/>
              <w:bottom w:val="nil"/>
              <w:right w:val="single" w:sz="8" w:space="0" w:color="auto"/>
            </w:tcBorders>
            <w:shd w:val="clear" w:color="auto" w:fill="auto"/>
            <w:vAlign w:val="center"/>
            <w:hideMark/>
          </w:tcPr>
          <w:p w14:paraId="2AA5580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11,474,237</w:t>
            </w:r>
          </w:p>
        </w:tc>
        <w:tc>
          <w:tcPr>
            <w:tcW w:w="1097" w:type="dxa"/>
            <w:tcBorders>
              <w:top w:val="nil"/>
              <w:left w:val="nil"/>
              <w:bottom w:val="nil"/>
              <w:right w:val="single" w:sz="8" w:space="0" w:color="auto"/>
            </w:tcBorders>
            <w:shd w:val="clear" w:color="auto" w:fill="auto"/>
            <w:vAlign w:val="center"/>
            <w:hideMark/>
          </w:tcPr>
          <w:p w14:paraId="242E1ABF"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1,796,216</w:t>
            </w:r>
          </w:p>
        </w:tc>
        <w:tc>
          <w:tcPr>
            <w:tcW w:w="1100" w:type="dxa"/>
            <w:tcBorders>
              <w:top w:val="nil"/>
              <w:left w:val="nil"/>
              <w:bottom w:val="nil"/>
              <w:right w:val="single" w:sz="8" w:space="0" w:color="auto"/>
            </w:tcBorders>
            <w:shd w:val="clear" w:color="auto" w:fill="auto"/>
            <w:vAlign w:val="center"/>
            <w:hideMark/>
          </w:tcPr>
          <w:p w14:paraId="17C4D8F2"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1,928,520</w:t>
            </w:r>
          </w:p>
        </w:tc>
        <w:tc>
          <w:tcPr>
            <w:tcW w:w="1098" w:type="dxa"/>
            <w:tcBorders>
              <w:top w:val="nil"/>
              <w:left w:val="nil"/>
              <w:bottom w:val="nil"/>
              <w:right w:val="single" w:sz="8" w:space="0" w:color="auto"/>
            </w:tcBorders>
            <w:shd w:val="clear" w:color="auto" w:fill="auto"/>
            <w:vAlign w:val="center"/>
            <w:hideMark/>
          </w:tcPr>
          <w:p w14:paraId="75C3814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692,526</w:t>
            </w:r>
          </w:p>
        </w:tc>
        <w:tc>
          <w:tcPr>
            <w:tcW w:w="1096" w:type="dxa"/>
            <w:tcBorders>
              <w:top w:val="nil"/>
              <w:left w:val="nil"/>
              <w:bottom w:val="nil"/>
              <w:right w:val="single" w:sz="8" w:space="0" w:color="auto"/>
            </w:tcBorders>
            <w:shd w:val="clear" w:color="auto" w:fill="auto"/>
            <w:vAlign w:val="center"/>
            <w:hideMark/>
          </w:tcPr>
          <w:p w14:paraId="68442217"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108,395</w:t>
            </w:r>
          </w:p>
        </w:tc>
        <w:tc>
          <w:tcPr>
            <w:tcW w:w="1101" w:type="dxa"/>
            <w:tcBorders>
              <w:top w:val="nil"/>
              <w:left w:val="nil"/>
              <w:bottom w:val="nil"/>
              <w:right w:val="single" w:sz="8" w:space="0" w:color="auto"/>
            </w:tcBorders>
            <w:shd w:val="clear" w:color="auto" w:fill="auto"/>
            <w:vAlign w:val="center"/>
            <w:hideMark/>
          </w:tcPr>
          <w:p w14:paraId="18DCB25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535,251</w:t>
            </w:r>
          </w:p>
        </w:tc>
      </w:tr>
      <w:tr w:rsidR="00D33F7C" w:rsidRPr="00037B23" w14:paraId="714C4FD8" w14:textId="77777777" w:rsidTr="00E213CE">
        <w:trPr>
          <w:trHeight w:val="366"/>
        </w:trPr>
        <w:tc>
          <w:tcPr>
            <w:tcW w:w="3498" w:type="dxa"/>
            <w:tcBorders>
              <w:top w:val="nil"/>
              <w:left w:val="single" w:sz="4" w:space="0" w:color="auto"/>
              <w:bottom w:val="nil"/>
              <w:right w:val="nil"/>
            </w:tcBorders>
            <w:shd w:val="clear" w:color="000000" w:fill="B4C6E7"/>
            <w:vAlign w:val="center"/>
            <w:hideMark/>
          </w:tcPr>
          <w:p w14:paraId="03A2F66C" w14:textId="77777777" w:rsidR="00D33F7C" w:rsidRPr="00037B23" w:rsidRDefault="00D33F7C" w:rsidP="00E213CE">
            <w:pPr>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The Saint-Petersburg International Mercantile Exchange</w:t>
            </w:r>
          </w:p>
        </w:tc>
        <w:tc>
          <w:tcPr>
            <w:tcW w:w="1170" w:type="dxa"/>
            <w:tcBorders>
              <w:top w:val="nil"/>
              <w:left w:val="single" w:sz="8" w:space="0" w:color="auto"/>
              <w:bottom w:val="nil"/>
              <w:right w:val="single" w:sz="8" w:space="0" w:color="auto"/>
            </w:tcBorders>
            <w:shd w:val="clear" w:color="auto" w:fill="auto"/>
            <w:vAlign w:val="center"/>
            <w:hideMark/>
          </w:tcPr>
          <w:p w14:paraId="1DD44B6D"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5,532</w:t>
            </w:r>
          </w:p>
        </w:tc>
        <w:tc>
          <w:tcPr>
            <w:tcW w:w="1097" w:type="dxa"/>
            <w:tcBorders>
              <w:top w:val="nil"/>
              <w:left w:val="nil"/>
              <w:bottom w:val="nil"/>
              <w:right w:val="single" w:sz="8" w:space="0" w:color="auto"/>
            </w:tcBorders>
            <w:shd w:val="clear" w:color="auto" w:fill="auto"/>
            <w:vAlign w:val="center"/>
            <w:hideMark/>
          </w:tcPr>
          <w:p w14:paraId="745E654B"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42</w:t>
            </w:r>
          </w:p>
        </w:tc>
        <w:tc>
          <w:tcPr>
            <w:tcW w:w="1100" w:type="dxa"/>
            <w:tcBorders>
              <w:top w:val="nil"/>
              <w:left w:val="nil"/>
              <w:bottom w:val="nil"/>
              <w:right w:val="single" w:sz="8" w:space="0" w:color="auto"/>
            </w:tcBorders>
            <w:shd w:val="clear" w:color="auto" w:fill="auto"/>
            <w:vAlign w:val="center"/>
            <w:hideMark/>
          </w:tcPr>
          <w:p w14:paraId="6460E023"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 xml:space="preserve"> 3,559</w:t>
            </w:r>
          </w:p>
        </w:tc>
        <w:tc>
          <w:tcPr>
            <w:tcW w:w="1098" w:type="dxa"/>
            <w:tcBorders>
              <w:top w:val="nil"/>
              <w:left w:val="nil"/>
              <w:bottom w:val="nil"/>
              <w:right w:val="single" w:sz="8" w:space="0" w:color="auto"/>
            </w:tcBorders>
            <w:shd w:val="clear" w:color="auto" w:fill="auto"/>
            <w:vAlign w:val="center"/>
            <w:hideMark/>
          </w:tcPr>
          <w:p w14:paraId="73837C26"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096" w:type="dxa"/>
            <w:tcBorders>
              <w:top w:val="nil"/>
              <w:left w:val="nil"/>
              <w:bottom w:val="nil"/>
              <w:right w:val="single" w:sz="8" w:space="0" w:color="auto"/>
            </w:tcBorders>
            <w:shd w:val="clear" w:color="auto" w:fill="auto"/>
            <w:vAlign w:val="center"/>
            <w:hideMark/>
          </w:tcPr>
          <w:p w14:paraId="163EAB0E"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c>
          <w:tcPr>
            <w:tcW w:w="1101" w:type="dxa"/>
            <w:tcBorders>
              <w:top w:val="nil"/>
              <w:left w:val="nil"/>
              <w:bottom w:val="nil"/>
              <w:right w:val="single" w:sz="8" w:space="0" w:color="auto"/>
            </w:tcBorders>
            <w:shd w:val="clear" w:color="auto" w:fill="auto"/>
            <w:vAlign w:val="center"/>
            <w:hideMark/>
          </w:tcPr>
          <w:p w14:paraId="7D34E544" w14:textId="77777777" w:rsidR="00D33F7C" w:rsidRPr="00037B23" w:rsidRDefault="00D33F7C" w:rsidP="00E213CE">
            <w:pPr>
              <w:jc w:val="right"/>
              <w:rPr>
                <w:rFonts w:ascii="Garamond" w:eastAsia="Times New Roman" w:hAnsi="Garamond" w:cs="Calibri"/>
                <w:color w:val="000000"/>
                <w:sz w:val="20"/>
                <w:szCs w:val="20"/>
                <w:lang w:val="en-IN" w:eastAsia="en-IN" w:bidi="hi-IN"/>
              </w:rPr>
            </w:pPr>
            <w:r w:rsidRPr="00037B23">
              <w:rPr>
                <w:rFonts w:ascii="Garamond" w:eastAsia="Times New Roman" w:hAnsi="Garamond" w:cs="Calibri"/>
                <w:color w:val="000000"/>
                <w:sz w:val="20"/>
                <w:szCs w:val="20"/>
                <w:lang w:val="en-IN" w:eastAsia="en-IN" w:bidi="hi-IN"/>
              </w:rPr>
              <w:t>NA</w:t>
            </w:r>
          </w:p>
        </w:tc>
      </w:tr>
      <w:tr w:rsidR="00D33F7C" w:rsidRPr="00037B23" w14:paraId="72598ACA" w14:textId="77777777" w:rsidTr="00E213CE">
        <w:trPr>
          <w:trHeight w:val="220"/>
        </w:trPr>
        <w:tc>
          <w:tcPr>
            <w:tcW w:w="3498" w:type="dxa"/>
            <w:tcBorders>
              <w:top w:val="single" w:sz="8" w:space="0" w:color="auto"/>
              <w:left w:val="single" w:sz="8" w:space="0" w:color="auto"/>
              <w:bottom w:val="single" w:sz="8" w:space="0" w:color="auto"/>
              <w:right w:val="nil"/>
            </w:tcBorders>
            <w:shd w:val="clear" w:color="000000" w:fill="D9E1F2"/>
            <w:vAlign w:val="center"/>
            <w:hideMark/>
          </w:tcPr>
          <w:p w14:paraId="17A01246" w14:textId="77777777" w:rsidR="00D33F7C" w:rsidRPr="00037B23" w:rsidRDefault="00D33F7C" w:rsidP="00E213CE">
            <w:pPr>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Grand Total</w:t>
            </w:r>
          </w:p>
        </w:tc>
        <w:tc>
          <w:tcPr>
            <w:tcW w:w="1170" w:type="dxa"/>
            <w:tcBorders>
              <w:top w:val="single" w:sz="8" w:space="0" w:color="auto"/>
              <w:left w:val="nil"/>
              <w:bottom w:val="single" w:sz="8" w:space="0" w:color="auto"/>
              <w:right w:val="nil"/>
            </w:tcBorders>
            <w:shd w:val="clear" w:color="000000" w:fill="D9E1F2"/>
            <w:vAlign w:val="bottom"/>
            <w:hideMark/>
          </w:tcPr>
          <w:p w14:paraId="72E9C432"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774,853,490</w:t>
            </w:r>
          </w:p>
        </w:tc>
        <w:tc>
          <w:tcPr>
            <w:tcW w:w="1097" w:type="dxa"/>
            <w:tcBorders>
              <w:top w:val="single" w:sz="8" w:space="0" w:color="auto"/>
              <w:left w:val="nil"/>
              <w:bottom w:val="single" w:sz="8" w:space="0" w:color="auto"/>
              <w:right w:val="nil"/>
            </w:tcBorders>
            <w:shd w:val="clear" w:color="000000" w:fill="D9E1F2"/>
            <w:vAlign w:val="bottom"/>
            <w:hideMark/>
          </w:tcPr>
          <w:p w14:paraId="0D1897EC"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13,171,262</w:t>
            </w:r>
          </w:p>
        </w:tc>
        <w:tc>
          <w:tcPr>
            <w:tcW w:w="1100" w:type="dxa"/>
            <w:tcBorders>
              <w:top w:val="single" w:sz="8" w:space="0" w:color="auto"/>
              <w:left w:val="nil"/>
              <w:bottom w:val="single" w:sz="8" w:space="0" w:color="auto"/>
              <w:right w:val="nil"/>
            </w:tcBorders>
            <w:shd w:val="clear" w:color="000000" w:fill="D9E1F2"/>
            <w:vAlign w:val="bottom"/>
            <w:hideMark/>
          </w:tcPr>
          <w:p w14:paraId="0388DFA0"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47,167,875</w:t>
            </w:r>
          </w:p>
        </w:tc>
        <w:tc>
          <w:tcPr>
            <w:tcW w:w="1098" w:type="dxa"/>
            <w:tcBorders>
              <w:top w:val="single" w:sz="8" w:space="0" w:color="auto"/>
              <w:left w:val="nil"/>
              <w:bottom w:val="single" w:sz="8" w:space="0" w:color="auto"/>
              <w:right w:val="nil"/>
            </w:tcBorders>
            <w:shd w:val="clear" w:color="000000" w:fill="D9E1F2"/>
            <w:vAlign w:val="bottom"/>
            <w:hideMark/>
          </w:tcPr>
          <w:p w14:paraId="34F7BB04"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29,091,913</w:t>
            </w:r>
          </w:p>
        </w:tc>
        <w:tc>
          <w:tcPr>
            <w:tcW w:w="1096" w:type="dxa"/>
            <w:tcBorders>
              <w:top w:val="single" w:sz="8" w:space="0" w:color="auto"/>
              <w:left w:val="nil"/>
              <w:bottom w:val="single" w:sz="8" w:space="0" w:color="auto"/>
              <w:right w:val="nil"/>
            </w:tcBorders>
            <w:shd w:val="clear" w:color="000000" w:fill="D9E1F2"/>
            <w:vAlign w:val="bottom"/>
            <w:hideMark/>
          </w:tcPr>
          <w:p w14:paraId="1ECE63A5"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825,811</w:t>
            </w:r>
          </w:p>
        </w:tc>
        <w:tc>
          <w:tcPr>
            <w:tcW w:w="1101" w:type="dxa"/>
            <w:tcBorders>
              <w:top w:val="single" w:sz="8" w:space="0" w:color="auto"/>
              <w:left w:val="nil"/>
              <w:bottom w:val="single" w:sz="8" w:space="0" w:color="auto"/>
              <w:right w:val="single" w:sz="8" w:space="0" w:color="auto"/>
            </w:tcBorders>
            <w:shd w:val="clear" w:color="000000" w:fill="D9E1F2"/>
            <w:vAlign w:val="bottom"/>
            <w:hideMark/>
          </w:tcPr>
          <w:p w14:paraId="6ED16696" w14:textId="77777777" w:rsidR="00D33F7C" w:rsidRPr="00037B23" w:rsidRDefault="00D33F7C" w:rsidP="00E213CE">
            <w:pPr>
              <w:jc w:val="right"/>
              <w:rPr>
                <w:rFonts w:ascii="Garamond" w:eastAsia="Times New Roman" w:hAnsi="Garamond" w:cs="Calibri"/>
                <w:b/>
                <w:bCs/>
                <w:color w:val="000000"/>
                <w:sz w:val="20"/>
                <w:szCs w:val="20"/>
                <w:lang w:val="en-IN" w:eastAsia="en-IN" w:bidi="hi-IN"/>
              </w:rPr>
            </w:pPr>
            <w:r w:rsidRPr="00037B23">
              <w:rPr>
                <w:rFonts w:ascii="Garamond" w:eastAsia="Times New Roman" w:hAnsi="Garamond" w:cs="Calibri"/>
                <w:b/>
                <w:bCs/>
                <w:color w:val="000000"/>
                <w:sz w:val="20"/>
                <w:szCs w:val="20"/>
                <w:lang w:val="en-IN" w:eastAsia="en-IN" w:bidi="hi-IN"/>
              </w:rPr>
              <w:t xml:space="preserve"> 15,683,202</w:t>
            </w:r>
          </w:p>
        </w:tc>
      </w:tr>
    </w:tbl>
    <w:p w14:paraId="702E62C9" w14:textId="77777777" w:rsidR="00D33F7C" w:rsidRPr="001D2656" w:rsidRDefault="00D33F7C" w:rsidP="00D33F7C">
      <w:pPr>
        <w:spacing w:line="23" w:lineRule="atLeast"/>
        <w:rPr>
          <w:rFonts w:ascii="Garamond" w:hAnsi="Garamond"/>
          <w:bCs/>
          <w:sz w:val="18"/>
          <w:szCs w:val="18"/>
        </w:rPr>
      </w:pPr>
      <w:r w:rsidRPr="001D2656">
        <w:rPr>
          <w:rFonts w:ascii="Garamond" w:hAnsi="Garamond"/>
          <w:bCs/>
          <w:sz w:val="18"/>
          <w:szCs w:val="18"/>
        </w:rPr>
        <w:t xml:space="preserve"> NA: Not Available</w:t>
      </w:r>
    </w:p>
    <w:p w14:paraId="3E90BF84" w14:textId="77777777" w:rsidR="00D33F7C" w:rsidRPr="001D2656" w:rsidRDefault="00D33F7C" w:rsidP="00D33F7C">
      <w:pPr>
        <w:spacing w:line="23" w:lineRule="atLeast"/>
        <w:jc w:val="both"/>
        <w:outlineLvl w:val="0"/>
        <w:rPr>
          <w:rFonts w:ascii="Garamond" w:hAnsi="Garamond"/>
          <w:bCs/>
          <w:sz w:val="18"/>
          <w:szCs w:val="18"/>
        </w:rPr>
      </w:pPr>
      <w:r w:rsidRPr="001D2656">
        <w:rPr>
          <w:rFonts w:ascii="Garamond" w:hAnsi="Garamond"/>
          <w:bCs/>
          <w:sz w:val="18"/>
          <w:szCs w:val="18"/>
        </w:rPr>
        <w:t>Source: World Federation of Exchanges</w:t>
      </w:r>
    </w:p>
    <w:p w14:paraId="044B0413" w14:textId="77777777" w:rsidR="007C2E4F" w:rsidRDefault="007C2E4F" w:rsidP="007C2E4F">
      <w:pPr>
        <w:rPr>
          <w:rFonts w:ascii="Times New Roman" w:hAnsi="Times New Roman"/>
          <w:bCs/>
          <w:sz w:val="18"/>
          <w:szCs w:val="18"/>
        </w:rPr>
      </w:pPr>
    </w:p>
    <w:p w14:paraId="4CE7F477" w14:textId="77777777" w:rsidR="007C2E4F" w:rsidRDefault="007C2E4F" w:rsidP="007C2E4F">
      <w:pPr>
        <w:rPr>
          <w:rFonts w:ascii="Times New Roman" w:hAnsi="Times New Roman"/>
          <w:bCs/>
          <w:sz w:val="18"/>
          <w:szCs w:val="18"/>
        </w:rPr>
      </w:pPr>
    </w:p>
    <w:p w14:paraId="799A4F78" w14:textId="77777777" w:rsidR="007C2E4F" w:rsidRDefault="007C2E4F" w:rsidP="007C2E4F">
      <w:pPr>
        <w:rPr>
          <w:rFonts w:ascii="Times New Roman" w:hAnsi="Times New Roman"/>
          <w:bCs/>
          <w:sz w:val="18"/>
          <w:szCs w:val="18"/>
        </w:rPr>
      </w:pPr>
    </w:p>
    <w:p w14:paraId="2FE7B16B" w14:textId="77777777" w:rsidR="007C2E4F" w:rsidRDefault="007C2E4F" w:rsidP="007C2E4F">
      <w:pPr>
        <w:rPr>
          <w:rFonts w:ascii="Times New Roman" w:hAnsi="Times New Roman"/>
          <w:bCs/>
          <w:sz w:val="18"/>
          <w:szCs w:val="18"/>
        </w:rPr>
      </w:pPr>
    </w:p>
    <w:p w14:paraId="668E3567" w14:textId="77777777" w:rsidR="007C2E4F" w:rsidRDefault="007C2E4F" w:rsidP="007C2E4F">
      <w:pPr>
        <w:rPr>
          <w:rFonts w:ascii="Times New Roman" w:hAnsi="Times New Roman"/>
          <w:bCs/>
          <w:sz w:val="18"/>
          <w:szCs w:val="18"/>
        </w:rPr>
      </w:pPr>
    </w:p>
    <w:p w14:paraId="78A3A0F5" w14:textId="77777777" w:rsidR="007C2E4F" w:rsidRDefault="007C2E4F" w:rsidP="007C2E4F">
      <w:pPr>
        <w:rPr>
          <w:rFonts w:ascii="Times New Roman" w:hAnsi="Times New Roman"/>
          <w:bCs/>
          <w:sz w:val="18"/>
          <w:szCs w:val="18"/>
        </w:rPr>
      </w:pPr>
    </w:p>
    <w:p w14:paraId="3862D077" w14:textId="77777777" w:rsidR="007C2E4F" w:rsidRDefault="007C2E4F" w:rsidP="007C2E4F">
      <w:pPr>
        <w:rPr>
          <w:rFonts w:ascii="Times New Roman" w:hAnsi="Times New Roman"/>
          <w:bCs/>
          <w:sz w:val="18"/>
          <w:szCs w:val="18"/>
        </w:rPr>
      </w:pPr>
    </w:p>
    <w:p w14:paraId="298724D5" w14:textId="77777777" w:rsidR="007C2E4F" w:rsidRDefault="007C2E4F" w:rsidP="007C2E4F">
      <w:pPr>
        <w:rPr>
          <w:rFonts w:ascii="Garamond" w:hAnsi="Garamond"/>
          <w:b/>
          <w:bCs/>
          <w:szCs w:val="22"/>
        </w:rPr>
      </w:pPr>
    </w:p>
    <w:p w14:paraId="409CB7E0" w14:textId="77777777" w:rsidR="007C2E4F" w:rsidRDefault="007C2E4F" w:rsidP="007C2E4F">
      <w:pPr>
        <w:rPr>
          <w:rFonts w:ascii="Garamond" w:hAnsi="Garamond"/>
          <w:b/>
          <w:bCs/>
          <w:szCs w:val="22"/>
        </w:rPr>
      </w:pPr>
    </w:p>
    <w:p w14:paraId="5746E491" w14:textId="77777777" w:rsidR="007C2E4F" w:rsidRDefault="007C2E4F" w:rsidP="007C2E4F">
      <w:pPr>
        <w:rPr>
          <w:rFonts w:ascii="Garamond" w:hAnsi="Garamond"/>
          <w:b/>
          <w:bCs/>
          <w:szCs w:val="22"/>
        </w:rPr>
      </w:pPr>
    </w:p>
    <w:p w14:paraId="55BB607F" w14:textId="77777777" w:rsidR="007C2E4F" w:rsidRDefault="007C2E4F" w:rsidP="007C2E4F">
      <w:pPr>
        <w:rPr>
          <w:rFonts w:ascii="Garamond" w:hAnsi="Garamond"/>
          <w:b/>
          <w:bCs/>
          <w:szCs w:val="22"/>
        </w:rPr>
      </w:pPr>
    </w:p>
    <w:p w14:paraId="1071CF77" w14:textId="77777777" w:rsidR="007C2E4F" w:rsidRDefault="007C2E4F" w:rsidP="007C2E4F">
      <w:pPr>
        <w:rPr>
          <w:rFonts w:ascii="Garamond" w:hAnsi="Garamond"/>
          <w:b/>
          <w:bCs/>
          <w:szCs w:val="22"/>
        </w:rPr>
      </w:pPr>
    </w:p>
    <w:p w14:paraId="7930CE36" w14:textId="77777777" w:rsidR="007C2E4F" w:rsidRDefault="007C2E4F" w:rsidP="007C2E4F">
      <w:pPr>
        <w:rPr>
          <w:rFonts w:ascii="Garamond" w:hAnsi="Garamond"/>
          <w:b/>
          <w:bCs/>
          <w:szCs w:val="22"/>
        </w:rPr>
      </w:pPr>
    </w:p>
    <w:p w14:paraId="6063E07B" w14:textId="77777777" w:rsidR="007C2E4F" w:rsidRDefault="007C2E4F" w:rsidP="007C2E4F">
      <w:pPr>
        <w:rPr>
          <w:rFonts w:ascii="Garamond" w:hAnsi="Garamond"/>
          <w:b/>
          <w:bCs/>
          <w:szCs w:val="22"/>
        </w:rPr>
      </w:pPr>
    </w:p>
    <w:p w14:paraId="72A7BA0E" w14:textId="77777777" w:rsidR="007C2E4F" w:rsidRDefault="007C2E4F" w:rsidP="007C2E4F">
      <w:pPr>
        <w:rPr>
          <w:rFonts w:ascii="Garamond" w:hAnsi="Garamond"/>
          <w:b/>
          <w:bCs/>
          <w:szCs w:val="22"/>
        </w:rPr>
      </w:pPr>
    </w:p>
    <w:p w14:paraId="27999017" w14:textId="77777777" w:rsidR="007C2E4F" w:rsidRDefault="007C2E4F" w:rsidP="007C2E4F">
      <w:pPr>
        <w:rPr>
          <w:rFonts w:ascii="Garamond" w:hAnsi="Garamond"/>
          <w:b/>
          <w:bCs/>
          <w:szCs w:val="22"/>
        </w:rPr>
      </w:pPr>
    </w:p>
    <w:p w14:paraId="49399680" w14:textId="77777777" w:rsidR="007C2E4F" w:rsidRDefault="007C2E4F" w:rsidP="007C2E4F">
      <w:pPr>
        <w:rPr>
          <w:rFonts w:ascii="Garamond" w:hAnsi="Garamond"/>
          <w:b/>
          <w:bCs/>
          <w:szCs w:val="22"/>
        </w:rPr>
      </w:pPr>
    </w:p>
    <w:p w14:paraId="414F85AA" w14:textId="77777777" w:rsidR="007C2E4F" w:rsidRDefault="007C2E4F" w:rsidP="007C2E4F">
      <w:pPr>
        <w:rPr>
          <w:rFonts w:ascii="Garamond" w:hAnsi="Garamond"/>
          <w:b/>
          <w:bCs/>
          <w:szCs w:val="22"/>
        </w:rPr>
      </w:pPr>
    </w:p>
    <w:p w14:paraId="22C7AA71" w14:textId="77777777" w:rsidR="007C2E4F" w:rsidRDefault="007C2E4F" w:rsidP="007C2E4F">
      <w:pPr>
        <w:rPr>
          <w:rFonts w:ascii="Garamond" w:hAnsi="Garamond"/>
          <w:b/>
          <w:bCs/>
          <w:szCs w:val="22"/>
        </w:rPr>
      </w:pPr>
    </w:p>
    <w:p w14:paraId="60E2892A" w14:textId="77777777" w:rsidR="007C2E4F" w:rsidRDefault="007C2E4F" w:rsidP="007C2E4F">
      <w:pPr>
        <w:rPr>
          <w:rFonts w:ascii="Garamond" w:hAnsi="Garamond"/>
          <w:b/>
          <w:bCs/>
          <w:szCs w:val="22"/>
        </w:rPr>
      </w:pPr>
    </w:p>
    <w:p w14:paraId="4BD9AE50" w14:textId="439D4ACA" w:rsidR="00D33F7C" w:rsidRPr="007C2E4F" w:rsidRDefault="00D33F7C" w:rsidP="007C2E4F">
      <w:pPr>
        <w:rPr>
          <w:rFonts w:ascii="Times New Roman" w:hAnsi="Times New Roman"/>
          <w:bCs/>
          <w:sz w:val="18"/>
          <w:szCs w:val="18"/>
        </w:rPr>
      </w:pPr>
      <w:r w:rsidRPr="001D2656">
        <w:rPr>
          <w:rFonts w:ascii="Garamond" w:hAnsi="Garamond"/>
          <w:b/>
          <w:bCs/>
          <w:szCs w:val="22"/>
        </w:rPr>
        <w:lastRenderedPageBreak/>
        <w:t>Table A9: Major Foreign Holders of US Treasury Securities (USD billion)</w:t>
      </w:r>
    </w:p>
    <w:tbl>
      <w:tblPr>
        <w:tblW w:w="10479" w:type="dxa"/>
        <w:tblInd w:w="118" w:type="dxa"/>
        <w:tblLook w:val="04A0" w:firstRow="1" w:lastRow="0" w:firstColumn="1" w:lastColumn="0" w:noHBand="0" w:noVBand="1"/>
      </w:tblPr>
      <w:tblGrid>
        <w:gridCol w:w="1551"/>
        <w:gridCol w:w="744"/>
        <w:gridCol w:w="744"/>
        <w:gridCol w:w="744"/>
        <w:gridCol w:w="744"/>
        <w:gridCol w:w="744"/>
        <w:gridCol w:w="744"/>
        <w:gridCol w:w="744"/>
        <w:gridCol w:w="744"/>
        <w:gridCol w:w="744"/>
        <w:gridCol w:w="744"/>
        <w:gridCol w:w="744"/>
        <w:gridCol w:w="744"/>
      </w:tblGrid>
      <w:tr w:rsidR="00D33F7C" w:rsidRPr="00AF27AC" w14:paraId="5B4992CD" w14:textId="77777777" w:rsidTr="00E213CE">
        <w:trPr>
          <w:trHeight w:val="285"/>
        </w:trPr>
        <w:tc>
          <w:tcPr>
            <w:tcW w:w="1551" w:type="dxa"/>
            <w:vMerge w:val="restart"/>
            <w:tcBorders>
              <w:top w:val="single" w:sz="8" w:space="0" w:color="auto"/>
              <w:left w:val="single" w:sz="8" w:space="0" w:color="auto"/>
              <w:bottom w:val="nil"/>
              <w:right w:val="single" w:sz="4" w:space="0" w:color="000000"/>
            </w:tcBorders>
            <w:shd w:val="clear" w:color="auto" w:fill="auto"/>
            <w:noWrap/>
            <w:vAlign w:val="center"/>
            <w:hideMark/>
          </w:tcPr>
          <w:p w14:paraId="79011CA2"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Country/ Month</w:t>
            </w:r>
          </w:p>
        </w:tc>
        <w:tc>
          <w:tcPr>
            <w:tcW w:w="744" w:type="dxa"/>
            <w:tcBorders>
              <w:top w:val="single" w:sz="8" w:space="0" w:color="auto"/>
              <w:left w:val="single" w:sz="8" w:space="0" w:color="auto"/>
              <w:bottom w:val="single" w:sz="8" w:space="0" w:color="auto"/>
              <w:right w:val="nil"/>
            </w:tcBorders>
            <w:shd w:val="clear" w:color="000000" w:fill="FFFFFF"/>
            <w:noWrap/>
            <w:vAlign w:val="center"/>
            <w:hideMark/>
          </w:tcPr>
          <w:p w14:paraId="3AB4706F"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374A1649"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3045BEB2"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7EB173C6"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78B36D36"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2020</w:t>
            </w:r>
          </w:p>
        </w:tc>
        <w:tc>
          <w:tcPr>
            <w:tcW w:w="744" w:type="dxa"/>
            <w:tcBorders>
              <w:top w:val="single" w:sz="8" w:space="0" w:color="auto"/>
              <w:left w:val="nil"/>
              <w:bottom w:val="single" w:sz="8" w:space="0" w:color="auto"/>
              <w:right w:val="nil"/>
            </w:tcBorders>
            <w:shd w:val="clear" w:color="000000" w:fill="FFFFFF"/>
            <w:noWrap/>
            <w:vAlign w:val="center"/>
            <w:hideMark/>
          </w:tcPr>
          <w:p w14:paraId="16719B3E"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1F5D5F49"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5C1D2B1D"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single" w:sz="8" w:space="0" w:color="auto"/>
              <w:bottom w:val="single" w:sz="8" w:space="0" w:color="auto"/>
              <w:right w:val="nil"/>
            </w:tcBorders>
            <w:shd w:val="clear" w:color="000000" w:fill="FFFFFF"/>
            <w:noWrap/>
            <w:vAlign w:val="center"/>
            <w:hideMark/>
          </w:tcPr>
          <w:p w14:paraId="660BEF32"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72E42E13"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single" w:sz="8" w:space="0" w:color="auto"/>
              <w:left w:val="nil"/>
              <w:bottom w:val="single" w:sz="8" w:space="0" w:color="auto"/>
              <w:right w:val="nil"/>
            </w:tcBorders>
            <w:shd w:val="clear" w:color="000000" w:fill="FFFFFF"/>
            <w:noWrap/>
            <w:vAlign w:val="center"/>
            <w:hideMark/>
          </w:tcPr>
          <w:p w14:paraId="36C871BC"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2021</w:t>
            </w:r>
          </w:p>
        </w:tc>
        <w:tc>
          <w:tcPr>
            <w:tcW w:w="744" w:type="dxa"/>
            <w:tcBorders>
              <w:top w:val="single" w:sz="8" w:space="0" w:color="auto"/>
              <w:left w:val="nil"/>
              <w:bottom w:val="single" w:sz="8" w:space="0" w:color="auto"/>
              <w:right w:val="single" w:sz="8" w:space="0" w:color="auto"/>
            </w:tcBorders>
            <w:shd w:val="clear" w:color="000000" w:fill="FFFFFF"/>
            <w:noWrap/>
            <w:vAlign w:val="center"/>
            <w:hideMark/>
          </w:tcPr>
          <w:p w14:paraId="42C00340"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r>
      <w:tr w:rsidR="00D33F7C" w:rsidRPr="00AF27AC" w14:paraId="09185534" w14:textId="77777777" w:rsidTr="00E213CE">
        <w:trPr>
          <w:trHeight w:val="285"/>
        </w:trPr>
        <w:tc>
          <w:tcPr>
            <w:tcW w:w="1551" w:type="dxa"/>
            <w:vMerge/>
            <w:tcBorders>
              <w:top w:val="single" w:sz="8" w:space="0" w:color="auto"/>
              <w:left w:val="single" w:sz="8" w:space="0" w:color="auto"/>
              <w:bottom w:val="nil"/>
              <w:right w:val="single" w:sz="4" w:space="0" w:color="000000"/>
            </w:tcBorders>
            <w:vAlign w:val="center"/>
            <w:hideMark/>
          </w:tcPr>
          <w:p w14:paraId="3091B989" w14:textId="77777777" w:rsidR="00D33F7C" w:rsidRPr="00AF27AC" w:rsidRDefault="00D33F7C" w:rsidP="00E213CE">
            <w:pPr>
              <w:rPr>
                <w:rFonts w:ascii="Garamond" w:eastAsia="Times New Roman" w:hAnsi="Garamond" w:cs="Calibri"/>
                <w:b/>
                <w:bCs/>
                <w:color w:val="000000"/>
                <w:sz w:val="20"/>
                <w:szCs w:val="20"/>
                <w:lang w:val="en-IN" w:eastAsia="en-IN" w:bidi="hi-IN"/>
              </w:rPr>
            </w:pPr>
          </w:p>
        </w:tc>
        <w:tc>
          <w:tcPr>
            <w:tcW w:w="744" w:type="dxa"/>
            <w:tcBorders>
              <w:top w:val="nil"/>
              <w:left w:val="single" w:sz="8" w:space="0" w:color="auto"/>
              <w:bottom w:val="nil"/>
              <w:right w:val="nil"/>
            </w:tcBorders>
            <w:shd w:val="clear" w:color="auto" w:fill="auto"/>
            <w:noWrap/>
            <w:vAlign w:val="center"/>
            <w:hideMark/>
          </w:tcPr>
          <w:p w14:paraId="6187884C"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May</w:t>
            </w:r>
          </w:p>
        </w:tc>
        <w:tc>
          <w:tcPr>
            <w:tcW w:w="744" w:type="dxa"/>
            <w:tcBorders>
              <w:top w:val="nil"/>
              <w:left w:val="single" w:sz="8" w:space="0" w:color="auto"/>
              <w:bottom w:val="nil"/>
              <w:right w:val="single" w:sz="8" w:space="0" w:color="auto"/>
            </w:tcBorders>
            <w:shd w:val="clear" w:color="auto" w:fill="auto"/>
            <w:hideMark/>
          </w:tcPr>
          <w:p w14:paraId="2784A90C"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Jun</w:t>
            </w:r>
          </w:p>
        </w:tc>
        <w:tc>
          <w:tcPr>
            <w:tcW w:w="744" w:type="dxa"/>
            <w:tcBorders>
              <w:top w:val="nil"/>
              <w:left w:val="nil"/>
              <w:bottom w:val="nil"/>
              <w:right w:val="single" w:sz="8" w:space="0" w:color="auto"/>
            </w:tcBorders>
            <w:shd w:val="clear" w:color="auto" w:fill="auto"/>
            <w:hideMark/>
          </w:tcPr>
          <w:p w14:paraId="2755F83E"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Jul</w:t>
            </w:r>
          </w:p>
        </w:tc>
        <w:tc>
          <w:tcPr>
            <w:tcW w:w="744" w:type="dxa"/>
            <w:tcBorders>
              <w:top w:val="nil"/>
              <w:left w:val="nil"/>
              <w:bottom w:val="nil"/>
              <w:right w:val="single" w:sz="8" w:space="0" w:color="auto"/>
            </w:tcBorders>
            <w:shd w:val="clear" w:color="auto" w:fill="auto"/>
            <w:hideMark/>
          </w:tcPr>
          <w:p w14:paraId="282135EC"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Aug</w:t>
            </w:r>
          </w:p>
        </w:tc>
        <w:tc>
          <w:tcPr>
            <w:tcW w:w="744" w:type="dxa"/>
            <w:tcBorders>
              <w:top w:val="nil"/>
              <w:left w:val="nil"/>
              <w:bottom w:val="nil"/>
              <w:right w:val="single" w:sz="8" w:space="0" w:color="auto"/>
            </w:tcBorders>
            <w:shd w:val="clear" w:color="auto" w:fill="auto"/>
            <w:hideMark/>
          </w:tcPr>
          <w:p w14:paraId="1D1E5895"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Sep</w:t>
            </w:r>
          </w:p>
        </w:tc>
        <w:tc>
          <w:tcPr>
            <w:tcW w:w="744" w:type="dxa"/>
            <w:tcBorders>
              <w:top w:val="nil"/>
              <w:left w:val="nil"/>
              <w:bottom w:val="nil"/>
              <w:right w:val="single" w:sz="8" w:space="0" w:color="auto"/>
            </w:tcBorders>
            <w:shd w:val="clear" w:color="auto" w:fill="auto"/>
            <w:hideMark/>
          </w:tcPr>
          <w:p w14:paraId="3039084C"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Oct</w:t>
            </w:r>
          </w:p>
        </w:tc>
        <w:tc>
          <w:tcPr>
            <w:tcW w:w="744" w:type="dxa"/>
            <w:tcBorders>
              <w:top w:val="nil"/>
              <w:left w:val="nil"/>
              <w:bottom w:val="nil"/>
              <w:right w:val="single" w:sz="8" w:space="0" w:color="auto"/>
            </w:tcBorders>
            <w:shd w:val="clear" w:color="auto" w:fill="auto"/>
            <w:hideMark/>
          </w:tcPr>
          <w:p w14:paraId="17001FFB"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Nov</w:t>
            </w:r>
          </w:p>
        </w:tc>
        <w:tc>
          <w:tcPr>
            <w:tcW w:w="744" w:type="dxa"/>
            <w:tcBorders>
              <w:top w:val="nil"/>
              <w:left w:val="nil"/>
              <w:bottom w:val="nil"/>
              <w:right w:val="single" w:sz="8" w:space="0" w:color="auto"/>
            </w:tcBorders>
            <w:shd w:val="clear" w:color="auto" w:fill="auto"/>
            <w:hideMark/>
          </w:tcPr>
          <w:p w14:paraId="7AD7A7E3"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Dec</w:t>
            </w:r>
          </w:p>
        </w:tc>
        <w:tc>
          <w:tcPr>
            <w:tcW w:w="744" w:type="dxa"/>
            <w:tcBorders>
              <w:top w:val="nil"/>
              <w:left w:val="nil"/>
              <w:bottom w:val="nil"/>
              <w:right w:val="single" w:sz="8" w:space="0" w:color="auto"/>
            </w:tcBorders>
            <w:shd w:val="clear" w:color="auto" w:fill="auto"/>
            <w:hideMark/>
          </w:tcPr>
          <w:p w14:paraId="3E50A926"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Jan</w:t>
            </w:r>
          </w:p>
        </w:tc>
        <w:tc>
          <w:tcPr>
            <w:tcW w:w="744" w:type="dxa"/>
            <w:tcBorders>
              <w:top w:val="nil"/>
              <w:left w:val="nil"/>
              <w:bottom w:val="nil"/>
              <w:right w:val="single" w:sz="8" w:space="0" w:color="auto"/>
            </w:tcBorders>
            <w:shd w:val="clear" w:color="auto" w:fill="auto"/>
            <w:hideMark/>
          </w:tcPr>
          <w:p w14:paraId="3775F00C"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Feb</w:t>
            </w:r>
          </w:p>
        </w:tc>
        <w:tc>
          <w:tcPr>
            <w:tcW w:w="744" w:type="dxa"/>
            <w:tcBorders>
              <w:top w:val="nil"/>
              <w:left w:val="nil"/>
              <w:bottom w:val="nil"/>
              <w:right w:val="single" w:sz="8" w:space="0" w:color="auto"/>
            </w:tcBorders>
            <w:shd w:val="clear" w:color="auto" w:fill="auto"/>
            <w:hideMark/>
          </w:tcPr>
          <w:p w14:paraId="4286BCA6"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Mar</w:t>
            </w:r>
          </w:p>
        </w:tc>
        <w:tc>
          <w:tcPr>
            <w:tcW w:w="744" w:type="dxa"/>
            <w:tcBorders>
              <w:top w:val="nil"/>
              <w:left w:val="nil"/>
              <w:bottom w:val="nil"/>
              <w:right w:val="single" w:sz="8" w:space="0" w:color="auto"/>
            </w:tcBorders>
            <w:shd w:val="clear" w:color="auto" w:fill="auto"/>
            <w:hideMark/>
          </w:tcPr>
          <w:p w14:paraId="4600004D" w14:textId="77777777" w:rsidR="00D33F7C" w:rsidRPr="00AF27AC" w:rsidRDefault="00D33F7C" w:rsidP="00E213CE">
            <w:pPr>
              <w:jc w:val="cente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Apr</w:t>
            </w:r>
          </w:p>
        </w:tc>
      </w:tr>
      <w:tr w:rsidR="00D33F7C" w:rsidRPr="00AF27AC" w14:paraId="7A32D82D" w14:textId="77777777" w:rsidTr="00E213CE">
        <w:trPr>
          <w:trHeight w:val="272"/>
        </w:trPr>
        <w:tc>
          <w:tcPr>
            <w:tcW w:w="1551" w:type="dxa"/>
            <w:tcBorders>
              <w:top w:val="single" w:sz="8" w:space="0" w:color="auto"/>
              <w:left w:val="single" w:sz="8" w:space="0" w:color="auto"/>
              <w:bottom w:val="nil"/>
              <w:right w:val="nil"/>
            </w:tcBorders>
            <w:shd w:val="clear" w:color="auto" w:fill="auto"/>
            <w:noWrap/>
            <w:vAlign w:val="center"/>
            <w:hideMark/>
          </w:tcPr>
          <w:p w14:paraId="05896D75"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Japan</w:t>
            </w:r>
          </w:p>
        </w:tc>
        <w:tc>
          <w:tcPr>
            <w:tcW w:w="744" w:type="dxa"/>
            <w:tcBorders>
              <w:top w:val="single" w:sz="8" w:space="0" w:color="auto"/>
              <w:left w:val="single" w:sz="8" w:space="0" w:color="auto"/>
              <w:bottom w:val="nil"/>
              <w:right w:val="nil"/>
            </w:tcBorders>
            <w:shd w:val="clear" w:color="auto" w:fill="auto"/>
            <w:noWrap/>
            <w:vAlign w:val="center"/>
            <w:hideMark/>
          </w:tcPr>
          <w:p w14:paraId="0438D28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1261.6</w:t>
            </w:r>
          </w:p>
        </w:tc>
        <w:tc>
          <w:tcPr>
            <w:tcW w:w="744" w:type="dxa"/>
            <w:tcBorders>
              <w:top w:val="single" w:sz="8" w:space="0" w:color="auto"/>
              <w:left w:val="single" w:sz="8" w:space="0" w:color="auto"/>
              <w:bottom w:val="nil"/>
              <w:right w:val="single" w:sz="8" w:space="0" w:color="auto"/>
            </w:tcBorders>
            <w:shd w:val="clear" w:color="auto" w:fill="auto"/>
            <w:noWrap/>
            <w:vAlign w:val="bottom"/>
            <w:hideMark/>
          </w:tcPr>
          <w:p w14:paraId="12F0972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1293</w:t>
            </w:r>
          </w:p>
        </w:tc>
        <w:tc>
          <w:tcPr>
            <w:tcW w:w="744" w:type="dxa"/>
            <w:tcBorders>
              <w:top w:val="single" w:sz="8" w:space="0" w:color="auto"/>
              <w:left w:val="nil"/>
              <w:bottom w:val="nil"/>
              <w:right w:val="nil"/>
            </w:tcBorders>
            <w:shd w:val="clear" w:color="auto" w:fill="auto"/>
            <w:noWrap/>
            <w:vAlign w:val="bottom"/>
            <w:hideMark/>
          </w:tcPr>
          <w:p w14:paraId="32E26E8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1278.4</w:t>
            </w:r>
          </w:p>
        </w:tc>
        <w:tc>
          <w:tcPr>
            <w:tcW w:w="744" w:type="dxa"/>
            <w:tcBorders>
              <w:top w:val="single" w:sz="8" w:space="0" w:color="auto"/>
              <w:left w:val="single" w:sz="8" w:space="0" w:color="auto"/>
              <w:bottom w:val="nil"/>
              <w:right w:val="single" w:sz="8" w:space="0" w:color="auto"/>
            </w:tcBorders>
            <w:shd w:val="clear" w:color="auto" w:fill="auto"/>
            <w:noWrap/>
            <w:vAlign w:val="bottom"/>
            <w:hideMark/>
          </w:tcPr>
          <w:p w14:paraId="33B825D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1276.2</w:t>
            </w:r>
          </w:p>
        </w:tc>
        <w:tc>
          <w:tcPr>
            <w:tcW w:w="744" w:type="dxa"/>
            <w:tcBorders>
              <w:top w:val="single" w:sz="8" w:space="0" w:color="auto"/>
              <w:left w:val="nil"/>
              <w:bottom w:val="nil"/>
              <w:right w:val="nil"/>
            </w:tcBorders>
            <w:shd w:val="clear" w:color="auto" w:fill="auto"/>
            <w:noWrap/>
            <w:vAlign w:val="bottom"/>
            <w:hideMark/>
          </w:tcPr>
          <w:p w14:paraId="3A8F697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1273.1</w:t>
            </w:r>
          </w:p>
        </w:tc>
        <w:tc>
          <w:tcPr>
            <w:tcW w:w="744" w:type="dxa"/>
            <w:tcBorders>
              <w:top w:val="single" w:sz="8" w:space="0" w:color="auto"/>
              <w:left w:val="single" w:sz="8" w:space="0" w:color="auto"/>
              <w:bottom w:val="nil"/>
              <w:right w:val="single" w:sz="8" w:space="0" w:color="auto"/>
            </w:tcBorders>
            <w:shd w:val="clear" w:color="auto" w:fill="auto"/>
            <w:noWrap/>
            <w:vAlign w:val="bottom"/>
            <w:hideMark/>
          </w:tcPr>
          <w:p w14:paraId="2ACCD57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1260.8</w:t>
            </w:r>
          </w:p>
        </w:tc>
        <w:tc>
          <w:tcPr>
            <w:tcW w:w="744" w:type="dxa"/>
            <w:tcBorders>
              <w:top w:val="single" w:sz="8" w:space="0" w:color="auto"/>
              <w:left w:val="nil"/>
              <w:bottom w:val="nil"/>
              <w:right w:val="nil"/>
            </w:tcBorders>
            <w:shd w:val="clear" w:color="auto" w:fill="auto"/>
            <w:noWrap/>
            <w:vAlign w:val="bottom"/>
            <w:hideMark/>
          </w:tcPr>
          <w:p w14:paraId="0F25FFA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1251.3</w:t>
            </w:r>
          </w:p>
        </w:tc>
        <w:tc>
          <w:tcPr>
            <w:tcW w:w="744" w:type="dxa"/>
            <w:tcBorders>
              <w:top w:val="single" w:sz="8" w:space="0" w:color="auto"/>
              <w:left w:val="single" w:sz="8" w:space="0" w:color="auto"/>
              <w:bottom w:val="nil"/>
              <w:right w:val="single" w:sz="8" w:space="0" w:color="auto"/>
            </w:tcBorders>
            <w:shd w:val="clear" w:color="auto" w:fill="auto"/>
            <w:noWrap/>
            <w:vAlign w:val="bottom"/>
            <w:hideMark/>
          </w:tcPr>
          <w:p w14:paraId="3FCDD08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1276.7</w:t>
            </w:r>
          </w:p>
        </w:tc>
        <w:tc>
          <w:tcPr>
            <w:tcW w:w="744" w:type="dxa"/>
            <w:tcBorders>
              <w:top w:val="single" w:sz="8" w:space="0" w:color="auto"/>
              <w:left w:val="nil"/>
              <w:bottom w:val="nil"/>
              <w:right w:val="single" w:sz="8" w:space="0" w:color="auto"/>
            </w:tcBorders>
            <w:shd w:val="clear" w:color="auto" w:fill="auto"/>
            <w:noWrap/>
            <w:vAlign w:val="bottom"/>
            <w:hideMark/>
          </w:tcPr>
          <w:p w14:paraId="55C5DEF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1258</w:t>
            </w:r>
          </w:p>
        </w:tc>
        <w:tc>
          <w:tcPr>
            <w:tcW w:w="744" w:type="dxa"/>
            <w:tcBorders>
              <w:top w:val="single" w:sz="8" w:space="0" w:color="auto"/>
              <w:left w:val="nil"/>
              <w:bottom w:val="nil"/>
              <w:right w:val="single" w:sz="8" w:space="0" w:color="auto"/>
            </w:tcBorders>
            <w:shd w:val="clear" w:color="auto" w:fill="auto"/>
            <w:noWrap/>
            <w:vAlign w:val="bottom"/>
            <w:hideMark/>
          </w:tcPr>
          <w:p w14:paraId="2306FF8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1240.3</w:t>
            </w:r>
          </w:p>
        </w:tc>
        <w:tc>
          <w:tcPr>
            <w:tcW w:w="744" w:type="dxa"/>
            <w:tcBorders>
              <w:top w:val="single" w:sz="8" w:space="0" w:color="auto"/>
              <w:left w:val="nil"/>
              <w:bottom w:val="nil"/>
              <w:right w:val="single" w:sz="8" w:space="0" w:color="auto"/>
            </w:tcBorders>
            <w:shd w:val="clear" w:color="auto" w:fill="auto"/>
            <w:noWrap/>
            <w:vAlign w:val="bottom"/>
            <w:hideMark/>
          </w:tcPr>
          <w:p w14:paraId="5E866D9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1276.8</w:t>
            </w:r>
          </w:p>
        </w:tc>
        <w:tc>
          <w:tcPr>
            <w:tcW w:w="744" w:type="dxa"/>
            <w:tcBorders>
              <w:top w:val="single" w:sz="8" w:space="0" w:color="auto"/>
              <w:left w:val="nil"/>
              <w:bottom w:val="nil"/>
              <w:right w:val="single" w:sz="8" w:space="0" w:color="auto"/>
            </w:tcBorders>
            <w:shd w:val="clear" w:color="auto" w:fill="auto"/>
            <w:noWrap/>
            <w:vAlign w:val="bottom"/>
            <w:hideMark/>
          </w:tcPr>
          <w:p w14:paraId="6626D12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1266.2</w:t>
            </w:r>
          </w:p>
        </w:tc>
      </w:tr>
      <w:tr w:rsidR="00D33F7C" w:rsidRPr="00AF27AC" w14:paraId="6135796E"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0B9C1EBA"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China, Mainland</w:t>
            </w:r>
          </w:p>
        </w:tc>
        <w:tc>
          <w:tcPr>
            <w:tcW w:w="744" w:type="dxa"/>
            <w:tcBorders>
              <w:top w:val="nil"/>
              <w:left w:val="single" w:sz="8" w:space="0" w:color="auto"/>
              <w:bottom w:val="nil"/>
              <w:right w:val="nil"/>
            </w:tcBorders>
            <w:shd w:val="clear" w:color="auto" w:fill="auto"/>
            <w:noWrap/>
            <w:vAlign w:val="center"/>
            <w:hideMark/>
          </w:tcPr>
          <w:p w14:paraId="7F537A1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1074.4</w:t>
            </w:r>
          </w:p>
        </w:tc>
        <w:tc>
          <w:tcPr>
            <w:tcW w:w="744" w:type="dxa"/>
            <w:tcBorders>
              <w:top w:val="nil"/>
              <w:left w:val="single" w:sz="8" w:space="0" w:color="auto"/>
              <w:bottom w:val="nil"/>
              <w:right w:val="single" w:sz="8" w:space="0" w:color="auto"/>
            </w:tcBorders>
            <w:shd w:val="clear" w:color="auto" w:fill="auto"/>
            <w:noWrap/>
            <w:vAlign w:val="bottom"/>
            <w:hideMark/>
          </w:tcPr>
          <w:p w14:paraId="407FD13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1073.4</w:t>
            </w:r>
          </w:p>
        </w:tc>
        <w:tc>
          <w:tcPr>
            <w:tcW w:w="744" w:type="dxa"/>
            <w:tcBorders>
              <w:top w:val="nil"/>
              <w:left w:val="nil"/>
              <w:bottom w:val="nil"/>
              <w:right w:val="nil"/>
            </w:tcBorders>
            <w:shd w:val="clear" w:color="auto" w:fill="auto"/>
            <w:noWrap/>
            <w:vAlign w:val="bottom"/>
            <w:hideMark/>
          </w:tcPr>
          <w:p w14:paraId="028A3DC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1068</w:t>
            </w:r>
          </w:p>
        </w:tc>
        <w:tc>
          <w:tcPr>
            <w:tcW w:w="744" w:type="dxa"/>
            <w:tcBorders>
              <w:top w:val="nil"/>
              <w:left w:val="single" w:sz="8" w:space="0" w:color="auto"/>
              <w:bottom w:val="nil"/>
              <w:right w:val="single" w:sz="8" w:space="0" w:color="auto"/>
            </w:tcBorders>
            <w:shd w:val="clear" w:color="auto" w:fill="auto"/>
            <w:noWrap/>
            <w:vAlign w:val="bottom"/>
            <w:hideMark/>
          </w:tcPr>
          <w:p w14:paraId="0C705BA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1061.7</w:t>
            </w:r>
          </w:p>
        </w:tc>
        <w:tc>
          <w:tcPr>
            <w:tcW w:w="744" w:type="dxa"/>
            <w:tcBorders>
              <w:top w:val="nil"/>
              <w:left w:val="nil"/>
              <w:bottom w:val="nil"/>
              <w:right w:val="nil"/>
            </w:tcBorders>
            <w:shd w:val="clear" w:color="auto" w:fill="auto"/>
            <w:noWrap/>
            <w:vAlign w:val="bottom"/>
            <w:hideMark/>
          </w:tcPr>
          <w:p w14:paraId="4D79BCA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1054</w:t>
            </w:r>
          </w:p>
        </w:tc>
        <w:tc>
          <w:tcPr>
            <w:tcW w:w="744" w:type="dxa"/>
            <w:tcBorders>
              <w:top w:val="nil"/>
              <w:left w:val="single" w:sz="8" w:space="0" w:color="auto"/>
              <w:bottom w:val="nil"/>
              <w:right w:val="single" w:sz="8" w:space="0" w:color="auto"/>
            </w:tcBorders>
            <w:shd w:val="clear" w:color="auto" w:fill="auto"/>
            <w:noWrap/>
            <w:vAlign w:val="bottom"/>
            <w:hideMark/>
          </w:tcPr>
          <w:p w14:paraId="524794C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1063</w:t>
            </w:r>
          </w:p>
        </w:tc>
        <w:tc>
          <w:tcPr>
            <w:tcW w:w="744" w:type="dxa"/>
            <w:tcBorders>
              <w:top w:val="nil"/>
              <w:left w:val="nil"/>
              <w:bottom w:val="nil"/>
              <w:right w:val="nil"/>
            </w:tcBorders>
            <w:shd w:val="clear" w:color="auto" w:fill="auto"/>
            <w:noWrap/>
            <w:vAlign w:val="bottom"/>
            <w:hideMark/>
          </w:tcPr>
          <w:p w14:paraId="1F2438D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1072.3</w:t>
            </w:r>
          </w:p>
        </w:tc>
        <w:tc>
          <w:tcPr>
            <w:tcW w:w="744" w:type="dxa"/>
            <w:tcBorders>
              <w:top w:val="nil"/>
              <w:left w:val="single" w:sz="8" w:space="0" w:color="auto"/>
              <w:bottom w:val="nil"/>
              <w:right w:val="single" w:sz="8" w:space="0" w:color="auto"/>
            </w:tcBorders>
            <w:shd w:val="clear" w:color="auto" w:fill="auto"/>
            <w:noWrap/>
            <w:vAlign w:val="bottom"/>
            <w:hideMark/>
          </w:tcPr>
          <w:p w14:paraId="4BA65F8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1095.2</w:t>
            </w:r>
          </w:p>
        </w:tc>
        <w:tc>
          <w:tcPr>
            <w:tcW w:w="744" w:type="dxa"/>
            <w:tcBorders>
              <w:top w:val="nil"/>
              <w:left w:val="nil"/>
              <w:bottom w:val="nil"/>
              <w:right w:val="single" w:sz="8" w:space="0" w:color="auto"/>
            </w:tcBorders>
            <w:shd w:val="clear" w:color="auto" w:fill="auto"/>
            <w:noWrap/>
            <w:vAlign w:val="bottom"/>
            <w:hideMark/>
          </w:tcPr>
          <w:p w14:paraId="48ACD2A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1104.2</w:t>
            </w:r>
          </w:p>
        </w:tc>
        <w:tc>
          <w:tcPr>
            <w:tcW w:w="744" w:type="dxa"/>
            <w:tcBorders>
              <w:top w:val="nil"/>
              <w:left w:val="nil"/>
              <w:bottom w:val="nil"/>
              <w:right w:val="single" w:sz="8" w:space="0" w:color="auto"/>
            </w:tcBorders>
            <w:shd w:val="clear" w:color="auto" w:fill="auto"/>
            <w:noWrap/>
            <w:vAlign w:val="bottom"/>
            <w:hideMark/>
          </w:tcPr>
          <w:p w14:paraId="291A4B7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1100.4</w:t>
            </w:r>
          </w:p>
        </w:tc>
        <w:tc>
          <w:tcPr>
            <w:tcW w:w="744" w:type="dxa"/>
            <w:tcBorders>
              <w:top w:val="nil"/>
              <w:left w:val="nil"/>
              <w:bottom w:val="nil"/>
              <w:right w:val="single" w:sz="8" w:space="0" w:color="auto"/>
            </w:tcBorders>
            <w:shd w:val="clear" w:color="auto" w:fill="auto"/>
            <w:noWrap/>
            <w:vAlign w:val="bottom"/>
            <w:hideMark/>
          </w:tcPr>
          <w:p w14:paraId="70CE55F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1096.1</w:t>
            </w:r>
          </w:p>
        </w:tc>
        <w:tc>
          <w:tcPr>
            <w:tcW w:w="744" w:type="dxa"/>
            <w:tcBorders>
              <w:top w:val="nil"/>
              <w:left w:val="nil"/>
              <w:bottom w:val="nil"/>
              <w:right w:val="single" w:sz="8" w:space="0" w:color="auto"/>
            </w:tcBorders>
            <w:shd w:val="clear" w:color="auto" w:fill="auto"/>
            <w:noWrap/>
            <w:vAlign w:val="bottom"/>
            <w:hideMark/>
          </w:tcPr>
          <w:p w14:paraId="36C5E6D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1078.4</w:t>
            </w:r>
          </w:p>
        </w:tc>
      </w:tr>
      <w:tr w:rsidR="00D33F7C" w:rsidRPr="00AF27AC" w14:paraId="6DF1AE58"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5B805B0F"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United Kingdom</w:t>
            </w:r>
          </w:p>
        </w:tc>
        <w:tc>
          <w:tcPr>
            <w:tcW w:w="744" w:type="dxa"/>
            <w:tcBorders>
              <w:top w:val="nil"/>
              <w:left w:val="single" w:sz="8" w:space="0" w:color="auto"/>
              <w:bottom w:val="nil"/>
              <w:right w:val="nil"/>
            </w:tcBorders>
            <w:shd w:val="clear" w:color="auto" w:fill="auto"/>
            <w:noWrap/>
            <w:vAlign w:val="center"/>
            <w:hideMark/>
          </w:tcPr>
          <w:p w14:paraId="6632301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445.7</w:t>
            </w:r>
          </w:p>
        </w:tc>
        <w:tc>
          <w:tcPr>
            <w:tcW w:w="744" w:type="dxa"/>
            <w:tcBorders>
              <w:top w:val="nil"/>
              <w:left w:val="single" w:sz="8" w:space="0" w:color="auto"/>
              <w:bottom w:val="nil"/>
              <w:right w:val="single" w:sz="8" w:space="0" w:color="auto"/>
            </w:tcBorders>
            <w:shd w:val="clear" w:color="auto" w:fill="auto"/>
            <w:noWrap/>
            <w:vAlign w:val="bottom"/>
            <w:hideMark/>
          </w:tcPr>
          <w:p w14:paraId="2E6B631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424.6</w:t>
            </w:r>
          </w:p>
        </w:tc>
        <w:tc>
          <w:tcPr>
            <w:tcW w:w="744" w:type="dxa"/>
            <w:tcBorders>
              <w:top w:val="nil"/>
              <w:left w:val="nil"/>
              <w:bottom w:val="nil"/>
              <w:right w:val="nil"/>
            </w:tcBorders>
            <w:shd w:val="clear" w:color="auto" w:fill="auto"/>
            <w:noWrap/>
            <w:vAlign w:val="bottom"/>
            <w:hideMark/>
          </w:tcPr>
          <w:p w14:paraId="68C5D59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419.4</w:t>
            </w:r>
          </w:p>
        </w:tc>
        <w:tc>
          <w:tcPr>
            <w:tcW w:w="744" w:type="dxa"/>
            <w:tcBorders>
              <w:top w:val="nil"/>
              <w:left w:val="single" w:sz="8" w:space="0" w:color="auto"/>
              <w:bottom w:val="nil"/>
              <w:right w:val="single" w:sz="8" w:space="0" w:color="auto"/>
            </w:tcBorders>
            <w:shd w:val="clear" w:color="auto" w:fill="auto"/>
            <w:noWrap/>
            <w:vAlign w:val="bottom"/>
            <w:hideMark/>
          </w:tcPr>
          <w:p w14:paraId="08A06A2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428.5</w:t>
            </w:r>
          </w:p>
        </w:tc>
        <w:tc>
          <w:tcPr>
            <w:tcW w:w="744" w:type="dxa"/>
            <w:tcBorders>
              <w:top w:val="nil"/>
              <w:left w:val="nil"/>
              <w:bottom w:val="nil"/>
              <w:right w:val="nil"/>
            </w:tcBorders>
            <w:shd w:val="clear" w:color="auto" w:fill="auto"/>
            <w:noWrap/>
            <w:vAlign w:val="bottom"/>
            <w:hideMark/>
          </w:tcPr>
          <w:p w14:paraId="0D14777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442.8</w:t>
            </w:r>
          </w:p>
        </w:tc>
        <w:tc>
          <w:tcPr>
            <w:tcW w:w="744" w:type="dxa"/>
            <w:tcBorders>
              <w:top w:val="nil"/>
              <w:left w:val="single" w:sz="8" w:space="0" w:color="auto"/>
              <w:bottom w:val="nil"/>
              <w:right w:val="single" w:sz="8" w:space="0" w:color="auto"/>
            </w:tcBorders>
            <w:shd w:val="clear" w:color="auto" w:fill="auto"/>
            <w:noWrap/>
            <w:vAlign w:val="bottom"/>
            <w:hideMark/>
          </w:tcPr>
          <w:p w14:paraId="6538C7C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420.5</w:t>
            </w:r>
          </w:p>
        </w:tc>
        <w:tc>
          <w:tcPr>
            <w:tcW w:w="744" w:type="dxa"/>
            <w:tcBorders>
              <w:top w:val="nil"/>
              <w:left w:val="nil"/>
              <w:bottom w:val="nil"/>
              <w:right w:val="nil"/>
            </w:tcBorders>
            <w:shd w:val="clear" w:color="auto" w:fill="auto"/>
            <w:noWrap/>
            <w:vAlign w:val="bottom"/>
            <w:hideMark/>
          </w:tcPr>
          <w:p w14:paraId="4E55278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440.6</w:t>
            </w:r>
          </w:p>
        </w:tc>
        <w:tc>
          <w:tcPr>
            <w:tcW w:w="744" w:type="dxa"/>
            <w:tcBorders>
              <w:top w:val="nil"/>
              <w:left w:val="single" w:sz="8" w:space="0" w:color="auto"/>
              <w:bottom w:val="nil"/>
              <w:right w:val="single" w:sz="8" w:space="0" w:color="auto"/>
            </w:tcBorders>
            <w:shd w:val="clear" w:color="auto" w:fill="auto"/>
            <w:noWrap/>
            <w:vAlign w:val="bottom"/>
            <w:hideMark/>
          </w:tcPr>
          <w:p w14:paraId="33DA917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438.7</w:t>
            </w:r>
          </w:p>
        </w:tc>
        <w:tc>
          <w:tcPr>
            <w:tcW w:w="744" w:type="dxa"/>
            <w:tcBorders>
              <w:top w:val="nil"/>
              <w:left w:val="nil"/>
              <w:bottom w:val="nil"/>
              <w:right w:val="single" w:sz="8" w:space="0" w:color="auto"/>
            </w:tcBorders>
            <w:shd w:val="clear" w:color="auto" w:fill="auto"/>
            <w:noWrap/>
            <w:vAlign w:val="bottom"/>
            <w:hideMark/>
          </w:tcPr>
          <w:p w14:paraId="630BE5F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459.5</w:t>
            </w:r>
          </w:p>
        </w:tc>
        <w:tc>
          <w:tcPr>
            <w:tcW w:w="744" w:type="dxa"/>
            <w:tcBorders>
              <w:top w:val="nil"/>
              <w:left w:val="nil"/>
              <w:bottom w:val="nil"/>
              <w:right w:val="single" w:sz="8" w:space="0" w:color="auto"/>
            </w:tcBorders>
            <w:shd w:val="clear" w:color="auto" w:fill="auto"/>
            <w:noWrap/>
            <w:vAlign w:val="bottom"/>
            <w:hideMark/>
          </w:tcPr>
          <w:p w14:paraId="5A81024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443.2</w:t>
            </w:r>
          </w:p>
        </w:tc>
        <w:tc>
          <w:tcPr>
            <w:tcW w:w="744" w:type="dxa"/>
            <w:tcBorders>
              <w:top w:val="nil"/>
              <w:left w:val="nil"/>
              <w:bottom w:val="nil"/>
              <w:right w:val="single" w:sz="8" w:space="0" w:color="auto"/>
            </w:tcBorders>
            <w:shd w:val="clear" w:color="auto" w:fill="auto"/>
            <w:noWrap/>
            <w:vAlign w:val="bottom"/>
            <w:hideMark/>
          </w:tcPr>
          <w:p w14:paraId="224037D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431.8</w:t>
            </w:r>
          </w:p>
        </w:tc>
        <w:tc>
          <w:tcPr>
            <w:tcW w:w="744" w:type="dxa"/>
            <w:tcBorders>
              <w:top w:val="nil"/>
              <w:left w:val="nil"/>
              <w:bottom w:val="nil"/>
              <w:right w:val="single" w:sz="8" w:space="0" w:color="auto"/>
            </w:tcBorders>
            <w:shd w:val="clear" w:color="auto" w:fill="auto"/>
            <w:noWrap/>
            <w:vAlign w:val="bottom"/>
            <w:hideMark/>
          </w:tcPr>
          <w:p w14:paraId="14AA8D0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467.7</w:t>
            </w:r>
          </w:p>
        </w:tc>
      </w:tr>
      <w:tr w:rsidR="00D33F7C" w:rsidRPr="00AF27AC" w14:paraId="50C48317"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6BBA4D84"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Ireland</w:t>
            </w:r>
          </w:p>
        </w:tc>
        <w:tc>
          <w:tcPr>
            <w:tcW w:w="744" w:type="dxa"/>
            <w:tcBorders>
              <w:top w:val="nil"/>
              <w:left w:val="single" w:sz="8" w:space="0" w:color="auto"/>
              <w:bottom w:val="nil"/>
              <w:right w:val="nil"/>
            </w:tcBorders>
            <w:shd w:val="clear" w:color="auto" w:fill="auto"/>
            <w:noWrap/>
            <w:vAlign w:val="center"/>
            <w:hideMark/>
          </w:tcPr>
          <w:p w14:paraId="653CC25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330.2</w:t>
            </w:r>
          </w:p>
        </w:tc>
        <w:tc>
          <w:tcPr>
            <w:tcW w:w="744" w:type="dxa"/>
            <w:tcBorders>
              <w:top w:val="nil"/>
              <w:left w:val="single" w:sz="8" w:space="0" w:color="auto"/>
              <w:bottom w:val="nil"/>
              <w:right w:val="single" w:sz="8" w:space="0" w:color="auto"/>
            </w:tcBorders>
            <w:shd w:val="clear" w:color="auto" w:fill="auto"/>
            <w:noWrap/>
            <w:vAlign w:val="bottom"/>
            <w:hideMark/>
          </w:tcPr>
          <w:p w14:paraId="66F8EB3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330.7</w:t>
            </w:r>
          </w:p>
        </w:tc>
        <w:tc>
          <w:tcPr>
            <w:tcW w:w="744" w:type="dxa"/>
            <w:tcBorders>
              <w:top w:val="nil"/>
              <w:left w:val="nil"/>
              <w:bottom w:val="nil"/>
              <w:right w:val="nil"/>
            </w:tcBorders>
            <w:shd w:val="clear" w:color="auto" w:fill="auto"/>
            <w:noWrap/>
            <w:vAlign w:val="bottom"/>
            <w:hideMark/>
          </w:tcPr>
          <w:p w14:paraId="76643B6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335.2</w:t>
            </w:r>
          </w:p>
        </w:tc>
        <w:tc>
          <w:tcPr>
            <w:tcW w:w="744" w:type="dxa"/>
            <w:tcBorders>
              <w:top w:val="nil"/>
              <w:left w:val="single" w:sz="8" w:space="0" w:color="auto"/>
              <w:bottom w:val="nil"/>
              <w:right w:val="single" w:sz="8" w:space="0" w:color="auto"/>
            </w:tcBorders>
            <w:shd w:val="clear" w:color="auto" w:fill="auto"/>
            <w:noWrap/>
            <w:vAlign w:val="bottom"/>
            <w:hideMark/>
          </w:tcPr>
          <w:p w14:paraId="7E47AE8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315.7</w:t>
            </w:r>
          </w:p>
        </w:tc>
        <w:tc>
          <w:tcPr>
            <w:tcW w:w="744" w:type="dxa"/>
            <w:tcBorders>
              <w:top w:val="nil"/>
              <w:left w:val="nil"/>
              <w:bottom w:val="nil"/>
              <w:right w:val="nil"/>
            </w:tcBorders>
            <w:shd w:val="clear" w:color="auto" w:fill="auto"/>
            <w:noWrap/>
            <w:vAlign w:val="bottom"/>
            <w:hideMark/>
          </w:tcPr>
          <w:p w14:paraId="1EFEDE8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316.3</w:t>
            </w:r>
          </w:p>
        </w:tc>
        <w:tc>
          <w:tcPr>
            <w:tcW w:w="744" w:type="dxa"/>
            <w:tcBorders>
              <w:top w:val="nil"/>
              <w:left w:val="single" w:sz="8" w:space="0" w:color="auto"/>
              <w:bottom w:val="nil"/>
              <w:right w:val="single" w:sz="8" w:space="0" w:color="auto"/>
            </w:tcBorders>
            <w:shd w:val="clear" w:color="auto" w:fill="auto"/>
            <w:noWrap/>
            <w:vAlign w:val="bottom"/>
            <w:hideMark/>
          </w:tcPr>
          <w:p w14:paraId="32AC0CD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314.2</w:t>
            </w:r>
          </w:p>
        </w:tc>
        <w:tc>
          <w:tcPr>
            <w:tcW w:w="744" w:type="dxa"/>
            <w:tcBorders>
              <w:top w:val="nil"/>
              <w:left w:val="nil"/>
              <w:bottom w:val="nil"/>
              <w:right w:val="nil"/>
            </w:tcBorders>
            <w:shd w:val="clear" w:color="auto" w:fill="auto"/>
            <w:noWrap/>
            <w:vAlign w:val="bottom"/>
            <w:hideMark/>
          </w:tcPr>
          <w:p w14:paraId="0D75F44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318.1</w:t>
            </w:r>
          </w:p>
        </w:tc>
        <w:tc>
          <w:tcPr>
            <w:tcW w:w="744" w:type="dxa"/>
            <w:tcBorders>
              <w:top w:val="nil"/>
              <w:left w:val="single" w:sz="8" w:space="0" w:color="auto"/>
              <w:bottom w:val="nil"/>
              <w:right w:val="single" w:sz="8" w:space="0" w:color="auto"/>
            </w:tcBorders>
            <w:shd w:val="clear" w:color="auto" w:fill="auto"/>
            <w:noWrap/>
            <w:vAlign w:val="bottom"/>
            <w:hideMark/>
          </w:tcPr>
          <w:p w14:paraId="0129A6B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313.6</w:t>
            </w:r>
          </w:p>
        </w:tc>
        <w:tc>
          <w:tcPr>
            <w:tcW w:w="744" w:type="dxa"/>
            <w:tcBorders>
              <w:top w:val="nil"/>
              <w:left w:val="nil"/>
              <w:bottom w:val="nil"/>
              <w:right w:val="single" w:sz="8" w:space="0" w:color="auto"/>
            </w:tcBorders>
            <w:shd w:val="clear" w:color="auto" w:fill="auto"/>
            <w:noWrap/>
            <w:vAlign w:val="bottom"/>
            <w:hideMark/>
          </w:tcPr>
          <w:p w14:paraId="35ED2FD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316</w:t>
            </w:r>
          </w:p>
        </w:tc>
        <w:tc>
          <w:tcPr>
            <w:tcW w:w="744" w:type="dxa"/>
            <w:tcBorders>
              <w:top w:val="nil"/>
              <w:left w:val="nil"/>
              <w:bottom w:val="nil"/>
              <w:right w:val="single" w:sz="8" w:space="0" w:color="auto"/>
            </w:tcBorders>
            <w:shd w:val="clear" w:color="auto" w:fill="auto"/>
            <w:noWrap/>
            <w:vAlign w:val="bottom"/>
            <w:hideMark/>
          </w:tcPr>
          <w:p w14:paraId="67512CE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309.8</w:t>
            </w:r>
          </w:p>
        </w:tc>
        <w:tc>
          <w:tcPr>
            <w:tcW w:w="744" w:type="dxa"/>
            <w:tcBorders>
              <w:top w:val="nil"/>
              <w:left w:val="nil"/>
              <w:bottom w:val="nil"/>
              <w:right w:val="single" w:sz="8" w:space="0" w:color="auto"/>
            </w:tcBorders>
            <w:shd w:val="clear" w:color="auto" w:fill="auto"/>
            <w:noWrap/>
            <w:vAlign w:val="bottom"/>
            <w:hideMark/>
          </w:tcPr>
          <w:p w14:paraId="3033E75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307</w:t>
            </w:r>
          </w:p>
        </w:tc>
        <w:tc>
          <w:tcPr>
            <w:tcW w:w="744" w:type="dxa"/>
            <w:tcBorders>
              <w:top w:val="nil"/>
              <w:left w:val="nil"/>
              <w:bottom w:val="nil"/>
              <w:right w:val="single" w:sz="8" w:space="0" w:color="auto"/>
            </w:tcBorders>
            <w:shd w:val="clear" w:color="auto" w:fill="auto"/>
            <w:noWrap/>
            <w:vAlign w:val="bottom"/>
            <w:hideMark/>
          </w:tcPr>
          <w:p w14:paraId="523EDD8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304.9</w:t>
            </w:r>
          </w:p>
        </w:tc>
      </w:tr>
      <w:tr w:rsidR="00D33F7C" w:rsidRPr="00AF27AC" w14:paraId="653DDD05"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1DE5F268"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Luxembourg</w:t>
            </w:r>
          </w:p>
        </w:tc>
        <w:tc>
          <w:tcPr>
            <w:tcW w:w="744" w:type="dxa"/>
            <w:tcBorders>
              <w:top w:val="nil"/>
              <w:left w:val="single" w:sz="8" w:space="0" w:color="auto"/>
              <w:bottom w:val="nil"/>
              <w:right w:val="nil"/>
            </w:tcBorders>
            <w:shd w:val="clear" w:color="auto" w:fill="auto"/>
            <w:noWrap/>
            <w:vAlign w:val="center"/>
            <w:hideMark/>
          </w:tcPr>
          <w:p w14:paraId="19914C9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267.3</w:t>
            </w:r>
          </w:p>
        </w:tc>
        <w:tc>
          <w:tcPr>
            <w:tcW w:w="744" w:type="dxa"/>
            <w:tcBorders>
              <w:top w:val="nil"/>
              <w:left w:val="single" w:sz="8" w:space="0" w:color="auto"/>
              <w:bottom w:val="nil"/>
              <w:right w:val="single" w:sz="8" w:space="0" w:color="auto"/>
            </w:tcBorders>
            <w:shd w:val="clear" w:color="auto" w:fill="auto"/>
            <w:noWrap/>
            <w:vAlign w:val="bottom"/>
            <w:hideMark/>
          </w:tcPr>
          <w:p w14:paraId="7633D0E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264.7</w:t>
            </w:r>
          </w:p>
        </w:tc>
        <w:tc>
          <w:tcPr>
            <w:tcW w:w="744" w:type="dxa"/>
            <w:tcBorders>
              <w:top w:val="nil"/>
              <w:left w:val="nil"/>
              <w:bottom w:val="nil"/>
              <w:right w:val="nil"/>
            </w:tcBorders>
            <w:shd w:val="clear" w:color="auto" w:fill="auto"/>
            <w:noWrap/>
            <w:vAlign w:val="bottom"/>
            <w:hideMark/>
          </w:tcPr>
          <w:p w14:paraId="3CE354B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268.8</w:t>
            </w:r>
          </w:p>
        </w:tc>
        <w:tc>
          <w:tcPr>
            <w:tcW w:w="744" w:type="dxa"/>
            <w:tcBorders>
              <w:top w:val="nil"/>
              <w:left w:val="single" w:sz="8" w:space="0" w:color="auto"/>
              <w:bottom w:val="nil"/>
              <w:right w:val="single" w:sz="8" w:space="0" w:color="auto"/>
            </w:tcBorders>
            <w:shd w:val="clear" w:color="auto" w:fill="auto"/>
            <w:noWrap/>
            <w:vAlign w:val="bottom"/>
            <w:hideMark/>
          </w:tcPr>
          <w:p w14:paraId="7836B07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262.5</w:t>
            </w:r>
          </w:p>
        </w:tc>
        <w:tc>
          <w:tcPr>
            <w:tcW w:w="744" w:type="dxa"/>
            <w:tcBorders>
              <w:top w:val="nil"/>
              <w:left w:val="nil"/>
              <w:bottom w:val="nil"/>
              <w:right w:val="nil"/>
            </w:tcBorders>
            <w:shd w:val="clear" w:color="auto" w:fill="auto"/>
            <w:noWrap/>
            <w:vAlign w:val="bottom"/>
            <w:hideMark/>
          </w:tcPr>
          <w:p w14:paraId="651DF02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266.2</w:t>
            </w:r>
          </w:p>
        </w:tc>
        <w:tc>
          <w:tcPr>
            <w:tcW w:w="744" w:type="dxa"/>
            <w:tcBorders>
              <w:top w:val="nil"/>
              <w:left w:val="single" w:sz="8" w:space="0" w:color="auto"/>
              <w:bottom w:val="nil"/>
              <w:right w:val="single" w:sz="8" w:space="0" w:color="auto"/>
            </w:tcBorders>
            <w:shd w:val="clear" w:color="auto" w:fill="auto"/>
            <w:noWrap/>
            <w:vAlign w:val="bottom"/>
            <w:hideMark/>
          </w:tcPr>
          <w:p w14:paraId="4893A18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267.8</w:t>
            </w:r>
          </w:p>
        </w:tc>
        <w:tc>
          <w:tcPr>
            <w:tcW w:w="744" w:type="dxa"/>
            <w:tcBorders>
              <w:top w:val="nil"/>
              <w:left w:val="nil"/>
              <w:bottom w:val="nil"/>
              <w:right w:val="nil"/>
            </w:tcBorders>
            <w:shd w:val="clear" w:color="auto" w:fill="auto"/>
            <w:noWrap/>
            <w:vAlign w:val="bottom"/>
            <w:hideMark/>
          </w:tcPr>
          <w:p w14:paraId="62A86DD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287.7</w:t>
            </w:r>
          </w:p>
        </w:tc>
        <w:tc>
          <w:tcPr>
            <w:tcW w:w="744" w:type="dxa"/>
            <w:tcBorders>
              <w:top w:val="nil"/>
              <w:left w:val="single" w:sz="8" w:space="0" w:color="auto"/>
              <w:bottom w:val="nil"/>
              <w:right w:val="single" w:sz="8" w:space="0" w:color="auto"/>
            </w:tcBorders>
            <w:shd w:val="clear" w:color="auto" w:fill="auto"/>
            <w:noWrap/>
            <w:vAlign w:val="bottom"/>
            <w:hideMark/>
          </w:tcPr>
          <w:p w14:paraId="728ABAF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281.4</w:t>
            </w:r>
          </w:p>
        </w:tc>
        <w:tc>
          <w:tcPr>
            <w:tcW w:w="744" w:type="dxa"/>
            <w:tcBorders>
              <w:top w:val="nil"/>
              <w:left w:val="nil"/>
              <w:bottom w:val="nil"/>
              <w:right w:val="single" w:sz="8" w:space="0" w:color="auto"/>
            </w:tcBorders>
            <w:shd w:val="clear" w:color="auto" w:fill="auto"/>
            <w:noWrap/>
            <w:vAlign w:val="bottom"/>
            <w:hideMark/>
          </w:tcPr>
          <w:p w14:paraId="4F33FBE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282.1</w:t>
            </w:r>
          </w:p>
        </w:tc>
        <w:tc>
          <w:tcPr>
            <w:tcW w:w="744" w:type="dxa"/>
            <w:tcBorders>
              <w:top w:val="nil"/>
              <w:left w:val="nil"/>
              <w:bottom w:val="nil"/>
              <w:right w:val="single" w:sz="8" w:space="0" w:color="auto"/>
            </w:tcBorders>
            <w:shd w:val="clear" w:color="auto" w:fill="auto"/>
            <w:noWrap/>
            <w:vAlign w:val="bottom"/>
            <w:hideMark/>
          </w:tcPr>
          <w:p w14:paraId="1853F37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282.8</w:t>
            </w:r>
          </w:p>
        </w:tc>
        <w:tc>
          <w:tcPr>
            <w:tcW w:w="744" w:type="dxa"/>
            <w:tcBorders>
              <w:top w:val="nil"/>
              <w:left w:val="nil"/>
              <w:bottom w:val="nil"/>
              <w:right w:val="single" w:sz="8" w:space="0" w:color="auto"/>
            </w:tcBorders>
            <w:shd w:val="clear" w:color="auto" w:fill="auto"/>
            <w:noWrap/>
            <w:vAlign w:val="bottom"/>
            <w:hideMark/>
          </w:tcPr>
          <w:p w14:paraId="67B0ADB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291</w:t>
            </w:r>
          </w:p>
        </w:tc>
        <w:tc>
          <w:tcPr>
            <w:tcW w:w="744" w:type="dxa"/>
            <w:tcBorders>
              <w:top w:val="nil"/>
              <w:left w:val="nil"/>
              <w:bottom w:val="nil"/>
              <w:right w:val="single" w:sz="8" w:space="0" w:color="auto"/>
            </w:tcBorders>
            <w:shd w:val="clear" w:color="auto" w:fill="auto"/>
            <w:noWrap/>
            <w:vAlign w:val="bottom"/>
            <w:hideMark/>
          </w:tcPr>
          <w:p w14:paraId="0005453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287.6</w:t>
            </w:r>
          </w:p>
        </w:tc>
      </w:tr>
      <w:tr w:rsidR="00D33F7C" w:rsidRPr="00AF27AC" w14:paraId="3EB48FE2"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1154FAF0"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Switzerland</w:t>
            </w:r>
          </w:p>
        </w:tc>
        <w:tc>
          <w:tcPr>
            <w:tcW w:w="744" w:type="dxa"/>
            <w:tcBorders>
              <w:top w:val="nil"/>
              <w:left w:val="single" w:sz="8" w:space="0" w:color="auto"/>
              <w:bottom w:val="nil"/>
              <w:right w:val="nil"/>
            </w:tcBorders>
            <w:shd w:val="clear" w:color="auto" w:fill="auto"/>
            <w:noWrap/>
            <w:vAlign w:val="center"/>
            <w:hideMark/>
          </w:tcPr>
          <w:p w14:paraId="042B7CA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247.3</w:t>
            </w:r>
          </w:p>
        </w:tc>
        <w:tc>
          <w:tcPr>
            <w:tcW w:w="744" w:type="dxa"/>
            <w:tcBorders>
              <w:top w:val="nil"/>
              <w:left w:val="single" w:sz="8" w:space="0" w:color="auto"/>
              <w:bottom w:val="nil"/>
              <w:right w:val="single" w:sz="8" w:space="0" w:color="auto"/>
            </w:tcBorders>
            <w:shd w:val="clear" w:color="auto" w:fill="auto"/>
            <w:noWrap/>
            <w:vAlign w:val="bottom"/>
            <w:hideMark/>
          </w:tcPr>
          <w:p w14:paraId="135A576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250.4</w:t>
            </w:r>
          </w:p>
        </w:tc>
        <w:tc>
          <w:tcPr>
            <w:tcW w:w="744" w:type="dxa"/>
            <w:tcBorders>
              <w:top w:val="nil"/>
              <w:left w:val="nil"/>
              <w:bottom w:val="nil"/>
              <w:right w:val="nil"/>
            </w:tcBorders>
            <w:shd w:val="clear" w:color="auto" w:fill="auto"/>
            <w:noWrap/>
            <w:vAlign w:val="bottom"/>
            <w:hideMark/>
          </w:tcPr>
          <w:p w14:paraId="0BD8F05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253.4</w:t>
            </w:r>
          </w:p>
        </w:tc>
        <w:tc>
          <w:tcPr>
            <w:tcW w:w="744" w:type="dxa"/>
            <w:tcBorders>
              <w:top w:val="nil"/>
              <w:left w:val="single" w:sz="8" w:space="0" w:color="auto"/>
              <w:bottom w:val="nil"/>
              <w:right w:val="single" w:sz="8" w:space="0" w:color="auto"/>
            </w:tcBorders>
            <w:shd w:val="clear" w:color="auto" w:fill="auto"/>
            <w:noWrap/>
            <w:vAlign w:val="bottom"/>
            <w:hideMark/>
          </w:tcPr>
          <w:p w14:paraId="1C897AE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255.4</w:t>
            </w:r>
          </w:p>
        </w:tc>
        <w:tc>
          <w:tcPr>
            <w:tcW w:w="744" w:type="dxa"/>
            <w:tcBorders>
              <w:top w:val="nil"/>
              <w:left w:val="nil"/>
              <w:bottom w:val="nil"/>
              <w:right w:val="nil"/>
            </w:tcBorders>
            <w:shd w:val="clear" w:color="auto" w:fill="auto"/>
            <w:noWrap/>
            <w:vAlign w:val="bottom"/>
            <w:hideMark/>
          </w:tcPr>
          <w:p w14:paraId="613D7B7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255.5</w:t>
            </w:r>
          </w:p>
        </w:tc>
        <w:tc>
          <w:tcPr>
            <w:tcW w:w="744" w:type="dxa"/>
            <w:tcBorders>
              <w:top w:val="nil"/>
              <w:left w:val="single" w:sz="8" w:space="0" w:color="auto"/>
              <w:bottom w:val="nil"/>
              <w:right w:val="single" w:sz="8" w:space="0" w:color="auto"/>
            </w:tcBorders>
            <w:shd w:val="clear" w:color="auto" w:fill="auto"/>
            <w:noWrap/>
            <w:vAlign w:val="bottom"/>
            <w:hideMark/>
          </w:tcPr>
          <w:p w14:paraId="0EB7366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253.3</w:t>
            </w:r>
          </w:p>
        </w:tc>
        <w:tc>
          <w:tcPr>
            <w:tcW w:w="744" w:type="dxa"/>
            <w:tcBorders>
              <w:top w:val="nil"/>
              <w:left w:val="nil"/>
              <w:bottom w:val="nil"/>
              <w:right w:val="nil"/>
            </w:tcBorders>
            <w:shd w:val="clear" w:color="auto" w:fill="auto"/>
            <w:noWrap/>
            <w:vAlign w:val="bottom"/>
            <w:hideMark/>
          </w:tcPr>
          <w:p w14:paraId="25AE54D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255.5</w:t>
            </w:r>
          </w:p>
        </w:tc>
        <w:tc>
          <w:tcPr>
            <w:tcW w:w="744" w:type="dxa"/>
            <w:tcBorders>
              <w:top w:val="nil"/>
              <w:left w:val="single" w:sz="8" w:space="0" w:color="auto"/>
              <w:bottom w:val="nil"/>
              <w:right w:val="single" w:sz="8" w:space="0" w:color="auto"/>
            </w:tcBorders>
            <w:shd w:val="clear" w:color="auto" w:fill="auto"/>
            <w:noWrap/>
            <w:vAlign w:val="bottom"/>
            <w:hideMark/>
          </w:tcPr>
          <w:p w14:paraId="2BF9DD5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254</w:t>
            </w:r>
          </w:p>
        </w:tc>
        <w:tc>
          <w:tcPr>
            <w:tcW w:w="744" w:type="dxa"/>
            <w:tcBorders>
              <w:top w:val="nil"/>
              <w:left w:val="nil"/>
              <w:bottom w:val="nil"/>
              <w:right w:val="single" w:sz="8" w:space="0" w:color="auto"/>
            </w:tcBorders>
            <w:shd w:val="clear" w:color="auto" w:fill="auto"/>
            <w:noWrap/>
            <w:vAlign w:val="bottom"/>
            <w:hideMark/>
          </w:tcPr>
          <w:p w14:paraId="2BAD9B5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257.8</w:t>
            </w:r>
          </w:p>
        </w:tc>
        <w:tc>
          <w:tcPr>
            <w:tcW w:w="744" w:type="dxa"/>
            <w:tcBorders>
              <w:top w:val="nil"/>
              <w:left w:val="nil"/>
              <w:bottom w:val="nil"/>
              <w:right w:val="single" w:sz="8" w:space="0" w:color="auto"/>
            </w:tcBorders>
            <w:shd w:val="clear" w:color="auto" w:fill="auto"/>
            <w:noWrap/>
            <w:vAlign w:val="bottom"/>
            <w:hideMark/>
          </w:tcPr>
          <w:p w14:paraId="3E2D23A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254.8</w:t>
            </w:r>
          </w:p>
        </w:tc>
        <w:tc>
          <w:tcPr>
            <w:tcW w:w="744" w:type="dxa"/>
            <w:tcBorders>
              <w:top w:val="nil"/>
              <w:left w:val="nil"/>
              <w:bottom w:val="nil"/>
              <w:right w:val="single" w:sz="8" w:space="0" w:color="auto"/>
            </w:tcBorders>
            <w:shd w:val="clear" w:color="auto" w:fill="auto"/>
            <w:noWrap/>
            <w:vAlign w:val="bottom"/>
            <w:hideMark/>
          </w:tcPr>
          <w:p w14:paraId="64BECA9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261</w:t>
            </w:r>
          </w:p>
        </w:tc>
        <w:tc>
          <w:tcPr>
            <w:tcW w:w="744" w:type="dxa"/>
            <w:tcBorders>
              <w:top w:val="nil"/>
              <w:left w:val="nil"/>
              <w:bottom w:val="nil"/>
              <w:right w:val="single" w:sz="8" w:space="0" w:color="auto"/>
            </w:tcBorders>
            <w:shd w:val="clear" w:color="auto" w:fill="auto"/>
            <w:noWrap/>
            <w:vAlign w:val="bottom"/>
            <w:hideMark/>
          </w:tcPr>
          <w:p w14:paraId="066DD5E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264.9</w:t>
            </w:r>
          </w:p>
        </w:tc>
      </w:tr>
      <w:tr w:rsidR="00D33F7C" w:rsidRPr="00AF27AC" w14:paraId="6D82643A"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3000A014"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Brazil</w:t>
            </w:r>
          </w:p>
        </w:tc>
        <w:tc>
          <w:tcPr>
            <w:tcW w:w="744" w:type="dxa"/>
            <w:tcBorders>
              <w:top w:val="nil"/>
              <w:left w:val="single" w:sz="8" w:space="0" w:color="auto"/>
              <w:bottom w:val="nil"/>
              <w:right w:val="nil"/>
            </w:tcBorders>
            <w:shd w:val="clear" w:color="auto" w:fill="auto"/>
            <w:noWrap/>
            <w:vAlign w:val="center"/>
            <w:hideMark/>
          </w:tcPr>
          <w:p w14:paraId="2309E3F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264.1</w:t>
            </w:r>
          </w:p>
        </w:tc>
        <w:tc>
          <w:tcPr>
            <w:tcW w:w="744" w:type="dxa"/>
            <w:tcBorders>
              <w:top w:val="nil"/>
              <w:left w:val="single" w:sz="8" w:space="0" w:color="auto"/>
              <w:bottom w:val="nil"/>
              <w:right w:val="single" w:sz="8" w:space="0" w:color="auto"/>
            </w:tcBorders>
            <w:shd w:val="clear" w:color="auto" w:fill="auto"/>
            <w:noWrap/>
            <w:vAlign w:val="bottom"/>
            <w:hideMark/>
          </w:tcPr>
          <w:p w14:paraId="4D7BB6F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265.7</w:t>
            </w:r>
          </w:p>
        </w:tc>
        <w:tc>
          <w:tcPr>
            <w:tcW w:w="744" w:type="dxa"/>
            <w:tcBorders>
              <w:top w:val="nil"/>
              <w:left w:val="nil"/>
              <w:bottom w:val="nil"/>
              <w:right w:val="nil"/>
            </w:tcBorders>
            <w:shd w:val="clear" w:color="auto" w:fill="auto"/>
            <w:noWrap/>
            <w:vAlign w:val="bottom"/>
            <w:hideMark/>
          </w:tcPr>
          <w:p w14:paraId="1E266CE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265</w:t>
            </w:r>
          </w:p>
        </w:tc>
        <w:tc>
          <w:tcPr>
            <w:tcW w:w="744" w:type="dxa"/>
            <w:tcBorders>
              <w:top w:val="nil"/>
              <w:left w:val="single" w:sz="8" w:space="0" w:color="auto"/>
              <w:bottom w:val="nil"/>
              <w:right w:val="single" w:sz="8" w:space="0" w:color="auto"/>
            </w:tcBorders>
            <w:shd w:val="clear" w:color="auto" w:fill="auto"/>
            <w:noWrap/>
            <w:vAlign w:val="bottom"/>
            <w:hideMark/>
          </w:tcPr>
          <w:p w14:paraId="432CD7F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265.1</w:t>
            </w:r>
          </w:p>
        </w:tc>
        <w:tc>
          <w:tcPr>
            <w:tcW w:w="744" w:type="dxa"/>
            <w:tcBorders>
              <w:top w:val="nil"/>
              <w:left w:val="nil"/>
              <w:bottom w:val="nil"/>
              <w:right w:val="nil"/>
            </w:tcBorders>
            <w:shd w:val="clear" w:color="auto" w:fill="auto"/>
            <w:noWrap/>
            <w:vAlign w:val="bottom"/>
            <w:hideMark/>
          </w:tcPr>
          <w:p w14:paraId="2A654CB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262.9</w:t>
            </w:r>
          </w:p>
        </w:tc>
        <w:tc>
          <w:tcPr>
            <w:tcW w:w="744" w:type="dxa"/>
            <w:tcBorders>
              <w:top w:val="nil"/>
              <w:left w:val="single" w:sz="8" w:space="0" w:color="auto"/>
              <w:bottom w:val="nil"/>
              <w:right w:val="single" w:sz="8" w:space="0" w:color="auto"/>
            </w:tcBorders>
            <w:shd w:val="clear" w:color="auto" w:fill="auto"/>
            <w:noWrap/>
            <w:vAlign w:val="bottom"/>
            <w:hideMark/>
          </w:tcPr>
          <w:p w14:paraId="0B3BB36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262.2</w:t>
            </w:r>
          </w:p>
        </w:tc>
        <w:tc>
          <w:tcPr>
            <w:tcW w:w="744" w:type="dxa"/>
            <w:tcBorders>
              <w:top w:val="nil"/>
              <w:left w:val="nil"/>
              <w:bottom w:val="nil"/>
              <w:right w:val="nil"/>
            </w:tcBorders>
            <w:shd w:val="clear" w:color="auto" w:fill="auto"/>
            <w:noWrap/>
            <w:vAlign w:val="bottom"/>
            <w:hideMark/>
          </w:tcPr>
          <w:p w14:paraId="0C5DA05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258.3</w:t>
            </w:r>
          </w:p>
        </w:tc>
        <w:tc>
          <w:tcPr>
            <w:tcW w:w="744" w:type="dxa"/>
            <w:tcBorders>
              <w:top w:val="nil"/>
              <w:left w:val="single" w:sz="8" w:space="0" w:color="auto"/>
              <w:bottom w:val="nil"/>
              <w:right w:val="single" w:sz="8" w:space="0" w:color="auto"/>
            </w:tcBorders>
            <w:shd w:val="clear" w:color="auto" w:fill="auto"/>
            <w:noWrap/>
            <w:vAlign w:val="bottom"/>
            <w:hideMark/>
          </w:tcPr>
          <w:p w14:paraId="7EDC754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260.4</w:t>
            </w:r>
          </w:p>
        </w:tc>
        <w:tc>
          <w:tcPr>
            <w:tcW w:w="744" w:type="dxa"/>
            <w:tcBorders>
              <w:top w:val="nil"/>
              <w:left w:val="nil"/>
              <w:bottom w:val="nil"/>
              <w:right w:val="single" w:sz="8" w:space="0" w:color="auto"/>
            </w:tcBorders>
            <w:shd w:val="clear" w:color="auto" w:fill="auto"/>
            <w:noWrap/>
            <w:vAlign w:val="bottom"/>
            <w:hideMark/>
          </w:tcPr>
          <w:p w14:paraId="6A8D136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259</w:t>
            </w:r>
          </w:p>
        </w:tc>
        <w:tc>
          <w:tcPr>
            <w:tcW w:w="744" w:type="dxa"/>
            <w:tcBorders>
              <w:top w:val="nil"/>
              <w:left w:val="nil"/>
              <w:bottom w:val="nil"/>
              <w:right w:val="single" w:sz="8" w:space="0" w:color="auto"/>
            </w:tcBorders>
            <w:shd w:val="clear" w:color="auto" w:fill="auto"/>
            <w:noWrap/>
            <w:vAlign w:val="bottom"/>
            <w:hideMark/>
          </w:tcPr>
          <w:p w14:paraId="412EC0D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255.5</w:t>
            </w:r>
          </w:p>
        </w:tc>
        <w:tc>
          <w:tcPr>
            <w:tcW w:w="744" w:type="dxa"/>
            <w:tcBorders>
              <w:top w:val="nil"/>
              <w:left w:val="nil"/>
              <w:bottom w:val="nil"/>
              <w:right w:val="single" w:sz="8" w:space="0" w:color="auto"/>
            </w:tcBorders>
            <w:shd w:val="clear" w:color="auto" w:fill="auto"/>
            <w:noWrap/>
            <w:vAlign w:val="bottom"/>
            <w:hideMark/>
          </w:tcPr>
          <w:p w14:paraId="39A9EC0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255.3</w:t>
            </w:r>
          </w:p>
        </w:tc>
        <w:tc>
          <w:tcPr>
            <w:tcW w:w="744" w:type="dxa"/>
            <w:tcBorders>
              <w:top w:val="nil"/>
              <w:left w:val="nil"/>
              <w:bottom w:val="nil"/>
              <w:right w:val="single" w:sz="8" w:space="0" w:color="auto"/>
            </w:tcBorders>
            <w:shd w:val="clear" w:color="auto" w:fill="auto"/>
            <w:noWrap/>
            <w:vAlign w:val="bottom"/>
            <w:hideMark/>
          </w:tcPr>
          <w:p w14:paraId="46D17BA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251.8</w:t>
            </w:r>
          </w:p>
        </w:tc>
      </w:tr>
      <w:tr w:rsidR="00D33F7C" w:rsidRPr="00AF27AC" w14:paraId="4CEF2712"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3E4BF0BE"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Belgium</w:t>
            </w:r>
          </w:p>
        </w:tc>
        <w:tc>
          <w:tcPr>
            <w:tcW w:w="744" w:type="dxa"/>
            <w:tcBorders>
              <w:top w:val="nil"/>
              <w:left w:val="single" w:sz="8" w:space="0" w:color="auto"/>
              <w:bottom w:val="nil"/>
              <w:right w:val="nil"/>
            </w:tcBorders>
            <w:shd w:val="clear" w:color="auto" w:fill="auto"/>
            <w:noWrap/>
            <w:vAlign w:val="center"/>
            <w:hideMark/>
          </w:tcPr>
          <w:p w14:paraId="025F839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218.8</w:t>
            </w:r>
          </w:p>
        </w:tc>
        <w:tc>
          <w:tcPr>
            <w:tcW w:w="744" w:type="dxa"/>
            <w:tcBorders>
              <w:top w:val="nil"/>
              <w:left w:val="single" w:sz="8" w:space="0" w:color="auto"/>
              <w:bottom w:val="nil"/>
              <w:right w:val="single" w:sz="8" w:space="0" w:color="auto"/>
            </w:tcBorders>
            <w:shd w:val="clear" w:color="auto" w:fill="auto"/>
            <w:noWrap/>
            <w:vAlign w:val="bottom"/>
            <w:hideMark/>
          </w:tcPr>
          <w:p w14:paraId="2548E8A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211.8</w:t>
            </w:r>
          </w:p>
        </w:tc>
        <w:tc>
          <w:tcPr>
            <w:tcW w:w="744" w:type="dxa"/>
            <w:tcBorders>
              <w:top w:val="nil"/>
              <w:left w:val="nil"/>
              <w:bottom w:val="nil"/>
              <w:right w:val="nil"/>
            </w:tcBorders>
            <w:shd w:val="clear" w:color="auto" w:fill="auto"/>
            <w:noWrap/>
            <w:vAlign w:val="bottom"/>
            <w:hideMark/>
          </w:tcPr>
          <w:p w14:paraId="7912984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214.9</w:t>
            </w:r>
          </w:p>
        </w:tc>
        <w:tc>
          <w:tcPr>
            <w:tcW w:w="744" w:type="dxa"/>
            <w:tcBorders>
              <w:top w:val="nil"/>
              <w:left w:val="single" w:sz="8" w:space="0" w:color="auto"/>
              <w:bottom w:val="nil"/>
              <w:right w:val="single" w:sz="8" w:space="0" w:color="auto"/>
            </w:tcBorders>
            <w:shd w:val="clear" w:color="auto" w:fill="auto"/>
            <w:noWrap/>
            <w:vAlign w:val="bottom"/>
            <w:hideMark/>
          </w:tcPr>
          <w:p w14:paraId="5969AAF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218.1</w:t>
            </w:r>
          </w:p>
        </w:tc>
        <w:tc>
          <w:tcPr>
            <w:tcW w:w="744" w:type="dxa"/>
            <w:tcBorders>
              <w:top w:val="nil"/>
              <w:left w:val="nil"/>
              <w:bottom w:val="nil"/>
              <w:right w:val="nil"/>
            </w:tcBorders>
            <w:shd w:val="clear" w:color="auto" w:fill="auto"/>
            <w:noWrap/>
            <w:vAlign w:val="bottom"/>
            <w:hideMark/>
          </w:tcPr>
          <w:p w14:paraId="45CFF22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239.5</w:t>
            </w:r>
          </w:p>
        </w:tc>
        <w:tc>
          <w:tcPr>
            <w:tcW w:w="744" w:type="dxa"/>
            <w:tcBorders>
              <w:top w:val="nil"/>
              <w:left w:val="single" w:sz="8" w:space="0" w:color="auto"/>
              <w:bottom w:val="nil"/>
              <w:right w:val="single" w:sz="8" w:space="0" w:color="auto"/>
            </w:tcBorders>
            <w:shd w:val="clear" w:color="auto" w:fill="auto"/>
            <w:noWrap/>
            <w:vAlign w:val="bottom"/>
            <w:hideMark/>
          </w:tcPr>
          <w:p w14:paraId="558AE0F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240.5</w:t>
            </w:r>
          </w:p>
        </w:tc>
        <w:tc>
          <w:tcPr>
            <w:tcW w:w="744" w:type="dxa"/>
            <w:tcBorders>
              <w:top w:val="nil"/>
              <w:left w:val="nil"/>
              <w:bottom w:val="nil"/>
              <w:right w:val="nil"/>
            </w:tcBorders>
            <w:shd w:val="clear" w:color="auto" w:fill="auto"/>
            <w:noWrap/>
            <w:vAlign w:val="bottom"/>
            <w:hideMark/>
          </w:tcPr>
          <w:p w14:paraId="4BE5798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253.5</w:t>
            </w:r>
          </w:p>
        </w:tc>
        <w:tc>
          <w:tcPr>
            <w:tcW w:w="744" w:type="dxa"/>
            <w:tcBorders>
              <w:top w:val="nil"/>
              <w:left w:val="single" w:sz="8" w:space="0" w:color="auto"/>
              <w:bottom w:val="nil"/>
              <w:right w:val="single" w:sz="8" w:space="0" w:color="auto"/>
            </w:tcBorders>
            <w:shd w:val="clear" w:color="auto" w:fill="auto"/>
            <w:noWrap/>
            <w:vAlign w:val="bottom"/>
            <w:hideMark/>
          </w:tcPr>
          <w:p w14:paraId="3D73744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248.2</w:t>
            </w:r>
          </w:p>
        </w:tc>
        <w:tc>
          <w:tcPr>
            <w:tcW w:w="744" w:type="dxa"/>
            <w:tcBorders>
              <w:top w:val="nil"/>
              <w:left w:val="nil"/>
              <w:bottom w:val="nil"/>
              <w:right w:val="single" w:sz="8" w:space="0" w:color="auto"/>
            </w:tcBorders>
            <w:shd w:val="clear" w:color="auto" w:fill="auto"/>
            <w:noWrap/>
            <w:vAlign w:val="bottom"/>
            <w:hideMark/>
          </w:tcPr>
          <w:p w14:paraId="113F970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236.7</w:t>
            </w:r>
          </w:p>
        </w:tc>
        <w:tc>
          <w:tcPr>
            <w:tcW w:w="744" w:type="dxa"/>
            <w:tcBorders>
              <w:top w:val="nil"/>
              <w:left w:val="nil"/>
              <w:bottom w:val="nil"/>
              <w:right w:val="single" w:sz="8" w:space="0" w:color="auto"/>
            </w:tcBorders>
            <w:shd w:val="clear" w:color="auto" w:fill="auto"/>
            <w:noWrap/>
            <w:vAlign w:val="bottom"/>
            <w:hideMark/>
          </w:tcPr>
          <w:p w14:paraId="4F9221A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235.8</w:t>
            </w:r>
          </w:p>
        </w:tc>
        <w:tc>
          <w:tcPr>
            <w:tcW w:w="744" w:type="dxa"/>
            <w:tcBorders>
              <w:top w:val="nil"/>
              <w:left w:val="nil"/>
              <w:bottom w:val="nil"/>
              <w:right w:val="single" w:sz="8" w:space="0" w:color="auto"/>
            </w:tcBorders>
            <w:shd w:val="clear" w:color="auto" w:fill="auto"/>
            <w:noWrap/>
            <w:vAlign w:val="bottom"/>
            <w:hideMark/>
          </w:tcPr>
          <w:p w14:paraId="3422581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234.8</w:t>
            </w:r>
          </w:p>
        </w:tc>
        <w:tc>
          <w:tcPr>
            <w:tcW w:w="744" w:type="dxa"/>
            <w:tcBorders>
              <w:top w:val="nil"/>
              <w:left w:val="nil"/>
              <w:bottom w:val="nil"/>
              <w:right w:val="single" w:sz="8" w:space="0" w:color="auto"/>
            </w:tcBorders>
            <w:shd w:val="clear" w:color="auto" w:fill="auto"/>
            <w:noWrap/>
            <w:vAlign w:val="bottom"/>
            <w:hideMark/>
          </w:tcPr>
          <w:p w14:paraId="249A425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236.4</w:t>
            </w:r>
          </w:p>
        </w:tc>
      </w:tr>
      <w:tr w:rsidR="00D33F7C" w:rsidRPr="00AF27AC" w14:paraId="33512EFA"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0DBAAADE"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Taiwan</w:t>
            </w:r>
          </w:p>
        </w:tc>
        <w:tc>
          <w:tcPr>
            <w:tcW w:w="744" w:type="dxa"/>
            <w:tcBorders>
              <w:top w:val="nil"/>
              <w:left w:val="single" w:sz="8" w:space="0" w:color="auto"/>
              <w:bottom w:val="nil"/>
              <w:right w:val="nil"/>
            </w:tcBorders>
            <w:shd w:val="clear" w:color="auto" w:fill="auto"/>
            <w:noWrap/>
            <w:vAlign w:val="center"/>
            <w:hideMark/>
          </w:tcPr>
          <w:p w14:paraId="4D39CB8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204.6</w:t>
            </w:r>
          </w:p>
        </w:tc>
        <w:tc>
          <w:tcPr>
            <w:tcW w:w="744" w:type="dxa"/>
            <w:tcBorders>
              <w:top w:val="nil"/>
              <w:left w:val="single" w:sz="8" w:space="0" w:color="auto"/>
              <w:bottom w:val="nil"/>
              <w:right w:val="single" w:sz="8" w:space="0" w:color="auto"/>
            </w:tcBorders>
            <w:shd w:val="clear" w:color="auto" w:fill="auto"/>
            <w:noWrap/>
            <w:vAlign w:val="bottom"/>
            <w:hideMark/>
          </w:tcPr>
          <w:p w14:paraId="3D41114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209.7</w:t>
            </w:r>
          </w:p>
        </w:tc>
        <w:tc>
          <w:tcPr>
            <w:tcW w:w="744" w:type="dxa"/>
            <w:tcBorders>
              <w:top w:val="nil"/>
              <w:left w:val="nil"/>
              <w:bottom w:val="nil"/>
              <w:right w:val="nil"/>
            </w:tcBorders>
            <w:shd w:val="clear" w:color="auto" w:fill="auto"/>
            <w:noWrap/>
            <w:vAlign w:val="bottom"/>
            <w:hideMark/>
          </w:tcPr>
          <w:p w14:paraId="044146A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212</w:t>
            </w:r>
          </w:p>
        </w:tc>
        <w:tc>
          <w:tcPr>
            <w:tcW w:w="744" w:type="dxa"/>
            <w:tcBorders>
              <w:top w:val="nil"/>
              <w:left w:val="single" w:sz="8" w:space="0" w:color="auto"/>
              <w:bottom w:val="nil"/>
              <w:right w:val="single" w:sz="8" w:space="0" w:color="auto"/>
            </w:tcBorders>
            <w:shd w:val="clear" w:color="auto" w:fill="auto"/>
            <w:noWrap/>
            <w:vAlign w:val="bottom"/>
            <w:hideMark/>
          </w:tcPr>
          <w:p w14:paraId="573F8D4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213.5</w:t>
            </w:r>
          </w:p>
        </w:tc>
        <w:tc>
          <w:tcPr>
            <w:tcW w:w="744" w:type="dxa"/>
            <w:tcBorders>
              <w:top w:val="nil"/>
              <w:left w:val="nil"/>
              <w:bottom w:val="nil"/>
              <w:right w:val="nil"/>
            </w:tcBorders>
            <w:shd w:val="clear" w:color="auto" w:fill="auto"/>
            <w:noWrap/>
            <w:vAlign w:val="bottom"/>
            <w:hideMark/>
          </w:tcPr>
          <w:p w14:paraId="3C1B506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218.2</w:t>
            </w:r>
          </w:p>
        </w:tc>
        <w:tc>
          <w:tcPr>
            <w:tcW w:w="744" w:type="dxa"/>
            <w:tcBorders>
              <w:top w:val="nil"/>
              <w:left w:val="single" w:sz="8" w:space="0" w:color="auto"/>
              <w:bottom w:val="nil"/>
              <w:right w:val="single" w:sz="8" w:space="0" w:color="auto"/>
            </w:tcBorders>
            <w:shd w:val="clear" w:color="auto" w:fill="auto"/>
            <w:noWrap/>
            <w:vAlign w:val="bottom"/>
            <w:hideMark/>
          </w:tcPr>
          <w:p w14:paraId="7EE966E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222.3</w:t>
            </w:r>
          </w:p>
        </w:tc>
        <w:tc>
          <w:tcPr>
            <w:tcW w:w="744" w:type="dxa"/>
            <w:tcBorders>
              <w:top w:val="nil"/>
              <w:left w:val="nil"/>
              <w:bottom w:val="nil"/>
              <w:right w:val="nil"/>
            </w:tcBorders>
            <w:shd w:val="clear" w:color="auto" w:fill="auto"/>
            <w:noWrap/>
            <w:vAlign w:val="bottom"/>
            <w:hideMark/>
          </w:tcPr>
          <w:p w14:paraId="5B1E593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235.4</w:t>
            </w:r>
          </w:p>
        </w:tc>
        <w:tc>
          <w:tcPr>
            <w:tcW w:w="744" w:type="dxa"/>
            <w:tcBorders>
              <w:top w:val="nil"/>
              <w:left w:val="single" w:sz="8" w:space="0" w:color="auto"/>
              <w:bottom w:val="nil"/>
              <w:right w:val="single" w:sz="8" w:space="0" w:color="auto"/>
            </w:tcBorders>
            <w:shd w:val="clear" w:color="auto" w:fill="auto"/>
            <w:noWrap/>
            <w:vAlign w:val="bottom"/>
            <w:hideMark/>
          </w:tcPr>
          <w:p w14:paraId="3651084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239.6</w:t>
            </w:r>
          </w:p>
        </w:tc>
        <w:tc>
          <w:tcPr>
            <w:tcW w:w="744" w:type="dxa"/>
            <w:tcBorders>
              <w:top w:val="nil"/>
              <w:left w:val="nil"/>
              <w:bottom w:val="nil"/>
              <w:right w:val="single" w:sz="8" w:space="0" w:color="auto"/>
            </w:tcBorders>
            <w:shd w:val="clear" w:color="auto" w:fill="auto"/>
            <w:noWrap/>
            <w:vAlign w:val="bottom"/>
            <w:hideMark/>
          </w:tcPr>
          <w:p w14:paraId="5DB6F38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234.5</w:t>
            </w:r>
          </w:p>
        </w:tc>
        <w:tc>
          <w:tcPr>
            <w:tcW w:w="744" w:type="dxa"/>
            <w:tcBorders>
              <w:top w:val="nil"/>
              <w:left w:val="nil"/>
              <w:bottom w:val="nil"/>
              <w:right w:val="single" w:sz="8" w:space="0" w:color="auto"/>
            </w:tcBorders>
            <w:shd w:val="clear" w:color="auto" w:fill="auto"/>
            <w:noWrap/>
            <w:vAlign w:val="bottom"/>
            <w:hideMark/>
          </w:tcPr>
          <w:p w14:paraId="4EA8EE7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231.5</w:t>
            </w:r>
          </w:p>
        </w:tc>
        <w:tc>
          <w:tcPr>
            <w:tcW w:w="744" w:type="dxa"/>
            <w:tcBorders>
              <w:top w:val="nil"/>
              <w:left w:val="nil"/>
              <w:bottom w:val="nil"/>
              <w:right w:val="single" w:sz="8" w:space="0" w:color="auto"/>
            </w:tcBorders>
            <w:shd w:val="clear" w:color="auto" w:fill="auto"/>
            <w:noWrap/>
            <w:vAlign w:val="bottom"/>
            <w:hideMark/>
          </w:tcPr>
          <w:p w14:paraId="41D1FB9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234</w:t>
            </w:r>
          </w:p>
        </w:tc>
        <w:tc>
          <w:tcPr>
            <w:tcW w:w="744" w:type="dxa"/>
            <w:tcBorders>
              <w:top w:val="nil"/>
              <w:left w:val="nil"/>
              <w:bottom w:val="nil"/>
              <w:right w:val="single" w:sz="8" w:space="0" w:color="auto"/>
            </w:tcBorders>
            <w:shd w:val="clear" w:color="auto" w:fill="auto"/>
            <w:noWrap/>
            <w:vAlign w:val="bottom"/>
            <w:hideMark/>
          </w:tcPr>
          <w:p w14:paraId="2FADA2F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236.3</w:t>
            </w:r>
          </w:p>
        </w:tc>
      </w:tr>
      <w:tr w:rsidR="00D33F7C" w:rsidRPr="00AF27AC" w14:paraId="2333A7C9"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4C83F979"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Cayman Islands</w:t>
            </w:r>
          </w:p>
        </w:tc>
        <w:tc>
          <w:tcPr>
            <w:tcW w:w="744" w:type="dxa"/>
            <w:tcBorders>
              <w:top w:val="nil"/>
              <w:left w:val="single" w:sz="8" w:space="0" w:color="auto"/>
              <w:bottom w:val="nil"/>
              <w:right w:val="nil"/>
            </w:tcBorders>
            <w:shd w:val="clear" w:color="auto" w:fill="auto"/>
            <w:noWrap/>
            <w:vAlign w:val="center"/>
            <w:hideMark/>
          </w:tcPr>
          <w:p w14:paraId="7E0669D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229.6</w:t>
            </w:r>
          </w:p>
        </w:tc>
        <w:tc>
          <w:tcPr>
            <w:tcW w:w="744" w:type="dxa"/>
            <w:tcBorders>
              <w:top w:val="nil"/>
              <w:left w:val="single" w:sz="8" w:space="0" w:color="auto"/>
              <w:bottom w:val="nil"/>
              <w:right w:val="single" w:sz="8" w:space="0" w:color="auto"/>
            </w:tcBorders>
            <w:shd w:val="clear" w:color="auto" w:fill="auto"/>
            <w:noWrap/>
            <w:vAlign w:val="bottom"/>
            <w:hideMark/>
          </w:tcPr>
          <w:p w14:paraId="5716BFC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222.3</w:t>
            </w:r>
          </w:p>
        </w:tc>
        <w:tc>
          <w:tcPr>
            <w:tcW w:w="744" w:type="dxa"/>
            <w:tcBorders>
              <w:top w:val="nil"/>
              <w:left w:val="nil"/>
              <w:bottom w:val="nil"/>
              <w:right w:val="nil"/>
            </w:tcBorders>
            <w:shd w:val="clear" w:color="auto" w:fill="auto"/>
            <w:noWrap/>
            <w:vAlign w:val="bottom"/>
            <w:hideMark/>
          </w:tcPr>
          <w:p w14:paraId="1EC9414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229</w:t>
            </w:r>
          </w:p>
        </w:tc>
        <w:tc>
          <w:tcPr>
            <w:tcW w:w="744" w:type="dxa"/>
            <w:tcBorders>
              <w:top w:val="nil"/>
              <w:left w:val="single" w:sz="8" w:space="0" w:color="auto"/>
              <w:bottom w:val="nil"/>
              <w:right w:val="single" w:sz="8" w:space="0" w:color="auto"/>
            </w:tcBorders>
            <w:shd w:val="clear" w:color="auto" w:fill="auto"/>
            <w:noWrap/>
            <w:vAlign w:val="bottom"/>
            <w:hideMark/>
          </w:tcPr>
          <w:p w14:paraId="29DA8C9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231.6</w:t>
            </w:r>
          </w:p>
        </w:tc>
        <w:tc>
          <w:tcPr>
            <w:tcW w:w="744" w:type="dxa"/>
            <w:tcBorders>
              <w:top w:val="nil"/>
              <w:left w:val="nil"/>
              <w:bottom w:val="nil"/>
              <w:right w:val="nil"/>
            </w:tcBorders>
            <w:shd w:val="clear" w:color="auto" w:fill="auto"/>
            <w:noWrap/>
            <w:vAlign w:val="bottom"/>
            <w:hideMark/>
          </w:tcPr>
          <w:p w14:paraId="4050A5D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221.5</w:t>
            </w:r>
          </w:p>
        </w:tc>
        <w:tc>
          <w:tcPr>
            <w:tcW w:w="744" w:type="dxa"/>
            <w:tcBorders>
              <w:top w:val="nil"/>
              <w:left w:val="single" w:sz="8" w:space="0" w:color="auto"/>
              <w:bottom w:val="nil"/>
              <w:right w:val="single" w:sz="8" w:space="0" w:color="auto"/>
            </w:tcBorders>
            <w:shd w:val="clear" w:color="auto" w:fill="auto"/>
            <w:noWrap/>
            <w:vAlign w:val="bottom"/>
            <w:hideMark/>
          </w:tcPr>
          <w:p w14:paraId="70F633C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222.9</w:t>
            </w:r>
          </w:p>
        </w:tc>
        <w:tc>
          <w:tcPr>
            <w:tcW w:w="744" w:type="dxa"/>
            <w:tcBorders>
              <w:top w:val="nil"/>
              <w:left w:val="nil"/>
              <w:bottom w:val="nil"/>
              <w:right w:val="nil"/>
            </w:tcBorders>
            <w:shd w:val="clear" w:color="auto" w:fill="auto"/>
            <w:noWrap/>
            <w:vAlign w:val="bottom"/>
            <w:hideMark/>
          </w:tcPr>
          <w:p w14:paraId="302CD52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222.9</w:t>
            </w:r>
          </w:p>
        </w:tc>
        <w:tc>
          <w:tcPr>
            <w:tcW w:w="744" w:type="dxa"/>
            <w:tcBorders>
              <w:top w:val="nil"/>
              <w:left w:val="single" w:sz="8" w:space="0" w:color="auto"/>
              <w:bottom w:val="nil"/>
              <w:right w:val="single" w:sz="8" w:space="0" w:color="auto"/>
            </w:tcBorders>
            <w:shd w:val="clear" w:color="auto" w:fill="auto"/>
            <w:noWrap/>
            <w:vAlign w:val="bottom"/>
            <w:hideMark/>
          </w:tcPr>
          <w:p w14:paraId="42FAD34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217.6</w:t>
            </w:r>
          </w:p>
        </w:tc>
        <w:tc>
          <w:tcPr>
            <w:tcW w:w="744" w:type="dxa"/>
            <w:tcBorders>
              <w:top w:val="nil"/>
              <w:left w:val="nil"/>
              <w:bottom w:val="nil"/>
              <w:right w:val="single" w:sz="8" w:space="0" w:color="auto"/>
            </w:tcBorders>
            <w:shd w:val="clear" w:color="auto" w:fill="auto"/>
            <w:noWrap/>
            <w:vAlign w:val="bottom"/>
            <w:hideMark/>
          </w:tcPr>
          <w:p w14:paraId="2B87F98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216</w:t>
            </w:r>
          </w:p>
        </w:tc>
        <w:tc>
          <w:tcPr>
            <w:tcW w:w="744" w:type="dxa"/>
            <w:tcBorders>
              <w:top w:val="nil"/>
              <w:left w:val="nil"/>
              <w:bottom w:val="nil"/>
              <w:right w:val="single" w:sz="8" w:space="0" w:color="auto"/>
            </w:tcBorders>
            <w:shd w:val="clear" w:color="auto" w:fill="auto"/>
            <w:noWrap/>
            <w:vAlign w:val="bottom"/>
            <w:hideMark/>
          </w:tcPr>
          <w:p w14:paraId="1A7D56E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215.2</w:t>
            </w:r>
          </w:p>
        </w:tc>
        <w:tc>
          <w:tcPr>
            <w:tcW w:w="744" w:type="dxa"/>
            <w:tcBorders>
              <w:top w:val="nil"/>
              <w:left w:val="nil"/>
              <w:bottom w:val="nil"/>
              <w:right w:val="single" w:sz="8" w:space="0" w:color="auto"/>
            </w:tcBorders>
            <w:shd w:val="clear" w:color="auto" w:fill="auto"/>
            <w:noWrap/>
            <w:vAlign w:val="bottom"/>
            <w:hideMark/>
          </w:tcPr>
          <w:p w14:paraId="557B12F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226</w:t>
            </w:r>
          </w:p>
        </w:tc>
        <w:tc>
          <w:tcPr>
            <w:tcW w:w="744" w:type="dxa"/>
            <w:tcBorders>
              <w:top w:val="nil"/>
              <w:left w:val="nil"/>
              <w:bottom w:val="nil"/>
              <w:right w:val="single" w:sz="8" w:space="0" w:color="auto"/>
            </w:tcBorders>
            <w:shd w:val="clear" w:color="auto" w:fill="auto"/>
            <w:noWrap/>
            <w:vAlign w:val="bottom"/>
            <w:hideMark/>
          </w:tcPr>
          <w:p w14:paraId="6D925E2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228.7</w:t>
            </w:r>
          </w:p>
        </w:tc>
      </w:tr>
      <w:tr w:rsidR="00D33F7C" w:rsidRPr="00AF27AC" w14:paraId="4975101A"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0FB88FC8"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Hong Kong</w:t>
            </w:r>
          </w:p>
        </w:tc>
        <w:tc>
          <w:tcPr>
            <w:tcW w:w="744" w:type="dxa"/>
            <w:tcBorders>
              <w:top w:val="nil"/>
              <w:left w:val="single" w:sz="8" w:space="0" w:color="auto"/>
              <w:bottom w:val="nil"/>
              <w:right w:val="nil"/>
            </w:tcBorders>
            <w:shd w:val="clear" w:color="auto" w:fill="auto"/>
            <w:noWrap/>
            <w:vAlign w:val="center"/>
            <w:hideMark/>
          </w:tcPr>
          <w:p w14:paraId="3670A34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262.2</w:t>
            </w:r>
          </w:p>
        </w:tc>
        <w:tc>
          <w:tcPr>
            <w:tcW w:w="744" w:type="dxa"/>
            <w:tcBorders>
              <w:top w:val="nil"/>
              <w:left w:val="single" w:sz="8" w:space="0" w:color="auto"/>
              <w:bottom w:val="nil"/>
              <w:right w:val="single" w:sz="8" w:space="0" w:color="auto"/>
            </w:tcBorders>
            <w:shd w:val="clear" w:color="auto" w:fill="auto"/>
            <w:noWrap/>
            <w:vAlign w:val="bottom"/>
            <w:hideMark/>
          </w:tcPr>
          <w:p w14:paraId="1A33C5E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262.7</w:t>
            </w:r>
          </w:p>
        </w:tc>
        <w:tc>
          <w:tcPr>
            <w:tcW w:w="744" w:type="dxa"/>
            <w:tcBorders>
              <w:top w:val="nil"/>
              <w:left w:val="nil"/>
              <w:bottom w:val="nil"/>
              <w:right w:val="nil"/>
            </w:tcBorders>
            <w:shd w:val="clear" w:color="auto" w:fill="auto"/>
            <w:noWrap/>
            <w:vAlign w:val="bottom"/>
            <w:hideMark/>
          </w:tcPr>
          <w:p w14:paraId="4F3C588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246.7</w:t>
            </w:r>
          </w:p>
        </w:tc>
        <w:tc>
          <w:tcPr>
            <w:tcW w:w="744" w:type="dxa"/>
            <w:tcBorders>
              <w:top w:val="nil"/>
              <w:left w:val="single" w:sz="8" w:space="0" w:color="auto"/>
              <w:bottom w:val="nil"/>
              <w:right w:val="single" w:sz="8" w:space="0" w:color="auto"/>
            </w:tcBorders>
            <w:shd w:val="clear" w:color="auto" w:fill="auto"/>
            <w:noWrap/>
            <w:vAlign w:val="bottom"/>
            <w:hideMark/>
          </w:tcPr>
          <w:p w14:paraId="591E226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241.7</w:t>
            </w:r>
          </w:p>
        </w:tc>
        <w:tc>
          <w:tcPr>
            <w:tcW w:w="744" w:type="dxa"/>
            <w:tcBorders>
              <w:top w:val="nil"/>
              <w:left w:val="nil"/>
              <w:bottom w:val="nil"/>
              <w:right w:val="nil"/>
            </w:tcBorders>
            <w:shd w:val="clear" w:color="auto" w:fill="auto"/>
            <w:noWrap/>
            <w:vAlign w:val="bottom"/>
            <w:hideMark/>
          </w:tcPr>
          <w:p w14:paraId="741B2CB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226.6</w:t>
            </w:r>
          </w:p>
        </w:tc>
        <w:tc>
          <w:tcPr>
            <w:tcW w:w="744" w:type="dxa"/>
            <w:tcBorders>
              <w:top w:val="nil"/>
              <w:left w:val="single" w:sz="8" w:space="0" w:color="auto"/>
              <w:bottom w:val="nil"/>
              <w:right w:val="single" w:sz="8" w:space="0" w:color="auto"/>
            </w:tcBorders>
            <w:shd w:val="clear" w:color="auto" w:fill="auto"/>
            <w:noWrap/>
            <w:vAlign w:val="bottom"/>
            <w:hideMark/>
          </w:tcPr>
          <w:p w14:paraId="51909F5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223.8</w:t>
            </w:r>
          </w:p>
        </w:tc>
        <w:tc>
          <w:tcPr>
            <w:tcW w:w="744" w:type="dxa"/>
            <w:tcBorders>
              <w:top w:val="nil"/>
              <w:left w:val="nil"/>
              <w:bottom w:val="nil"/>
              <w:right w:val="nil"/>
            </w:tcBorders>
            <w:shd w:val="clear" w:color="auto" w:fill="auto"/>
            <w:noWrap/>
            <w:vAlign w:val="bottom"/>
            <w:hideMark/>
          </w:tcPr>
          <w:p w14:paraId="343D7B2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224.1</w:t>
            </w:r>
          </w:p>
        </w:tc>
        <w:tc>
          <w:tcPr>
            <w:tcW w:w="744" w:type="dxa"/>
            <w:tcBorders>
              <w:top w:val="nil"/>
              <w:left w:val="single" w:sz="8" w:space="0" w:color="auto"/>
              <w:bottom w:val="nil"/>
              <w:right w:val="single" w:sz="8" w:space="0" w:color="auto"/>
            </w:tcBorders>
            <w:shd w:val="clear" w:color="auto" w:fill="auto"/>
            <w:noWrap/>
            <w:vAlign w:val="bottom"/>
            <w:hideMark/>
          </w:tcPr>
          <w:p w14:paraId="35A9BFD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223.9</w:t>
            </w:r>
          </w:p>
        </w:tc>
        <w:tc>
          <w:tcPr>
            <w:tcW w:w="744" w:type="dxa"/>
            <w:tcBorders>
              <w:top w:val="nil"/>
              <w:left w:val="nil"/>
              <w:bottom w:val="nil"/>
              <w:right w:val="single" w:sz="8" w:space="0" w:color="auto"/>
            </w:tcBorders>
            <w:shd w:val="clear" w:color="auto" w:fill="auto"/>
            <w:noWrap/>
            <w:vAlign w:val="bottom"/>
            <w:hideMark/>
          </w:tcPr>
          <w:p w14:paraId="4C31519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225</w:t>
            </w:r>
          </w:p>
        </w:tc>
        <w:tc>
          <w:tcPr>
            <w:tcW w:w="744" w:type="dxa"/>
            <w:tcBorders>
              <w:top w:val="nil"/>
              <w:left w:val="nil"/>
              <w:bottom w:val="nil"/>
              <w:right w:val="single" w:sz="8" w:space="0" w:color="auto"/>
            </w:tcBorders>
            <w:shd w:val="clear" w:color="auto" w:fill="auto"/>
            <w:noWrap/>
            <w:vAlign w:val="bottom"/>
            <w:hideMark/>
          </w:tcPr>
          <w:p w14:paraId="1B1376A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227</w:t>
            </w:r>
          </w:p>
        </w:tc>
        <w:tc>
          <w:tcPr>
            <w:tcW w:w="744" w:type="dxa"/>
            <w:tcBorders>
              <w:top w:val="nil"/>
              <w:left w:val="nil"/>
              <w:bottom w:val="nil"/>
              <w:right w:val="single" w:sz="8" w:space="0" w:color="auto"/>
            </w:tcBorders>
            <w:shd w:val="clear" w:color="auto" w:fill="auto"/>
            <w:noWrap/>
            <w:vAlign w:val="bottom"/>
            <w:hideMark/>
          </w:tcPr>
          <w:p w14:paraId="54BACC7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215.9</w:t>
            </w:r>
          </w:p>
        </w:tc>
        <w:tc>
          <w:tcPr>
            <w:tcW w:w="744" w:type="dxa"/>
            <w:tcBorders>
              <w:top w:val="nil"/>
              <w:left w:val="nil"/>
              <w:bottom w:val="nil"/>
              <w:right w:val="single" w:sz="8" w:space="0" w:color="auto"/>
            </w:tcBorders>
            <w:shd w:val="clear" w:color="auto" w:fill="auto"/>
            <w:noWrap/>
            <w:vAlign w:val="bottom"/>
            <w:hideMark/>
          </w:tcPr>
          <w:p w14:paraId="1D43B4A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224.1</w:t>
            </w:r>
          </w:p>
        </w:tc>
      </w:tr>
      <w:tr w:rsidR="00D33F7C" w:rsidRPr="00AF27AC" w14:paraId="1F5ACF2D"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2AF79535"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India</w:t>
            </w:r>
          </w:p>
        </w:tc>
        <w:tc>
          <w:tcPr>
            <w:tcW w:w="744" w:type="dxa"/>
            <w:tcBorders>
              <w:top w:val="nil"/>
              <w:left w:val="single" w:sz="8" w:space="0" w:color="auto"/>
              <w:bottom w:val="nil"/>
              <w:right w:val="nil"/>
            </w:tcBorders>
            <w:shd w:val="clear" w:color="auto" w:fill="auto"/>
            <w:noWrap/>
            <w:vAlign w:val="center"/>
            <w:hideMark/>
          </w:tcPr>
          <w:p w14:paraId="7723CAF9"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182.7</w:t>
            </w:r>
          </w:p>
        </w:tc>
        <w:tc>
          <w:tcPr>
            <w:tcW w:w="744" w:type="dxa"/>
            <w:tcBorders>
              <w:top w:val="nil"/>
              <w:left w:val="single" w:sz="8" w:space="0" w:color="auto"/>
              <w:bottom w:val="nil"/>
              <w:right w:val="single" w:sz="8" w:space="0" w:color="auto"/>
            </w:tcBorders>
            <w:shd w:val="clear" w:color="auto" w:fill="auto"/>
            <w:noWrap/>
            <w:vAlign w:val="bottom"/>
            <w:hideMark/>
          </w:tcPr>
          <w:p w14:paraId="332E9F8E"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194.6</w:t>
            </w:r>
          </w:p>
        </w:tc>
        <w:tc>
          <w:tcPr>
            <w:tcW w:w="744" w:type="dxa"/>
            <w:tcBorders>
              <w:top w:val="nil"/>
              <w:left w:val="nil"/>
              <w:bottom w:val="nil"/>
              <w:right w:val="nil"/>
            </w:tcBorders>
            <w:shd w:val="clear" w:color="auto" w:fill="auto"/>
            <w:noWrap/>
            <w:vAlign w:val="bottom"/>
            <w:hideMark/>
          </w:tcPr>
          <w:p w14:paraId="1EABD00C"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196.5</w:t>
            </w:r>
          </w:p>
        </w:tc>
        <w:tc>
          <w:tcPr>
            <w:tcW w:w="744" w:type="dxa"/>
            <w:tcBorders>
              <w:top w:val="nil"/>
              <w:left w:val="single" w:sz="8" w:space="0" w:color="auto"/>
              <w:bottom w:val="nil"/>
              <w:right w:val="single" w:sz="8" w:space="0" w:color="auto"/>
            </w:tcBorders>
            <w:shd w:val="clear" w:color="auto" w:fill="auto"/>
            <w:noWrap/>
            <w:vAlign w:val="bottom"/>
            <w:hideMark/>
          </w:tcPr>
          <w:p w14:paraId="40591E72"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213.5</w:t>
            </w:r>
          </w:p>
        </w:tc>
        <w:tc>
          <w:tcPr>
            <w:tcW w:w="744" w:type="dxa"/>
            <w:tcBorders>
              <w:top w:val="nil"/>
              <w:left w:val="nil"/>
              <w:bottom w:val="nil"/>
              <w:right w:val="nil"/>
            </w:tcBorders>
            <w:shd w:val="clear" w:color="auto" w:fill="auto"/>
            <w:noWrap/>
            <w:vAlign w:val="bottom"/>
            <w:hideMark/>
          </w:tcPr>
          <w:p w14:paraId="35F1DD32"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222.4</w:t>
            </w:r>
          </w:p>
        </w:tc>
        <w:tc>
          <w:tcPr>
            <w:tcW w:w="744" w:type="dxa"/>
            <w:tcBorders>
              <w:top w:val="nil"/>
              <w:left w:val="single" w:sz="8" w:space="0" w:color="auto"/>
              <w:bottom w:val="nil"/>
              <w:right w:val="single" w:sz="8" w:space="0" w:color="auto"/>
            </w:tcBorders>
            <w:shd w:val="clear" w:color="auto" w:fill="auto"/>
            <w:noWrap/>
            <w:vAlign w:val="bottom"/>
            <w:hideMark/>
          </w:tcPr>
          <w:p w14:paraId="1ABFA294"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220.2</w:t>
            </w:r>
          </w:p>
        </w:tc>
        <w:tc>
          <w:tcPr>
            <w:tcW w:w="744" w:type="dxa"/>
            <w:tcBorders>
              <w:top w:val="nil"/>
              <w:left w:val="nil"/>
              <w:bottom w:val="nil"/>
              <w:right w:val="nil"/>
            </w:tcBorders>
            <w:shd w:val="clear" w:color="auto" w:fill="auto"/>
            <w:noWrap/>
            <w:vAlign w:val="bottom"/>
            <w:hideMark/>
          </w:tcPr>
          <w:p w14:paraId="44CCD252"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216.2</w:t>
            </w:r>
          </w:p>
        </w:tc>
        <w:tc>
          <w:tcPr>
            <w:tcW w:w="744" w:type="dxa"/>
            <w:tcBorders>
              <w:top w:val="nil"/>
              <w:left w:val="single" w:sz="8" w:space="0" w:color="auto"/>
              <w:bottom w:val="nil"/>
              <w:right w:val="single" w:sz="8" w:space="0" w:color="auto"/>
            </w:tcBorders>
            <w:shd w:val="clear" w:color="auto" w:fill="auto"/>
            <w:noWrap/>
            <w:vAlign w:val="bottom"/>
            <w:hideMark/>
          </w:tcPr>
          <w:p w14:paraId="00AD635E"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211.6</w:t>
            </w:r>
          </w:p>
        </w:tc>
        <w:tc>
          <w:tcPr>
            <w:tcW w:w="744" w:type="dxa"/>
            <w:tcBorders>
              <w:top w:val="nil"/>
              <w:left w:val="nil"/>
              <w:bottom w:val="nil"/>
              <w:right w:val="single" w:sz="8" w:space="0" w:color="auto"/>
            </w:tcBorders>
            <w:shd w:val="clear" w:color="auto" w:fill="auto"/>
            <w:noWrap/>
            <w:vAlign w:val="bottom"/>
            <w:hideMark/>
          </w:tcPr>
          <w:p w14:paraId="16C9BCE1"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204.4</w:t>
            </w:r>
          </w:p>
        </w:tc>
        <w:tc>
          <w:tcPr>
            <w:tcW w:w="744" w:type="dxa"/>
            <w:tcBorders>
              <w:top w:val="nil"/>
              <w:left w:val="nil"/>
              <w:bottom w:val="nil"/>
              <w:right w:val="single" w:sz="8" w:space="0" w:color="auto"/>
            </w:tcBorders>
            <w:shd w:val="clear" w:color="auto" w:fill="auto"/>
            <w:noWrap/>
            <w:vAlign w:val="bottom"/>
            <w:hideMark/>
          </w:tcPr>
          <w:p w14:paraId="545FD243"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200</w:t>
            </w:r>
          </w:p>
        </w:tc>
        <w:tc>
          <w:tcPr>
            <w:tcW w:w="744" w:type="dxa"/>
            <w:tcBorders>
              <w:top w:val="nil"/>
              <w:left w:val="nil"/>
              <w:bottom w:val="nil"/>
              <w:right w:val="single" w:sz="8" w:space="0" w:color="auto"/>
            </w:tcBorders>
            <w:shd w:val="clear" w:color="auto" w:fill="auto"/>
            <w:noWrap/>
            <w:vAlign w:val="bottom"/>
            <w:hideMark/>
          </w:tcPr>
          <w:p w14:paraId="7B124777"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208.7</w:t>
            </w:r>
          </w:p>
        </w:tc>
        <w:tc>
          <w:tcPr>
            <w:tcW w:w="744" w:type="dxa"/>
            <w:tcBorders>
              <w:top w:val="nil"/>
              <w:left w:val="nil"/>
              <w:bottom w:val="nil"/>
              <w:right w:val="single" w:sz="8" w:space="0" w:color="auto"/>
            </w:tcBorders>
            <w:shd w:val="clear" w:color="auto" w:fill="auto"/>
            <w:noWrap/>
            <w:vAlign w:val="bottom"/>
            <w:hideMark/>
          </w:tcPr>
          <w:p w14:paraId="074C90C7" w14:textId="77777777" w:rsidR="00D33F7C" w:rsidRPr="00AF27AC" w:rsidRDefault="00D33F7C" w:rsidP="00E213CE">
            <w:pPr>
              <w:jc w:val="right"/>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215.8</w:t>
            </w:r>
          </w:p>
        </w:tc>
      </w:tr>
      <w:tr w:rsidR="00D33F7C" w:rsidRPr="00AF27AC" w14:paraId="181604FA"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79CAC39E"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Singapore</w:t>
            </w:r>
          </w:p>
        </w:tc>
        <w:tc>
          <w:tcPr>
            <w:tcW w:w="744" w:type="dxa"/>
            <w:tcBorders>
              <w:top w:val="nil"/>
              <w:left w:val="single" w:sz="8" w:space="0" w:color="auto"/>
              <w:bottom w:val="nil"/>
              <w:right w:val="nil"/>
            </w:tcBorders>
            <w:shd w:val="clear" w:color="auto" w:fill="auto"/>
            <w:noWrap/>
            <w:vAlign w:val="center"/>
            <w:hideMark/>
          </w:tcPr>
          <w:p w14:paraId="72BF6F2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150.5</w:t>
            </w:r>
          </w:p>
        </w:tc>
        <w:tc>
          <w:tcPr>
            <w:tcW w:w="744" w:type="dxa"/>
            <w:tcBorders>
              <w:top w:val="nil"/>
              <w:left w:val="single" w:sz="8" w:space="0" w:color="auto"/>
              <w:bottom w:val="nil"/>
              <w:right w:val="single" w:sz="8" w:space="0" w:color="auto"/>
            </w:tcBorders>
            <w:shd w:val="clear" w:color="auto" w:fill="auto"/>
            <w:noWrap/>
            <w:vAlign w:val="bottom"/>
            <w:hideMark/>
          </w:tcPr>
          <w:p w14:paraId="3518BEA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158.6</w:t>
            </w:r>
          </w:p>
        </w:tc>
        <w:tc>
          <w:tcPr>
            <w:tcW w:w="744" w:type="dxa"/>
            <w:tcBorders>
              <w:top w:val="nil"/>
              <w:left w:val="nil"/>
              <w:bottom w:val="nil"/>
              <w:right w:val="nil"/>
            </w:tcBorders>
            <w:shd w:val="clear" w:color="auto" w:fill="auto"/>
            <w:noWrap/>
            <w:vAlign w:val="bottom"/>
            <w:hideMark/>
          </w:tcPr>
          <w:p w14:paraId="1157EF0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160.3</w:t>
            </w:r>
          </w:p>
        </w:tc>
        <w:tc>
          <w:tcPr>
            <w:tcW w:w="744" w:type="dxa"/>
            <w:tcBorders>
              <w:top w:val="nil"/>
              <w:left w:val="single" w:sz="8" w:space="0" w:color="auto"/>
              <w:bottom w:val="nil"/>
              <w:right w:val="single" w:sz="8" w:space="0" w:color="auto"/>
            </w:tcBorders>
            <w:shd w:val="clear" w:color="auto" w:fill="auto"/>
            <w:noWrap/>
            <w:vAlign w:val="bottom"/>
            <w:hideMark/>
          </w:tcPr>
          <w:p w14:paraId="7578D26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159</w:t>
            </w:r>
          </w:p>
        </w:tc>
        <w:tc>
          <w:tcPr>
            <w:tcW w:w="744" w:type="dxa"/>
            <w:tcBorders>
              <w:top w:val="nil"/>
              <w:left w:val="nil"/>
              <w:bottom w:val="nil"/>
              <w:right w:val="nil"/>
            </w:tcBorders>
            <w:shd w:val="clear" w:color="auto" w:fill="auto"/>
            <w:noWrap/>
            <w:vAlign w:val="bottom"/>
            <w:hideMark/>
          </w:tcPr>
          <w:p w14:paraId="372BA4F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162</w:t>
            </w:r>
          </w:p>
        </w:tc>
        <w:tc>
          <w:tcPr>
            <w:tcW w:w="744" w:type="dxa"/>
            <w:tcBorders>
              <w:top w:val="nil"/>
              <w:left w:val="single" w:sz="8" w:space="0" w:color="auto"/>
              <w:bottom w:val="nil"/>
              <w:right w:val="single" w:sz="8" w:space="0" w:color="auto"/>
            </w:tcBorders>
            <w:shd w:val="clear" w:color="auto" w:fill="auto"/>
            <w:noWrap/>
            <w:vAlign w:val="bottom"/>
            <w:hideMark/>
          </w:tcPr>
          <w:p w14:paraId="206537F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163.8</w:t>
            </w:r>
          </w:p>
        </w:tc>
        <w:tc>
          <w:tcPr>
            <w:tcW w:w="744" w:type="dxa"/>
            <w:tcBorders>
              <w:top w:val="nil"/>
              <w:left w:val="nil"/>
              <w:bottom w:val="nil"/>
              <w:right w:val="nil"/>
            </w:tcBorders>
            <w:shd w:val="clear" w:color="auto" w:fill="auto"/>
            <w:noWrap/>
            <w:vAlign w:val="bottom"/>
            <w:hideMark/>
          </w:tcPr>
          <w:p w14:paraId="6621694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168.1</w:t>
            </w:r>
          </w:p>
        </w:tc>
        <w:tc>
          <w:tcPr>
            <w:tcW w:w="744" w:type="dxa"/>
            <w:tcBorders>
              <w:top w:val="nil"/>
              <w:left w:val="single" w:sz="8" w:space="0" w:color="auto"/>
              <w:bottom w:val="nil"/>
              <w:right w:val="single" w:sz="8" w:space="0" w:color="auto"/>
            </w:tcBorders>
            <w:shd w:val="clear" w:color="auto" w:fill="auto"/>
            <w:noWrap/>
            <w:vAlign w:val="bottom"/>
            <w:hideMark/>
          </w:tcPr>
          <w:p w14:paraId="2ACFD0F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164.3</w:t>
            </w:r>
          </w:p>
        </w:tc>
        <w:tc>
          <w:tcPr>
            <w:tcW w:w="744" w:type="dxa"/>
            <w:tcBorders>
              <w:top w:val="nil"/>
              <w:left w:val="nil"/>
              <w:bottom w:val="nil"/>
              <w:right w:val="single" w:sz="8" w:space="0" w:color="auto"/>
            </w:tcBorders>
            <w:shd w:val="clear" w:color="auto" w:fill="auto"/>
            <w:noWrap/>
            <w:vAlign w:val="bottom"/>
            <w:hideMark/>
          </w:tcPr>
          <w:p w14:paraId="01911C6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161.4</w:t>
            </w:r>
          </w:p>
        </w:tc>
        <w:tc>
          <w:tcPr>
            <w:tcW w:w="744" w:type="dxa"/>
            <w:tcBorders>
              <w:top w:val="nil"/>
              <w:left w:val="nil"/>
              <w:bottom w:val="nil"/>
              <w:right w:val="single" w:sz="8" w:space="0" w:color="auto"/>
            </w:tcBorders>
            <w:shd w:val="clear" w:color="auto" w:fill="auto"/>
            <w:noWrap/>
            <w:vAlign w:val="bottom"/>
            <w:hideMark/>
          </w:tcPr>
          <w:p w14:paraId="36FA7DF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170.2</w:t>
            </w:r>
          </w:p>
        </w:tc>
        <w:tc>
          <w:tcPr>
            <w:tcW w:w="744" w:type="dxa"/>
            <w:tcBorders>
              <w:top w:val="nil"/>
              <w:left w:val="nil"/>
              <w:bottom w:val="nil"/>
              <w:right w:val="single" w:sz="8" w:space="0" w:color="auto"/>
            </w:tcBorders>
            <w:shd w:val="clear" w:color="auto" w:fill="auto"/>
            <w:noWrap/>
            <w:vAlign w:val="bottom"/>
            <w:hideMark/>
          </w:tcPr>
          <w:p w14:paraId="42C0616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171.1</w:t>
            </w:r>
          </w:p>
        </w:tc>
        <w:tc>
          <w:tcPr>
            <w:tcW w:w="744" w:type="dxa"/>
            <w:tcBorders>
              <w:top w:val="nil"/>
              <w:left w:val="nil"/>
              <w:bottom w:val="nil"/>
              <w:right w:val="single" w:sz="8" w:space="0" w:color="auto"/>
            </w:tcBorders>
            <w:shd w:val="clear" w:color="auto" w:fill="auto"/>
            <w:noWrap/>
            <w:vAlign w:val="bottom"/>
            <w:hideMark/>
          </w:tcPr>
          <w:p w14:paraId="696663F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176.3</w:t>
            </w:r>
          </w:p>
        </w:tc>
      </w:tr>
      <w:tr w:rsidR="00D33F7C" w:rsidRPr="00AF27AC" w14:paraId="54AA1411"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1FC9A32B"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Saudi Arabia</w:t>
            </w:r>
          </w:p>
        </w:tc>
        <w:tc>
          <w:tcPr>
            <w:tcW w:w="744" w:type="dxa"/>
            <w:tcBorders>
              <w:top w:val="nil"/>
              <w:left w:val="single" w:sz="8" w:space="0" w:color="auto"/>
              <w:bottom w:val="nil"/>
              <w:right w:val="nil"/>
            </w:tcBorders>
            <w:shd w:val="clear" w:color="auto" w:fill="auto"/>
            <w:noWrap/>
            <w:vAlign w:val="center"/>
            <w:hideMark/>
          </w:tcPr>
          <w:p w14:paraId="158572E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124.9</w:t>
            </w:r>
          </w:p>
        </w:tc>
        <w:tc>
          <w:tcPr>
            <w:tcW w:w="744" w:type="dxa"/>
            <w:tcBorders>
              <w:top w:val="nil"/>
              <w:left w:val="single" w:sz="8" w:space="0" w:color="auto"/>
              <w:bottom w:val="nil"/>
              <w:right w:val="single" w:sz="8" w:space="0" w:color="auto"/>
            </w:tcBorders>
            <w:shd w:val="clear" w:color="auto" w:fill="auto"/>
            <w:noWrap/>
            <w:vAlign w:val="bottom"/>
            <w:hideMark/>
          </w:tcPr>
          <w:p w14:paraId="3B94D57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124.6</w:t>
            </w:r>
          </w:p>
        </w:tc>
        <w:tc>
          <w:tcPr>
            <w:tcW w:w="744" w:type="dxa"/>
            <w:tcBorders>
              <w:top w:val="nil"/>
              <w:left w:val="nil"/>
              <w:bottom w:val="nil"/>
              <w:right w:val="nil"/>
            </w:tcBorders>
            <w:shd w:val="clear" w:color="auto" w:fill="auto"/>
            <w:noWrap/>
            <w:vAlign w:val="bottom"/>
            <w:hideMark/>
          </w:tcPr>
          <w:p w14:paraId="57CD104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w:t>
            </w:r>
          </w:p>
        </w:tc>
        <w:tc>
          <w:tcPr>
            <w:tcW w:w="744" w:type="dxa"/>
            <w:tcBorders>
              <w:top w:val="nil"/>
              <w:left w:val="single" w:sz="8" w:space="0" w:color="auto"/>
              <w:bottom w:val="nil"/>
              <w:right w:val="single" w:sz="8" w:space="0" w:color="auto"/>
            </w:tcBorders>
            <w:shd w:val="clear" w:color="auto" w:fill="auto"/>
            <w:noWrap/>
            <w:vAlign w:val="bottom"/>
            <w:hideMark/>
          </w:tcPr>
          <w:p w14:paraId="70F5CDB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131.2</w:t>
            </w:r>
          </w:p>
        </w:tc>
        <w:tc>
          <w:tcPr>
            <w:tcW w:w="744" w:type="dxa"/>
            <w:tcBorders>
              <w:top w:val="nil"/>
              <w:left w:val="nil"/>
              <w:bottom w:val="nil"/>
              <w:right w:val="nil"/>
            </w:tcBorders>
            <w:shd w:val="clear" w:color="auto" w:fill="auto"/>
            <w:noWrap/>
            <w:vAlign w:val="bottom"/>
            <w:hideMark/>
          </w:tcPr>
          <w:p w14:paraId="20E24E4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134.2</w:t>
            </w:r>
          </w:p>
        </w:tc>
        <w:tc>
          <w:tcPr>
            <w:tcW w:w="744" w:type="dxa"/>
            <w:tcBorders>
              <w:top w:val="nil"/>
              <w:left w:val="single" w:sz="8" w:space="0" w:color="auto"/>
              <w:bottom w:val="nil"/>
              <w:right w:val="single" w:sz="8" w:space="0" w:color="auto"/>
            </w:tcBorders>
            <w:shd w:val="clear" w:color="auto" w:fill="auto"/>
            <w:noWrap/>
            <w:vAlign w:val="bottom"/>
            <w:hideMark/>
          </w:tcPr>
          <w:p w14:paraId="24E207C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137.6</w:t>
            </w:r>
          </w:p>
        </w:tc>
        <w:tc>
          <w:tcPr>
            <w:tcW w:w="744" w:type="dxa"/>
            <w:tcBorders>
              <w:top w:val="nil"/>
              <w:left w:val="nil"/>
              <w:bottom w:val="nil"/>
              <w:right w:val="nil"/>
            </w:tcBorders>
            <w:shd w:val="clear" w:color="auto" w:fill="auto"/>
            <w:noWrap/>
            <w:vAlign w:val="bottom"/>
            <w:hideMark/>
          </w:tcPr>
          <w:p w14:paraId="0E51658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136.4</w:t>
            </w:r>
          </w:p>
        </w:tc>
        <w:tc>
          <w:tcPr>
            <w:tcW w:w="744" w:type="dxa"/>
            <w:tcBorders>
              <w:top w:val="nil"/>
              <w:left w:val="single" w:sz="8" w:space="0" w:color="auto"/>
              <w:bottom w:val="nil"/>
              <w:right w:val="single" w:sz="8" w:space="0" w:color="auto"/>
            </w:tcBorders>
            <w:shd w:val="clear" w:color="auto" w:fill="auto"/>
            <w:noWrap/>
            <w:vAlign w:val="bottom"/>
            <w:hideMark/>
          </w:tcPr>
          <w:p w14:paraId="63B034F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135.1</w:t>
            </w:r>
          </w:p>
        </w:tc>
        <w:tc>
          <w:tcPr>
            <w:tcW w:w="744" w:type="dxa"/>
            <w:tcBorders>
              <w:top w:val="nil"/>
              <w:left w:val="nil"/>
              <w:bottom w:val="nil"/>
              <w:right w:val="single" w:sz="8" w:space="0" w:color="auto"/>
            </w:tcBorders>
            <w:shd w:val="clear" w:color="auto" w:fill="auto"/>
            <w:noWrap/>
            <w:vAlign w:val="bottom"/>
            <w:hideMark/>
          </w:tcPr>
          <w:p w14:paraId="79ECFAE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132.9</w:t>
            </w:r>
          </w:p>
        </w:tc>
        <w:tc>
          <w:tcPr>
            <w:tcW w:w="744" w:type="dxa"/>
            <w:tcBorders>
              <w:top w:val="nil"/>
              <w:left w:val="nil"/>
              <w:bottom w:val="nil"/>
              <w:right w:val="single" w:sz="8" w:space="0" w:color="auto"/>
            </w:tcBorders>
            <w:shd w:val="clear" w:color="auto" w:fill="auto"/>
            <w:noWrap/>
            <w:vAlign w:val="bottom"/>
            <w:hideMark/>
          </w:tcPr>
          <w:p w14:paraId="1361CCC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130.8</w:t>
            </w:r>
          </w:p>
        </w:tc>
        <w:tc>
          <w:tcPr>
            <w:tcW w:w="744" w:type="dxa"/>
            <w:tcBorders>
              <w:top w:val="nil"/>
              <w:left w:val="nil"/>
              <w:bottom w:val="nil"/>
              <w:right w:val="single" w:sz="8" w:space="0" w:color="auto"/>
            </w:tcBorders>
            <w:shd w:val="clear" w:color="auto" w:fill="auto"/>
            <w:noWrap/>
            <w:vAlign w:val="bottom"/>
            <w:hideMark/>
          </w:tcPr>
          <w:p w14:paraId="29F9C0F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130.3</w:t>
            </w:r>
          </w:p>
        </w:tc>
        <w:tc>
          <w:tcPr>
            <w:tcW w:w="744" w:type="dxa"/>
            <w:tcBorders>
              <w:top w:val="nil"/>
              <w:left w:val="nil"/>
              <w:bottom w:val="nil"/>
              <w:right w:val="single" w:sz="8" w:space="0" w:color="auto"/>
            </w:tcBorders>
            <w:shd w:val="clear" w:color="auto" w:fill="auto"/>
            <w:noWrap/>
            <w:vAlign w:val="bottom"/>
            <w:hideMark/>
          </w:tcPr>
          <w:p w14:paraId="6D6B9E7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127.3</w:t>
            </w:r>
          </w:p>
        </w:tc>
      </w:tr>
      <w:tr w:rsidR="00D33F7C" w:rsidRPr="00AF27AC" w14:paraId="597573FA"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1BD0A0E0"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Korea</w:t>
            </w:r>
          </w:p>
        </w:tc>
        <w:tc>
          <w:tcPr>
            <w:tcW w:w="744" w:type="dxa"/>
            <w:tcBorders>
              <w:top w:val="nil"/>
              <w:left w:val="single" w:sz="8" w:space="0" w:color="auto"/>
              <w:bottom w:val="nil"/>
              <w:right w:val="nil"/>
            </w:tcBorders>
            <w:shd w:val="clear" w:color="auto" w:fill="auto"/>
            <w:noWrap/>
            <w:vAlign w:val="center"/>
            <w:hideMark/>
          </w:tcPr>
          <w:p w14:paraId="2DB87CE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122.7</w:t>
            </w:r>
          </w:p>
        </w:tc>
        <w:tc>
          <w:tcPr>
            <w:tcW w:w="744" w:type="dxa"/>
            <w:tcBorders>
              <w:top w:val="nil"/>
              <w:left w:val="single" w:sz="8" w:space="0" w:color="auto"/>
              <w:bottom w:val="nil"/>
              <w:right w:val="single" w:sz="8" w:space="0" w:color="auto"/>
            </w:tcBorders>
            <w:shd w:val="clear" w:color="auto" w:fill="auto"/>
            <w:noWrap/>
            <w:vAlign w:val="bottom"/>
            <w:hideMark/>
          </w:tcPr>
          <w:p w14:paraId="199C875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123.1</w:t>
            </w:r>
          </w:p>
        </w:tc>
        <w:tc>
          <w:tcPr>
            <w:tcW w:w="744" w:type="dxa"/>
            <w:tcBorders>
              <w:top w:val="nil"/>
              <w:left w:val="nil"/>
              <w:bottom w:val="nil"/>
              <w:right w:val="nil"/>
            </w:tcBorders>
            <w:shd w:val="clear" w:color="auto" w:fill="auto"/>
            <w:noWrap/>
            <w:vAlign w:val="bottom"/>
            <w:hideMark/>
          </w:tcPr>
          <w:p w14:paraId="250174F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122.7</w:t>
            </w:r>
          </w:p>
        </w:tc>
        <w:tc>
          <w:tcPr>
            <w:tcW w:w="744" w:type="dxa"/>
            <w:tcBorders>
              <w:top w:val="nil"/>
              <w:left w:val="single" w:sz="8" w:space="0" w:color="auto"/>
              <w:bottom w:val="nil"/>
              <w:right w:val="single" w:sz="8" w:space="0" w:color="auto"/>
            </w:tcBorders>
            <w:shd w:val="clear" w:color="auto" w:fill="auto"/>
            <w:noWrap/>
            <w:vAlign w:val="bottom"/>
            <w:hideMark/>
          </w:tcPr>
          <w:p w14:paraId="43F014F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123.2</w:t>
            </w:r>
          </w:p>
        </w:tc>
        <w:tc>
          <w:tcPr>
            <w:tcW w:w="744" w:type="dxa"/>
            <w:tcBorders>
              <w:top w:val="nil"/>
              <w:left w:val="nil"/>
              <w:bottom w:val="nil"/>
              <w:right w:val="nil"/>
            </w:tcBorders>
            <w:shd w:val="clear" w:color="auto" w:fill="auto"/>
            <w:noWrap/>
            <w:vAlign w:val="bottom"/>
            <w:hideMark/>
          </w:tcPr>
          <w:p w14:paraId="6C60681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119.1</w:t>
            </w:r>
          </w:p>
        </w:tc>
        <w:tc>
          <w:tcPr>
            <w:tcW w:w="744" w:type="dxa"/>
            <w:tcBorders>
              <w:top w:val="nil"/>
              <w:left w:val="single" w:sz="8" w:space="0" w:color="auto"/>
              <w:bottom w:val="nil"/>
              <w:right w:val="single" w:sz="8" w:space="0" w:color="auto"/>
            </w:tcBorders>
            <w:shd w:val="clear" w:color="auto" w:fill="auto"/>
            <w:noWrap/>
            <w:vAlign w:val="bottom"/>
            <w:hideMark/>
          </w:tcPr>
          <w:p w14:paraId="49874FC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122.8</w:t>
            </w:r>
          </w:p>
        </w:tc>
        <w:tc>
          <w:tcPr>
            <w:tcW w:w="744" w:type="dxa"/>
            <w:tcBorders>
              <w:top w:val="nil"/>
              <w:left w:val="nil"/>
              <w:bottom w:val="nil"/>
              <w:right w:val="nil"/>
            </w:tcBorders>
            <w:shd w:val="clear" w:color="auto" w:fill="auto"/>
            <w:noWrap/>
            <w:vAlign w:val="bottom"/>
            <w:hideMark/>
          </w:tcPr>
          <w:p w14:paraId="670CF33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130.9</w:t>
            </w:r>
          </w:p>
        </w:tc>
        <w:tc>
          <w:tcPr>
            <w:tcW w:w="744" w:type="dxa"/>
            <w:tcBorders>
              <w:top w:val="nil"/>
              <w:left w:val="single" w:sz="8" w:space="0" w:color="auto"/>
              <w:bottom w:val="nil"/>
              <w:right w:val="single" w:sz="8" w:space="0" w:color="auto"/>
            </w:tcBorders>
            <w:shd w:val="clear" w:color="auto" w:fill="auto"/>
            <w:noWrap/>
            <w:vAlign w:val="bottom"/>
            <w:hideMark/>
          </w:tcPr>
          <w:p w14:paraId="76DA6D7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125.2</w:t>
            </w:r>
          </w:p>
        </w:tc>
        <w:tc>
          <w:tcPr>
            <w:tcW w:w="744" w:type="dxa"/>
            <w:tcBorders>
              <w:top w:val="nil"/>
              <w:left w:val="nil"/>
              <w:bottom w:val="nil"/>
              <w:right w:val="single" w:sz="8" w:space="0" w:color="auto"/>
            </w:tcBorders>
            <w:shd w:val="clear" w:color="auto" w:fill="auto"/>
            <w:noWrap/>
            <w:vAlign w:val="bottom"/>
            <w:hideMark/>
          </w:tcPr>
          <w:p w14:paraId="34A6B08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125.7</w:t>
            </w:r>
          </w:p>
        </w:tc>
        <w:tc>
          <w:tcPr>
            <w:tcW w:w="744" w:type="dxa"/>
            <w:tcBorders>
              <w:top w:val="nil"/>
              <w:left w:val="nil"/>
              <w:bottom w:val="nil"/>
              <w:right w:val="single" w:sz="8" w:space="0" w:color="auto"/>
            </w:tcBorders>
            <w:shd w:val="clear" w:color="auto" w:fill="auto"/>
            <w:noWrap/>
            <w:vAlign w:val="bottom"/>
            <w:hideMark/>
          </w:tcPr>
          <w:p w14:paraId="79CEB80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122.9</w:t>
            </w:r>
          </w:p>
        </w:tc>
        <w:tc>
          <w:tcPr>
            <w:tcW w:w="744" w:type="dxa"/>
            <w:tcBorders>
              <w:top w:val="nil"/>
              <w:left w:val="nil"/>
              <w:bottom w:val="nil"/>
              <w:right w:val="single" w:sz="8" w:space="0" w:color="auto"/>
            </w:tcBorders>
            <w:shd w:val="clear" w:color="auto" w:fill="auto"/>
            <w:noWrap/>
            <w:vAlign w:val="bottom"/>
            <w:hideMark/>
          </w:tcPr>
          <w:p w14:paraId="0A75E87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120.3</w:t>
            </w:r>
          </w:p>
        </w:tc>
        <w:tc>
          <w:tcPr>
            <w:tcW w:w="744" w:type="dxa"/>
            <w:tcBorders>
              <w:top w:val="nil"/>
              <w:left w:val="nil"/>
              <w:bottom w:val="nil"/>
              <w:right w:val="single" w:sz="8" w:space="0" w:color="auto"/>
            </w:tcBorders>
            <w:shd w:val="clear" w:color="auto" w:fill="auto"/>
            <w:noWrap/>
            <w:vAlign w:val="bottom"/>
            <w:hideMark/>
          </w:tcPr>
          <w:p w14:paraId="6863D87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123.2</w:t>
            </w:r>
          </w:p>
        </w:tc>
      </w:tr>
      <w:tr w:rsidR="00D33F7C" w:rsidRPr="00AF27AC" w14:paraId="1F73859F"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09EF109F"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Canada</w:t>
            </w:r>
          </w:p>
        </w:tc>
        <w:tc>
          <w:tcPr>
            <w:tcW w:w="744" w:type="dxa"/>
            <w:tcBorders>
              <w:top w:val="nil"/>
              <w:left w:val="single" w:sz="8" w:space="0" w:color="auto"/>
              <w:bottom w:val="nil"/>
              <w:right w:val="nil"/>
            </w:tcBorders>
            <w:shd w:val="clear" w:color="auto" w:fill="auto"/>
            <w:noWrap/>
            <w:vAlign w:val="center"/>
            <w:hideMark/>
          </w:tcPr>
          <w:p w14:paraId="335D4C3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127.6</w:t>
            </w:r>
          </w:p>
        </w:tc>
        <w:tc>
          <w:tcPr>
            <w:tcW w:w="744" w:type="dxa"/>
            <w:tcBorders>
              <w:top w:val="nil"/>
              <w:left w:val="single" w:sz="8" w:space="0" w:color="auto"/>
              <w:bottom w:val="nil"/>
              <w:right w:val="single" w:sz="8" w:space="0" w:color="auto"/>
            </w:tcBorders>
            <w:shd w:val="clear" w:color="auto" w:fill="auto"/>
            <w:noWrap/>
            <w:vAlign w:val="bottom"/>
            <w:hideMark/>
          </w:tcPr>
          <w:p w14:paraId="1D4203D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133.9</w:t>
            </w:r>
          </w:p>
        </w:tc>
        <w:tc>
          <w:tcPr>
            <w:tcW w:w="744" w:type="dxa"/>
            <w:tcBorders>
              <w:top w:val="nil"/>
              <w:left w:val="nil"/>
              <w:bottom w:val="nil"/>
              <w:right w:val="nil"/>
            </w:tcBorders>
            <w:shd w:val="clear" w:color="auto" w:fill="auto"/>
            <w:noWrap/>
            <w:vAlign w:val="bottom"/>
            <w:hideMark/>
          </w:tcPr>
          <w:p w14:paraId="089A46D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131.1</w:t>
            </w:r>
          </w:p>
        </w:tc>
        <w:tc>
          <w:tcPr>
            <w:tcW w:w="744" w:type="dxa"/>
            <w:tcBorders>
              <w:top w:val="nil"/>
              <w:left w:val="single" w:sz="8" w:space="0" w:color="auto"/>
              <w:bottom w:val="nil"/>
              <w:right w:val="single" w:sz="8" w:space="0" w:color="auto"/>
            </w:tcBorders>
            <w:shd w:val="clear" w:color="auto" w:fill="auto"/>
            <w:noWrap/>
            <w:vAlign w:val="bottom"/>
            <w:hideMark/>
          </w:tcPr>
          <w:p w14:paraId="219C89F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128</w:t>
            </w:r>
          </w:p>
        </w:tc>
        <w:tc>
          <w:tcPr>
            <w:tcW w:w="744" w:type="dxa"/>
            <w:tcBorders>
              <w:top w:val="nil"/>
              <w:left w:val="nil"/>
              <w:bottom w:val="nil"/>
              <w:right w:val="nil"/>
            </w:tcBorders>
            <w:shd w:val="clear" w:color="auto" w:fill="auto"/>
            <w:noWrap/>
            <w:vAlign w:val="bottom"/>
            <w:hideMark/>
          </w:tcPr>
          <w:p w14:paraId="0D66674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131.3</w:t>
            </w:r>
          </w:p>
        </w:tc>
        <w:tc>
          <w:tcPr>
            <w:tcW w:w="744" w:type="dxa"/>
            <w:tcBorders>
              <w:top w:val="nil"/>
              <w:left w:val="single" w:sz="8" w:space="0" w:color="auto"/>
              <w:bottom w:val="nil"/>
              <w:right w:val="single" w:sz="8" w:space="0" w:color="auto"/>
            </w:tcBorders>
            <w:shd w:val="clear" w:color="auto" w:fill="auto"/>
            <w:noWrap/>
            <w:vAlign w:val="bottom"/>
            <w:hideMark/>
          </w:tcPr>
          <w:p w14:paraId="2C94193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127.4</w:t>
            </w:r>
          </w:p>
        </w:tc>
        <w:tc>
          <w:tcPr>
            <w:tcW w:w="744" w:type="dxa"/>
            <w:tcBorders>
              <w:top w:val="nil"/>
              <w:left w:val="nil"/>
              <w:bottom w:val="nil"/>
              <w:right w:val="nil"/>
            </w:tcBorders>
            <w:shd w:val="clear" w:color="auto" w:fill="auto"/>
            <w:noWrap/>
            <w:vAlign w:val="bottom"/>
            <w:hideMark/>
          </w:tcPr>
          <w:p w14:paraId="4898C67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119.9</w:t>
            </w:r>
          </w:p>
        </w:tc>
        <w:tc>
          <w:tcPr>
            <w:tcW w:w="744" w:type="dxa"/>
            <w:tcBorders>
              <w:top w:val="nil"/>
              <w:left w:val="single" w:sz="8" w:space="0" w:color="auto"/>
              <w:bottom w:val="nil"/>
              <w:right w:val="single" w:sz="8" w:space="0" w:color="auto"/>
            </w:tcBorders>
            <w:shd w:val="clear" w:color="auto" w:fill="auto"/>
            <w:noWrap/>
            <w:vAlign w:val="bottom"/>
            <w:hideMark/>
          </w:tcPr>
          <w:p w14:paraId="2803DCB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126.7</w:t>
            </w:r>
          </w:p>
        </w:tc>
        <w:tc>
          <w:tcPr>
            <w:tcW w:w="744" w:type="dxa"/>
            <w:tcBorders>
              <w:top w:val="nil"/>
              <w:left w:val="nil"/>
              <w:bottom w:val="nil"/>
              <w:right w:val="single" w:sz="8" w:space="0" w:color="auto"/>
            </w:tcBorders>
            <w:shd w:val="clear" w:color="auto" w:fill="auto"/>
            <w:noWrap/>
            <w:vAlign w:val="bottom"/>
            <w:hideMark/>
          </w:tcPr>
          <w:p w14:paraId="3737258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112.7</w:t>
            </w:r>
          </w:p>
        </w:tc>
        <w:tc>
          <w:tcPr>
            <w:tcW w:w="744" w:type="dxa"/>
            <w:tcBorders>
              <w:top w:val="nil"/>
              <w:left w:val="nil"/>
              <w:bottom w:val="nil"/>
              <w:right w:val="single" w:sz="8" w:space="0" w:color="auto"/>
            </w:tcBorders>
            <w:shd w:val="clear" w:color="auto" w:fill="auto"/>
            <w:noWrap/>
            <w:vAlign w:val="bottom"/>
            <w:hideMark/>
          </w:tcPr>
          <w:p w14:paraId="59A6BB9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106</w:t>
            </w:r>
          </w:p>
        </w:tc>
        <w:tc>
          <w:tcPr>
            <w:tcW w:w="744" w:type="dxa"/>
            <w:tcBorders>
              <w:top w:val="nil"/>
              <w:left w:val="nil"/>
              <w:bottom w:val="nil"/>
              <w:right w:val="single" w:sz="8" w:space="0" w:color="auto"/>
            </w:tcBorders>
            <w:shd w:val="clear" w:color="auto" w:fill="auto"/>
            <w:noWrap/>
            <w:vAlign w:val="bottom"/>
            <w:hideMark/>
          </w:tcPr>
          <w:p w14:paraId="6C76DDF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116.1</w:t>
            </w:r>
          </w:p>
        </w:tc>
        <w:tc>
          <w:tcPr>
            <w:tcW w:w="744" w:type="dxa"/>
            <w:tcBorders>
              <w:top w:val="nil"/>
              <w:left w:val="nil"/>
              <w:bottom w:val="nil"/>
              <w:right w:val="single" w:sz="8" w:space="0" w:color="auto"/>
            </w:tcBorders>
            <w:shd w:val="clear" w:color="auto" w:fill="auto"/>
            <w:noWrap/>
            <w:vAlign w:val="bottom"/>
            <w:hideMark/>
          </w:tcPr>
          <w:p w14:paraId="272DB48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121.1</w:t>
            </w:r>
          </w:p>
        </w:tc>
      </w:tr>
      <w:tr w:rsidR="00D33F7C" w:rsidRPr="00AF27AC" w14:paraId="41076F07"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2DD9F1CA"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Norway</w:t>
            </w:r>
          </w:p>
        </w:tc>
        <w:tc>
          <w:tcPr>
            <w:tcW w:w="744" w:type="dxa"/>
            <w:tcBorders>
              <w:top w:val="nil"/>
              <w:left w:val="single" w:sz="8" w:space="0" w:color="auto"/>
              <w:bottom w:val="nil"/>
              <w:right w:val="nil"/>
            </w:tcBorders>
            <w:shd w:val="clear" w:color="auto" w:fill="auto"/>
            <w:noWrap/>
            <w:vAlign w:val="center"/>
            <w:hideMark/>
          </w:tcPr>
          <w:p w14:paraId="1D1DA1B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88.7</w:t>
            </w:r>
          </w:p>
        </w:tc>
        <w:tc>
          <w:tcPr>
            <w:tcW w:w="744" w:type="dxa"/>
            <w:tcBorders>
              <w:top w:val="nil"/>
              <w:left w:val="single" w:sz="8" w:space="0" w:color="auto"/>
              <w:bottom w:val="nil"/>
              <w:right w:val="single" w:sz="8" w:space="0" w:color="auto"/>
            </w:tcBorders>
            <w:shd w:val="clear" w:color="auto" w:fill="auto"/>
            <w:noWrap/>
            <w:vAlign w:val="bottom"/>
            <w:hideMark/>
          </w:tcPr>
          <w:p w14:paraId="14D26A7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89.9</w:t>
            </w:r>
          </w:p>
        </w:tc>
        <w:tc>
          <w:tcPr>
            <w:tcW w:w="744" w:type="dxa"/>
            <w:tcBorders>
              <w:top w:val="nil"/>
              <w:left w:val="nil"/>
              <w:bottom w:val="nil"/>
              <w:right w:val="nil"/>
            </w:tcBorders>
            <w:shd w:val="clear" w:color="auto" w:fill="auto"/>
            <w:noWrap/>
            <w:vAlign w:val="bottom"/>
            <w:hideMark/>
          </w:tcPr>
          <w:p w14:paraId="674BF1E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90.6</w:t>
            </w:r>
          </w:p>
        </w:tc>
        <w:tc>
          <w:tcPr>
            <w:tcW w:w="744" w:type="dxa"/>
            <w:tcBorders>
              <w:top w:val="nil"/>
              <w:left w:val="single" w:sz="8" w:space="0" w:color="auto"/>
              <w:bottom w:val="nil"/>
              <w:right w:val="single" w:sz="8" w:space="0" w:color="auto"/>
            </w:tcBorders>
            <w:shd w:val="clear" w:color="auto" w:fill="auto"/>
            <w:noWrap/>
            <w:vAlign w:val="bottom"/>
            <w:hideMark/>
          </w:tcPr>
          <w:p w14:paraId="678D445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90.5</w:t>
            </w:r>
          </w:p>
        </w:tc>
        <w:tc>
          <w:tcPr>
            <w:tcW w:w="744" w:type="dxa"/>
            <w:tcBorders>
              <w:top w:val="nil"/>
              <w:left w:val="nil"/>
              <w:bottom w:val="nil"/>
              <w:right w:val="nil"/>
            </w:tcBorders>
            <w:shd w:val="clear" w:color="auto" w:fill="auto"/>
            <w:noWrap/>
            <w:vAlign w:val="bottom"/>
            <w:hideMark/>
          </w:tcPr>
          <w:p w14:paraId="3183109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82.9</w:t>
            </w:r>
          </w:p>
        </w:tc>
        <w:tc>
          <w:tcPr>
            <w:tcW w:w="744" w:type="dxa"/>
            <w:tcBorders>
              <w:top w:val="nil"/>
              <w:left w:val="single" w:sz="8" w:space="0" w:color="auto"/>
              <w:bottom w:val="nil"/>
              <w:right w:val="single" w:sz="8" w:space="0" w:color="auto"/>
            </w:tcBorders>
            <w:shd w:val="clear" w:color="auto" w:fill="auto"/>
            <w:noWrap/>
            <w:vAlign w:val="bottom"/>
            <w:hideMark/>
          </w:tcPr>
          <w:p w14:paraId="0C1FAAE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89</w:t>
            </w:r>
          </w:p>
        </w:tc>
        <w:tc>
          <w:tcPr>
            <w:tcW w:w="744" w:type="dxa"/>
            <w:tcBorders>
              <w:top w:val="nil"/>
              <w:left w:val="nil"/>
              <w:bottom w:val="nil"/>
              <w:right w:val="nil"/>
            </w:tcBorders>
            <w:shd w:val="clear" w:color="auto" w:fill="auto"/>
            <w:noWrap/>
            <w:vAlign w:val="bottom"/>
            <w:hideMark/>
          </w:tcPr>
          <w:p w14:paraId="35EB143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87.5</w:t>
            </w:r>
          </w:p>
        </w:tc>
        <w:tc>
          <w:tcPr>
            <w:tcW w:w="744" w:type="dxa"/>
            <w:tcBorders>
              <w:top w:val="nil"/>
              <w:left w:val="single" w:sz="8" w:space="0" w:color="auto"/>
              <w:bottom w:val="nil"/>
              <w:right w:val="single" w:sz="8" w:space="0" w:color="auto"/>
            </w:tcBorders>
            <w:shd w:val="clear" w:color="auto" w:fill="auto"/>
            <w:noWrap/>
            <w:vAlign w:val="bottom"/>
            <w:hideMark/>
          </w:tcPr>
          <w:p w14:paraId="167253D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91.5</w:t>
            </w:r>
          </w:p>
        </w:tc>
        <w:tc>
          <w:tcPr>
            <w:tcW w:w="744" w:type="dxa"/>
            <w:tcBorders>
              <w:top w:val="nil"/>
              <w:left w:val="nil"/>
              <w:bottom w:val="nil"/>
              <w:right w:val="single" w:sz="8" w:space="0" w:color="auto"/>
            </w:tcBorders>
            <w:shd w:val="clear" w:color="auto" w:fill="auto"/>
            <w:noWrap/>
            <w:vAlign w:val="bottom"/>
            <w:hideMark/>
          </w:tcPr>
          <w:p w14:paraId="3B07809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97.6</w:t>
            </w:r>
          </w:p>
        </w:tc>
        <w:tc>
          <w:tcPr>
            <w:tcW w:w="744" w:type="dxa"/>
            <w:tcBorders>
              <w:top w:val="nil"/>
              <w:left w:val="nil"/>
              <w:bottom w:val="nil"/>
              <w:right w:val="single" w:sz="8" w:space="0" w:color="auto"/>
            </w:tcBorders>
            <w:shd w:val="clear" w:color="auto" w:fill="auto"/>
            <w:noWrap/>
            <w:vAlign w:val="bottom"/>
            <w:hideMark/>
          </w:tcPr>
          <w:p w14:paraId="29DC71F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94.4</w:t>
            </w:r>
          </w:p>
        </w:tc>
        <w:tc>
          <w:tcPr>
            <w:tcW w:w="744" w:type="dxa"/>
            <w:tcBorders>
              <w:top w:val="nil"/>
              <w:left w:val="nil"/>
              <w:bottom w:val="nil"/>
              <w:right w:val="single" w:sz="8" w:space="0" w:color="auto"/>
            </w:tcBorders>
            <w:shd w:val="clear" w:color="auto" w:fill="auto"/>
            <w:noWrap/>
            <w:vAlign w:val="bottom"/>
            <w:hideMark/>
          </w:tcPr>
          <w:p w14:paraId="090C5C5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109.3</w:t>
            </w:r>
          </w:p>
        </w:tc>
        <w:tc>
          <w:tcPr>
            <w:tcW w:w="744" w:type="dxa"/>
            <w:tcBorders>
              <w:top w:val="nil"/>
              <w:left w:val="nil"/>
              <w:bottom w:val="nil"/>
              <w:right w:val="single" w:sz="8" w:space="0" w:color="auto"/>
            </w:tcBorders>
            <w:shd w:val="clear" w:color="auto" w:fill="auto"/>
            <w:noWrap/>
            <w:vAlign w:val="bottom"/>
            <w:hideMark/>
          </w:tcPr>
          <w:p w14:paraId="3A3FEA2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113.6</w:t>
            </w:r>
          </w:p>
        </w:tc>
      </w:tr>
      <w:tr w:rsidR="00D33F7C" w:rsidRPr="00AF27AC" w14:paraId="0C11CD8F"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553B3F9A"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France</w:t>
            </w:r>
          </w:p>
        </w:tc>
        <w:tc>
          <w:tcPr>
            <w:tcW w:w="744" w:type="dxa"/>
            <w:tcBorders>
              <w:top w:val="nil"/>
              <w:left w:val="single" w:sz="8" w:space="0" w:color="auto"/>
              <w:bottom w:val="nil"/>
              <w:right w:val="nil"/>
            </w:tcBorders>
            <w:shd w:val="clear" w:color="auto" w:fill="auto"/>
            <w:noWrap/>
            <w:vAlign w:val="center"/>
            <w:hideMark/>
          </w:tcPr>
          <w:p w14:paraId="5D03CB8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144.1</w:t>
            </w:r>
          </w:p>
        </w:tc>
        <w:tc>
          <w:tcPr>
            <w:tcW w:w="744" w:type="dxa"/>
            <w:tcBorders>
              <w:top w:val="nil"/>
              <w:left w:val="single" w:sz="8" w:space="0" w:color="auto"/>
              <w:bottom w:val="nil"/>
              <w:right w:val="single" w:sz="8" w:space="0" w:color="auto"/>
            </w:tcBorders>
            <w:shd w:val="clear" w:color="auto" w:fill="auto"/>
            <w:noWrap/>
            <w:vAlign w:val="bottom"/>
            <w:hideMark/>
          </w:tcPr>
          <w:p w14:paraId="75A449B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130</w:t>
            </w:r>
          </w:p>
        </w:tc>
        <w:tc>
          <w:tcPr>
            <w:tcW w:w="744" w:type="dxa"/>
            <w:tcBorders>
              <w:top w:val="nil"/>
              <w:left w:val="nil"/>
              <w:bottom w:val="nil"/>
              <w:right w:val="nil"/>
            </w:tcBorders>
            <w:shd w:val="clear" w:color="auto" w:fill="auto"/>
            <w:noWrap/>
            <w:vAlign w:val="bottom"/>
            <w:hideMark/>
          </w:tcPr>
          <w:p w14:paraId="3AADEB5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133.3</w:t>
            </w:r>
          </w:p>
        </w:tc>
        <w:tc>
          <w:tcPr>
            <w:tcW w:w="744" w:type="dxa"/>
            <w:tcBorders>
              <w:top w:val="nil"/>
              <w:left w:val="single" w:sz="8" w:space="0" w:color="auto"/>
              <w:bottom w:val="nil"/>
              <w:right w:val="single" w:sz="8" w:space="0" w:color="auto"/>
            </w:tcBorders>
            <w:shd w:val="clear" w:color="auto" w:fill="auto"/>
            <w:noWrap/>
            <w:vAlign w:val="bottom"/>
            <w:hideMark/>
          </w:tcPr>
          <w:p w14:paraId="3D2A696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135.1</w:t>
            </w:r>
          </w:p>
        </w:tc>
        <w:tc>
          <w:tcPr>
            <w:tcW w:w="744" w:type="dxa"/>
            <w:tcBorders>
              <w:top w:val="nil"/>
              <w:left w:val="nil"/>
              <w:bottom w:val="nil"/>
              <w:right w:val="nil"/>
            </w:tcBorders>
            <w:shd w:val="clear" w:color="auto" w:fill="auto"/>
            <w:noWrap/>
            <w:vAlign w:val="bottom"/>
            <w:hideMark/>
          </w:tcPr>
          <w:p w14:paraId="1F1A9DD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136.9</w:t>
            </w:r>
          </w:p>
        </w:tc>
        <w:tc>
          <w:tcPr>
            <w:tcW w:w="744" w:type="dxa"/>
            <w:tcBorders>
              <w:top w:val="nil"/>
              <w:left w:val="single" w:sz="8" w:space="0" w:color="auto"/>
              <w:bottom w:val="nil"/>
              <w:right w:val="single" w:sz="8" w:space="0" w:color="auto"/>
            </w:tcBorders>
            <w:shd w:val="clear" w:color="auto" w:fill="auto"/>
            <w:noWrap/>
            <w:vAlign w:val="bottom"/>
            <w:hideMark/>
          </w:tcPr>
          <w:p w14:paraId="5B25F98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132.4</w:t>
            </w:r>
          </w:p>
        </w:tc>
        <w:tc>
          <w:tcPr>
            <w:tcW w:w="744" w:type="dxa"/>
            <w:tcBorders>
              <w:top w:val="nil"/>
              <w:left w:val="nil"/>
              <w:bottom w:val="nil"/>
              <w:right w:val="nil"/>
            </w:tcBorders>
            <w:shd w:val="clear" w:color="auto" w:fill="auto"/>
            <w:noWrap/>
            <w:vAlign w:val="bottom"/>
            <w:hideMark/>
          </w:tcPr>
          <w:p w14:paraId="5AE2814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111.3</w:t>
            </w:r>
          </w:p>
        </w:tc>
        <w:tc>
          <w:tcPr>
            <w:tcW w:w="744" w:type="dxa"/>
            <w:tcBorders>
              <w:top w:val="nil"/>
              <w:left w:val="single" w:sz="8" w:space="0" w:color="auto"/>
              <w:bottom w:val="nil"/>
              <w:right w:val="single" w:sz="8" w:space="0" w:color="auto"/>
            </w:tcBorders>
            <w:shd w:val="clear" w:color="auto" w:fill="auto"/>
            <w:noWrap/>
            <w:vAlign w:val="bottom"/>
            <w:hideMark/>
          </w:tcPr>
          <w:p w14:paraId="3E85E3A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122</w:t>
            </w:r>
          </w:p>
        </w:tc>
        <w:tc>
          <w:tcPr>
            <w:tcW w:w="744" w:type="dxa"/>
            <w:tcBorders>
              <w:top w:val="nil"/>
              <w:left w:val="nil"/>
              <w:bottom w:val="nil"/>
              <w:right w:val="single" w:sz="8" w:space="0" w:color="auto"/>
            </w:tcBorders>
            <w:shd w:val="clear" w:color="auto" w:fill="auto"/>
            <w:noWrap/>
            <w:vAlign w:val="bottom"/>
            <w:hideMark/>
          </w:tcPr>
          <w:p w14:paraId="317B17E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108.7</w:t>
            </w:r>
          </w:p>
        </w:tc>
        <w:tc>
          <w:tcPr>
            <w:tcW w:w="744" w:type="dxa"/>
            <w:tcBorders>
              <w:top w:val="nil"/>
              <w:left w:val="nil"/>
              <w:bottom w:val="nil"/>
              <w:right w:val="single" w:sz="8" w:space="0" w:color="auto"/>
            </w:tcBorders>
            <w:shd w:val="clear" w:color="auto" w:fill="auto"/>
            <w:noWrap/>
            <w:vAlign w:val="bottom"/>
            <w:hideMark/>
          </w:tcPr>
          <w:p w14:paraId="5A5075B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114.9</w:t>
            </w:r>
          </w:p>
        </w:tc>
        <w:tc>
          <w:tcPr>
            <w:tcW w:w="744" w:type="dxa"/>
            <w:tcBorders>
              <w:top w:val="nil"/>
              <w:left w:val="nil"/>
              <w:bottom w:val="nil"/>
              <w:right w:val="single" w:sz="8" w:space="0" w:color="auto"/>
            </w:tcBorders>
            <w:shd w:val="clear" w:color="auto" w:fill="auto"/>
            <w:noWrap/>
            <w:vAlign w:val="bottom"/>
            <w:hideMark/>
          </w:tcPr>
          <w:p w14:paraId="5BC00EC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107.8</w:t>
            </w:r>
          </w:p>
        </w:tc>
        <w:tc>
          <w:tcPr>
            <w:tcW w:w="744" w:type="dxa"/>
            <w:tcBorders>
              <w:top w:val="nil"/>
              <w:left w:val="nil"/>
              <w:bottom w:val="nil"/>
              <w:right w:val="single" w:sz="8" w:space="0" w:color="auto"/>
            </w:tcBorders>
            <w:shd w:val="clear" w:color="auto" w:fill="auto"/>
            <w:noWrap/>
            <w:vAlign w:val="bottom"/>
            <w:hideMark/>
          </w:tcPr>
          <w:p w14:paraId="720384F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109.5</w:t>
            </w:r>
          </w:p>
        </w:tc>
      </w:tr>
      <w:tr w:rsidR="00D33F7C" w:rsidRPr="00AF27AC" w14:paraId="769C753B"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22078CF1"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Germany</w:t>
            </w:r>
          </w:p>
        </w:tc>
        <w:tc>
          <w:tcPr>
            <w:tcW w:w="744" w:type="dxa"/>
            <w:tcBorders>
              <w:top w:val="nil"/>
              <w:left w:val="single" w:sz="8" w:space="0" w:color="auto"/>
              <w:bottom w:val="nil"/>
              <w:right w:val="nil"/>
            </w:tcBorders>
            <w:shd w:val="clear" w:color="auto" w:fill="auto"/>
            <w:noWrap/>
            <w:vAlign w:val="center"/>
            <w:hideMark/>
          </w:tcPr>
          <w:p w14:paraId="16B6B08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79.4</w:t>
            </w:r>
          </w:p>
        </w:tc>
        <w:tc>
          <w:tcPr>
            <w:tcW w:w="744" w:type="dxa"/>
            <w:tcBorders>
              <w:top w:val="nil"/>
              <w:left w:val="single" w:sz="8" w:space="0" w:color="auto"/>
              <w:bottom w:val="nil"/>
              <w:right w:val="single" w:sz="8" w:space="0" w:color="auto"/>
            </w:tcBorders>
            <w:shd w:val="clear" w:color="auto" w:fill="auto"/>
            <w:noWrap/>
            <w:vAlign w:val="bottom"/>
            <w:hideMark/>
          </w:tcPr>
          <w:p w14:paraId="799FD12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78.2</w:t>
            </w:r>
          </w:p>
        </w:tc>
        <w:tc>
          <w:tcPr>
            <w:tcW w:w="744" w:type="dxa"/>
            <w:tcBorders>
              <w:top w:val="nil"/>
              <w:left w:val="nil"/>
              <w:bottom w:val="nil"/>
              <w:right w:val="nil"/>
            </w:tcBorders>
            <w:shd w:val="clear" w:color="auto" w:fill="auto"/>
            <w:noWrap/>
            <w:vAlign w:val="bottom"/>
            <w:hideMark/>
          </w:tcPr>
          <w:p w14:paraId="0327033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78.7</w:t>
            </w:r>
          </w:p>
        </w:tc>
        <w:tc>
          <w:tcPr>
            <w:tcW w:w="744" w:type="dxa"/>
            <w:tcBorders>
              <w:top w:val="nil"/>
              <w:left w:val="single" w:sz="8" w:space="0" w:color="auto"/>
              <w:bottom w:val="nil"/>
              <w:right w:val="single" w:sz="8" w:space="0" w:color="auto"/>
            </w:tcBorders>
            <w:shd w:val="clear" w:color="auto" w:fill="auto"/>
            <w:noWrap/>
            <w:vAlign w:val="bottom"/>
            <w:hideMark/>
          </w:tcPr>
          <w:p w14:paraId="0AB3CE4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74.7</w:t>
            </w:r>
          </w:p>
        </w:tc>
        <w:tc>
          <w:tcPr>
            <w:tcW w:w="744" w:type="dxa"/>
            <w:tcBorders>
              <w:top w:val="nil"/>
              <w:left w:val="nil"/>
              <w:bottom w:val="nil"/>
              <w:right w:val="nil"/>
            </w:tcBorders>
            <w:shd w:val="clear" w:color="auto" w:fill="auto"/>
            <w:noWrap/>
            <w:vAlign w:val="bottom"/>
            <w:hideMark/>
          </w:tcPr>
          <w:p w14:paraId="2EFCECC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74.2</w:t>
            </w:r>
          </w:p>
        </w:tc>
        <w:tc>
          <w:tcPr>
            <w:tcW w:w="744" w:type="dxa"/>
            <w:tcBorders>
              <w:top w:val="nil"/>
              <w:left w:val="single" w:sz="8" w:space="0" w:color="auto"/>
              <w:bottom w:val="nil"/>
              <w:right w:val="single" w:sz="8" w:space="0" w:color="auto"/>
            </w:tcBorders>
            <w:shd w:val="clear" w:color="auto" w:fill="auto"/>
            <w:noWrap/>
            <w:vAlign w:val="bottom"/>
            <w:hideMark/>
          </w:tcPr>
          <w:p w14:paraId="3813A81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73</w:t>
            </w:r>
          </w:p>
        </w:tc>
        <w:tc>
          <w:tcPr>
            <w:tcW w:w="744" w:type="dxa"/>
            <w:tcBorders>
              <w:top w:val="nil"/>
              <w:left w:val="nil"/>
              <w:bottom w:val="nil"/>
              <w:right w:val="nil"/>
            </w:tcBorders>
            <w:shd w:val="clear" w:color="auto" w:fill="auto"/>
            <w:noWrap/>
            <w:vAlign w:val="bottom"/>
            <w:hideMark/>
          </w:tcPr>
          <w:p w14:paraId="6524018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75.4</w:t>
            </w:r>
          </w:p>
        </w:tc>
        <w:tc>
          <w:tcPr>
            <w:tcW w:w="744" w:type="dxa"/>
            <w:tcBorders>
              <w:top w:val="nil"/>
              <w:left w:val="single" w:sz="8" w:space="0" w:color="auto"/>
              <w:bottom w:val="nil"/>
              <w:right w:val="single" w:sz="8" w:space="0" w:color="auto"/>
            </w:tcBorders>
            <w:shd w:val="clear" w:color="auto" w:fill="auto"/>
            <w:noWrap/>
            <w:vAlign w:val="bottom"/>
            <w:hideMark/>
          </w:tcPr>
          <w:p w14:paraId="315AD28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74.8</w:t>
            </w:r>
          </w:p>
        </w:tc>
        <w:tc>
          <w:tcPr>
            <w:tcW w:w="744" w:type="dxa"/>
            <w:tcBorders>
              <w:top w:val="nil"/>
              <w:left w:val="nil"/>
              <w:bottom w:val="nil"/>
              <w:right w:val="single" w:sz="8" w:space="0" w:color="auto"/>
            </w:tcBorders>
            <w:shd w:val="clear" w:color="auto" w:fill="auto"/>
            <w:noWrap/>
            <w:vAlign w:val="bottom"/>
            <w:hideMark/>
          </w:tcPr>
          <w:p w14:paraId="044AAFD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73.5</w:t>
            </w:r>
          </w:p>
        </w:tc>
        <w:tc>
          <w:tcPr>
            <w:tcW w:w="744" w:type="dxa"/>
            <w:tcBorders>
              <w:top w:val="nil"/>
              <w:left w:val="nil"/>
              <w:bottom w:val="nil"/>
              <w:right w:val="single" w:sz="8" w:space="0" w:color="auto"/>
            </w:tcBorders>
            <w:shd w:val="clear" w:color="auto" w:fill="auto"/>
            <w:noWrap/>
            <w:vAlign w:val="bottom"/>
            <w:hideMark/>
          </w:tcPr>
          <w:p w14:paraId="404903E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77.6</w:t>
            </w:r>
          </w:p>
        </w:tc>
        <w:tc>
          <w:tcPr>
            <w:tcW w:w="744" w:type="dxa"/>
            <w:tcBorders>
              <w:top w:val="nil"/>
              <w:left w:val="nil"/>
              <w:bottom w:val="nil"/>
              <w:right w:val="single" w:sz="8" w:space="0" w:color="auto"/>
            </w:tcBorders>
            <w:shd w:val="clear" w:color="auto" w:fill="auto"/>
            <w:noWrap/>
            <w:vAlign w:val="bottom"/>
            <w:hideMark/>
          </w:tcPr>
          <w:p w14:paraId="4C26A5B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77.8</w:t>
            </w:r>
          </w:p>
        </w:tc>
        <w:tc>
          <w:tcPr>
            <w:tcW w:w="744" w:type="dxa"/>
            <w:tcBorders>
              <w:top w:val="nil"/>
              <w:left w:val="nil"/>
              <w:bottom w:val="nil"/>
              <w:right w:val="single" w:sz="8" w:space="0" w:color="auto"/>
            </w:tcBorders>
            <w:shd w:val="clear" w:color="auto" w:fill="auto"/>
            <w:noWrap/>
            <w:vAlign w:val="bottom"/>
            <w:hideMark/>
          </w:tcPr>
          <w:p w14:paraId="01B0CC5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77.1</w:t>
            </w:r>
          </w:p>
        </w:tc>
      </w:tr>
      <w:tr w:rsidR="00D33F7C" w:rsidRPr="00AF27AC" w14:paraId="7E4B1D5B"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6B4A3EC9"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Bermuda</w:t>
            </w:r>
          </w:p>
        </w:tc>
        <w:tc>
          <w:tcPr>
            <w:tcW w:w="744" w:type="dxa"/>
            <w:tcBorders>
              <w:top w:val="nil"/>
              <w:left w:val="single" w:sz="8" w:space="0" w:color="auto"/>
              <w:bottom w:val="nil"/>
              <w:right w:val="nil"/>
            </w:tcBorders>
            <w:shd w:val="clear" w:color="auto" w:fill="auto"/>
            <w:noWrap/>
            <w:vAlign w:val="center"/>
            <w:hideMark/>
          </w:tcPr>
          <w:p w14:paraId="1A579A9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70.9</w:t>
            </w:r>
          </w:p>
        </w:tc>
        <w:tc>
          <w:tcPr>
            <w:tcW w:w="744" w:type="dxa"/>
            <w:tcBorders>
              <w:top w:val="nil"/>
              <w:left w:val="single" w:sz="8" w:space="0" w:color="auto"/>
              <w:bottom w:val="nil"/>
              <w:right w:val="single" w:sz="8" w:space="0" w:color="auto"/>
            </w:tcBorders>
            <w:shd w:val="clear" w:color="auto" w:fill="auto"/>
            <w:noWrap/>
            <w:vAlign w:val="bottom"/>
            <w:hideMark/>
          </w:tcPr>
          <w:p w14:paraId="2DD21FD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71.1</w:t>
            </w:r>
          </w:p>
        </w:tc>
        <w:tc>
          <w:tcPr>
            <w:tcW w:w="744" w:type="dxa"/>
            <w:tcBorders>
              <w:top w:val="nil"/>
              <w:left w:val="nil"/>
              <w:bottom w:val="nil"/>
              <w:right w:val="nil"/>
            </w:tcBorders>
            <w:shd w:val="clear" w:color="auto" w:fill="auto"/>
            <w:noWrap/>
            <w:vAlign w:val="bottom"/>
            <w:hideMark/>
          </w:tcPr>
          <w:p w14:paraId="711B7F0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74.2</w:t>
            </w:r>
          </w:p>
        </w:tc>
        <w:tc>
          <w:tcPr>
            <w:tcW w:w="744" w:type="dxa"/>
            <w:tcBorders>
              <w:top w:val="nil"/>
              <w:left w:val="single" w:sz="8" w:space="0" w:color="auto"/>
              <w:bottom w:val="nil"/>
              <w:right w:val="single" w:sz="8" w:space="0" w:color="auto"/>
            </w:tcBorders>
            <w:shd w:val="clear" w:color="auto" w:fill="auto"/>
            <w:noWrap/>
            <w:vAlign w:val="bottom"/>
            <w:hideMark/>
          </w:tcPr>
          <w:p w14:paraId="46E4EAD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76.1</w:t>
            </w:r>
          </w:p>
        </w:tc>
        <w:tc>
          <w:tcPr>
            <w:tcW w:w="744" w:type="dxa"/>
            <w:tcBorders>
              <w:top w:val="nil"/>
              <w:left w:val="nil"/>
              <w:bottom w:val="nil"/>
              <w:right w:val="nil"/>
            </w:tcBorders>
            <w:shd w:val="clear" w:color="auto" w:fill="auto"/>
            <w:noWrap/>
            <w:vAlign w:val="bottom"/>
            <w:hideMark/>
          </w:tcPr>
          <w:p w14:paraId="5710FB1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73.9</w:t>
            </w:r>
          </w:p>
        </w:tc>
        <w:tc>
          <w:tcPr>
            <w:tcW w:w="744" w:type="dxa"/>
            <w:tcBorders>
              <w:top w:val="nil"/>
              <w:left w:val="single" w:sz="8" w:space="0" w:color="auto"/>
              <w:bottom w:val="nil"/>
              <w:right w:val="single" w:sz="8" w:space="0" w:color="auto"/>
            </w:tcBorders>
            <w:shd w:val="clear" w:color="auto" w:fill="auto"/>
            <w:noWrap/>
            <w:vAlign w:val="bottom"/>
            <w:hideMark/>
          </w:tcPr>
          <w:p w14:paraId="417E614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74</w:t>
            </w:r>
          </w:p>
        </w:tc>
        <w:tc>
          <w:tcPr>
            <w:tcW w:w="744" w:type="dxa"/>
            <w:tcBorders>
              <w:top w:val="nil"/>
              <w:left w:val="nil"/>
              <w:bottom w:val="nil"/>
              <w:right w:val="nil"/>
            </w:tcBorders>
            <w:shd w:val="clear" w:color="auto" w:fill="auto"/>
            <w:noWrap/>
            <w:vAlign w:val="bottom"/>
            <w:hideMark/>
          </w:tcPr>
          <w:p w14:paraId="286791A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72.6</w:t>
            </w:r>
          </w:p>
        </w:tc>
        <w:tc>
          <w:tcPr>
            <w:tcW w:w="744" w:type="dxa"/>
            <w:tcBorders>
              <w:top w:val="nil"/>
              <w:left w:val="single" w:sz="8" w:space="0" w:color="auto"/>
              <w:bottom w:val="nil"/>
              <w:right w:val="single" w:sz="8" w:space="0" w:color="auto"/>
            </w:tcBorders>
            <w:shd w:val="clear" w:color="auto" w:fill="auto"/>
            <w:noWrap/>
            <w:vAlign w:val="bottom"/>
            <w:hideMark/>
          </w:tcPr>
          <w:p w14:paraId="284C775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68.2</w:t>
            </w:r>
          </w:p>
        </w:tc>
        <w:tc>
          <w:tcPr>
            <w:tcW w:w="744" w:type="dxa"/>
            <w:tcBorders>
              <w:top w:val="nil"/>
              <w:left w:val="nil"/>
              <w:bottom w:val="nil"/>
              <w:right w:val="single" w:sz="8" w:space="0" w:color="auto"/>
            </w:tcBorders>
            <w:shd w:val="clear" w:color="auto" w:fill="auto"/>
            <w:noWrap/>
            <w:vAlign w:val="bottom"/>
            <w:hideMark/>
          </w:tcPr>
          <w:p w14:paraId="188BD24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67.1</w:t>
            </w:r>
          </w:p>
        </w:tc>
        <w:tc>
          <w:tcPr>
            <w:tcW w:w="744" w:type="dxa"/>
            <w:tcBorders>
              <w:top w:val="nil"/>
              <w:left w:val="nil"/>
              <w:bottom w:val="nil"/>
              <w:right w:val="single" w:sz="8" w:space="0" w:color="auto"/>
            </w:tcBorders>
            <w:shd w:val="clear" w:color="auto" w:fill="auto"/>
            <w:noWrap/>
            <w:vAlign w:val="bottom"/>
            <w:hideMark/>
          </w:tcPr>
          <w:p w14:paraId="470E96B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66.3</w:t>
            </w:r>
          </w:p>
        </w:tc>
        <w:tc>
          <w:tcPr>
            <w:tcW w:w="744" w:type="dxa"/>
            <w:tcBorders>
              <w:top w:val="nil"/>
              <w:left w:val="nil"/>
              <w:bottom w:val="nil"/>
              <w:right w:val="single" w:sz="8" w:space="0" w:color="auto"/>
            </w:tcBorders>
            <w:shd w:val="clear" w:color="auto" w:fill="auto"/>
            <w:noWrap/>
            <w:vAlign w:val="bottom"/>
            <w:hideMark/>
          </w:tcPr>
          <w:p w14:paraId="15B857F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67.1</w:t>
            </w:r>
          </w:p>
        </w:tc>
        <w:tc>
          <w:tcPr>
            <w:tcW w:w="744" w:type="dxa"/>
            <w:tcBorders>
              <w:top w:val="nil"/>
              <w:left w:val="nil"/>
              <w:bottom w:val="nil"/>
              <w:right w:val="single" w:sz="8" w:space="0" w:color="auto"/>
            </w:tcBorders>
            <w:shd w:val="clear" w:color="auto" w:fill="auto"/>
            <w:noWrap/>
            <w:vAlign w:val="bottom"/>
            <w:hideMark/>
          </w:tcPr>
          <w:p w14:paraId="5C13CA7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66.3</w:t>
            </w:r>
          </w:p>
        </w:tc>
      </w:tr>
      <w:tr w:rsidR="00D33F7C" w:rsidRPr="00AF27AC" w14:paraId="5C9FBAC6"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22B21C01"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Netherlands</w:t>
            </w:r>
          </w:p>
        </w:tc>
        <w:tc>
          <w:tcPr>
            <w:tcW w:w="744" w:type="dxa"/>
            <w:tcBorders>
              <w:top w:val="nil"/>
              <w:left w:val="single" w:sz="8" w:space="0" w:color="auto"/>
              <w:bottom w:val="nil"/>
              <w:right w:val="nil"/>
            </w:tcBorders>
            <w:shd w:val="clear" w:color="auto" w:fill="auto"/>
            <w:noWrap/>
            <w:vAlign w:val="center"/>
            <w:hideMark/>
          </w:tcPr>
          <w:p w14:paraId="25E9143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69.4</w:t>
            </w:r>
          </w:p>
        </w:tc>
        <w:tc>
          <w:tcPr>
            <w:tcW w:w="744" w:type="dxa"/>
            <w:tcBorders>
              <w:top w:val="nil"/>
              <w:left w:val="single" w:sz="8" w:space="0" w:color="auto"/>
              <w:bottom w:val="nil"/>
              <w:right w:val="single" w:sz="8" w:space="0" w:color="auto"/>
            </w:tcBorders>
            <w:shd w:val="clear" w:color="auto" w:fill="auto"/>
            <w:noWrap/>
            <w:vAlign w:val="bottom"/>
            <w:hideMark/>
          </w:tcPr>
          <w:p w14:paraId="79B9C1F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71.2</w:t>
            </w:r>
          </w:p>
        </w:tc>
        <w:tc>
          <w:tcPr>
            <w:tcW w:w="744" w:type="dxa"/>
            <w:tcBorders>
              <w:top w:val="nil"/>
              <w:left w:val="nil"/>
              <w:bottom w:val="nil"/>
              <w:right w:val="nil"/>
            </w:tcBorders>
            <w:shd w:val="clear" w:color="auto" w:fill="auto"/>
            <w:noWrap/>
            <w:vAlign w:val="bottom"/>
            <w:hideMark/>
          </w:tcPr>
          <w:p w14:paraId="665248B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68.5</w:t>
            </w:r>
          </w:p>
        </w:tc>
        <w:tc>
          <w:tcPr>
            <w:tcW w:w="744" w:type="dxa"/>
            <w:tcBorders>
              <w:top w:val="nil"/>
              <w:left w:val="single" w:sz="8" w:space="0" w:color="auto"/>
              <w:bottom w:val="nil"/>
              <w:right w:val="single" w:sz="8" w:space="0" w:color="auto"/>
            </w:tcBorders>
            <w:shd w:val="clear" w:color="auto" w:fill="auto"/>
            <w:noWrap/>
            <w:vAlign w:val="bottom"/>
            <w:hideMark/>
          </w:tcPr>
          <w:p w14:paraId="7DBB77C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69.2</w:t>
            </w:r>
          </w:p>
        </w:tc>
        <w:tc>
          <w:tcPr>
            <w:tcW w:w="744" w:type="dxa"/>
            <w:tcBorders>
              <w:top w:val="nil"/>
              <w:left w:val="nil"/>
              <w:bottom w:val="nil"/>
              <w:right w:val="nil"/>
            </w:tcBorders>
            <w:shd w:val="clear" w:color="auto" w:fill="auto"/>
            <w:noWrap/>
            <w:vAlign w:val="bottom"/>
            <w:hideMark/>
          </w:tcPr>
          <w:p w14:paraId="1BEFFAF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69.7</w:t>
            </w:r>
          </w:p>
        </w:tc>
        <w:tc>
          <w:tcPr>
            <w:tcW w:w="744" w:type="dxa"/>
            <w:tcBorders>
              <w:top w:val="nil"/>
              <w:left w:val="single" w:sz="8" w:space="0" w:color="auto"/>
              <w:bottom w:val="nil"/>
              <w:right w:val="single" w:sz="8" w:space="0" w:color="auto"/>
            </w:tcBorders>
            <w:shd w:val="clear" w:color="auto" w:fill="auto"/>
            <w:noWrap/>
            <w:vAlign w:val="bottom"/>
            <w:hideMark/>
          </w:tcPr>
          <w:p w14:paraId="607AD8F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71.7</w:t>
            </w:r>
          </w:p>
        </w:tc>
        <w:tc>
          <w:tcPr>
            <w:tcW w:w="744" w:type="dxa"/>
            <w:tcBorders>
              <w:top w:val="nil"/>
              <w:left w:val="nil"/>
              <w:bottom w:val="nil"/>
              <w:right w:val="nil"/>
            </w:tcBorders>
            <w:shd w:val="clear" w:color="auto" w:fill="auto"/>
            <w:noWrap/>
            <w:vAlign w:val="bottom"/>
            <w:hideMark/>
          </w:tcPr>
          <w:p w14:paraId="63E2B81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69.7</w:t>
            </w:r>
          </w:p>
        </w:tc>
        <w:tc>
          <w:tcPr>
            <w:tcW w:w="744" w:type="dxa"/>
            <w:tcBorders>
              <w:top w:val="nil"/>
              <w:left w:val="single" w:sz="8" w:space="0" w:color="auto"/>
              <w:bottom w:val="nil"/>
              <w:right w:val="single" w:sz="8" w:space="0" w:color="auto"/>
            </w:tcBorders>
            <w:shd w:val="clear" w:color="auto" w:fill="auto"/>
            <w:noWrap/>
            <w:vAlign w:val="bottom"/>
            <w:hideMark/>
          </w:tcPr>
          <w:p w14:paraId="0BBD89A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69.8</w:t>
            </w:r>
          </w:p>
        </w:tc>
        <w:tc>
          <w:tcPr>
            <w:tcW w:w="744" w:type="dxa"/>
            <w:tcBorders>
              <w:top w:val="nil"/>
              <w:left w:val="nil"/>
              <w:bottom w:val="nil"/>
              <w:right w:val="single" w:sz="8" w:space="0" w:color="auto"/>
            </w:tcBorders>
            <w:shd w:val="clear" w:color="auto" w:fill="auto"/>
            <w:noWrap/>
            <w:vAlign w:val="bottom"/>
            <w:hideMark/>
          </w:tcPr>
          <w:p w14:paraId="015674B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66.1</w:t>
            </w:r>
          </w:p>
        </w:tc>
        <w:tc>
          <w:tcPr>
            <w:tcW w:w="744" w:type="dxa"/>
            <w:tcBorders>
              <w:top w:val="nil"/>
              <w:left w:val="nil"/>
              <w:bottom w:val="nil"/>
              <w:right w:val="single" w:sz="8" w:space="0" w:color="auto"/>
            </w:tcBorders>
            <w:shd w:val="clear" w:color="auto" w:fill="auto"/>
            <w:noWrap/>
            <w:vAlign w:val="bottom"/>
            <w:hideMark/>
          </w:tcPr>
          <w:p w14:paraId="6CC8F21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65.8</w:t>
            </w:r>
          </w:p>
        </w:tc>
        <w:tc>
          <w:tcPr>
            <w:tcW w:w="744" w:type="dxa"/>
            <w:tcBorders>
              <w:top w:val="nil"/>
              <w:left w:val="nil"/>
              <w:bottom w:val="nil"/>
              <w:right w:val="single" w:sz="8" w:space="0" w:color="auto"/>
            </w:tcBorders>
            <w:shd w:val="clear" w:color="auto" w:fill="auto"/>
            <w:noWrap/>
            <w:vAlign w:val="bottom"/>
            <w:hideMark/>
          </w:tcPr>
          <w:p w14:paraId="73FC331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65</w:t>
            </w:r>
          </w:p>
        </w:tc>
        <w:tc>
          <w:tcPr>
            <w:tcW w:w="744" w:type="dxa"/>
            <w:tcBorders>
              <w:top w:val="nil"/>
              <w:left w:val="nil"/>
              <w:bottom w:val="nil"/>
              <w:right w:val="single" w:sz="8" w:space="0" w:color="auto"/>
            </w:tcBorders>
            <w:shd w:val="clear" w:color="auto" w:fill="auto"/>
            <w:noWrap/>
            <w:vAlign w:val="bottom"/>
            <w:hideMark/>
          </w:tcPr>
          <w:p w14:paraId="2D421EA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63.7</w:t>
            </w:r>
          </w:p>
        </w:tc>
      </w:tr>
      <w:tr w:rsidR="00D33F7C" w:rsidRPr="00AF27AC" w14:paraId="4CBC85AB"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76CD154B"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Israel</w:t>
            </w:r>
          </w:p>
        </w:tc>
        <w:tc>
          <w:tcPr>
            <w:tcW w:w="744" w:type="dxa"/>
            <w:tcBorders>
              <w:top w:val="nil"/>
              <w:left w:val="single" w:sz="8" w:space="0" w:color="auto"/>
              <w:bottom w:val="nil"/>
              <w:right w:val="nil"/>
            </w:tcBorders>
            <w:shd w:val="clear" w:color="auto" w:fill="auto"/>
            <w:noWrap/>
            <w:vAlign w:val="center"/>
            <w:hideMark/>
          </w:tcPr>
          <w:p w14:paraId="34B6D68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47.6</w:t>
            </w:r>
          </w:p>
        </w:tc>
        <w:tc>
          <w:tcPr>
            <w:tcW w:w="744" w:type="dxa"/>
            <w:tcBorders>
              <w:top w:val="nil"/>
              <w:left w:val="single" w:sz="8" w:space="0" w:color="auto"/>
              <w:bottom w:val="nil"/>
              <w:right w:val="single" w:sz="8" w:space="0" w:color="auto"/>
            </w:tcBorders>
            <w:shd w:val="clear" w:color="auto" w:fill="auto"/>
            <w:noWrap/>
            <w:vAlign w:val="bottom"/>
            <w:hideMark/>
          </w:tcPr>
          <w:p w14:paraId="6550013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48.4</w:t>
            </w:r>
          </w:p>
        </w:tc>
        <w:tc>
          <w:tcPr>
            <w:tcW w:w="744" w:type="dxa"/>
            <w:tcBorders>
              <w:top w:val="nil"/>
              <w:left w:val="nil"/>
              <w:bottom w:val="nil"/>
              <w:right w:val="nil"/>
            </w:tcBorders>
            <w:shd w:val="clear" w:color="auto" w:fill="auto"/>
            <w:noWrap/>
            <w:vAlign w:val="bottom"/>
            <w:hideMark/>
          </w:tcPr>
          <w:p w14:paraId="494C23A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47.7</w:t>
            </w:r>
          </w:p>
        </w:tc>
        <w:tc>
          <w:tcPr>
            <w:tcW w:w="744" w:type="dxa"/>
            <w:tcBorders>
              <w:top w:val="nil"/>
              <w:left w:val="single" w:sz="8" w:space="0" w:color="auto"/>
              <w:bottom w:val="nil"/>
              <w:right w:val="single" w:sz="8" w:space="0" w:color="auto"/>
            </w:tcBorders>
            <w:shd w:val="clear" w:color="auto" w:fill="auto"/>
            <w:noWrap/>
            <w:vAlign w:val="bottom"/>
            <w:hideMark/>
          </w:tcPr>
          <w:p w14:paraId="08FFA03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51.5</w:t>
            </w:r>
          </w:p>
        </w:tc>
        <w:tc>
          <w:tcPr>
            <w:tcW w:w="744" w:type="dxa"/>
            <w:tcBorders>
              <w:top w:val="nil"/>
              <w:left w:val="nil"/>
              <w:bottom w:val="nil"/>
              <w:right w:val="nil"/>
            </w:tcBorders>
            <w:shd w:val="clear" w:color="auto" w:fill="auto"/>
            <w:noWrap/>
            <w:vAlign w:val="bottom"/>
            <w:hideMark/>
          </w:tcPr>
          <w:p w14:paraId="51B352A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w:t>
            </w:r>
          </w:p>
        </w:tc>
        <w:tc>
          <w:tcPr>
            <w:tcW w:w="744" w:type="dxa"/>
            <w:tcBorders>
              <w:top w:val="nil"/>
              <w:left w:val="single" w:sz="8" w:space="0" w:color="auto"/>
              <w:bottom w:val="nil"/>
              <w:right w:val="single" w:sz="8" w:space="0" w:color="auto"/>
            </w:tcBorders>
            <w:shd w:val="clear" w:color="auto" w:fill="auto"/>
            <w:noWrap/>
            <w:vAlign w:val="bottom"/>
            <w:hideMark/>
          </w:tcPr>
          <w:p w14:paraId="67777CC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57</w:t>
            </w:r>
          </w:p>
        </w:tc>
        <w:tc>
          <w:tcPr>
            <w:tcW w:w="744" w:type="dxa"/>
            <w:tcBorders>
              <w:top w:val="nil"/>
              <w:left w:val="nil"/>
              <w:bottom w:val="nil"/>
              <w:right w:val="nil"/>
            </w:tcBorders>
            <w:shd w:val="clear" w:color="auto" w:fill="auto"/>
            <w:noWrap/>
            <w:vAlign w:val="bottom"/>
            <w:hideMark/>
          </w:tcPr>
          <w:p w14:paraId="6DF9E40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48.7</w:t>
            </w:r>
          </w:p>
        </w:tc>
        <w:tc>
          <w:tcPr>
            <w:tcW w:w="744" w:type="dxa"/>
            <w:tcBorders>
              <w:top w:val="nil"/>
              <w:left w:val="single" w:sz="8" w:space="0" w:color="auto"/>
              <w:bottom w:val="nil"/>
              <w:right w:val="single" w:sz="8" w:space="0" w:color="auto"/>
            </w:tcBorders>
            <w:shd w:val="clear" w:color="auto" w:fill="auto"/>
            <w:noWrap/>
            <w:vAlign w:val="bottom"/>
            <w:hideMark/>
          </w:tcPr>
          <w:p w14:paraId="26AD102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53.7</w:t>
            </w:r>
          </w:p>
        </w:tc>
        <w:tc>
          <w:tcPr>
            <w:tcW w:w="744" w:type="dxa"/>
            <w:tcBorders>
              <w:top w:val="nil"/>
              <w:left w:val="nil"/>
              <w:bottom w:val="nil"/>
              <w:right w:val="single" w:sz="8" w:space="0" w:color="auto"/>
            </w:tcBorders>
            <w:shd w:val="clear" w:color="auto" w:fill="auto"/>
            <w:noWrap/>
            <w:vAlign w:val="bottom"/>
            <w:hideMark/>
          </w:tcPr>
          <w:p w14:paraId="5851392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58.2</w:t>
            </w:r>
          </w:p>
        </w:tc>
        <w:tc>
          <w:tcPr>
            <w:tcW w:w="744" w:type="dxa"/>
            <w:tcBorders>
              <w:top w:val="nil"/>
              <w:left w:val="nil"/>
              <w:bottom w:val="nil"/>
              <w:right w:val="single" w:sz="8" w:space="0" w:color="auto"/>
            </w:tcBorders>
            <w:shd w:val="clear" w:color="auto" w:fill="auto"/>
            <w:noWrap/>
            <w:vAlign w:val="bottom"/>
            <w:hideMark/>
          </w:tcPr>
          <w:p w14:paraId="3F0B561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61</w:t>
            </w:r>
          </w:p>
        </w:tc>
        <w:tc>
          <w:tcPr>
            <w:tcW w:w="744" w:type="dxa"/>
            <w:tcBorders>
              <w:top w:val="nil"/>
              <w:left w:val="nil"/>
              <w:bottom w:val="nil"/>
              <w:right w:val="single" w:sz="8" w:space="0" w:color="auto"/>
            </w:tcBorders>
            <w:shd w:val="clear" w:color="auto" w:fill="auto"/>
            <w:noWrap/>
            <w:vAlign w:val="bottom"/>
            <w:hideMark/>
          </w:tcPr>
          <w:p w14:paraId="30F30CB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61.4</w:t>
            </w:r>
          </w:p>
        </w:tc>
        <w:tc>
          <w:tcPr>
            <w:tcW w:w="744" w:type="dxa"/>
            <w:tcBorders>
              <w:top w:val="nil"/>
              <w:left w:val="nil"/>
              <w:bottom w:val="nil"/>
              <w:right w:val="single" w:sz="8" w:space="0" w:color="auto"/>
            </w:tcBorders>
            <w:shd w:val="clear" w:color="auto" w:fill="auto"/>
            <w:noWrap/>
            <w:vAlign w:val="bottom"/>
            <w:hideMark/>
          </w:tcPr>
          <w:p w14:paraId="773BD08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58.3</w:t>
            </w:r>
          </w:p>
        </w:tc>
      </w:tr>
      <w:tr w:rsidR="00D33F7C" w:rsidRPr="00AF27AC" w14:paraId="7CCC3F63"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7760BFDE"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United Arab Emirates</w:t>
            </w:r>
          </w:p>
        </w:tc>
        <w:tc>
          <w:tcPr>
            <w:tcW w:w="744" w:type="dxa"/>
            <w:tcBorders>
              <w:top w:val="nil"/>
              <w:left w:val="single" w:sz="8" w:space="0" w:color="auto"/>
              <w:bottom w:val="nil"/>
              <w:right w:val="nil"/>
            </w:tcBorders>
            <w:shd w:val="clear" w:color="auto" w:fill="auto"/>
            <w:noWrap/>
            <w:vAlign w:val="center"/>
            <w:hideMark/>
          </w:tcPr>
          <w:p w14:paraId="55ADA42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26.1</w:t>
            </w:r>
          </w:p>
        </w:tc>
        <w:tc>
          <w:tcPr>
            <w:tcW w:w="744" w:type="dxa"/>
            <w:tcBorders>
              <w:top w:val="nil"/>
              <w:left w:val="single" w:sz="8" w:space="0" w:color="auto"/>
              <w:bottom w:val="nil"/>
              <w:right w:val="single" w:sz="8" w:space="0" w:color="auto"/>
            </w:tcBorders>
            <w:shd w:val="clear" w:color="auto" w:fill="auto"/>
            <w:noWrap/>
            <w:vAlign w:val="bottom"/>
            <w:hideMark/>
          </w:tcPr>
          <w:p w14:paraId="01804E5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29.5</w:t>
            </w:r>
          </w:p>
        </w:tc>
        <w:tc>
          <w:tcPr>
            <w:tcW w:w="744" w:type="dxa"/>
            <w:tcBorders>
              <w:top w:val="nil"/>
              <w:left w:val="nil"/>
              <w:bottom w:val="nil"/>
              <w:right w:val="nil"/>
            </w:tcBorders>
            <w:shd w:val="clear" w:color="auto" w:fill="auto"/>
            <w:noWrap/>
            <w:vAlign w:val="bottom"/>
            <w:hideMark/>
          </w:tcPr>
          <w:p w14:paraId="324AC42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36.6</w:t>
            </w:r>
          </w:p>
        </w:tc>
        <w:tc>
          <w:tcPr>
            <w:tcW w:w="744" w:type="dxa"/>
            <w:tcBorders>
              <w:top w:val="nil"/>
              <w:left w:val="single" w:sz="8" w:space="0" w:color="auto"/>
              <w:bottom w:val="nil"/>
              <w:right w:val="single" w:sz="8" w:space="0" w:color="auto"/>
            </w:tcBorders>
            <w:shd w:val="clear" w:color="auto" w:fill="auto"/>
            <w:noWrap/>
            <w:vAlign w:val="bottom"/>
            <w:hideMark/>
          </w:tcPr>
          <w:p w14:paraId="79534CB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33.1</w:t>
            </w:r>
          </w:p>
        </w:tc>
        <w:tc>
          <w:tcPr>
            <w:tcW w:w="744" w:type="dxa"/>
            <w:tcBorders>
              <w:top w:val="nil"/>
              <w:left w:val="nil"/>
              <w:bottom w:val="nil"/>
              <w:right w:val="nil"/>
            </w:tcBorders>
            <w:shd w:val="clear" w:color="auto" w:fill="auto"/>
            <w:noWrap/>
            <w:vAlign w:val="bottom"/>
            <w:hideMark/>
          </w:tcPr>
          <w:p w14:paraId="0BB2808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29.1</w:t>
            </w:r>
          </w:p>
        </w:tc>
        <w:tc>
          <w:tcPr>
            <w:tcW w:w="744" w:type="dxa"/>
            <w:tcBorders>
              <w:top w:val="nil"/>
              <w:left w:val="single" w:sz="8" w:space="0" w:color="auto"/>
              <w:bottom w:val="nil"/>
              <w:right w:val="single" w:sz="8" w:space="0" w:color="auto"/>
            </w:tcBorders>
            <w:shd w:val="clear" w:color="auto" w:fill="auto"/>
            <w:noWrap/>
            <w:vAlign w:val="bottom"/>
            <w:hideMark/>
          </w:tcPr>
          <w:p w14:paraId="59F88E5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36.8</w:t>
            </w:r>
          </w:p>
        </w:tc>
        <w:tc>
          <w:tcPr>
            <w:tcW w:w="744" w:type="dxa"/>
            <w:tcBorders>
              <w:top w:val="nil"/>
              <w:left w:val="nil"/>
              <w:bottom w:val="nil"/>
              <w:right w:val="nil"/>
            </w:tcBorders>
            <w:shd w:val="clear" w:color="auto" w:fill="auto"/>
            <w:noWrap/>
            <w:vAlign w:val="bottom"/>
            <w:hideMark/>
          </w:tcPr>
          <w:p w14:paraId="2F7938E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32.2</w:t>
            </w:r>
          </w:p>
        </w:tc>
        <w:tc>
          <w:tcPr>
            <w:tcW w:w="744" w:type="dxa"/>
            <w:tcBorders>
              <w:top w:val="nil"/>
              <w:left w:val="single" w:sz="8" w:space="0" w:color="auto"/>
              <w:bottom w:val="nil"/>
              <w:right w:val="single" w:sz="8" w:space="0" w:color="auto"/>
            </w:tcBorders>
            <w:shd w:val="clear" w:color="auto" w:fill="auto"/>
            <w:noWrap/>
            <w:vAlign w:val="bottom"/>
            <w:hideMark/>
          </w:tcPr>
          <w:p w14:paraId="5889EB6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33.8</w:t>
            </w:r>
          </w:p>
        </w:tc>
        <w:tc>
          <w:tcPr>
            <w:tcW w:w="744" w:type="dxa"/>
            <w:tcBorders>
              <w:top w:val="nil"/>
              <w:left w:val="nil"/>
              <w:bottom w:val="nil"/>
              <w:right w:val="single" w:sz="8" w:space="0" w:color="auto"/>
            </w:tcBorders>
            <w:shd w:val="clear" w:color="auto" w:fill="auto"/>
            <w:noWrap/>
            <w:vAlign w:val="bottom"/>
            <w:hideMark/>
          </w:tcPr>
          <w:p w14:paraId="3E19ED8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50.6</w:t>
            </w:r>
          </w:p>
        </w:tc>
        <w:tc>
          <w:tcPr>
            <w:tcW w:w="744" w:type="dxa"/>
            <w:tcBorders>
              <w:top w:val="nil"/>
              <w:left w:val="nil"/>
              <w:bottom w:val="nil"/>
              <w:right w:val="single" w:sz="8" w:space="0" w:color="auto"/>
            </w:tcBorders>
            <w:shd w:val="clear" w:color="auto" w:fill="auto"/>
            <w:noWrap/>
            <w:vAlign w:val="bottom"/>
            <w:hideMark/>
          </w:tcPr>
          <w:p w14:paraId="03B9EC4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45.6</w:t>
            </w:r>
          </w:p>
        </w:tc>
        <w:tc>
          <w:tcPr>
            <w:tcW w:w="744" w:type="dxa"/>
            <w:tcBorders>
              <w:top w:val="nil"/>
              <w:left w:val="nil"/>
              <w:bottom w:val="nil"/>
              <w:right w:val="single" w:sz="8" w:space="0" w:color="auto"/>
            </w:tcBorders>
            <w:shd w:val="clear" w:color="auto" w:fill="auto"/>
            <w:noWrap/>
            <w:vAlign w:val="bottom"/>
            <w:hideMark/>
          </w:tcPr>
          <w:p w14:paraId="0EA8FA1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43.7</w:t>
            </w:r>
          </w:p>
        </w:tc>
        <w:tc>
          <w:tcPr>
            <w:tcW w:w="744" w:type="dxa"/>
            <w:tcBorders>
              <w:top w:val="nil"/>
              <w:left w:val="nil"/>
              <w:bottom w:val="nil"/>
              <w:right w:val="single" w:sz="8" w:space="0" w:color="auto"/>
            </w:tcBorders>
            <w:shd w:val="clear" w:color="auto" w:fill="auto"/>
            <w:noWrap/>
            <w:vAlign w:val="bottom"/>
            <w:hideMark/>
          </w:tcPr>
          <w:p w14:paraId="038E151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57.3</w:t>
            </w:r>
          </w:p>
        </w:tc>
      </w:tr>
      <w:tr w:rsidR="00D33F7C" w:rsidRPr="00AF27AC" w14:paraId="43F7FC22"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42A8BAF7"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Thailand</w:t>
            </w:r>
          </w:p>
        </w:tc>
        <w:tc>
          <w:tcPr>
            <w:tcW w:w="744" w:type="dxa"/>
            <w:tcBorders>
              <w:top w:val="nil"/>
              <w:left w:val="single" w:sz="8" w:space="0" w:color="auto"/>
              <w:bottom w:val="nil"/>
              <w:right w:val="nil"/>
            </w:tcBorders>
            <w:shd w:val="clear" w:color="auto" w:fill="auto"/>
            <w:noWrap/>
            <w:vAlign w:val="center"/>
            <w:hideMark/>
          </w:tcPr>
          <w:p w14:paraId="5E19754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85.5</w:t>
            </w:r>
          </w:p>
        </w:tc>
        <w:tc>
          <w:tcPr>
            <w:tcW w:w="744" w:type="dxa"/>
            <w:tcBorders>
              <w:top w:val="nil"/>
              <w:left w:val="single" w:sz="8" w:space="0" w:color="auto"/>
              <w:bottom w:val="nil"/>
              <w:right w:val="single" w:sz="8" w:space="0" w:color="auto"/>
            </w:tcBorders>
            <w:shd w:val="clear" w:color="auto" w:fill="auto"/>
            <w:noWrap/>
            <w:vAlign w:val="bottom"/>
            <w:hideMark/>
          </w:tcPr>
          <w:p w14:paraId="11B47BE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87.9</w:t>
            </w:r>
          </w:p>
        </w:tc>
        <w:tc>
          <w:tcPr>
            <w:tcW w:w="744" w:type="dxa"/>
            <w:tcBorders>
              <w:top w:val="nil"/>
              <w:left w:val="nil"/>
              <w:bottom w:val="nil"/>
              <w:right w:val="nil"/>
            </w:tcBorders>
            <w:shd w:val="clear" w:color="auto" w:fill="auto"/>
            <w:noWrap/>
            <w:vAlign w:val="bottom"/>
            <w:hideMark/>
          </w:tcPr>
          <w:p w14:paraId="5401603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85.7</w:t>
            </w:r>
          </w:p>
        </w:tc>
        <w:tc>
          <w:tcPr>
            <w:tcW w:w="744" w:type="dxa"/>
            <w:tcBorders>
              <w:top w:val="nil"/>
              <w:left w:val="single" w:sz="8" w:space="0" w:color="auto"/>
              <w:bottom w:val="nil"/>
              <w:right w:val="single" w:sz="8" w:space="0" w:color="auto"/>
            </w:tcBorders>
            <w:shd w:val="clear" w:color="auto" w:fill="auto"/>
            <w:noWrap/>
            <w:vAlign w:val="bottom"/>
            <w:hideMark/>
          </w:tcPr>
          <w:p w14:paraId="53D448D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83.2</w:t>
            </w:r>
          </w:p>
        </w:tc>
        <w:tc>
          <w:tcPr>
            <w:tcW w:w="744" w:type="dxa"/>
            <w:tcBorders>
              <w:top w:val="nil"/>
              <w:left w:val="nil"/>
              <w:bottom w:val="nil"/>
              <w:right w:val="nil"/>
            </w:tcBorders>
            <w:shd w:val="clear" w:color="auto" w:fill="auto"/>
            <w:noWrap/>
            <w:vAlign w:val="bottom"/>
            <w:hideMark/>
          </w:tcPr>
          <w:p w14:paraId="11FC12F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w:t>
            </w:r>
          </w:p>
        </w:tc>
        <w:tc>
          <w:tcPr>
            <w:tcW w:w="744" w:type="dxa"/>
            <w:tcBorders>
              <w:top w:val="nil"/>
              <w:left w:val="single" w:sz="8" w:space="0" w:color="auto"/>
              <w:bottom w:val="nil"/>
              <w:right w:val="single" w:sz="8" w:space="0" w:color="auto"/>
            </w:tcBorders>
            <w:shd w:val="clear" w:color="auto" w:fill="auto"/>
            <w:noWrap/>
            <w:vAlign w:val="bottom"/>
            <w:hideMark/>
          </w:tcPr>
          <w:p w14:paraId="0E6F541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w:t>
            </w:r>
          </w:p>
        </w:tc>
        <w:tc>
          <w:tcPr>
            <w:tcW w:w="744" w:type="dxa"/>
            <w:tcBorders>
              <w:top w:val="nil"/>
              <w:left w:val="nil"/>
              <w:bottom w:val="nil"/>
              <w:right w:val="nil"/>
            </w:tcBorders>
            <w:shd w:val="clear" w:color="auto" w:fill="auto"/>
            <w:noWrap/>
            <w:vAlign w:val="bottom"/>
            <w:hideMark/>
          </w:tcPr>
          <w:p w14:paraId="5FF8993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80</w:t>
            </w:r>
          </w:p>
        </w:tc>
        <w:tc>
          <w:tcPr>
            <w:tcW w:w="744" w:type="dxa"/>
            <w:tcBorders>
              <w:top w:val="nil"/>
              <w:left w:val="single" w:sz="8" w:space="0" w:color="auto"/>
              <w:bottom w:val="nil"/>
              <w:right w:val="single" w:sz="8" w:space="0" w:color="auto"/>
            </w:tcBorders>
            <w:shd w:val="clear" w:color="auto" w:fill="auto"/>
            <w:noWrap/>
            <w:vAlign w:val="bottom"/>
            <w:hideMark/>
          </w:tcPr>
          <w:p w14:paraId="5F1BB88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82.2</w:t>
            </w:r>
          </w:p>
        </w:tc>
        <w:tc>
          <w:tcPr>
            <w:tcW w:w="744" w:type="dxa"/>
            <w:tcBorders>
              <w:top w:val="nil"/>
              <w:left w:val="nil"/>
              <w:bottom w:val="nil"/>
              <w:right w:val="single" w:sz="8" w:space="0" w:color="auto"/>
            </w:tcBorders>
            <w:shd w:val="clear" w:color="auto" w:fill="auto"/>
            <w:noWrap/>
            <w:vAlign w:val="bottom"/>
            <w:hideMark/>
          </w:tcPr>
          <w:p w14:paraId="458357E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80.6</w:t>
            </w:r>
          </w:p>
        </w:tc>
        <w:tc>
          <w:tcPr>
            <w:tcW w:w="744" w:type="dxa"/>
            <w:tcBorders>
              <w:top w:val="nil"/>
              <w:left w:val="nil"/>
              <w:bottom w:val="nil"/>
              <w:right w:val="single" w:sz="8" w:space="0" w:color="auto"/>
            </w:tcBorders>
            <w:shd w:val="clear" w:color="auto" w:fill="auto"/>
            <w:noWrap/>
            <w:vAlign w:val="bottom"/>
            <w:hideMark/>
          </w:tcPr>
          <w:p w14:paraId="5ACF331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66.9</w:t>
            </w:r>
          </w:p>
        </w:tc>
        <w:tc>
          <w:tcPr>
            <w:tcW w:w="744" w:type="dxa"/>
            <w:tcBorders>
              <w:top w:val="nil"/>
              <w:left w:val="nil"/>
              <w:bottom w:val="nil"/>
              <w:right w:val="single" w:sz="8" w:space="0" w:color="auto"/>
            </w:tcBorders>
            <w:shd w:val="clear" w:color="auto" w:fill="auto"/>
            <w:noWrap/>
            <w:vAlign w:val="bottom"/>
            <w:hideMark/>
          </w:tcPr>
          <w:p w14:paraId="59E8102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59.8</w:t>
            </w:r>
          </w:p>
        </w:tc>
        <w:tc>
          <w:tcPr>
            <w:tcW w:w="744" w:type="dxa"/>
            <w:tcBorders>
              <w:top w:val="nil"/>
              <w:left w:val="nil"/>
              <w:bottom w:val="nil"/>
              <w:right w:val="single" w:sz="8" w:space="0" w:color="auto"/>
            </w:tcBorders>
            <w:shd w:val="clear" w:color="auto" w:fill="auto"/>
            <w:noWrap/>
            <w:vAlign w:val="bottom"/>
            <w:hideMark/>
          </w:tcPr>
          <w:p w14:paraId="36C1CD9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57</w:t>
            </w:r>
          </w:p>
        </w:tc>
      </w:tr>
      <w:tr w:rsidR="00D33F7C" w:rsidRPr="00AF27AC" w14:paraId="1E5B52DC"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1B9070A2"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Poland</w:t>
            </w:r>
          </w:p>
        </w:tc>
        <w:tc>
          <w:tcPr>
            <w:tcW w:w="744" w:type="dxa"/>
            <w:tcBorders>
              <w:top w:val="nil"/>
              <w:left w:val="single" w:sz="8" w:space="0" w:color="auto"/>
              <w:bottom w:val="nil"/>
              <w:right w:val="nil"/>
            </w:tcBorders>
            <w:shd w:val="clear" w:color="auto" w:fill="auto"/>
            <w:noWrap/>
            <w:vAlign w:val="center"/>
            <w:hideMark/>
          </w:tcPr>
          <w:p w14:paraId="0F3DA6E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39.7</w:t>
            </w:r>
          </w:p>
        </w:tc>
        <w:tc>
          <w:tcPr>
            <w:tcW w:w="744" w:type="dxa"/>
            <w:tcBorders>
              <w:top w:val="nil"/>
              <w:left w:val="single" w:sz="8" w:space="0" w:color="auto"/>
              <w:bottom w:val="nil"/>
              <w:right w:val="single" w:sz="8" w:space="0" w:color="auto"/>
            </w:tcBorders>
            <w:shd w:val="clear" w:color="auto" w:fill="auto"/>
            <w:noWrap/>
            <w:vAlign w:val="bottom"/>
            <w:hideMark/>
          </w:tcPr>
          <w:p w14:paraId="4B37F02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42.5</w:t>
            </w:r>
          </w:p>
        </w:tc>
        <w:tc>
          <w:tcPr>
            <w:tcW w:w="744" w:type="dxa"/>
            <w:tcBorders>
              <w:top w:val="nil"/>
              <w:left w:val="nil"/>
              <w:bottom w:val="nil"/>
              <w:right w:val="nil"/>
            </w:tcBorders>
            <w:shd w:val="clear" w:color="auto" w:fill="auto"/>
            <w:noWrap/>
            <w:vAlign w:val="bottom"/>
            <w:hideMark/>
          </w:tcPr>
          <w:p w14:paraId="3C0445D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w:t>
            </w:r>
          </w:p>
        </w:tc>
        <w:tc>
          <w:tcPr>
            <w:tcW w:w="744" w:type="dxa"/>
            <w:tcBorders>
              <w:top w:val="nil"/>
              <w:left w:val="single" w:sz="8" w:space="0" w:color="auto"/>
              <w:bottom w:val="nil"/>
              <w:right w:val="single" w:sz="8" w:space="0" w:color="auto"/>
            </w:tcBorders>
            <w:shd w:val="clear" w:color="auto" w:fill="auto"/>
            <w:noWrap/>
            <w:vAlign w:val="bottom"/>
            <w:hideMark/>
          </w:tcPr>
          <w:p w14:paraId="0AF8C5E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44.1</w:t>
            </w:r>
          </w:p>
        </w:tc>
        <w:tc>
          <w:tcPr>
            <w:tcW w:w="744" w:type="dxa"/>
            <w:tcBorders>
              <w:top w:val="nil"/>
              <w:left w:val="nil"/>
              <w:bottom w:val="nil"/>
              <w:right w:val="nil"/>
            </w:tcBorders>
            <w:shd w:val="clear" w:color="auto" w:fill="auto"/>
            <w:noWrap/>
            <w:vAlign w:val="bottom"/>
            <w:hideMark/>
          </w:tcPr>
          <w:p w14:paraId="04CD764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46.1</w:t>
            </w:r>
          </w:p>
        </w:tc>
        <w:tc>
          <w:tcPr>
            <w:tcW w:w="744" w:type="dxa"/>
            <w:tcBorders>
              <w:top w:val="nil"/>
              <w:left w:val="single" w:sz="8" w:space="0" w:color="auto"/>
              <w:bottom w:val="nil"/>
              <w:right w:val="single" w:sz="8" w:space="0" w:color="auto"/>
            </w:tcBorders>
            <w:shd w:val="clear" w:color="auto" w:fill="auto"/>
            <w:noWrap/>
            <w:vAlign w:val="bottom"/>
            <w:hideMark/>
          </w:tcPr>
          <w:p w14:paraId="59404F1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47.5</w:t>
            </w:r>
          </w:p>
        </w:tc>
        <w:tc>
          <w:tcPr>
            <w:tcW w:w="744" w:type="dxa"/>
            <w:tcBorders>
              <w:top w:val="nil"/>
              <w:left w:val="nil"/>
              <w:bottom w:val="nil"/>
              <w:right w:val="nil"/>
            </w:tcBorders>
            <w:shd w:val="clear" w:color="auto" w:fill="auto"/>
            <w:noWrap/>
            <w:vAlign w:val="bottom"/>
            <w:hideMark/>
          </w:tcPr>
          <w:p w14:paraId="1326635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50.5</w:t>
            </w:r>
          </w:p>
        </w:tc>
        <w:tc>
          <w:tcPr>
            <w:tcW w:w="744" w:type="dxa"/>
            <w:tcBorders>
              <w:top w:val="nil"/>
              <w:left w:val="single" w:sz="8" w:space="0" w:color="auto"/>
              <w:bottom w:val="nil"/>
              <w:right w:val="single" w:sz="8" w:space="0" w:color="auto"/>
            </w:tcBorders>
            <w:shd w:val="clear" w:color="auto" w:fill="auto"/>
            <w:noWrap/>
            <w:vAlign w:val="bottom"/>
            <w:hideMark/>
          </w:tcPr>
          <w:p w14:paraId="42BDFFD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w:t>
            </w:r>
          </w:p>
        </w:tc>
        <w:tc>
          <w:tcPr>
            <w:tcW w:w="744" w:type="dxa"/>
            <w:tcBorders>
              <w:top w:val="nil"/>
              <w:left w:val="nil"/>
              <w:bottom w:val="nil"/>
              <w:right w:val="single" w:sz="8" w:space="0" w:color="auto"/>
            </w:tcBorders>
            <w:shd w:val="clear" w:color="auto" w:fill="auto"/>
            <w:noWrap/>
            <w:vAlign w:val="bottom"/>
            <w:hideMark/>
          </w:tcPr>
          <w:p w14:paraId="0E0C788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53.2</w:t>
            </w:r>
          </w:p>
        </w:tc>
        <w:tc>
          <w:tcPr>
            <w:tcW w:w="744" w:type="dxa"/>
            <w:tcBorders>
              <w:top w:val="nil"/>
              <w:left w:val="nil"/>
              <w:bottom w:val="nil"/>
              <w:right w:val="single" w:sz="8" w:space="0" w:color="auto"/>
            </w:tcBorders>
            <w:shd w:val="clear" w:color="auto" w:fill="auto"/>
            <w:noWrap/>
            <w:vAlign w:val="bottom"/>
            <w:hideMark/>
          </w:tcPr>
          <w:p w14:paraId="0F79A1D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52.6</w:t>
            </w:r>
          </w:p>
        </w:tc>
        <w:tc>
          <w:tcPr>
            <w:tcW w:w="744" w:type="dxa"/>
            <w:tcBorders>
              <w:top w:val="nil"/>
              <w:left w:val="nil"/>
              <w:bottom w:val="nil"/>
              <w:right w:val="single" w:sz="8" w:space="0" w:color="auto"/>
            </w:tcBorders>
            <w:shd w:val="clear" w:color="auto" w:fill="auto"/>
            <w:noWrap/>
            <w:vAlign w:val="bottom"/>
            <w:hideMark/>
          </w:tcPr>
          <w:p w14:paraId="4841E50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52.5</w:t>
            </w:r>
          </w:p>
        </w:tc>
        <w:tc>
          <w:tcPr>
            <w:tcW w:w="744" w:type="dxa"/>
            <w:tcBorders>
              <w:top w:val="nil"/>
              <w:left w:val="nil"/>
              <w:bottom w:val="nil"/>
              <w:right w:val="single" w:sz="8" w:space="0" w:color="auto"/>
            </w:tcBorders>
            <w:shd w:val="clear" w:color="auto" w:fill="auto"/>
            <w:noWrap/>
            <w:vAlign w:val="bottom"/>
            <w:hideMark/>
          </w:tcPr>
          <w:p w14:paraId="22FB50E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54</w:t>
            </w:r>
          </w:p>
        </w:tc>
      </w:tr>
      <w:tr w:rsidR="00D33F7C" w:rsidRPr="00AF27AC" w14:paraId="0E6AB815"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30868A74"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Philippines</w:t>
            </w:r>
          </w:p>
        </w:tc>
        <w:tc>
          <w:tcPr>
            <w:tcW w:w="744" w:type="dxa"/>
            <w:tcBorders>
              <w:top w:val="nil"/>
              <w:left w:val="single" w:sz="8" w:space="0" w:color="auto"/>
              <w:bottom w:val="nil"/>
              <w:right w:val="nil"/>
            </w:tcBorders>
            <w:shd w:val="clear" w:color="auto" w:fill="auto"/>
            <w:noWrap/>
            <w:vAlign w:val="center"/>
            <w:hideMark/>
          </w:tcPr>
          <w:p w14:paraId="347A576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44.2</w:t>
            </w:r>
          </w:p>
        </w:tc>
        <w:tc>
          <w:tcPr>
            <w:tcW w:w="744" w:type="dxa"/>
            <w:tcBorders>
              <w:top w:val="nil"/>
              <w:left w:val="single" w:sz="8" w:space="0" w:color="auto"/>
              <w:bottom w:val="nil"/>
              <w:right w:val="single" w:sz="8" w:space="0" w:color="auto"/>
            </w:tcBorders>
            <w:shd w:val="clear" w:color="auto" w:fill="auto"/>
            <w:noWrap/>
            <w:vAlign w:val="bottom"/>
            <w:hideMark/>
          </w:tcPr>
          <w:p w14:paraId="5477433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w:t>
            </w:r>
          </w:p>
        </w:tc>
        <w:tc>
          <w:tcPr>
            <w:tcW w:w="744" w:type="dxa"/>
            <w:tcBorders>
              <w:top w:val="nil"/>
              <w:left w:val="nil"/>
              <w:bottom w:val="nil"/>
              <w:right w:val="nil"/>
            </w:tcBorders>
            <w:shd w:val="clear" w:color="auto" w:fill="auto"/>
            <w:noWrap/>
            <w:vAlign w:val="bottom"/>
            <w:hideMark/>
          </w:tcPr>
          <w:p w14:paraId="7E5B3F9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47.6</w:t>
            </w:r>
          </w:p>
        </w:tc>
        <w:tc>
          <w:tcPr>
            <w:tcW w:w="744" w:type="dxa"/>
            <w:tcBorders>
              <w:top w:val="nil"/>
              <w:left w:val="single" w:sz="8" w:space="0" w:color="auto"/>
              <w:bottom w:val="nil"/>
              <w:right w:val="single" w:sz="8" w:space="0" w:color="auto"/>
            </w:tcBorders>
            <w:shd w:val="clear" w:color="auto" w:fill="auto"/>
            <w:noWrap/>
            <w:vAlign w:val="bottom"/>
            <w:hideMark/>
          </w:tcPr>
          <w:p w14:paraId="0DA297A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46.7</w:t>
            </w:r>
          </w:p>
        </w:tc>
        <w:tc>
          <w:tcPr>
            <w:tcW w:w="744" w:type="dxa"/>
            <w:tcBorders>
              <w:top w:val="nil"/>
              <w:left w:val="nil"/>
              <w:bottom w:val="nil"/>
              <w:right w:val="nil"/>
            </w:tcBorders>
            <w:shd w:val="clear" w:color="auto" w:fill="auto"/>
            <w:noWrap/>
            <w:vAlign w:val="bottom"/>
            <w:hideMark/>
          </w:tcPr>
          <w:p w14:paraId="31A0FD2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47.3</w:t>
            </w:r>
          </w:p>
        </w:tc>
        <w:tc>
          <w:tcPr>
            <w:tcW w:w="744" w:type="dxa"/>
            <w:tcBorders>
              <w:top w:val="nil"/>
              <w:left w:val="single" w:sz="8" w:space="0" w:color="auto"/>
              <w:bottom w:val="nil"/>
              <w:right w:val="single" w:sz="8" w:space="0" w:color="auto"/>
            </w:tcBorders>
            <w:shd w:val="clear" w:color="auto" w:fill="auto"/>
            <w:noWrap/>
            <w:vAlign w:val="bottom"/>
            <w:hideMark/>
          </w:tcPr>
          <w:p w14:paraId="081C4A9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48.6</w:t>
            </w:r>
          </w:p>
        </w:tc>
        <w:tc>
          <w:tcPr>
            <w:tcW w:w="744" w:type="dxa"/>
            <w:tcBorders>
              <w:top w:val="nil"/>
              <w:left w:val="nil"/>
              <w:bottom w:val="nil"/>
              <w:right w:val="nil"/>
            </w:tcBorders>
            <w:shd w:val="clear" w:color="auto" w:fill="auto"/>
            <w:noWrap/>
            <w:vAlign w:val="bottom"/>
            <w:hideMark/>
          </w:tcPr>
          <w:p w14:paraId="4067182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43.3</w:t>
            </w:r>
          </w:p>
        </w:tc>
        <w:tc>
          <w:tcPr>
            <w:tcW w:w="744" w:type="dxa"/>
            <w:tcBorders>
              <w:top w:val="nil"/>
              <w:left w:val="single" w:sz="8" w:space="0" w:color="auto"/>
              <w:bottom w:val="nil"/>
              <w:right w:val="single" w:sz="8" w:space="0" w:color="auto"/>
            </w:tcBorders>
            <w:shd w:val="clear" w:color="auto" w:fill="auto"/>
            <w:noWrap/>
            <w:vAlign w:val="bottom"/>
            <w:hideMark/>
          </w:tcPr>
          <w:p w14:paraId="4E16E6C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w:t>
            </w:r>
          </w:p>
        </w:tc>
        <w:tc>
          <w:tcPr>
            <w:tcW w:w="744" w:type="dxa"/>
            <w:tcBorders>
              <w:top w:val="nil"/>
              <w:left w:val="nil"/>
              <w:bottom w:val="nil"/>
              <w:right w:val="single" w:sz="8" w:space="0" w:color="auto"/>
            </w:tcBorders>
            <w:shd w:val="clear" w:color="auto" w:fill="auto"/>
            <w:noWrap/>
            <w:vAlign w:val="bottom"/>
            <w:hideMark/>
          </w:tcPr>
          <w:p w14:paraId="5F9FA91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50.8</w:t>
            </w:r>
          </w:p>
        </w:tc>
        <w:tc>
          <w:tcPr>
            <w:tcW w:w="744" w:type="dxa"/>
            <w:tcBorders>
              <w:top w:val="nil"/>
              <w:left w:val="nil"/>
              <w:bottom w:val="nil"/>
              <w:right w:val="single" w:sz="8" w:space="0" w:color="auto"/>
            </w:tcBorders>
            <w:shd w:val="clear" w:color="auto" w:fill="auto"/>
            <w:noWrap/>
            <w:vAlign w:val="bottom"/>
            <w:hideMark/>
          </w:tcPr>
          <w:p w14:paraId="0B25F66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50.9</w:t>
            </w:r>
          </w:p>
        </w:tc>
        <w:tc>
          <w:tcPr>
            <w:tcW w:w="744" w:type="dxa"/>
            <w:tcBorders>
              <w:top w:val="nil"/>
              <w:left w:val="nil"/>
              <w:bottom w:val="nil"/>
              <w:right w:val="single" w:sz="8" w:space="0" w:color="auto"/>
            </w:tcBorders>
            <w:shd w:val="clear" w:color="auto" w:fill="auto"/>
            <w:noWrap/>
            <w:vAlign w:val="bottom"/>
            <w:hideMark/>
          </w:tcPr>
          <w:p w14:paraId="4A6A7F3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50.7</w:t>
            </w:r>
          </w:p>
        </w:tc>
        <w:tc>
          <w:tcPr>
            <w:tcW w:w="744" w:type="dxa"/>
            <w:tcBorders>
              <w:top w:val="nil"/>
              <w:left w:val="nil"/>
              <w:bottom w:val="nil"/>
              <w:right w:val="single" w:sz="8" w:space="0" w:color="auto"/>
            </w:tcBorders>
            <w:shd w:val="clear" w:color="auto" w:fill="auto"/>
            <w:noWrap/>
            <w:vAlign w:val="bottom"/>
            <w:hideMark/>
          </w:tcPr>
          <w:p w14:paraId="72A065B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50.2</w:t>
            </w:r>
          </w:p>
        </w:tc>
      </w:tr>
      <w:tr w:rsidR="00D33F7C" w:rsidRPr="00AF27AC" w14:paraId="74ADA6F3"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2F24C3B0"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Mexico</w:t>
            </w:r>
          </w:p>
        </w:tc>
        <w:tc>
          <w:tcPr>
            <w:tcW w:w="744" w:type="dxa"/>
            <w:tcBorders>
              <w:top w:val="nil"/>
              <w:left w:val="single" w:sz="8" w:space="0" w:color="auto"/>
              <w:bottom w:val="nil"/>
              <w:right w:val="nil"/>
            </w:tcBorders>
            <w:shd w:val="clear" w:color="auto" w:fill="auto"/>
            <w:noWrap/>
            <w:vAlign w:val="center"/>
            <w:hideMark/>
          </w:tcPr>
          <w:p w14:paraId="30740A6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w:t>
            </w:r>
          </w:p>
        </w:tc>
        <w:tc>
          <w:tcPr>
            <w:tcW w:w="744" w:type="dxa"/>
            <w:tcBorders>
              <w:top w:val="nil"/>
              <w:left w:val="single" w:sz="8" w:space="0" w:color="auto"/>
              <w:bottom w:val="nil"/>
              <w:right w:val="single" w:sz="8" w:space="0" w:color="auto"/>
            </w:tcBorders>
            <w:shd w:val="clear" w:color="auto" w:fill="auto"/>
            <w:noWrap/>
            <w:vAlign w:val="bottom"/>
            <w:hideMark/>
          </w:tcPr>
          <w:p w14:paraId="6EC01EF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47.6</w:t>
            </w:r>
          </w:p>
        </w:tc>
        <w:tc>
          <w:tcPr>
            <w:tcW w:w="744" w:type="dxa"/>
            <w:tcBorders>
              <w:top w:val="nil"/>
              <w:left w:val="nil"/>
              <w:bottom w:val="nil"/>
              <w:right w:val="nil"/>
            </w:tcBorders>
            <w:shd w:val="clear" w:color="auto" w:fill="auto"/>
            <w:noWrap/>
            <w:vAlign w:val="bottom"/>
            <w:hideMark/>
          </w:tcPr>
          <w:p w14:paraId="5B707B6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49.5</w:t>
            </w:r>
          </w:p>
        </w:tc>
        <w:tc>
          <w:tcPr>
            <w:tcW w:w="744" w:type="dxa"/>
            <w:tcBorders>
              <w:top w:val="nil"/>
              <w:left w:val="single" w:sz="8" w:space="0" w:color="auto"/>
              <w:bottom w:val="nil"/>
              <w:right w:val="single" w:sz="8" w:space="0" w:color="auto"/>
            </w:tcBorders>
            <w:shd w:val="clear" w:color="auto" w:fill="auto"/>
            <w:noWrap/>
            <w:vAlign w:val="bottom"/>
            <w:hideMark/>
          </w:tcPr>
          <w:p w14:paraId="053B664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49.2</w:t>
            </w:r>
          </w:p>
        </w:tc>
        <w:tc>
          <w:tcPr>
            <w:tcW w:w="744" w:type="dxa"/>
            <w:tcBorders>
              <w:top w:val="nil"/>
              <w:left w:val="nil"/>
              <w:bottom w:val="nil"/>
              <w:right w:val="nil"/>
            </w:tcBorders>
            <w:shd w:val="clear" w:color="auto" w:fill="auto"/>
            <w:noWrap/>
            <w:vAlign w:val="bottom"/>
            <w:hideMark/>
          </w:tcPr>
          <w:p w14:paraId="52CE8FC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48.8</w:t>
            </w:r>
          </w:p>
        </w:tc>
        <w:tc>
          <w:tcPr>
            <w:tcW w:w="744" w:type="dxa"/>
            <w:tcBorders>
              <w:top w:val="nil"/>
              <w:left w:val="single" w:sz="8" w:space="0" w:color="auto"/>
              <w:bottom w:val="nil"/>
              <w:right w:val="single" w:sz="8" w:space="0" w:color="auto"/>
            </w:tcBorders>
            <w:shd w:val="clear" w:color="auto" w:fill="auto"/>
            <w:noWrap/>
            <w:vAlign w:val="bottom"/>
            <w:hideMark/>
          </w:tcPr>
          <w:p w14:paraId="596F6A3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52.7</w:t>
            </w:r>
          </w:p>
        </w:tc>
        <w:tc>
          <w:tcPr>
            <w:tcW w:w="744" w:type="dxa"/>
            <w:tcBorders>
              <w:top w:val="nil"/>
              <w:left w:val="nil"/>
              <w:bottom w:val="nil"/>
              <w:right w:val="nil"/>
            </w:tcBorders>
            <w:shd w:val="clear" w:color="auto" w:fill="auto"/>
            <w:noWrap/>
            <w:vAlign w:val="bottom"/>
            <w:hideMark/>
          </w:tcPr>
          <w:p w14:paraId="22498E8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49.4</w:t>
            </w:r>
          </w:p>
        </w:tc>
        <w:tc>
          <w:tcPr>
            <w:tcW w:w="744" w:type="dxa"/>
            <w:tcBorders>
              <w:top w:val="nil"/>
              <w:left w:val="single" w:sz="8" w:space="0" w:color="auto"/>
              <w:bottom w:val="nil"/>
              <w:right w:val="single" w:sz="8" w:space="0" w:color="auto"/>
            </w:tcBorders>
            <w:shd w:val="clear" w:color="auto" w:fill="auto"/>
            <w:noWrap/>
            <w:vAlign w:val="bottom"/>
            <w:hideMark/>
          </w:tcPr>
          <w:p w14:paraId="7AEE8C4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49.8</w:t>
            </w:r>
          </w:p>
        </w:tc>
        <w:tc>
          <w:tcPr>
            <w:tcW w:w="744" w:type="dxa"/>
            <w:tcBorders>
              <w:top w:val="nil"/>
              <w:left w:val="nil"/>
              <w:bottom w:val="nil"/>
              <w:right w:val="single" w:sz="8" w:space="0" w:color="auto"/>
            </w:tcBorders>
            <w:shd w:val="clear" w:color="auto" w:fill="auto"/>
            <w:noWrap/>
            <w:vAlign w:val="bottom"/>
            <w:hideMark/>
          </w:tcPr>
          <w:p w14:paraId="2C87ECC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49.4</w:t>
            </w:r>
          </w:p>
        </w:tc>
        <w:tc>
          <w:tcPr>
            <w:tcW w:w="744" w:type="dxa"/>
            <w:tcBorders>
              <w:top w:val="nil"/>
              <w:left w:val="nil"/>
              <w:bottom w:val="nil"/>
              <w:right w:val="single" w:sz="8" w:space="0" w:color="auto"/>
            </w:tcBorders>
            <w:shd w:val="clear" w:color="auto" w:fill="auto"/>
            <w:noWrap/>
            <w:vAlign w:val="bottom"/>
            <w:hideMark/>
          </w:tcPr>
          <w:p w14:paraId="7592C99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w:t>
            </w:r>
          </w:p>
        </w:tc>
        <w:tc>
          <w:tcPr>
            <w:tcW w:w="744" w:type="dxa"/>
            <w:tcBorders>
              <w:top w:val="nil"/>
              <w:left w:val="nil"/>
              <w:bottom w:val="nil"/>
              <w:right w:val="single" w:sz="8" w:space="0" w:color="auto"/>
            </w:tcBorders>
            <w:shd w:val="clear" w:color="auto" w:fill="auto"/>
            <w:noWrap/>
            <w:vAlign w:val="bottom"/>
            <w:hideMark/>
          </w:tcPr>
          <w:p w14:paraId="1B4C43A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48.4</w:t>
            </w:r>
          </w:p>
        </w:tc>
        <w:tc>
          <w:tcPr>
            <w:tcW w:w="744" w:type="dxa"/>
            <w:tcBorders>
              <w:top w:val="nil"/>
              <w:left w:val="nil"/>
              <w:bottom w:val="nil"/>
              <w:right w:val="single" w:sz="8" w:space="0" w:color="auto"/>
            </w:tcBorders>
            <w:shd w:val="clear" w:color="auto" w:fill="auto"/>
            <w:noWrap/>
            <w:vAlign w:val="bottom"/>
            <w:hideMark/>
          </w:tcPr>
          <w:p w14:paraId="57CD291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49.1</w:t>
            </w:r>
          </w:p>
        </w:tc>
      </w:tr>
      <w:tr w:rsidR="00D33F7C" w:rsidRPr="00AF27AC" w14:paraId="72983C64"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44EAAB71"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Kuwait</w:t>
            </w:r>
          </w:p>
        </w:tc>
        <w:tc>
          <w:tcPr>
            <w:tcW w:w="744" w:type="dxa"/>
            <w:tcBorders>
              <w:top w:val="nil"/>
              <w:left w:val="single" w:sz="8" w:space="0" w:color="auto"/>
              <w:bottom w:val="nil"/>
              <w:right w:val="nil"/>
            </w:tcBorders>
            <w:shd w:val="clear" w:color="auto" w:fill="auto"/>
            <w:noWrap/>
            <w:vAlign w:val="center"/>
            <w:hideMark/>
          </w:tcPr>
          <w:p w14:paraId="79BFEEE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44.7</w:t>
            </w:r>
          </w:p>
        </w:tc>
        <w:tc>
          <w:tcPr>
            <w:tcW w:w="744" w:type="dxa"/>
            <w:tcBorders>
              <w:top w:val="nil"/>
              <w:left w:val="single" w:sz="8" w:space="0" w:color="auto"/>
              <w:bottom w:val="nil"/>
              <w:right w:val="single" w:sz="8" w:space="0" w:color="auto"/>
            </w:tcBorders>
            <w:shd w:val="clear" w:color="auto" w:fill="auto"/>
            <w:noWrap/>
            <w:vAlign w:val="bottom"/>
            <w:hideMark/>
          </w:tcPr>
          <w:p w14:paraId="533E1B5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47.9</w:t>
            </w:r>
          </w:p>
        </w:tc>
        <w:tc>
          <w:tcPr>
            <w:tcW w:w="744" w:type="dxa"/>
            <w:tcBorders>
              <w:top w:val="nil"/>
              <w:left w:val="nil"/>
              <w:bottom w:val="nil"/>
              <w:right w:val="nil"/>
            </w:tcBorders>
            <w:shd w:val="clear" w:color="auto" w:fill="auto"/>
            <w:noWrap/>
            <w:vAlign w:val="bottom"/>
            <w:hideMark/>
          </w:tcPr>
          <w:p w14:paraId="10ABD49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46.4</w:t>
            </w:r>
          </w:p>
        </w:tc>
        <w:tc>
          <w:tcPr>
            <w:tcW w:w="744" w:type="dxa"/>
            <w:tcBorders>
              <w:top w:val="nil"/>
              <w:left w:val="single" w:sz="8" w:space="0" w:color="auto"/>
              <w:bottom w:val="nil"/>
              <w:right w:val="single" w:sz="8" w:space="0" w:color="auto"/>
            </w:tcBorders>
            <w:shd w:val="clear" w:color="auto" w:fill="auto"/>
            <w:noWrap/>
            <w:vAlign w:val="bottom"/>
            <w:hideMark/>
          </w:tcPr>
          <w:p w14:paraId="2B08561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46.6</w:t>
            </w:r>
          </w:p>
        </w:tc>
        <w:tc>
          <w:tcPr>
            <w:tcW w:w="744" w:type="dxa"/>
            <w:tcBorders>
              <w:top w:val="nil"/>
              <w:left w:val="nil"/>
              <w:bottom w:val="nil"/>
              <w:right w:val="nil"/>
            </w:tcBorders>
            <w:shd w:val="clear" w:color="auto" w:fill="auto"/>
            <w:noWrap/>
            <w:vAlign w:val="bottom"/>
            <w:hideMark/>
          </w:tcPr>
          <w:p w14:paraId="79DC708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47.1</w:t>
            </w:r>
          </w:p>
        </w:tc>
        <w:tc>
          <w:tcPr>
            <w:tcW w:w="744" w:type="dxa"/>
            <w:tcBorders>
              <w:top w:val="nil"/>
              <w:left w:val="single" w:sz="8" w:space="0" w:color="auto"/>
              <w:bottom w:val="nil"/>
              <w:right w:val="single" w:sz="8" w:space="0" w:color="auto"/>
            </w:tcBorders>
            <w:shd w:val="clear" w:color="auto" w:fill="auto"/>
            <w:noWrap/>
            <w:vAlign w:val="bottom"/>
            <w:hideMark/>
          </w:tcPr>
          <w:p w14:paraId="18D5A44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46.1</w:t>
            </w:r>
          </w:p>
        </w:tc>
        <w:tc>
          <w:tcPr>
            <w:tcW w:w="744" w:type="dxa"/>
            <w:tcBorders>
              <w:top w:val="nil"/>
              <w:left w:val="nil"/>
              <w:bottom w:val="nil"/>
              <w:right w:val="nil"/>
            </w:tcBorders>
            <w:shd w:val="clear" w:color="auto" w:fill="auto"/>
            <w:noWrap/>
            <w:vAlign w:val="bottom"/>
            <w:hideMark/>
          </w:tcPr>
          <w:p w14:paraId="570C7C0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46.6</w:t>
            </w:r>
          </w:p>
        </w:tc>
        <w:tc>
          <w:tcPr>
            <w:tcW w:w="744" w:type="dxa"/>
            <w:tcBorders>
              <w:top w:val="nil"/>
              <w:left w:val="single" w:sz="8" w:space="0" w:color="auto"/>
              <w:bottom w:val="nil"/>
              <w:right w:val="single" w:sz="8" w:space="0" w:color="auto"/>
            </w:tcBorders>
            <w:shd w:val="clear" w:color="auto" w:fill="auto"/>
            <w:noWrap/>
            <w:vAlign w:val="bottom"/>
            <w:hideMark/>
          </w:tcPr>
          <w:p w14:paraId="14FF0DE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45.3</w:t>
            </w:r>
          </w:p>
        </w:tc>
        <w:tc>
          <w:tcPr>
            <w:tcW w:w="744" w:type="dxa"/>
            <w:tcBorders>
              <w:top w:val="nil"/>
              <w:left w:val="nil"/>
              <w:bottom w:val="nil"/>
              <w:right w:val="single" w:sz="8" w:space="0" w:color="auto"/>
            </w:tcBorders>
            <w:shd w:val="clear" w:color="auto" w:fill="auto"/>
            <w:noWrap/>
            <w:vAlign w:val="bottom"/>
            <w:hideMark/>
          </w:tcPr>
          <w:p w14:paraId="17C45BD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44.8</w:t>
            </w:r>
          </w:p>
        </w:tc>
        <w:tc>
          <w:tcPr>
            <w:tcW w:w="744" w:type="dxa"/>
            <w:tcBorders>
              <w:top w:val="nil"/>
              <w:left w:val="nil"/>
              <w:bottom w:val="nil"/>
              <w:right w:val="single" w:sz="8" w:space="0" w:color="auto"/>
            </w:tcBorders>
            <w:shd w:val="clear" w:color="auto" w:fill="auto"/>
            <w:noWrap/>
            <w:vAlign w:val="bottom"/>
            <w:hideMark/>
          </w:tcPr>
          <w:p w14:paraId="630303B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45.7</w:t>
            </w:r>
          </w:p>
        </w:tc>
        <w:tc>
          <w:tcPr>
            <w:tcW w:w="744" w:type="dxa"/>
            <w:tcBorders>
              <w:top w:val="nil"/>
              <w:left w:val="nil"/>
              <w:bottom w:val="nil"/>
              <w:right w:val="single" w:sz="8" w:space="0" w:color="auto"/>
            </w:tcBorders>
            <w:shd w:val="clear" w:color="auto" w:fill="auto"/>
            <w:noWrap/>
            <w:vAlign w:val="bottom"/>
            <w:hideMark/>
          </w:tcPr>
          <w:p w14:paraId="05B181E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45.8</w:t>
            </w:r>
          </w:p>
        </w:tc>
        <w:tc>
          <w:tcPr>
            <w:tcW w:w="744" w:type="dxa"/>
            <w:tcBorders>
              <w:top w:val="nil"/>
              <w:left w:val="nil"/>
              <w:bottom w:val="nil"/>
              <w:right w:val="single" w:sz="8" w:space="0" w:color="auto"/>
            </w:tcBorders>
            <w:shd w:val="clear" w:color="auto" w:fill="auto"/>
            <w:noWrap/>
            <w:vAlign w:val="bottom"/>
            <w:hideMark/>
          </w:tcPr>
          <w:p w14:paraId="05D25F2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45.9</w:t>
            </w:r>
          </w:p>
        </w:tc>
      </w:tr>
      <w:tr w:rsidR="00D33F7C" w:rsidRPr="00AF27AC" w14:paraId="7CDCED65"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5551CC80"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Australia</w:t>
            </w:r>
          </w:p>
        </w:tc>
        <w:tc>
          <w:tcPr>
            <w:tcW w:w="744" w:type="dxa"/>
            <w:tcBorders>
              <w:top w:val="nil"/>
              <w:left w:val="single" w:sz="8" w:space="0" w:color="auto"/>
              <w:bottom w:val="nil"/>
              <w:right w:val="nil"/>
            </w:tcBorders>
            <w:shd w:val="clear" w:color="auto" w:fill="auto"/>
            <w:noWrap/>
            <w:vAlign w:val="center"/>
            <w:hideMark/>
          </w:tcPr>
          <w:p w14:paraId="3E1F343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w:t>
            </w:r>
          </w:p>
        </w:tc>
        <w:tc>
          <w:tcPr>
            <w:tcW w:w="744" w:type="dxa"/>
            <w:tcBorders>
              <w:top w:val="nil"/>
              <w:left w:val="single" w:sz="8" w:space="0" w:color="auto"/>
              <w:bottom w:val="nil"/>
              <w:right w:val="single" w:sz="8" w:space="0" w:color="auto"/>
            </w:tcBorders>
            <w:shd w:val="clear" w:color="auto" w:fill="auto"/>
            <w:noWrap/>
            <w:vAlign w:val="bottom"/>
            <w:hideMark/>
          </w:tcPr>
          <w:p w14:paraId="4E2353D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43.8</w:t>
            </w:r>
          </w:p>
        </w:tc>
        <w:tc>
          <w:tcPr>
            <w:tcW w:w="744" w:type="dxa"/>
            <w:tcBorders>
              <w:top w:val="nil"/>
              <w:left w:val="nil"/>
              <w:bottom w:val="nil"/>
              <w:right w:val="nil"/>
            </w:tcBorders>
            <w:shd w:val="clear" w:color="auto" w:fill="auto"/>
            <w:noWrap/>
            <w:vAlign w:val="bottom"/>
            <w:hideMark/>
          </w:tcPr>
          <w:p w14:paraId="3C55010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42.9</w:t>
            </w:r>
          </w:p>
        </w:tc>
        <w:tc>
          <w:tcPr>
            <w:tcW w:w="744" w:type="dxa"/>
            <w:tcBorders>
              <w:top w:val="nil"/>
              <w:left w:val="single" w:sz="8" w:space="0" w:color="auto"/>
              <w:bottom w:val="nil"/>
              <w:right w:val="single" w:sz="8" w:space="0" w:color="auto"/>
            </w:tcBorders>
            <w:shd w:val="clear" w:color="auto" w:fill="auto"/>
            <w:noWrap/>
            <w:vAlign w:val="bottom"/>
            <w:hideMark/>
          </w:tcPr>
          <w:p w14:paraId="2414544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39.3</w:t>
            </w:r>
          </w:p>
        </w:tc>
        <w:tc>
          <w:tcPr>
            <w:tcW w:w="744" w:type="dxa"/>
            <w:tcBorders>
              <w:top w:val="nil"/>
              <w:left w:val="nil"/>
              <w:bottom w:val="nil"/>
              <w:right w:val="nil"/>
            </w:tcBorders>
            <w:shd w:val="clear" w:color="auto" w:fill="auto"/>
            <w:noWrap/>
            <w:vAlign w:val="bottom"/>
            <w:hideMark/>
          </w:tcPr>
          <w:p w14:paraId="3AF254F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39.5</w:t>
            </w:r>
          </w:p>
        </w:tc>
        <w:tc>
          <w:tcPr>
            <w:tcW w:w="744" w:type="dxa"/>
            <w:tcBorders>
              <w:top w:val="nil"/>
              <w:left w:val="single" w:sz="8" w:space="0" w:color="auto"/>
              <w:bottom w:val="nil"/>
              <w:right w:val="single" w:sz="8" w:space="0" w:color="auto"/>
            </w:tcBorders>
            <w:shd w:val="clear" w:color="auto" w:fill="auto"/>
            <w:noWrap/>
            <w:vAlign w:val="bottom"/>
            <w:hideMark/>
          </w:tcPr>
          <w:p w14:paraId="7DB1E5B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40.6</w:t>
            </w:r>
          </w:p>
        </w:tc>
        <w:tc>
          <w:tcPr>
            <w:tcW w:w="744" w:type="dxa"/>
            <w:tcBorders>
              <w:top w:val="nil"/>
              <w:left w:val="nil"/>
              <w:bottom w:val="nil"/>
              <w:right w:val="nil"/>
            </w:tcBorders>
            <w:shd w:val="clear" w:color="auto" w:fill="auto"/>
            <w:noWrap/>
            <w:vAlign w:val="bottom"/>
            <w:hideMark/>
          </w:tcPr>
          <w:p w14:paraId="2CC6657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39.8</w:t>
            </w:r>
          </w:p>
        </w:tc>
        <w:tc>
          <w:tcPr>
            <w:tcW w:w="744" w:type="dxa"/>
            <w:tcBorders>
              <w:top w:val="nil"/>
              <w:left w:val="single" w:sz="8" w:space="0" w:color="auto"/>
              <w:bottom w:val="nil"/>
              <w:right w:val="single" w:sz="8" w:space="0" w:color="auto"/>
            </w:tcBorders>
            <w:shd w:val="clear" w:color="auto" w:fill="auto"/>
            <w:noWrap/>
            <w:vAlign w:val="bottom"/>
            <w:hideMark/>
          </w:tcPr>
          <w:p w14:paraId="5230355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w:t>
            </w:r>
          </w:p>
        </w:tc>
        <w:tc>
          <w:tcPr>
            <w:tcW w:w="744" w:type="dxa"/>
            <w:tcBorders>
              <w:top w:val="nil"/>
              <w:left w:val="nil"/>
              <w:bottom w:val="nil"/>
              <w:right w:val="single" w:sz="8" w:space="0" w:color="auto"/>
            </w:tcBorders>
            <w:shd w:val="clear" w:color="auto" w:fill="auto"/>
            <w:noWrap/>
            <w:vAlign w:val="bottom"/>
            <w:hideMark/>
          </w:tcPr>
          <w:p w14:paraId="1E7A342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40.5</w:t>
            </w:r>
          </w:p>
        </w:tc>
        <w:tc>
          <w:tcPr>
            <w:tcW w:w="744" w:type="dxa"/>
            <w:tcBorders>
              <w:top w:val="nil"/>
              <w:left w:val="nil"/>
              <w:bottom w:val="nil"/>
              <w:right w:val="single" w:sz="8" w:space="0" w:color="auto"/>
            </w:tcBorders>
            <w:shd w:val="clear" w:color="auto" w:fill="auto"/>
            <w:noWrap/>
            <w:vAlign w:val="bottom"/>
            <w:hideMark/>
          </w:tcPr>
          <w:p w14:paraId="512F79D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41.3</w:t>
            </w:r>
          </w:p>
        </w:tc>
        <w:tc>
          <w:tcPr>
            <w:tcW w:w="744" w:type="dxa"/>
            <w:tcBorders>
              <w:top w:val="nil"/>
              <w:left w:val="nil"/>
              <w:bottom w:val="nil"/>
              <w:right w:val="single" w:sz="8" w:space="0" w:color="auto"/>
            </w:tcBorders>
            <w:shd w:val="clear" w:color="auto" w:fill="auto"/>
            <w:noWrap/>
            <w:vAlign w:val="bottom"/>
            <w:hideMark/>
          </w:tcPr>
          <w:p w14:paraId="2561CD0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42.9</w:t>
            </w:r>
          </w:p>
        </w:tc>
        <w:tc>
          <w:tcPr>
            <w:tcW w:w="744" w:type="dxa"/>
            <w:tcBorders>
              <w:top w:val="nil"/>
              <w:left w:val="nil"/>
              <w:bottom w:val="nil"/>
              <w:right w:val="single" w:sz="8" w:space="0" w:color="auto"/>
            </w:tcBorders>
            <w:shd w:val="clear" w:color="auto" w:fill="auto"/>
            <w:noWrap/>
            <w:vAlign w:val="bottom"/>
            <w:hideMark/>
          </w:tcPr>
          <w:p w14:paraId="3403478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45.4</w:t>
            </w:r>
          </w:p>
        </w:tc>
      </w:tr>
      <w:tr w:rsidR="00D33F7C" w:rsidRPr="00AF27AC" w14:paraId="4A44D4BC"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428C4197"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Sweden</w:t>
            </w:r>
          </w:p>
        </w:tc>
        <w:tc>
          <w:tcPr>
            <w:tcW w:w="744" w:type="dxa"/>
            <w:tcBorders>
              <w:top w:val="nil"/>
              <w:left w:val="single" w:sz="8" w:space="0" w:color="auto"/>
              <w:bottom w:val="nil"/>
              <w:right w:val="nil"/>
            </w:tcBorders>
            <w:shd w:val="clear" w:color="auto" w:fill="auto"/>
            <w:noWrap/>
            <w:vAlign w:val="center"/>
            <w:hideMark/>
          </w:tcPr>
          <w:p w14:paraId="19BD081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39.1</w:t>
            </w:r>
          </w:p>
        </w:tc>
        <w:tc>
          <w:tcPr>
            <w:tcW w:w="744" w:type="dxa"/>
            <w:tcBorders>
              <w:top w:val="nil"/>
              <w:left w:val="single" w:sz="8" w:space="0" w:color="auto"/>
              <w:bottom w:val="nil"/>
              <w:right w:val="single" w:sz="8" w:space="0" w:color="auto"/>
            </w:tcBorders>
            <w:shd w:val="clear" w:color="auto" w:fill="auto"/>
            <w:noWrap/>
            <w:vAlign w:val="bottom"/>
            <w:hideMark/>
          </w:tcPr>
          <w:p w14:paraId="03ECF43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w:t>
            </w:r>
          </w:p>
        </w:tc>
        <w:tc>
          <w:tcPr>
            <w:tcW w:w="744" w:type="dxa"/>
            <w:tcBorders>
              <w:top w:val="nil"/>
              <w:left w:val="nil"/>
              <w:bottom w:val="nil"/>
              <w:right w:val="nil"/>
            </w:tcBorders>
            <w:shd w:val="clear" w:color="auto" w:fill="auto"/>
            <w:noWrap/>
            <w:vAlign w:val="bottom"/>
            <w:hideMark/>
          </w:tcPr>
          <w:p w14:paraId="3462886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38.3</w:t>
            </w:r>
          </w:p>
        </w:tc>
        <w:tc>
          <w:tcPr>
            <w:tcW w:w="744" w:type="dxa"/>
            <w:tcBorders>
              <w:top w:val="nil"/>
              <w:left w:val="single" w:sz="8" w:space="0" w:color="auto"/>
              <w:bottom w:val="nil"/>
              <w:right w:val="single" w:sz="8" w:space="0" w:color="auto"/>
            </w:tcBorders>
            <w:shd w:val="clear" w:color="auto" w:fill="auto"/>
            <w:noWrap/>
            <w:vAlign w:val="bottom"/>
            <w:hideMark/>
          </w:tcPr>
          <w:p w14:paraId="431697E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w:t>
            </w:r>
          </w:p>
        </w:tc>
        <w:tc>
          <w:tcPr>
            <w:tcW w:w="744" w:type="dxa"/>
            <w:tcBorders>
              <w:top w:val="nil"/>
              <w:left w:val="nil"/>
              <w:bottom w:val="nil"/>
              <w:right w:val="nil"/>
            </w:tcBorders>
            <w:shd w:val="clear" w:color="auto" w:fill="auto"/>
            <w:noWrap/>
            <w:vAlign w:val="bottom"/>
            <w:hideMark/>
          </w:tcPr>
          <w:p w14:paraId="54CE484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37.7</w:t>
            </w:r>
          </w:p>
        </w:tc>
        <w:tc>
          <w:tcPr>
            <w:tcW w:w="744" w:type="dxa"/>
            <w:tcBorders>
              <w:top w:val="nil"/>
              <w:left w:val="single" w:sz="8" w:space="0" w:color="auto"/>
              <w:bottom w:val="nil"/>
              <w:right w:val="single" w:sz="8" w:space="0" w:color="auto"/>
            </w:tcBorders>
            <w:shd w:val="clear" w:color="auto" w:fill="auto"/>
            <w:noWrap/>
            <w:vAlign w:val="bottom"/>
            <w:hideMark/>
          </w:tcPr>
          <w:p w14:paraId="08B7404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37.7</w:t>
            </w:r>
          </w:p>
        </w:tc>
        <w:tc>
          <w:tcPr>
            <w:tcW w:w="744" w:type="dxa"/>
            <w:tcBorders>
              <w:top w:val="nil"/>
              <w:left w:val="nil"/>
              <w:bottom w:val="nil"/>
              <w:right w:val="nil"/>
            </w:tcBorders>
            <w:shd w:val="clear" w:color="auto" w:fill="auto"/>
            <w:noWrap/>
            <w:vAlign w:val="bottom"/>
            <w:hideMark/>
          </w:tcPr>
          <w:p w14:paraId="7928D88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40.3</w:t>
            </w:r>
          </w:p>
        </w:tc>
        <w:tc>
          <w:tcPr>
            <w:tcW w:w="744" w:type="dxa"/>
            <w:tcBorders>
              <w:top w:val="nil"/>
              <w:left w:val="single" w:sz="8" w:space="0" w:color="auto"/>
              <w:bottom w:val="nil"/>
              <w:right w:val="single" w:sz="8" w:space="0" w:color="auto"/>
            </w:tcBorders>
            <w:shd w:val="clear" w:color="auto" w:fill="auto"/>
            <w:noWrap/>
            <w:vAlign w:val="bottom"/>
            <w:hideMark/>
          </w:tcPr>
          <w:p w14:paraId="2F068D0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42.2</w:t>
            </w:r>
          </w:p>
        </w:tc>
        <w:tc>
          <w:tcPr>
            <w:tcW w:w="744" w:type="dxa"/>
            <w:tcBorders>
              <w:top w:val="nil"/>
              <w:left w:val="nil"/>
              <w:bottom w:val="nil"/>
              <w:right w:val="single" w:sz="8" w:space="0" w:color="auto"/>
            </w:tcBorders>
            <w:shd w:val="clear" w:color="auto" w:fill="auto"/>
            <w:noWrap/>
            <w:vAlign w:val="bottom"/>
            <w:hideMark/>
          </w:tcPr>
          <w:p w14:paraId="295C256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40.8</w:t>
            </w:r>
          </w:p>
        </w:tc>
        <w:tc>
          <w:tcPr>
            <w:tcW w:w="744" w:type="dxa"/>
            <w:tcBorders>
              <w:top w:val="nil"/>
              <w:left w:val="nil"/>
              <w:bottom w:val="nil"/>
              <w:right w:val="single" w:sz="8" w:space="0" w:color="auto"/>
            </w:tcBorders>
            <w:shd w:val="clear" w:color="auto" w:fill="auto"/>
            <w:noWrap/>
            <w:vAlign w:val="bottom"/>
            <w:hideMark/>
          </w:tcPr>
          <w:p w14:paraId="4F1473B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w:t>
            </w:r>
          </w:p>
        </w:tc>
        <w:tc>
          <w:tcPr>
            <w:tcW w:w="744" w:type="dxa"/>
            <w:tcBorders>
              <w:top w:val="nil"/>
              <w:left w:val="nil"/>
              <w:bottom w:val="nil"/>
              <w:right w:val="single" w:sz="8" w:space="0" w:color="auto"/>
            </w:tcBorders>
            <w:shd w:val="clear" w:color="auto" w:fill="auto"/>
            <w:noWrap/>
            <w:vAlign w:val="bottom"/>
            <w:hideMark/>
          </w:tcPr>
          <w:p w14:paraId="5EA7A79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41.3</w:t>
            </w:r>
          </w:p>
        </w:tc>
        <w:tc>
          <w:tcPr>
            <w:tcW w:w="744" w:type="dxa"/>
            <w:tcBorders>
              <w:top w:val="nil"/>
              <w:left w:val="nil"/>
              <w:bottom w:val="nil"/>
              <w:right w:val="single" w:sz="8" w:space="0" w:color="auto"/>
            </w:tcBorders>
            <w:shd w:val="clear" w:color="auto" w:fill="auto"/>
            <w:noWrap/>
            <w:vAlign w:val="bottom"/>
            <w:hideMark/>
          </w:tcPr>
          <w:p w14:paraId="60D4441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w:t>
            </w:r>
          </w:p>
        </w:tc>
      </w:tr>
      <w:tr w:rsidR="00D33F7C" w:rsidRPr="00AF27AC" w14:paraId="705B85D1"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4DA21AD8"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Chile</w:t>
            </w:r>
          </w:p>
        </w:tc>
        <w:tc>
          <w:tcPr>
            <w:tcW w:w="744" w:type="dxa"/>
            <w:tcBorders>
              <w:top w:val="nil"/>
              <w:left w:val="single" w:sz="8" w:space="0" w:color="auto"/>
              <w:bottom w:val="nil"/>
              <w:right w:val="nil"/>
            </w:tcBorders>
            <w:shd w:val="clear" w:color="auto" w:fill="auto"/>
            <w:noWrap/>
            <w:vAlign w:val="center"/>
            <w:hideMark/>
          </w:tcPr>
          <w:p w14:paraId="5EECB58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29.8</w:t>
            </w:r>
          </w:p>
        </w:tc>
        <w:tc>
          <w:tcPr>
            <w:tcW w:w="744" w:type="dxa"/>
            <w:tcBorders>
              <w:top w:val="nil"/>
              <w:left w:val="single" w:sz="8" w:space="0" w:color="auto"/>
              <w:bottom w:val="nil"/>
              <w:right w:val="single" w:sz="8" w:space="0" w:color="auto"/>
            </w:tcBorders>
            <w:shd w:val="clear" w:color="auto" w:fill="auto"/>
            <w:noWrap/>
            <w:vAlign w:val="bottom"/>
            <w:hideMark/>
          </w:tcPr>
          <w:p w14:paraId="39FD96F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30.1</w:t>
            </w:r>
          </w:p>
        </w:tc>
        <w:tc>
          <w:tcPr>
            <w:tcW w:w="744" w:type="dxa"/>
            <w:tcBorders>
              <w:top w:val="nil"/>
              <w:left w:val="nil"/>
              <w:bottom w:val="nil"/>
              <w:right w:val="nil"/>
            </w:tcBorders>
            <w:shd w:val="clear" w:color="auto" w:fill="auto"/>
            <w:noWrap/>
            <w:vAlign w:val="bottom"/>
            <w:hideMark/>
          </w:tcPr>
          <w:p w14:paraId="5095A38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29.4</w:t>
            </w:r>
          </w:p>
        </w:tc>
        <w:tc>
          <w:tcPr>
            <w:tcW w:w="744" w:type="dxa"/>
            <w:tcBorders>
              <w:top w:val="nil"/>
              <w:left w:val="single" w:sz="8" w:space="0" w:color="auto"/>
              <w:bottom w:val="nil"/>
              <w:right w:val="single" w:sz="8" w:space="0" w:color="auto"/>
            </w:tcBorders>
            <w:shd w:val="clear" w:color="auto" w:fill="auto"/>
            <w:noWrap/>
            <w:vAlign w:val="bottom"/>
            <w:hideMark/>
          </w:tcPr>
          <w:p w14:paraId="17AE459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29.4</w:t>
            </w:r>
          </w:p>
        </w:tc>
        <w:tc>
          <w:tcPr>
            <w:tcW w:w="744" w:type="dxa"/>
            <w:tcBorders>
              <w:top w:val="nil"/>
              <w:left w:val="nil"/>
              <w:bottom w:val="nil"/>
              <w:right w:val="nil"/>
            </w:tcBorders>
            <w:shd w:val="clear" w:color="auto" w:fill="auto"/>
            <w:noWrap/>
            <w:vAlign w:val="bottom"/>
            <w:hideMark/>
          </w:tcPr>
          <w:p w14:paraId="13AF538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29.1</w:t>
            </w:r>
          </w:p>
        </w:tc>
        <w:tc>
          <w:tcPr>
            <w:tcW w:w="744" w:type="dxa"/>
            <w:tcBorders>
              <w:top w:val="nil"/>
              <w:left w:val="single" w:sz="8" w:space="0" w:color="auto"/>
              <w:bottom w:val="nil"/>
              <w:right w:val="single" w:sz="8" w:space="0" w:color="auto"/>
            </w:tcBorders>
            <w:shd w:val="clear" w:color="auto" w:fill="auto"/>
            <w:noWrap/>
            <w:vAlign w:val="bottom"/>
            <w:hideMark/>
          </w:tcPr>
          <w:p w14:paraId="4824D81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27.7</w:t>
            </w:r>
          </w:p>
        </w:tc>
        <w:tc>
          <w:tcPr>
            <w:tcW w:w="744" w:type="dxa"/>
            <w:tcBorders>
              <w:top w:val="nil"/>
              <w:left w:val="nil"/>
              <w:bottom w:val="nil"/>
              <w:right w:val="nil"/>
            </w:tcBorders>
            <w:shd w:val="clear" w:color="auto" w:fill="auto"/>
            <w:noWrap/>
            <w:vAlign w:val="bottom"/>
            <w:hideMark/>
          </w:tcPr>
          <w:p w14:paraId="4883712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27.3</w:t>
            </w:r>
          </w:p>
        </w:tc>
        <w:tc>
          <w:tcPr>
            <w:tcW w:w="744" w:type="dxa"/>
            <w:tcBorders>
              <w:top w:val="nil"/>
              <w:left w:val="single" w:sz="8" w:space="0" w:color="auto"/>
              <w:bottom w:val="nil"/>
              <w:right w:val="single" w:sz="8" w:space="0" w:color="auto"/>
            </w:tcBorders>
            <w:shd w:val="clear" w:color="auto" w:fill="auto"/>
            <w:noWrap/>
            <w:vAlign w:val="bottom"/>
            <w:hideMark/>
          </w:tcPr>
          <w:p w14:paraId="7597D95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30.1</w:t>
            </w:r>
          </w:p>
        </w:tc>
        <w:tc>
          <w:tcPr>
            <w:tcW w:w="744" w:type="dxa"/>
            <w:tcBorders>
              <w:top w:val="nil"/>
              <w:left w:val="nil"/>
              <w:bottom w:val="nil"/>
              <w:right w:val="single" w:sz="8" w:space="0" w:color="auto"/>
            </w:tcBorders>
            <w:shd w:val="clear" w:color="auto" w:fill="auto"/>
            <w:noWrap/>
            <w:vAlign w:val="bottom"/>
            <w:hideMark/>
          </w:tcPr>
          <w:p w14:paraId="5D7A2DC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w:t>
            </w:r>
          </w:p>
        </w:tc>
        <w:tc>
          <w:tcPr>
            <w:tcW w:w="744" w:type="dxa"/>
            <w:tcBorders>
              <w:top w:val="nil"/>
              <w:left w:val="nil"/>
              <w:bottom w:val="nil"/>
              <w:right w:val="single" w:sz="8" w:space="0" w:color="auto"/>
            </w:tcBorders>
            <w:shd w:val="clear" w:color="auto" w:fill="auto"/>
            <w:noWrap/>
            <w:vAlign w:val="bottom"/>
            <w:hideMark/>
          </w:tcPr>
          <w:p w14:paraId="333B34A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38.3</w:t>
            </w:r>
          </w:p>
        </w:tc>
        <w:tc>
          <w:tcPr>
            <w:tcW w:w="744" w:type="dxa"/>
            <w:tcBorders>
              <w:top w:val="nil"/>
              <w:left w:val="nil"/>
              <w:bottom w:val="nil"/>
              <w:right w:val="single" w:sz="8" w:space="0" w:color="auto"/>
            </w:tcBorders>
            <w:shd w:val="clear" w:color="auto" w:fill="auto"/>
            <w:noWrap/>
            <w:vAlign w:val="bottom"/>
            <w:hideMark/>
          </w:tcPr>
          <w:p w14:paraId="015F290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w:t>
            </w:r>
          </w:p>
        </w:tc>
        <w:tc>
          <w:tcPr>
            <w:tcW w:w="744" w:type="dxa"/>
            <w:tcBorders>
              <w:top w:val="nil"/>
              <w:left w:val="nil"/>
              <w:bottom w:val="nil"/>
              <w:right w:val="single" w:sz="8" w:space="0" w:color="auto"/>
            </w:tcBorders>
            <w:shd w:val="clear" w:color="auto" w:fill="auto"/>
            <w:noWrap/>
            <w:vAlign w:val="bottom"/>
            <w:hideMark/>
          </w:tcPr>
          <w:p w14:paraId="3AB5ED4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39.4</w:t>
            </w:r>
          </w:p>
        </w:tc>
      </w:tr>
      <w:tr w:rsidR="00D33F7C" w:rsidRPr="00AF27AC" w14:paraId="72BAEC25"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022998DE"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Vietnam</w:t>
            </w:r>
          </w:p>
        </w:tc>
        <w:tc>
          <w:tcPr>
            <w:tcW w:w="744" w:type="dxa"/>
            <w:tcBorders>
              <w:top w:val="nil"/>
              <w:left w:val="single" w:sz="8" w:space="0" w:color="auto"/>
              <w:bottom w:val="nil"/>
              <w:right w:val="nil"/>
            </w:tcBorders>
            <w:shd w:val="clear" w:color="auto" w:fill="auto"/>
            <w:noWrap/>
            <w:vAlign w:val="center"/>
            <w:hideMark/>
          </w:tcPr>
          <w:p w14:paraId="10DA2C8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30.3</w:t>
            </w:r>
          </w:p>
        </w:tc>
        <w:tc>
          <w:tcPr>
            <w:tcW w:w="744" w:type="dxa"/>
            <w:tcBorders>
              <w:top w:val="nil"/>
              <w:left w:val="single" w:sz="8" w:space="0" w:color="auto"/>
              <w:bottom w:val="nil"/>
              <w:right w:val="single" w:sz="8" w:space="0" w:color="auto"/>
            </w:tcBorders>
            <w:shd w:val="clear" w:color="auto" w:fill="auto"/>
            <w:noWrap/>
            <w:vAlign w:val="bottom"/>
            <w:hideMark/>
          </w:tcPr>
          <w:p w14:paraId="1CEB138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29.9</w:t>
            </w:r>
          </w:p>
        </w:tc>
        <w:tc>
          <w:tcPr>
            <w:tcW w:w="744" w:type="dxa"/>
            <w:tcBorders>
              <w:top w:val="nil"/>
              <w:left w:val="nil"/>
              <w:bottom w:val="nil"/>
              <w:right w:val="nil"/>
            </w:tcBorders>
            <w:shd w:val="clear" w:color="auto" w:fill="auto"/>
            <w:noWrap/>
            <w:vAlign w:val="bottom"/>
            <w:hideMark/>
          </w:tcPr>
          <w:p w14:paraId="0158324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30.1</w:t>
            </w:r>
          </w:p>
        </w:tc>
        <w:tc>
          <w:tcPr>
            <w:tcW w:w="744" w:type="dxa"/>
            <w:tcBorders>
              <w:top w:val="nil"/>
              <w:left w:val="single" w:sz="8" w:space="0" w:color="auto"/>
              <w:bottom w:val="nil"/>
              <w:right w:val="single" w:sz="8" w:space="0" w:color="auto"/>
            </w:tcBorders>
            <w:shd w:val="clear" w:color="auto" w:fill="auto"/>
            <w:noWrap/>
            <w:vAlign w:val="bottom"/>
            <w:hideMark/>
          </w:tcPr>
          <w:p w14:paraId="2F8C9AC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30.4</w:t>
            </w:r>
          </w:p>
        </w:tc>
        <w:tc>
          <w:tcPr>
            <w:tcW w:w="744" w:type="dxa"/>
            <w:tcBorders>
              <w:top w:val="nil"/>
              <w:left w:val="nil"/>
              <w:bottom w:val="nil"/>
              <w:right w:val="nil"/>
            </w:tcBorders>
            <w:shd w:val="clear" w:color="auto" w:fill="auto"/>
            <w:noWrap/>
            <w:vAlign w:val="bottom"/>
            <w:hideMark/>
          </w:tcPr>
          <w:p w14:paraId="401B138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32.6</w:t>
            </w:r>
          </w:p>
        </w:tc>
        <w:tc>
          <w:tcPr>
            <w:tcW w:w="744" w:type="dxa"/>
            <w:tcBorders>
              <w:top w:val="nil"/>
              <w:left w:val="single" w:sz="8" w:space="0" w:color="auto"/>
              <w:bottom w:val="nil"/>
              <w:right w:val="single" w:sz="8" w:space="0" w:color="auto"/>
            </w:tcBorders>
            <w:shd w:val="clear" w:color="auto" w:fill="auto"/>
            <w:noWrap/>
            <w:vAlign w:val="bottom"/>
            <w:hideMark/>
          </w:tcPr>
          <w:p w14:paraId="69C9B0D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31.9</w:t>
            </w:r>
          </w:p>
        </w:tc>
        <w:tc>
          <w:tcPr>
            <w:tcW w:w="744" w:type="dxa"/>
            <w:tcBorders>
              <w:top w:val="nil"/>
              <w:left w:val="nil"/>
              <w:bottom w:val="nil"/>
              <w:right w:val="nil"/>
            </w:tcBorders>
            <w:shd w:val="clear" w:color="auto" w:fill="auto"/>
            <w:noWrap/>
            <w:vAlign w:val="bottom"/>
            <w:hideMark/>
          </w:tcPr>
          <w:p w14:paraId="7993366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33.2</w:t>
            </w:r>
          </w:p>
        </w:tc>
        <w:tc>
          <w:tcPr>
            <w:tcW w:w="744" w:type="dxa"/>
            <w:tcBorders>
              <w:top w:val="nil"/>
              <w:left w:val="single" w:sz="8" w:space="0" w:color="auto"/>
              <w:bottom w:val="nil"/>
              <w:right w:val="single" w:sz="8" w:space="0" w:color="auto"/>
            </w:tcBorders>
            <w:shd w:val="clear" w:color="auto" w:fill="auto"/>
            <w:noWrap/>
            <w:vAlign w:val="bottom"/>
            <w:hideMark/>
          </w:tcPr>
          <w:p w14:paraId="1F9BBE2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37.4</w:t>
            </w:r>
          </w:p>
        </w:tc>
        <w:tc>
          <w:tcPr>
            <w:tcW w:w="744" w:type="dxa"/>
            <w:tcBorders>
              <w:top w:val="nil"/>
              <w:left w:val="nil"/>
              <w:bottom w:val="nil"/>
              <w:right w:val="single" w:sz="8" w:space="0" w:color="auto"/>
            </w:tcBorders>
            <w:shd w:val="clear" w:color="auto" w:fill="auto"/>
            <w:noWrap/>
            <w:vAlign w:val="bottom"/>
            <w:hideMark/>
          </w:tcPr>
          <w:p w14:paraId="34DAADD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37.3</w:t>
            </w:r>
          </w:p>
        </w:tc>
        <w:tc>
          <w:tcPr>
            <w:tcW w:w="744" w:type="dxa"/>
            <w:tcBorders>
              <w:top w:val="nil"/>
              <w:left w:val="nil"/>
              <w:bottom w:val="nil"/>
              <w:right w:val="single" w:sz="8" w:space="0" w:color="auto"/>
            </w:tcBorders>
            <w:shd w:val="clear" w:color="auto" w:fill="auto"/>
            <w:noWrap/>
            <w:vAlign w:val="bottom"/>
            <w:hideMark/>
          </w:tcPr>
          <w:p w14:paraId="444B07F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37.8</w:t>
            </w:r>
          </w:p>
        </w:tc>
        <w:tc>
          <w:tcPr>
            <w:tcW w:w="744" w:type="dxa"/>
            <w:tcBorders>
              <w:top w:val="nil"/>
              <w:left w:val="nil"/>
              <w:bottom w:val="nil"/>
              <w:right w:val="single" w:sz="8" w:space="0" w:color="auto"/>
            </w:tcBorders>
            <w:shd w:val="clear" w:color="auto" w:fill="auto"/>
            <w:noWrap/>
            <w:vAlign w:val="bottom"/>
            <w:hideMark/>
          </w:tcPr>
          <w:p w14:paraId="0D7E3F5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37.3</w:t>
            </w:r>
          </w:p>
        </w:tc>
        <w:tc>
          <w:tcPr>
            <w:tcW w:w="744" w:type="dxa"/>
            <w:tcBorders>
              <w:top w:val="nil"/>
              <w:left w:val="nil"/>
              <w:bottom w:val="nil"/>
              <w:right w:val="single" w:sz="8" w:space="0" w:color="auto"/>
            </w:tcBorders>
            <w:shd w:val="clear" w:color="auto" w:fill="auto"/>
            <w:noWrap/>
            <w:vAlign w:val="bottom"/>
            <w:hideMark/>
          </w:tcPr>
          <w:p w14:paraId="3F4FC81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38.9</w:t>
            </w:r>
          </w:p>
        </w:tc>
      </w:tr>
      <w:tr w:rsidR="00D33F7C" w:rsidRPr="00AF27AC" w14:paraId="0BAF7F16"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08023B96"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Italy</w:t>
            </w:r>
          </w:p>
        </w:tc>
        <w:tc>
          <w:tcPr>
            <w:tcW w:w="744" w:type="dxa"/>
            <w:tcBorders>
              <w:top w:val="nil"/>
              <w:left w:val="single" w:sz="8" w:space="0" w:color="auto"/>
              <w:bottom w:val="nil"/>
              <w:right w:val="nil"/>
            </w:tcBorders>
            <w:shd w:val="clear" w:color="auto" w:fill="auto"/>
            <w:noWrap/>
            <w:vAlign w:val="center"/>
            <w:hideMark/>
          </w:tcPr>
          <w:p w14:paraId="58B48B9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42.4</w:t>
            </w:r>
          </w:p>
        </w:tc>
        <w:tc>
          <w:tcPr>
            <w:tcW w:w="744" w:type="dxa"/>
            <w:tcBorders>
              <w:top w:val="nil"/>
              <w:left w:val="single" w:sz="8" w:space="0" w:color="auto"/>
              <w:bottom w:val="nil"/>
              <w:right w:val="single" w:sz="8" w:space="0" w:color="auto"/>
            </w:tcBorders>
            <w:shd w:val="clear" w:color="auto" w:fill="auto"/>
            <w:noWrap/>
            <w:vAlign w:val="bottom"/>
            <w:hideMark/>
          </w:tcPr>
          <w:p w14:paraId="215BC5C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42.6</w:t>
            </w:r>
          </w:p>
        </w:tc>
        <w:tc>
          <w:tcPr>
            <w:tcW w:w="744" w:type="dxa"/>
            <w:tcBorders>
              <w:top w:val="nil"/>
              <w:left w:val="nil"/>
              <w:bottom w:val="nil"/>
              <w:right w:val="nil"/>
            </w:tcBorders>
            <w:shd w:val="clear" w:color="auto" w:fill="auto"/>
            <w:noWrap/>
            <w:vAlign w:val="bottom"/>
            <w:hideMark/>
          </w:tcPr>
          <w:p w14:paraId="58BEECF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43.5</w:t>
            </w:r>
          </w:p>
        </w:tc>
        <w:tc>
          <w:tcPr>
            <w:tcW w:w="744" w:type="dxa"/>
            <w:tcBorders>
              <w:top w:val="nil"/>
              <w:left w:val="single" w:sz="8" w:space="0" w:color="auto"/>
              <w:bottom w:val="nil"/>
              <w:right w:val="single" w:sz="8" w:space="0" w:color="auto"/>
            </w:tcBorders>
            <w:shd w:val="clear" w:color="auto" w:fill="auto"/>
            <w:noWrap/>
            <w:vAlign w:val="bottom"/>
            <w:hideMark/>
          </w:tcPr>
          <w:p w14:paraId="2F955D6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w:t>
            </w:r>
          </w:p>
        </w:tc>
        <w:tc>
          <w:tcPr>
            <w:tcW w:w="744" w:type="dxa"/>
            <w:tcBorders>
              <w:top w:val="nil"/>
              <w:left w:val="nil"/>
              <w:bottom w:val="nil"/>
              <w:right w:val="nil"/>
            </w:tcBorders>
            <w:shd w:val="clear" w:color="auto" w:fill="auto"/>
            <w:noWrap/>
            <w:vAlign w:val="bottom"/>
            <w:hideMark/>
          </w:tcPr>
          <w:p w14:paraId="102D0F9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44.2</w:t>
            </w:r>
          </w:p>
        </w:tc>
        <w:tc>
          <w:tcPr>
            <w:tcW w:w="744" w:type="dxa"/>
            <w:tcBorders>
              <w:top w:val="nil"/>
              <w:left w:val="single" w:sz="8" w:space="0" w:color="auto"/>
              <w:bottom w:val="nil"/>
              <w:right w:val="single" w:sz="8" w:space="0" w:color="auto"/>
            </w:tcBorders>
            <w:shd w:val="clear" w:color="auto" w:fill="auto"/>
            <w:noWrap/>
            <w:vAlign w:val="bottom"/>
            <w:hideMark/>
          </w:tcPr>
          <w:p w14:paraId="2BBAC44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41.3</w:t>
            </w:r>
          </w:p>
        </w:tc>
        <w:tc>
          <w:tcPr>
            <w:tcW w:w="744" w:type="dxa"/>
            <w:tcBorders>
              <w:top w:val="nil"/>
              <w:left w:val="nil"/>
              <w:bottom w:val="nil"/>
              <w:right w:val="nil"/>
            </w:tcBorders>
            <w:shd w:val="clear" w:color="auto" w:fill="auto"/>
            <w:noWrap/>
            <w:vAlign w:val="bottom"/>
            <w:hideMark/>
          </w:tcPr>
          <w:p w14:paraId="3709B8A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39.1</w:t>
            </w:r>
          </w:p>
        </w:tc>
        <w:tc>
          <w:tcPr>
            <w:tcW w:w="744" w:type="dxa"/>
            <w:tcBorders>
              <w:top w:val="nil"/>
              <w:left w:val="single" w:sz="8" w:space="0" w:color="auto"/>
              <w:bottom w:val="nil"/>
              <w:right w:val="single" w:sz="8" w:space="0" w:color="auto"/>
            </w:tcBorders>
            <w:shd w:val="clear" w:color="auto" w:fill="auto"/>
            <w:noWrap/>
            <w:vAlign w:val="bottom"/>
            <w:hideMark/>
          </w:tcPr>
          <w:p w14:paraId="0AFCDF9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38.3</w:t>
            </w:r>
          </w:p>
        </w:tc>
        <w:tc>
          <w:tcPr>
            <w:tcW w:w="744" w:type="dxa"/>
            <w:tcBorders>
              <w:top w:val="nil"/>
              <w:left w:val="nil"/>
              <w:bottom w:val="nil"/>
              <w:right w:val="single" w:sz="8" w:space="0" w:color="auto"/>
            </w:tcBorders>
            <w:shd w:val="clear" w:color="auto" w:fill="auto"/>
            <w:noWrap/>
            <w:vAlign w:val="bottom"/>
            <w:hideMark/>
          </w:tcPr>
          <w:p w14:paraId="221A7B4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36.8</w:t>
            </w:r>
          </w:p>
        </w:tc>
        <w:tc>
          <w:tcPr>
            <w:tcW w:w="744" w:type="dxa"/>
            <w:tcBorders>
              <w:top w:val="nil"/>
              <w:left w:val="nil"/>
              <w:bottom w:val="nil"/>
              <w:right w:val="single" w:sz="8" w:space="0" w:color="auto"/>
            </w:tcBorders>
            <w:shd w:val="clear" w:color="auto" w:fill="auto"/>
            <w:noWrap/>
            <w:vAlign w:val="bottom"/>
            <w:hideMark/>
          </w:tcPr>
          <w:p w14:paraId="6CF8EB7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36.5</w:t>
            </w:r>
          </w:p>
        </w:tc>
        <w:tc>
          <w:tcPr>
            <w:tcW w:w="744" w:type="dxa"/>
            <w:tcBorders>
              <w:top w:val="nil"/>
              <w:left w:val="nil"/>
              <w:bottom w:val="nil"/>
              <w:right w:val="single" w:sz="8" w:space="0" w:color="auto"/>
            </w:tcBorders>
            <w:shd w:val="clear" w:color="auto" w:fill="auto"/>
            <w:noWrap/>
            <w:vAlign w:val="bottom"/>
            <w:hideMark/>
          </w:tcPr>
          <w:p w14:paraId="246E6B2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37.7</w:t>
            </w:r>
          </w:p>
        </w:tc>
        <w:tc>
          <w:tcPr>
            <w:tcW w:w="744" w:type="dxa"/>
            <w:tcBorders>
              <w:top w:val="nil"/>
              <w:left w:val="nil"/>
              <w:bottom w:val="nil"/>
              <w:right w:val="single" w:sz="8" w:space="0" w:color="auto"/>
            </w:tcBorders>
            <w:shd w:val="clear" w:color="auto" w:fill="auto"/>
            <w:noWrap/>
            <w:vAlign w:val="bottom"/>
            <w:hideMark/>
          </w:tcPr>
          <w:p w14:paraId="3B10B9A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w:t>
            </w:r>
          </w:p>
        </w:tc>
      </w:tr>
      <w:tr w:rsidR="00D33F7C" w:rsidRPr="00AF27AC" w14:paraId="0601DBDE"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66AB17AD"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Colombia</w:t>
            </w:r>
          </w:p>
        </w:tc>
        <w:tc>
          <w:tcPr>
            <w:tcW w:w="744" w:type="dxa"/>
            <w:tcBorders>
              <w:top w:val="nil"/>
              <w:left w:val="single" w:sz="8" w:space="0" w:color="auto"/>
              <w:bottom w:val="nil"/>
              <w:right w:val="nil"/>
            </w:tcBorders>
            <w:shd w:val="clear" w:color="auto" w:fill="auto"/>
            <w:noWrap/>
            <w:vAlign w:val="center"/>
            <w:hideMark/>
          </w:tcPr>
          <w:p w14:paraId="4CB839E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29.4</w:t>
            </w:r>
          </w:p>
        </w:tc>
        <w:tc>
          <w:tcPr>
            <w:tcW w:w="744" w:type="dxa"/>
            <w:tcBorders>
              <w:top w:val="nil"/>
              <w:left w:val="single" w:sz="8" w:space="0" w:color="auto"/>
              <w:bottom w:val="nil"/>
              <w:right w:val="single" w:sz="8" w:space="0" w:color="auto"/>
            </w:tcBorders>
            <w:shd w:val="clear" w:color="auto" w:fill="auto"/>
            <w:noWrap/>
            <w:vAlign w:val="bottom"/>
            <w:hideMark/>
          </w:tcPr>
          <w:p w14:paraId="5291A4D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29.8</w:t>
            </w:r>
          </w:p>
        </w:tc>
        <w:tc>
          <w:tcPr>
            <w:tcW w:w="744" w:type="dxa"/>
            <w:tcBorders>
              <w:top w:val="nil"/>
              <w:left w:val="nil"/>
              <w:bottom w:val="nil"/>
              <w:right w:val="nil"/>
            </w:tcBorders>
            <w:shd w:val="clear" w:color="auto" w:fill="auto"/>
            <w:noWrap/>
            <w:vAlign w:val="bottom"/>
            <w:hideMark/>
          </w:tcPr>
          <w:p w14:paraId="386D8AB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30.6</w:t>
            </w:r>
          </w:p>
        </w:tc>
        <w:tc>
          <w:tcPr>
            <w:tcW w:w="744" w:type="dxa"/>
            <w:tcBorders>
              <w:top w:val="nil"/>
              <w:left w:val="single" w:sz="8" w:space="0" w:color="auto"/>
              <w:bottom w:val="nil"/>
              <w:right w:val="single" w:sz="8" w:space="0" w:color="auto"/>
            </w:tcBorders>
            <w:shd w:val="clear" w:color="auto" w:fill="auto"/>
            <w:noWrap/>
            <w:vAlign w:val="bottom"/>
            <w:hideMark/>
          </w:tcPr>
          <w:p w14:paraId="5D70958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29.8</w:t>
            </w:r>
          </w:p>
        </w:tc>
        <w:tc>
          <w:tcPr>
            <w:tcW w:w="744" w:type="dxa"/>
            <w:tcBorders>
              <w:top w:val="nil"/>
              <w:left w:val="nil"/>
              <w:bottom w:val="nil"/>
              <w:right w:val="nil"/>
            </w:tcBorders>
            <w:shd w:val="clear" w:color="auto" w:fill="auto"/>
            <w:noWrap/>
            <w:vAlign w:val="bottom"/>
            <w:hideMark/>
          </w:tcPr>
          <w:p w14:paraId="43255B9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31.9</w:t>
            </w:r>
          </w:p>
        </w:tc>
        <w:tc>
          <w:tcPr>
            <w:tcW w:w="744" w:type="dxa"/>
            <w:tcBorders>
              <w:top w:val="nil"/>
              <w:left w:val="single" w:sz="8" w:space="0" w:color="auto"/>
              <w:bottom w:val="nil"/>
              <w:right w:val="single" w:sz="8" w:space="0" w:color="auto"/>
            </w:tcBorders>
            <w:shd w:val="clear" w:color="auto" w:fill="auto"/>
            <w:noWrap/>
            <w:vAlign w:val="bottom"/>
            <w:hideMark/>
          </w:tcPr>
          <w:p w14:paraId="0B36CFB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30.8</w:t>
            </w:r>
          </w:p>
        </w:tc>
        <w:tc>
          <w:tcPr>
            <w:tcW w:w="744" w:type="dxa"/>
            <w:tcBorders>
              <w:top w:val="nil"/>
              <w:left w:val="nil"/>
              <w:bottom w:val="nil"/>
              <w:right w:val="nil"/>
            </w:tcBorders>
            <w:shd w:val="clear" w:color="auto" w:fill="auto"/>
            <w:noWrap/>
            <w:vAlign w:val="bottom"/>
            <w:hideMark/>
          </w:tcPr>
          <w:p w14:paraId="50CBC45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31</w:t>
            </w:r>
          </w:p>
        </w:tc>
        <w:tc>
          <w:tcPr>
            <w:tcW w:w="744" w:type="dxa"/>
            <w:tcBorders>
              <w:top w:val="nil"/>
              <w:left w:val="single" w:sz="8" w:space="0" w:color="auto"/>
              <w:bottom w:val="nil"/>
              <w:right w:val="single" w:sz="8" w:space="0" w:color="auto"/>
            </w:tcBorders>
            <w:shd w:val="clear" w:color="auto" w:fill="auto"/>
            <w:noWrap/>
            <w:vAlign w:val="bottom"/>
            <w:hideMark/>
          </w:tcPr>
          <w:p w14:paraId="34376F0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32.4</w:t>
            </w:r>
          </w:p>
        </w:tc>
        <w:tc>
          <w:tcPr>
            <w:tcW w:w="744" w:type="dxa"/>
            <w:tcBorders>
              <w:top w:val="nil"/>
              <w:left w:val="nil"/>
              <w:bottom w:val="nil"/>
              <w:right w:val="single" w:sz="8" w:space="0" w:color="auto"/>
            </w:tcBorders>
            <w:shd w:val="clear" w:color="auto" w:fill="auto"/>
            <w:noWrap/>
            <w:vAlign w:val="bottom"/>
            <w:hideMark/>
          </w:tcPr>
          <w:p w14:paraId="4DAA64C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30.6</w:t>
            </w:r>
          </w:p>
        </w:tc>
        <w:tc>
          <w:tcPr>
            <w:tcW w:w="744" w:type="dxa"/>
            <w:tcBorders>
              <w:top w:val="nil"/>
              <w:left w:val="nil"/>
              <w:bottom w:val="nil"/>
              <w:right w:val="single" w:sz="8" w:space="0" w:color="auto"/>
            </w:tcBorders>
            <w:shd w:val="clear" w:color="auto" w:fill="auto"/>
            <w:noWrap/>
            <w:vAlign w:val="bottom"/>
            <w:hideMark/>
          </w:tcPr>
          <w:p w14:paraId="1CEA452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35.2</w:t>
            </w:r>
          </w:p>
        </w:tc>
        <w:tc>
          <w:tcPr>
            <w:tcW w:w="744" w:type="dxa"/>
            <w:tcBorders>
              <w:top w:val="nil"/>
              <w:left w:val="nil"/>
              <w:bottom w:val="nil"/>
              <w:right w:val="single" w:sz="8" w:space="0" w:color="auto"/>
            </w:tcBorders>
            <w:shd w:val="clear" w:color="auto" w:fill="auto"/>
            <w:noWrap/>
            <w:vAlign w:val="bottom"/>
            <w:hideMark/>
          </w:tcPr>
          <w:p w14:paraId="626C790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35.1</w:t>
            </w:r>
          </w:p>
        </w:tc>
        <w:tc>
          <w:tcPr>
            <w:tcW w:w="744" w:type="dxa"/>
            <w:tcBorders>
              <w:top w:val="nil"/>
              <w:left w:val="nil"/>
              <w:bottom w:val="nil"/>
              <w:right w:val="single" w:sz="8" w:space="0" w:color="auto"/>
            </w:tcBorders>
            <w:shd w:val="clear" w:color="auto" w:fill="auto"/>
            <w:noWrap/>
            <w:vAlign w:val="bottom"/>
            <w:hideMark/>
          </w:tcPr>
          <w:p w14:paraId="766B1B4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35.8</w:t>
            </w:r>
          </w:p>
        </w:tc>
      </w:tr>
      <w:tr w:rsidR="00D33F7C" w:rsidRPr="00AF27AC" w14:paraId="4AED3294"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105C9750"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All Other</w:t>
            </w:r>
          </w:p>
        </w:tc>
        <w:tc>
          <w:tcPr>
            <w:tcW w:w="744" w:type="dxa"/>
            <w:tcBorders>
              <w:top w:val="nil"/>
              <w:left w:val="single" w:sz="8" w:space="0" w:color="auto"/>
              <w:bottom w:val="nil"/>
              <w:right w:val="nil"/>
            </w:tcBorders>
            <w:shd w:val="clear" w:color="auto" w:fill="auto"/>
            <w:noWrap/>
            <w:vAlign w:val="center"/>
            <w:hideMark/>
          </w:tcPr>
          <w:p w14:paraId="4B258C5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536.6</w:t>
            </w:r>
          </w:p>
        </w:tc>
        <w:tc>
          <w:tcPr>
            <w:tcW w:w="744" w:type="dxa"/>
            <w:tcBorders>
              <w:top w:val="nil"/>
              <w:left w:val="single" w:sz="8" w:space="0" w:color="auto"/>
              <w:bottom w:val="nil"/>
              <w:right w:val="single" w:sz="8" w:space="0" w:color="auto"/>
            </w:tcBorders>
            <w:shd w:val="clear" w:color="auto" w:fill="auto"/>
            <w:noWrap/>
            <w:vAlign w:val="bottom"/>
            <w:hideMark/>
          </w:tcPr>
          <w:p w14:paraId="7A869D6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548.3</w:t>
            </w:r>
          </w:p>
        </w:tc>
        <w:tc>
          <w:tcPr>
            <w:tcW w:w="744" w:type="dxa"/>
            <w:tcBorders>
              <w:top w:val="nil"/>
              <w:left w:val="nil"/>
              <w:bottom w:val="nil"/>
              <w:right w:val="nil"/>
            </w:tcBorders>
            <w:shd w:val="clear" w:color="auto" w:fill="auto"/>
            <w:noWrap/>
            <w:vAlign w:val="bottom"/>
            <w:hideMark/>
          </w:tcPr>
          <w:p w14:paraId="19508B0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533.3</w:t>
            </w:r>
          </w:p>
        </w:tc>
        <w:tc>
          <w:tcPr>
            <w:tcW w:w="744" w:type="dxa"/>
            <w:tcBorders>
              <w:top w:val="nil"/>
              <w:left w:val="single" w:sz="8" w:space="0" w:color="auto"/>
              <w:bottom w:val="nil"/>
              <w:right w:val="single" w:sz="8" w:space="0" w:color="auto"/>
            </w:tcBorders>
            <w:shd w:val="clear" w:color="auto" w:fill="auto"/>
            <w:noWrap/>
            <w:vAlign w:val="bottom"/>
            <w:hideMark/>
          </w:tcPr>
          <w:p w14:paraId="41F2378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533.4</w:t>
            </w:r>
          </w:p>
        </w:tc>
        <w:tc>
          <w:tcPr>
            <w:tcW w:w="744" w:type="dxa"/>
            <w:tcBorders>
              <w:top w:val="nil"/>
              <w:left w:val="nil"/>
              <w:bottom w:val="nil"/>
              <w:right w:val="nil"/>
            </w:tcBorders>
            <w:shd w:val="clear" w:color="auto" w:fill="auto"/>
            <w:noWrap/>
            <w:vAlign w:val="bottom"/>
            <w:hideMark/>
          </w:tcPr>
          <w:p w14:paraId="0449016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518.5</w:t>
            </w:r>
          </w:p>
        </w:tc>
        <w:tc>
          <w:tcPr>
            <w:tcW w:w="744" w:type="dxa"/>
            <w:tcBorders>
              <w:top w:val="nil"/>
              <w:left w:val="single" w:sz="8" w:space="0" w:color="auto"/>
              <w:bottom w:val="nil"/>
              <w:right w:val="single" w:sz="8" w:space="0" w:color="auto"/>
            </w:tcBorders>
            <w:shd w:val="clear" w:color="auto" w:fill="auto"/>
            <w:noWrap/>
            <w:vAlign w:val="bottom"/>
            <w:hideMark/>
          </w:tcPr>
          <w:p w14:paraId="7FC85BB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507.2</w:t>
            </w:r>
          </w:p>
        </w:tc>
        <w:tc>
          <w:tcPr>
            <w:tcW w:w="744" w:type="dxa"/>
            <w:tcBorders>
              <w:top w:val="nil"/>
              <w:left w:val="nil"/>
              <w:bottom w:val="nil"/>
              <w:right w:val="nil"/>
            </w:tcBorders>
            <w:shd w:val="clear" w:color="auto" w:fill="auto"/>
            <w:noWrap/>
            <w:vAlign w:val="bottom"/>
            <w:hideMark/>
          </w:tcPr>
          <w:p w14:paraId="44740A6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501.8</w:t>
            </w:r>
          </w:p>
        </w:tc>
        <w:tc>
          <w:tcPr>
            <w:tcW w:w="744" w:type="dxa"/>
            <w:tcBorders>
              <w:top w:val="nil"/>
              <w:left w:val="single" w:sz="8" w:space="0" w:color="auto"/>
              <w:bottom w:val="nil"/>
              <w:right w:val="single" w:sz="8" w:space="0" w:color="auto"/>
            </w:tcBorders>
            <w:shd w:val="clear" w:color="auto" w:fill="auto"/>
            <w:noWrap/>
            <w:vAlign w:val="bottom"/>
            <w:hideMark/>
          </w:tcPr>
          <w:p w14:paraId="32C0A3E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493.4</w:t>
            </w:r>
          </w:p>
        </w:tc>
        <w:tc>
          <w:tcPr>
            <w:tcW w:w="744" w:type="dxa"/>
            <w:tcBorders>
              <w:top w:val="nil"/>
              <w:left w:val="nil"/>
              <w:bottom w:val="nil"/>
              <w:right w:val="single" w:sz="8" w:space="0" w:color="auto"/>
            </w:tcBorders>
            <w:shd w:val="clear" w:color="auto" w:fill="auto"/>
            <w:noWrap/>
            <w:vAlign w:val="bottom"/>
            <w:hideMark/>
          </w:tcPr>
          <w:p w14:paraId="235BD5F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487.9</w:t>
            </w:r>
          </w:p>
        </w:tc>
        <w:tc>
          <w:tcPr>
            <w:tcW w:w="744" w:type="dxa"/>
            <w:tcBorders>
              <w:top w:val="nil"/>
              <w:left w:val="nil"/>
              <w:bottom w:val="nil"/>
              <w:right w:val="single" w:sz="8" w:space="0" w:color="auto"/>
            </w:tcBorders>
            <w:shd w:val="clear" w:color="auto" w:fill="auto"/>
            <w:noWrap/>
            <w:vAlign w:val="bottom"/>
            <w:hideMark/>
          </w:tcPr>
          <w:p w14:paraId="152D304B"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483.6</w:t>
            </w:r>
          </w:p>
        </w:tc>
        <w:tc>
          <w:tcPr>
            <w:tcW w:w="744" w:type="dxa"/>
            <w:tcBorders>
              <w:top w:val="nil"/>
              <w:left w:val="nil"/>
              <w:bottom w:val="nil"/>
              <w:right w:val="single" w:sz="8" w:space="0" w:color="auto"/>
            </w:tcBorders>
            <w:shd w:val="clear" w:color="auto" w:fill="auto"/>
            <w:noWrap/>
            <w:vAlign w:val="bottom"/>
            <w:hideMark/>
          </w:tcPr>
          <w:p w14:paraId="01A2578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472.7</w:t>
            </w:r>
          </w:p>
        </w:tc>
        <w:tc>
          <w:tcPr>
            <w:tcW w:w="744" w:type="dxa"/>
            <w:tcBorders>
              <w:top w:val="nil"/>
              <w:left w:val="nil"/>
              <w:bottom w:val="nil"/>
              <w:right w:val="single" w:sz="8" w:space="0" w:color="auto"/>
            </w:tcBorders>
            <w:shd w:val="clear" w:color="auto" w:fill="auto"/>
            <w:noWrap/>
            <w:vAlign w:val="bottom"/>
            <w:hideMark/>
          </w:tcPr>
          <w:p w14:paraId="4C03DAC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481.7</w:t>
            </w:r>
          </w:p>
        </w:tc>
      </w:tr>
      <w:tr w:rsidR="00D33F7C" w:rsidRPr="00AF27AC" w14:paraId="6E3D8C5F"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08BA29BE"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Grand Total</w:t>
            </w:r>
          </w:p>
        </w:tc>
        <w:tc>
          <w:tcPr>
            <w:tcW w:w="744" w:type="dxa"/>
            <w:tcBorders>
              <w:top w:val="nil"/>
              <w:left w:val="single" w:sz="8" w:space="0" w:color="auto"/>
              <w:bottom w:val="nil"/>
              <w:right w:val="nil"/>
            </w:tcBorders>
            <w:shd w:val="clear" w:color="auto" w:fill="auto"/>
            <w:noWrap/>
            <w:vAlign w:val="center"/>
            <w:hideMark/>
          </w:tcPr>
          <w:p w14:paraId="68E0068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7052.1</w:t>
            </w:r>
          </w:p>
        </w:tc>
        <w:tc>
          <w:tcPr>
            <w:tcW w:w="744" w:type="dxa"/>
            <w:tcBorders>
              <w:top w:val="nil"/>
              <w:left w:val="single" w:sz="8" w:space="0" w:color="auto"/>
              <w:bottom w:val="nil"/>
              <w:right w:val="single" w:sz="8" w:space="0" w:color="auto"/>
            </w:tcBorders>
            <w:shd w:val="clear" w:color="auto" w:fill="auto"/>
            <w:noWrap/>
            <w:vAlign w:val="bottom"/>
            <w:hideMark/>
          </w:tcPr>
          <w:p w14:paraId="7568800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7096.2</w:t>
            </w:r>
          </w:p>
        </w:tc>
        <w:tc>
          <w:tcPr>
            <w:tcW w:w="744" w:type="dxa"/>
            <w:tcBorders>
              <w:top w:val="nil"/>
              <w:left w:val="nil"/>
              <w:bottom w:val="nil"/>
              <w:right w:val="nil"/>
            </w:tcBorders>
            <w:shd w:val="clear" w:color="auto" w:fill="auto"/>
            <w:noWrap/>
            <w:vAlign w:val="bottom"/>
            <w:hideMark/>
          </w:tcPr>
          <w:p w14:paraId="4505665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7082</w:t>
            </w:r>
          </w:p>
        </w:tc>
        <w:tc>
          <w:tcPr>
            <w:tcW w:w="744" w:type="dxa"/>
            <w:tcBorders>
              <w:top w:val="nil"/>
              <w:left w:val="single" w:sz="8" w:space="0" w:color="auto"/>
              <w:bottom w:val="nil"/>
              <w:right w:val="single" w:sz="8" w:space="0" w:color="auto"/>
            </w:tcBorders>
            <w:shd w:val="clear" w:color="auto" w:fill="auto"/>
            <w:noWrap/>
            <w:vAlign w:val="bottom"/>
            <w:hideMark/>
          </w:tcPr>
          <w:p w14:paraId="7B33D59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7069.2</w:t>
            </w:r>
          </w:p>
        </w:tc>
        <w:tc>
          <w:tcPr>
            <w:tcW w:w="744" w:type="dxa"/>
            <w:tcBorders>
              <w:top w:val="nil"/>
              <w:left w:val="nil"/>
              <w:bottom w:val="nil"/>
              <w:right w:val="nil"/>
            </w:tcBorders>
            <w:shd w:val="clear" w:color="auto" w:fill="auto"/>
            <w:noWrap/>
            <w:vAlign w:val="bottom"/>
            <w:hideMark/>
          </w:tcPr>
          <w:p w14:paraId="0E95243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7070.4</w:t>
            </w:r>
          </w:p>
        </w:tc>
        <w:tc>
          <w:tcPr>
            <w:tcW w:w="744" w:type="dxa"/>
            <w:tcBorders>
              <w:top w:val="nil"/>
              <w:left w:val="single" w:sz="8" w:space="0" w:color="auto"/>
              <w:bottom w:val="nil"/>
              <w:right w:val="single" w:sz="8" w:space="0" w:color="auto"/>
            </w:tcBorders>
            <w:shd w:val="clear" w:color="auto" w:fill="auto"/>
            <w:noWrap/>
            <w:vAlign w:val="bottom"/>
            <w:hideMark/>
          </w:tcPr>
          <w:p w14:paraId="0A9A6A3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7051.2</w:t>
            </w:r>
          </w:p>
        </w:tc>
        <w:tc>
          <w:tcPr>
            <w:tcW w:w="744" w:type="dxa"/>
            <w:tcBorders>
              <w:top w:val="nil"/>
              <w:left w:val="nil"/>
              <w:bottom w:val="nil"/>
              <w:right w:val="nil"/>
            </w:tcBorders>
            <w:shd w:val="clear" w:color="auto" w:fill="auto"/>
            <w:noWrap/>
            <w:vAlign w:val="bottom"/>
            <w:hideMark/>
          </w:tcPr>
          <w:p w14:paraId="60E9372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7070.8</w:t>
            </w:r>
          </w:p>
        </w:tc>
        <w:tc>
          <w:tcPr>
            <w:tcW w:w="744" w:type="dxa"/>
            <w:tcBorders>
              <w:top w:val="nil"/>
              <w:left w:val="single" w:sz="8" w:space="0" w:color="auto"/>
              <w:bottom w:val="nil"/>
              <w:right w:val="single" w:sz="8" w:space="0" w:color="auto"/>
            </w:tcBorders>
            <w:shd w:val="clear" w:color="auto" w:fill="auto"/>
            <w:noWrap/>
            <w:vAlign w:val="bottom"/>
            <w:hideMark/>
          </w:tcPr>
          <w:p w14:paraId="6DF5294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7119.6</w:t>
            </w:r>
          </w:p>
        </w:tc>
        <w:tc>
          <w:tcPr>
            <w:tcW w:w="744" w:type="dxa"/>
            <w:tcBorders>
              <w:top w:val="nil"/>
              <w:left w:val="nil"/>
              <w:bottom w:val="nil"/>
              <w:right w:val="single" w:sz="8" w:space="0" w:color="auto"/>
            </w:tcBorders>
            <w:shd w:val="clear" w:color="auto" w:fill="auto"/>
            <w:noWrap/>
            <w:vAlign w:val="bottom"/>
            <w:hideMark/>
          </w:tcPr>
          <w:p w14:paraId="713D9AC0"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7098.7</w:t>
            </w:r>
          </w:p>
        </w:tc>
        <w:tc>
          <w:tcPr>
            <w:tcW w:w="744" w:type="dxa"/>
            <w:tcBorders>
              <w:top w:val="nil"/>
              <w:left w:val="nil"/>
              <w:bottom w:val="nil"/>
              <w:right w:val="single" w:sz="8" w:space="0" w:color="auto"/>
            </w:tcBorders>
            <w:shd w:val="clear" w:color="auto" w:fill="auto"/>
            <w:noWrap/>
            <w:vAlign w:val="bottom"/>
            <w:hideMark/>
          </w:tcPr>
          <w:p w14:paraId="6366B1A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7028.4</w:t>
            </w:r>
          </w:p>
        </w:tc>
        <w:tc>
          <w:tcPr>
            <w:tcW w:w="744" w:type="dxa"/>
            <w:tcBorders>
              <w:top w:val="nil"/>
              <w:left w:val="nil"/>
              <w:bottom w:val="nil"/>
              <w:right w:val="single" w:sz="8" w:space="0" w:color="auto"/>
            </w:tcBorders>
            <w:shd w:val="clear" w:color="auto" w:fill="auto"/>
            <w:noWrap/>
            <w:vAlign w:val="bottom"/>
            <w:hideMark/>
          </w:tcPr>
          <w:p w14:paraId="75BA683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7070.3</w:t>
            </w:r>
          </w:p>
        </w:tc>
        <w:tc>
          <w:tcPr>
            <w:tcW w:w="744" w:type="dxa"/>
            <w:tcBorders>
              <w:top w:val="nil"/>
              <w:left w:val="nil"/>
              <w:bottom w:val="nil"/>
              <w:right w:val="single" w:sz="8" w:space="0" w:color="auto"/>
            </w:tcBorders>
            <w:shd w:val="clear" w:color="auto" w:fill="auto"/>
            <w:noWrap/>
            <w:vAlign w:val="bottom"/>
            <w:hideMark/>
          </w:tcPr>
          <w:p w14:paraId="0B3E408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7135</w:t>
            </w:r>
          </w:p>
        </w:tc>
      </w:tr>
      <w:tr w:rsidR="00D33F7C" w:rsidRPr="00AF27AC" w14:paraId="266F2A3F"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4A3F0DD9"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single" w:sz="8" w:space="0" w:color="auto"/>
              <w:bottom w:val="nil"/>
              <w:right w:val="nil"/>
            </w:tcBorders>
            <w:shd w:val="clear" w:color="auto" w:fill="auto"/>
            <w:noWrap/>
            <w:vAlign w:val="center"/>
            <w:hideMark/>
          </w:tcPr>
          <w:p w14:paraId="7003290D"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single" w:sz="8" w:space="0" w:color="auto"/>
              <w:bottom w:val="nil"/>
              <w:right w:val="single" w:sz="8" w:space="0" w:color="auto"/>
            </w:tcBorders>
            <w:shd w:val="clear" w:color="auto" w:fill="auto"/>
            <w:noWrap/>
            <w:vAlign w:val="bottom"/>
            <w:hideMark/>
          </w:tcPr>
          <w:p w14:paraId="444AD527"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nil"/>
              <w:bottom w:val="nil"/>
              <w:right w:val="nil"/>
            </w:tcBorders>
            <w:shd w:val="clear" w:color="auto" w:fill="auto"/>
            <w:noWrap/>
            <w:vAlign w:val="bottom"/>
            <w:hideMark/>
          </w:tcPr>
          <w:p w14:paraId="05E015B5" w14:textId="77777777" w:rsidR="00D33F7C" w:rsidRPr="00AF27AC" w:rsidRDefault="00D33F7C" w:rsidP="00E213CE">
            <w:pPr>
              <w:rPr>
                <w:rFonts w:ascii="Garamond" w:eastAsia="Times New Roman" w:hAnsi="Garamond" w:cs="Calibri"/>
                <w:color w:val="000000"/>
                <w:sz w:val="20"/>
                <w:szCs w:val="20"/>
                <w:lang w:val="en-IN" w:eastAsia="en-IN" w:bidi="hi-IN"/>
              </w:rPr>
            </w:pPr>
          </w:p>
        </w:tc>
        <w:tc>
          <w:tcPr>
            <w:tcW w:w="744" w:type="dxa"/>
            <w:tcBorders>
              <w:top w:val="nil"/>
              <w:left w:val="single" w:sz="8" w:space="0" w:color="auto"/>
              <w:bottom w:val="nil"/>
              <w:right w:val="single" w:sz="8" w:space="0" w:color="auto"/>
            </w:tcBorders>
            <w:shd w:val="clear" w:color="auto" w:fill="auto"/>
            <w:noWrap/>
            <w:vAlign w:val="bottom"/>
            <w:hideMark/>
          </w:tcPr>
          <w:p w14:paraId="00AD80BF"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nil"/>
              <w:bottom w:val="nil"/>
              <w:right w:val="nil"/>
            </w:tcBorders>
            <w:shd w:val="clear" w:color="auto" w:fill="auto"/>
            <w:noWrap/>
            <w:vAlign w:val="bottom"/>
            <w:hideMark/>
          </w:tcPr>
          <w:p w14:paraId="1B30D783" w14:textId="77777777" w:rsidR="00D33F7C" w:rsidRPr="00AF27AC" w:rsidRDefault="00D33F7C" w:rsidP="00E213CE">
            <w:pPr>
              <w:rPr>
                <w:rFonts w:ascii="Garamond" w:eastAsia="Times New Roman" w:hAnsi="Garamond" w:cs="Calibri"/>
                <w:color w:val="000000"/>
                <w:sz w:val="20"/>
                <w:szCs w:val="20"/>
                <w:lang w:val="en-IN" w:eastAsia="en-IN" w:bidi="hi-IN"/>
              </w:rPr>
            </w:pPr>
          </w:p>
        </w:tc>
        <w:tc>
          <w:tcPr>
            <w:tcW w:w="744" w:type="dxa"/>
            <w:tcBorders>
              <w:top w:val="nil"/>
              <w:left w:val="single" w:sz="8" w:space="0" w:color="auto"/>
              <w:bottom w:val="nil"/>
              <w:right w:val="single" w:sz="8" w:space="0" w:color="auto"/>
            </w:tcBorders>
            <w:shd w:val="clear" w:color="auto" w:fill="auto"/>
            <w:noWrap/>
            <w:vAlign w:val="bottom"/>
            <w:hideMark/>
          </w:tcPr>
          <w:p w14:paraId="3BC871F1"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nil"/>
              <w:bottom w:val="nil"/>
              <w:right w:val="nil"/>
            </w:tcBorders>
            <w:shd w:val="clear" w:color="auto" w:fill="auto"/>
            <w:noWrap/>
            <w:vAlign w:val="bottom"/>
            <w:hideMark/>
          </w:tcPr>
          <w:p w14:paraId="13C7F61E" w14:textId="77777777" w:rsidR="00D33F7C" w:rsidRPr="00AF27AC" w:rsidRDefault="00D33F7C" w:rsidP="00E213CE">
            <w:pPr>
              <w:rPr>
                <w:rFonts w:ascii="Garamond" w:eastAsia="Times New Roman" w:hAnsi="Garamond" w:cs="Calibri"/>
                <w:color w:val="000000"/>
                <w:sz w:val="20"/>
                <w:szCs w:val="20"/>
                <w:lang w:val="en-IN" w:eastAsia="en-IN" w:bidi="hi-IN"/>
              </w:rPr>
            </w:pPr>
          </w:p>
        </w:tc>
        <w:tc>
          <w:tcPr>
            <w:tcW w:w="744" w:type="dxa"/>
            <w:tcBorders>
              <w:top w:val="nil"/>
              <w:left w:val="single" w:sz="8" w:space="0" w:color="auto"/>
              <w:bottom w:val="nil"/>
              <w:right w:val="single" w:sz="8" w:space="0" w:color="auto"/>
            </w:tcBorders>
            <w:shd w:val="clear" w:color="auto" w:fill="auto"/>
            <w:noWrap/>
            <w:vAlign w:val="bottom"/>
            <w:hideMark/>
          </w:tcPr>
          <w:p w14:paraId="7939AAAC"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34557728"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4DC8F7F2"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31DCE485"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0237817C"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 </w:t>
            </w:r>
          </w:p>
        </w:tc>
      </w:tr>
      <w:tr w:rsidR="00D33F7C" w:rsidRPr="00AF27AC" w14:paraId="326847CA"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11B46F36"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Of which:</w:t>
            </w:r>
          </w:p>
        </w:tc>
        <w:tc>
          <w:tcPr>
            <w:tcW w:w="744" w:type="dxa"/>
            <w:tcBorders>
              <w:top w:val="nil"/>
              <w:left w:val="single" w:sz="8" w:space="0" w:color="auto"/>
              <w:bottom w:val="nil"/>
              <w:right w:val="nil"/>
            </w:tcBorders>
            <w:shd w:val="clear" w:color="auto" w:fill="auto"/>
            <w:noWrap/>
            <w:vAlign w:val="center"/>
            <w:hideMark/>
          </w:tcPr>
          <w:p w14:paraId="521B1733"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single" w:sz="8" w:space="0" w:color="auto"/>
              <w:bottom w:val="nil"/>
              <w:right w:val="single" w:sz="8" w:space="0" w:color="auto"/>
            </w:tcBorders>
            <w:shd w:val="clear" w:color="auto" w:fill="auto"/>
            <w:noWrap/>
            <w:vAlign w:val="bottom"/>
            <w:hideMark/>
          </w:tcPr>
          <w:p w14:paraId="7455DC49"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nil"/>
              <w:bottom w:val="nil"/>
              <w:right w:val="nil"/>
            </w:tcBorders>
            <w:shd w:val="clear" w:color="auto" w:fill="auto"/>
            <w:noWrap/>
            <w:vAlign w:val="bottom"/>
            <w:hideMark/>
          </w:tcPr>
          <w:p w14:paraId="1CF0D7C7" w14:textId="77777777" w:rsidR="00D33F7C" w:rsidRPr="00AF27AC" w:rsidRDefault="00D33F7C" w:rsidP="00E213CE">
            <w:pPr>
              <w:rPr>
                <w:rFonts w:ascii="Garamond" w:eastAsia="Times New Roman" w:hAnsi="Garamond" w:cs="Calibri"/>
                <w:b/>
                <w:bCs/>
                <w:color w:val="000000"/>
                <w:sz w:val="20"/>
                <w:szCs w:val="20"/>
                <w:lang w:val="en-IN" w:eastAsia="en-IN" w:bidi="hi-IN"/>
              </w:rPr>
            </w:pPr>
          </w:p>
        </w:tc>
        <w:tc>
          <w:tcPr>
            <w:tcW w:w="744" w:type="dxa"/>
            <w:tcBorders>
              <w:top w:val="nil"/>
              <w:left w:val="single" w:sz="8" w:space="0" w:color="auto"/>
              <w:bottom w:val="nil"/>
              <w:right w:val="single" w:sz="8" w:space="0" w:color="auto"/>
            </w:tcBorders>
            <w:shd w:val="clear" w:color="auto" w:fill="auto"/>
            <w:noWrap/>
            <w:vAlign w:val="bottom"/>
            <w:hideMark/>
          </w:tcPr>
          <w:p w14:paraId="5E92BF7D"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nil"/>
              <w:bottom w:val="nil"/>
              <w:right w:val="nil"/>
            </w:tcBorders>
            <w:shd w:val="clear" w:color="auto" w:fill="auto"/>
            <w:noWrap/>
            <w:vAlign w:val="bottom"/>
            <w:hideMark/>
          </w:tcPr>
          <w:p w14:paraId="3EC90237" w14:textId="77777777" w:rsidR="00D33F7C" w:rsidRPr="00AF27AC" w:rsidRDefault="00D33F7C" w:rsidP="00E213CE">
            <w:pPr>
              <w:rPr>
                <w:rFonts w:ascii="Garamond" w:eastAsia="Times New Roman" w:hAnsi="Garamond" w:cs="Calibri"/>
                <w:b/>
                <w:bCs/>
                <w:color w:val="000000"/>
                <w:sz w:val="20"/>
                <w:szCs w:val="20"/>
                <w:lang w:val="en-IN" w:eastAsia="en-IN" w:bidi="hi-IN"/>
              </w:rPr>
            </w:pPr>
          </w:p>
        </w:tc>
        <w:tc>
          <w:tcPr>
            <w:tcW w:w="744" w:type="dxa"/>
            <w:tcBorders>
              <w:top w:val="nil"/>
              <w:left w:val="single" w:sz="8" w:space="0" w:color="auto"/>
              <w:bottom w:val="nil"/>
              <w:right w:val="single" w:sz="8" w:space="0" w:color="auto"/>
            </w:tcBorders>
            <w:shd w:val="clear" w:color="auto" w:fill="auto"/>
            <w:noWrap/>
            <w:vAlign w:val="bottom"/>
            <w:hideMark/>
          </w:tcPr>
          <w:p w14:paraId="4066CFB9"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nil"/>
              <w:bottom w:val="nil"/>
              <w:right w:val="nil"/>
            </w:tcBorders>
            <w:shd w:val="clear" w:color="auto" w:fill="auto"/>
            <w:noWrap/>
            <w:vAlign w:val="bottom"/>
            <w:hideMark/>
          </w:tcPr>
          <w:p w14:paraId="433BBA95" w14:textId="77777777" w:rsidR="00D33F7C" w:rsidRPr="00AF27AC" w:rsidRDefault="00D33F7C" w:rsidP="00E213CE">
            <w:pPr>
              <w:rPr>
                <w:rFonts w:ascii="Garamond" w:eastAsia="Times New Roman" w:hAnsi="Garamond" w:cs="Calibri"/>
                <w:b/>
                <w:bCs/>
                <w:color w:val="000000"/>
                <w:sz w:val="20"/>
                <w:szCs w:val="20"/>
                <w:lang w:val="en-IN" w:eastAsia="en-IN" w:bidi="hi-IN"/>
              </w:rPr>
            </w:pPr>
          </w:p>
        </w:tc>
        <w:tc>
          <w:tcPr>
            <w:tcW w:w="744" w:type="dxa"/>
            <w:tcBorders>
              <w:top w:val="nil"/>
              <w:left w:val="single" w:sz="8" w:space="0" w:color="auto"/>
              <w:bottom w:val="nil"/>
              <w:right w:val="single" w:sz="8" w:space="0" w:color="auto"/>
            </w:tcBorders>
            <w:shd w:val="clear" w:color="auto" w:fill="auto"/>
            <w:noWrap/>
            <w:vAlign w:val="bottom"/>
            <w:hideMark/>
          </w:tcPr>
          <w:p w14:paraId="6571BFD1"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57D89F06"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2C598AD0"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022F1B0B"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c>
          <w:tcPr>
            <w:tcW w:w="744" w:type="dxa"/>
            <w:tcBorders>
              <w:top w:val="nil"/>
              <w:left w:val="nil"/>
              <w:bottom w:val="nil"/>
              <w:right w:val="single" w:sz="8" w:space="0" w:color="auto"/>
            </w:tcBorders>
            <w:shd w:val="clear" w:color="auto" w:fill="auto"/>
            <w:noWrap/>
            <w:vAlign w:val="bottom"/>
            <w:hideMark/>
          </w:tcPr>
          <w:p w14:paraId="642D216D" w14:textId="77777777" w:rsidR="00D33F7C" w:rsidRPr="00AF27AC" w:rsidRDefault="00D33F7C" w:rsidP="00E213CE">
            <w:pPr>
              <w:rPr>
                <w:rFonts w:ascii="Garamond" w:eastAsia="Times New Roman" w:hAnsi="Garamond" w:cs="Calibri"/>
                <w:b/>
                <w:bCs/>
                <w:color w:val="000000"/>
                <w:sz w:val="20"/>
                <w:szCs w:val="20"/>
                <w:lang w:val="en-IN" w:eastAsia="en-IN" w:bidi="hi-IN"/>
              </w:rPr>
            </w:pPr>
            <w:r w:rsidRPr="00AF27AC">
              <w:rPr>
                <w:rFonts w:ascii="Garamond" w:eastAsia="Times New Roman" w:hAnsi="Garamond" w:cs="Calibri"/>
                <w:b/>
                <w:bCs/>
                <w:color w:val="000000"/>
                <w:sz w:val="20"/>
                <w:szCs w:val="20"/>
                <w:lang w:val="en-IN" w:eastAsia="en-IN" w:bidi="hi-IN"/>
              </w:rPr>
              <w:t> </w:t>
            </w:r>
          </w:p>
        </w:tc>
      </w:tr>
      <w:tr w:rsidR="00D33F7C" w:rsidRPr="00AF27AC" w14:paraId="141642D0"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6596DE28"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For. Official</w:t>
            </w:r>
          </w:p>
        </w:tc>
        <w:tc>
          <w:tcPr>
            <w:tcW w:w="744" w:type="dxa"/>
            <w:tcBorders>
              <w:top w:val="nil"/>
              <w:left w:val="single" w:sz="8" w:space="0" w:color="auto"/>
              <w:bottom w:val="nil"/>
              <w:right w:val="nil"/>
            </w:tcBorders>
            <w:shd w:val="clear" w:color="auto" w:fill="auto"/>
            <w:noWrap/>
            <w:vAlign w:val="center"/>
            <w:hideMark/>
          </w:tcPr>
          <w:p w14:paraId="67D5933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4147.1</w:t>
            </w:r>
          </w:p>
        </w:tc>
        <w:tc>
          <w:tcPr>
            <w:tcW w:w="744" w:type="dxa"/>
            <w:tcBorders>
              <w:top w:val="nil"/>
              <w:left w:val="single" w:sz="8" w:space="0" w:color="auto"/>
              <w:bottom w:val="nil"/>
              <w:right w:val="single" w:sz="8" w:space="0" w:color="auto"/>
            </w:tcBorders>
            <w:shd w:val="clear" w:color="auto" w:fill="auto"/>
            <w:noWrap/>
            <w:vAlign w:val="bottom"/>
            <w:hideMark/>
          </w:tcPr>
          <w:p w14:paraId="077CF03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4191.2</w:t>
            </w:r>
          </w:p>
        </w:tc>
        <w:tc>
          <w:tcPr>
            <w:tcW w:w="744" w:type="dxa"/>
            <w:tcBorders>
              <w:top w:val="nil"/>
              <w:left w:val="nil"/>
              <w:bottom w:val="nil"/>
              <w:right w:val="nil"/>
            </w:tcBorders>
            <w:shd w:val="clear" w:color="auto" w:fill="auto"/>
            <w:noWrap/>
            <w:vAlign w:val="bottom"/>
            <w:hideMark/>
          </w:tcPr>
          <w:p w14:paraId="5F18E61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4199.3</w:t>
            </w:r>
          </w:p>
        </w:tc>
        <w:tc>
          <w:tcPr>
            <w:tcW w:w="744" w:type="dxa"/>
            <w:tcBorders>
              <w:top w:val="nil"/>
              <w:left w:val="single" w:sz="8" w:space="0" w:color="auto"/>
              <w:bottom w:val="nil"/>
              <w:right w:val="single" w:sz="8" w:space="0" w:color="auto"/>
            </w:tcBorders>
            <w:shd w:val="clear" w:color="auto" w:fill="auto"/>
            <w:noWrap/>
            <w:vAlign w:val="bottom"/>
            <w:hideMark/>
          </w:tcPr>
          <w:p w14:paraId="593F03D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4198.9</w:t>
            </w:r>
          </w:p>
        </w:tc>
        <w:tc>
          <w:tcPr>
            <w:tcW w:w="744" w:type="dxa"/>
            <w:tcBorders>
              <w:top w:val="nil"/>
              <w:left w:val="nil"/>
              <w:bottom w:val="nil"/>
              <w:right w:val="nil"/>
            </w:tcBorders>
            <w:shd w:val="clear" w:color="auto" w:fill="auto"/>
            <w:noWrap/>
            <w:vAlign w:val="bottom"/>
            <w:hideMark/>
          </w:tcPr>
          <w:p w14:paraId="618293D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4166.8</w:t>
            </w:r>
          </w:p>
        </w:tc>
        <w:tc>
          <w:tcPr>
            <w:tcW w:w="744" w:type="dxa"/>
            <w:tcBorders>
              <w:top w:val="nil"/>
              <w:left w:val="single" w:sz="8" w:space="0" w:color="auto"/>
              <w:bottom w:val="nil"/>
              <w:right w:val="single" w:sz="8" w:space="0" w:color="auto"/>
            </w:tcBorders>
            <w:shd w:val="clear" w:color="auto" w:fill="auto"/>
            <w:noWrap/>
            <w:vAlign w:val="bottom"/>
            <w:hideMark/>
          </w:tcPr>
          <w:p w14:paraId="696E5EF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4176.2</w:t>
            </w:r>
          </w:p>
        </w:tc>
        <w:tc>
          <w:tcPr>
            <w:tcW w:w="744" w:type="dxa"/>
            <w:tcBorders>
              <w:top w:val="nil"/>
              <w:left w:val="nil"/>
              <w:bottom w:val="nil"/>
              <w:right w:val="nil"/>
            </w:tcBorders>
            <w:shd w:val="clear" w:color="auto" w:fill="auto"/>
            <w:noWrap/>
            <w:vAlign w:val="bottom"/>
            <w:hideMark/>
          </w:tcPr>
          <w:p w14:paraId="4A3D3A7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4186.5</w:t>
            </w:r>
          </w:p>
        </w:tc>
        <w:tc>
          <w:tcPr>
            <w:tcW w:w="744" w:type="dxa"/>
            <w:tcBorders>
              <w:top w:val="nil"/>
              <w:left w:val="single" w:sz="8" w:space="0" w:color="auto"/>
              <w:bottom w:val="nil"/>
              <w:right w:val="single" w:sz="8" w:space="0" w:color="auto"/>
            </w:tcBorders>
            <w:shd w:val="clear" w:color="auto" w:fill="auto"/>
            <w:noWrap/>
            <w:vAlign w:val="bottom"/>
            <w:hideMark/>
          </w:tcPr>
          <w:p w14:paraId="29F8A4D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4224.6</w:t>
            </w:r>
          </w:p>
        </w:tc>
        <w:tc>
          <w:tcPr>
            <w:tcW w:w="744" w:type="dxa"/>
            <w:tcBorders>
              <w:top w:val="nil"/>
              <w:left w:val="nil"/>
              <w:bottom w:val="nil"/>
              <w:right w:val="single" w:sz="8" w:space="0" w:color="auto"/>
            </w:tcBorders>
            <w:shd w:val="clear" w:color="auto" w:fill="auto"/>
            <w:noWrap/>
            <w:vAlign w:val="bottom"/>
            <w:hideMark/>
          </w:tcPr>
          <w:p w14:paraId="42D7F1F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4235.4</w:t>
            </w:r>
          </w:p>
        </w:tc>
        <w:tc>
          <w:tcPr>
            <w:tcW w:w="744" w:type="dxa"/>
            <w:tcBorders>
              <w:top w:val="nil"/>
              <w:left w:val="nil"/>
              <w:bottom w:val="nil"/>
              <w:right w:val="single" w:sz="8" w:space="0" w:color="auto"/>
            </w:tcBorders>
            <w:shd w:val="clear" w:color="auto" w:fill="auto"/>
            <w:noWrap/>
            <w:vAlign w:val="bottom"/>
            <w:hideMark/>
          </w:tcPr>
          <w:p w14:paraId="716A7D3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4202.2</w:t>
            </w:r>
          </w:p>
        </w:tc>
        <w:tc>
          <w:tcPr>
            <w:tcW w:w="744" w:type="dxa"/>
            <w:tcBorders>
              <w:top w:val="nil"/>
              <w:left w:val="nil"/>
              <w:bottom w:val="nil"/>
              <w:right w:val="single" w:sz="8" w:space="0" w:color="auto"/>
            </w:tcBorders>
            <w:shd w:val="clear" w:color="auto" w:fill="auto"/>
            <w:noWrap/>
            <w:vAlign w:val="bottom"/>
            <w:hideMark/>
          </w:tcPr>
          <w:p w14:paraId="1D52F48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4201.6</w:t>
            </w:r>
          </w:p>
        </w:tc>
        <w:tc>
          <w:tcPr>
            <w:tcW w:w="744" w:type="dxa"/>
            <w:tcBorders>
              <w:top w:val="nil"/>
              <w:left w:val="nil"/>
              <w:bottom w:val="nil"/>
              <w:right w:val="single" w:sz="8" w:space="0" w:color="auto"/>
            </w:tcBorders>
            <w:shd w:val="clear" w:color="auto" w:fill="auto"/>
            <w:noWrap/>
            <w:vAlign w:val="bottom"/>
            <w:hideMark/>
          </w:tcPr>
          <w:p w14:paraId="127B025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4226.1</w:t>
            </w:r>
          </w:p>
        </w:tc>
      </w:tr>
      <w:tr w:rsidR="00D33F7C" w:rsidRPr="00AF27AC" w14:paraId="76F9F6F2" w14:textId="77777777" w:rsidTr="00E213CE">
        <w:trPr>
          <w:trHeight w:val="272"/>
        </w:trPr>
        <w:tc>
          <w:tcPr>
            <w:tcW w:w="1551" w:type="dxa"/>
            <w:tcBorders>
              <w:top w:val="nil"/>
              <w:left w:val="single" w:sz="8" w:space="0" w:color="auto"/>
              <w:bottom w:val="nil"/>
              <w:right w:val="nil"/>
            </w:tcBorders>
            <w:shd w:val="clear" w:color="auto" w:fill="auto"/>
            <w:noWrap/>
            <w:vAlign w:val="center"/>
            <w:hideMark/>
          </w:tcPr>
          <w:p w14:paraId="350DF2AA"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Treasury Bills</w:t>
            </w:r>
          </w:p>
        </w:tc>
        <w:tc>
          <w:tcPr>
            <w:tcW w:w="744" w:type="dxa"/>
            <w:tcBorders>
              <w:top w:val="nil"/>
              <w:left w:val="single" w:sz="8" w:space="0" w:color="auto"/>
              <w:bottom w:val="nil"/>
              <w:right w:val="nil"/>
            </w:tcBorders>
            <w:shd w:val="clear" w:color="auto" w:fill="auto"/>
            <w:noWrap/>
            <w:vAlign w:val="center"/>
            <w:hideMark/>
          </w:tcPr>
          <w:p w14:paraId="73233A1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382.3</w:t>
            </w:r>
          </w:p>
        </w:tc>
        <w:tc>
          <w:tcPr>
            <w:tcW w:w="744" w:type="dxa"/>
            <w:tcBorders>
              <w:top w:val="nil"/>
              <w:left w:val="single" w:sz="8" w:space="0" w:color="auto"/>
              <w:bottom w:val="nil"/>
              <w:right w:val="single" w:sz="8" w:space="0" w:color="auto"/>
            </w:tcBorders>
            <w:shd w:val="clear" w:color="auto" w:fill="auto"/>
            <w:noWrap/>
            <w:vAlign w:val="bottom"/>
            <w:hideMark/>
          </w:tcPr>
          <w:p w14:paraId="2977CE5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393.6</w:t>
            </w:r>
          </w:p>
        </w:tc>
        <w:tc>
          <w:tcPr>
            <w:tcW w:w="744" w:type="dxa"/>
            <w:tcBorders>
              <w:top w:val="nil"/>
              <w:left w:val="nil"/>
              <w:bottom w:val="nil"/>
              <w:right w:val="nil"/>
            </w:tcBorders>
            <w:shd w:val="clear" w:color="auto" w:fill="auto"/>
            <w:noWrap/>
            <w:vAlign w:val="bottom"/>
            <w:hideMark/>
          </w:tcPr>
          <w:p w14:paraId="74336E37"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385</w:t>
            </w:r>
          </w:p>
        </w:tc>
        <w:tc>
          <w:tcPr>
            <w:tcW w:w="744" w:type="dxa"/>
            <w:tcBorders>
              <w:top w:val="nil"/>
              <w:left w:val="single" w:sz="8" w:space="0" w:color="auto"/>
              <w:bottom w:val="nil"/>
              <w:right w:val="single" w:sz="8" w:space="0" w:color="auto"/>
            </w:tcBorders>
            <w:shd w:val="clear" w:color="auto" w:fill="auto"/>
            <w:noWrap/>
            <w:vAlign w:val="bottom"/>
            <w:hideMark/>
          </w:tcPr>
          <w:p w14:paraId="74181DE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371.5</w:t>
            </w:r>
          </w:p>
        </w:tc>
        <w:tc>
          <w:tcPr>
            <w:tcW w:w="744" w:type="dxa"/>
            <w:tcBorders>
              <w:top w:val="nil"/>
              <w:left w:val="nil"/>
              <w:bottom w:val="nil"/>
              <w:right w:val="nil"/>
            </w:tcBorders>
            <w:shd w:val="clear" w:color="auto" w:fill="auto"/>
            <w:noWrap/>
            <w:vAlign w:val="bottom"/>
            <w:hideMark/>
          </w:tcPr>
          <w:p w14:paraId="5C41074E"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375.4</w:t>
            </w:r>
          </w:p>
        </w:tc>
        <w:tc>
          <w:tcPr>
            <w:tcW w:w="744" w:type="dxa"/>
            <w:tcBorders>
              <w:top w:val="nil"/>
              <w:left w:val="single" w:sz="8" w:space="0" w:color="auto"/>
              <w:bottom w:val="nil"/>
              <w:right w:val="single" w:sz="8" w:space="0" w:color="auto"/>
            </w:tcBorders>
            <w:shd w:val="clear" w:color="auto" w:fill="auto"/>
            <w:noWrap/>
            <w:vAlign w:val="bottom"/>
            <w:hideMark/>
          </w:tcPr>
          <w:p w14:paraId="45C21F1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370.8</w:t>
            </w:r>
          </w:p>
        </w:tc>
        <w:tc>
          <w:tcPr>
            <w:tcW w:w="744" w:type="dxa"/>
            <w:tcBorders>
              <w:top w:val="nil"/>
              <w:left w:val="nil"/>
              <w:bottom w:val="nil"/>
              <w:right w:val="nil"/>
            </w:tcBorders>
            <w:shd w:val="clear" w:color="auto" w:fill="auto"/>
            <w:noWrap/>
            <w:vAlign w:val="bottom"/>
            <w:hideMark/>
          </w:tcPr>
          <w:p w14:paraId="432E9FF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361</w:t>
            </w:r>
          </w:p>
        </w:tc>
        <w:tc>
          <w:tcPr>
            <w:tcW w:w="744" w:type="dxa"/>
            <w:tcBorders>
              <w:top w:val="nil"/>
              <w:left w:val="single" w:sz="8" w:space="0" w:color="auto"/>
              <w:bottom w:val="nil"/>
              <w:right w:val="single" w:sz="8" w:space="0" w:color="auto"/>
            </w:tcBorders>
            <w:shd w:val="clear" w:color="auto" w:fill="auto"/>
            <w:noWrap/>
            <w:vAlign w:val="bottom"/>
            <w:hideMark/>
          </w:tcPr>
          <w:p w14:paraId="6EBAFFC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378.1</w:t>
            </w:r>
          </w:p>
        </w:tc>
        <w:tc>
          <w:tcPr>
            <w:tcW w:w="744" w:type="dxa"/>
            <w:tcBorders>
              <w:top w:val="nil"/>
              <w:left w:val="nil"/>
              <w:bottom w:val="nil"/>
              <w:right w:val="single" w:sz="8" w:space="0" w:color="auto"/>
            </w:tcBorders>
            <w:shd w:val="clear" w:color="auto" w:fill="auto"/>
            <w:noWrap/>
            <w:vAlign w:val="bottom"/>
            <w:hideMark/>
          </w:tcPr>
          <w:p w14:paraId="16F3283F"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406.2</w:t>
            </w:r>
          </w:p>
        </w:tc>
        <w:tc>
          <w:tcPr>
            <w:tcW w:w="744" w:type="dxa"/>
            <w:tcBorders>
              <w:top w:val="nil"/>
              <w:left w:val="nil"/>
              <w:bottom w:val="nil"/>
              <w:right w:val="single" w:sz="8" w:space="0" w:color="auto"/>
            </w:tcBorders>
            <w:shd w:val="clear" w:color="auto" w:fill="auto"/>
            <w:noWrap/>
            <w:vAlign w:val="bottom"/>
            <w:hideMark/>
          </w:tcPr>
          <w:p w14:paraId="095BC026"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360.6</w:t>
            </w:r>
          </w:p>
        </w:tc>
        <w:tc>
          <w:tcPr>
            <w:tcW w:w="744" w:type="dxa"/>
            <w:tcBorders>
              <w:top w:val="nil"/>
              <w:left w:val="nil"/>
              <w:bottom w:val="nil"/>
              <w:right w:val="single" w:sz="8" w:space="0" w:color="auto"/>
            </w:tcBorders>
            <w:shd w:val="clear" w:color="auto" w:fill="auto"/>
            <w:noWrap/>
            <w:vAlign w:val="bottom"/>
            <w:hideMark/>
          </w:tcPr>
          <w:p w14:paraId="1FE71B51"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320.2</w:t>
            </w:r>
          </w:p>
        </w:tc>
        <w:tc>
          <w:tcPr>
            <w:tcW w:w="744" w:type="dxa"/>
            <w:tcBorders>
              <w:top w:val="nil"/>
              <w:left w:val="nil"/>
              <w:bottom w:val="nil"/>
              <w:right w:val="single" w:sz="8" w:space="0" w:color="auto"/>
            </w:tcBorders>
            <w:shd w:val="clear" w:color="auto" w:fill="auto"/>
            <w:noWrap/>
            <w:vAlign w:val="bottom"/>
            <w:hideMark/>
          </w:tcPr>
          <w:p w14:paraId="000FBE08"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296.1</w:t>
            </w:r>
          </w:p>
        </w:tc>
      </w:tr>
      <w:tr w:rsidR="00D33F7C" w:rsidRPr="00AF27AC" w14:paraId="141010A0" w14:textId="77777777" w:rsidTr="00E213CE">
        <w:trPr>
          <w:trHeight w:val="285"/>
        </w:trPr>
        <w:tc>
          <w:tcPr>
            <w:tcW w:w="1551" w:type="dxa"/>
            <w:tcBorders>
              <w:top w:val="nil"/>
              <w:left w:val="single" w:sz="8" w:space="0" w:color="auto"/>
              <w:bottom w:val="single" w:sz="8" w:space="0" w:color="auto"/>
              <w:right w:val="nil"/>
            </w:tcBorders>
            <w:shd w:val="clear" w:color="auto" w:fill="auto"/>
            <w:noWrap/>
            <w:vAlign w:val="center"/>
            <w:hideMark/>
          </w:tcPr>
          <w:p w14:paraId="6E838B0A" w14:textId="77777777" w:rsidR="00D33F7C" w:rsidRPr="00AF27AC" w:rsidRDefault="00D33F7C" w:rsidP="00E213CE">
            <w:pPr>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T-Bonds &amp; Notes</w:t>
            </w:r>
          </w:p>
        </w:tc>
        <w:tc>
          <w:tcPr>
            <w:tcW w:w="744" w:type="dxa"/>
            <w:tcBorders>
              <w:top w:val="nil"/>
              <w:left w:val="single" w:sz="8" w:space="0" w:color="auto"/>
              <w:bottom w:val="single" w:sz="8" w:space="0" w:color="auto"/>
              <w:right w:val="nil"/>
            </w:tcBorders>
            <w:shd w:val="clear" w:color="auto" w:fill="auto"/>
            <w:noWrap/>
            <w:vAlign w:val="center"/>
            <w:hideMark/>
          </w:tcPr>
          <w:p w14:paraId="4779E01D"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3764.8</w:t>
            </w:r>
          </w:p>
        </w:tc>
        <w:tc>
          <w:tcPr>
            <w:tcW w:w="744" w:type="dxa"/>
            <w:tcBorders>
              <w:top w:val="nil"/>
              <w:left w:val="single" w:sz="8" w:space="0" w:color="auto"/>
              <w:bottom w:val="single" w:sz="8" w:space="0" w:color="auto"/>
              <w:right w:val="single" w:sz="8" w:space="0" w:color="auto"/>
            </w:tcBorders>
            <w:shd w:val="clear" w:color="auto" w:fill="auto"/>
            <w:noWrap/>
            <w:vAlign w:val="bottom"/>
            <w:hideMark/>
          </w:tcPr>
          <w:p w14:paraId="29979E8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3797.6</w:t>
            </w:r>
          </w:p>
        </w:tc>
        <w:tc>
          <w:tcPr>
            <w:tcW w:w="744" w:type="dxa"/>
            <w:tcBorders>
              <w:top w:val="nil"/>
              <w:left w:val="nil"/>
              <w:bottom w:val="single" w:sz="8" w:space="0" w:color="auto"/>
              <w:right w:val="nil"/>
            </w:tcBorders>
            <w:shd w:val="clear" w:color="auto" w:fill="auto"/>
            <w:noWrap/>
            <w:vAlign w:val="bottom"/>
            <w:hideMark/>
          </w:tcPr>
          <w:p w14:paraId="38A8E99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3814.3</w:t>
            </w:r>
          </w:p>
        </w:tc>
        <w:tc>
          <w:tcPr>
            <w:tcW w:w="744" w:type="dxa"/>
            <w:tcBorders>
              <w:top w:val="nil"/>
              <w:left w:val="single" w:sz="8" w:space="0" w:color="auto"/>
              <w:bottom w:val="single" w:sz="8" w:space="0" w:color="auto"/>
              <w:right w:val="single" w:sz="8" w:space="0" w:color="auto"/>
            </w:tcBorders>
            <w:shd w:val="clear" w:color="auto" w:fill="auto"/>
            <w:noWrap/>
            <w:vAlign w:val="bottom"/>
            <w:hideMark/>
          </w:tcPr>
          <w:p w14:paraId="43165C8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3827.4</w:t>
            </w:r>
          </w:p>
        </w:tc>
        <w:tc>
          <w:tcPr>
            <w:tcW w:w="744" w:type="dxa"/>
            <w:tcBorders>
              <w:top w:val="nil"/>
              <w:left w:val="nil"/>
              <w:bottom w:val="single" w:sz="8" w:space="0" w:color="auto"/>
              <w:right w:val="nil"/>
            </w:tcBorders>
            <w:shd w:val="clear" w:color="auto" w:fill="auto"/>
            <w:noWrap/>
            <w:vAlign w:val="bottom"/>
            <w:hideMark/>
          </w:tcPr>
          <w:p w14:paraId="4BE8D853"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3791.3</w:t>
            </w:r>
          </w:p>
        </w:tc>
        <w:tc>
          <w:tcPr>
            <w:tcW w:w="744" w:type="dxa"/>
            <w:tcBorders>
              <w:top w:val="nil"/>
              <w:left w:val="single" w:sz="8" w:space="0" w:color="auto"/>
              <w:bottom w:val="single" w:sz="8" w:space="0" w:color="auto"/>
              <w:right w:val="single" w:sz="8" w:space="0" w:color="auto"/>
            </w:tcBorders>
            <w:shd w:val="clear" w:color="auto" w:fill="auto"/>
            <w:noWrap/>
            <w:vAlign w:val="bottom"/>
            <w:hideMark/>
          </w:tcPr>
          <w:p w14:paraId="3EBFB8DA"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3805.4</w:t>
            </w:r>
          </w:p>
        </w:tc>
        <w:tc>
          <w:tcPr>
            <w:tcW w:w="744" w:type="dxa"/>
            <w:tcBorders>
              <w:top w:val="nil"/>
              <w:left w:val="nil"/>
              <w:bottom w:val="single" w:sz="8" w:space="0" w:color="auto"/>
              <w:right w:val="nil"/>
            </w:tcBorders>
            <w:shd w:val="clear" w:color="auto" w:fill="auto"/>
            <w:noWrap/>
            <w:vAlign w:val="bottom"/>
            <w:hideMark/>
          </w:tcPr>
          <w:p w14:paraId="5C234EB9"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3825.6</w:t>
            </w:r>
          </w:p>
        </w:tc>
        <w:tc>
          <w:tcPr>
            <w:tcW w:w="744" w:type="dxa"/>
            <w:tcBorders>
              <w:top w:val="nil"/>
              <w:left w:val="single" w:sz="8" w:space="0" w:color="auto"/>
              <w:bottom w:val="single" w:sz="8" w:space="0" w:color="auto"/>
              <w:right w:val="single" w:sz="8" w:space="0" w:color="auto"/>
            </w:tcBorders>
            <w:shd w:val="clear" w:color="auto" w:fill="auto"/>
            <w:noWrap/>
            <w:vAlign w:val="bottom"/>
            <w:hideMark/>
          </w:tcPr>
          <w:p w14:paraId="518FECA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3846.6</w:t>
            </w:r>
          </w:p>
        </w:tc>
        <w:tc>
          <w:tcPr>
            <w:tcW w:w="744" w:type="dxa"/>
            <w:tcBorders>
              <w:top w:val="nil"/>
              <w:left w:val="nil"/>
              <w:bottom w:val="single" w:sz="8" w:space="0" w:color="auto"/>
              <w:right w:val="single" w:sz="8" w:space="0" w:color="auto"/>
            </w:tcBorders>
            <w:shd w:val="clear" w:color="auto" w:fill="auto"/>
            <w:noWrap/>
            <w:vAlign w:val="bottom"/>
            <w:hideMark/>
          </w:tcPr>
          <w:p w14:paraId="19763CD4"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3829.2</w:t>
            </w:r>
          </w:p>
        </w:tc>
        <w:tc>
          <w:tcPr>
            <w:tcW w:w="744" w:type="dxa"/>
            <w:tcBorders>
              <w:top w:val="nil"/>
              <w:left w:val="nil"/>
              <w:bottom w:val="single" w:sz="8" w:space="0" w:color="auto"/>
              <w:right w:val="single" w:sz="8" w:space="0" w:color="auto"/>
            </w:tcBorders>
            <w:shd w:val="clear" w:color="auto" w:fill="auto"/>
            <w:noWrap/>
            <w:vAlign w:val="bottom"/>
            <w:hideMark/>
          </w:tcPr>
          <w:p w14:paraId="68083E0C"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3841.6</w:t>
            </w:r>
          </w:p>
        </w:tc>
        <w:tc>
          <w:tcPr>
            <w:tcW w:w="744" w:type="dxa"/>
            <w:tcBorders>
              <w:top w:val="nil"/>
              <w:left w:val="nil"/>
              <w:bottom w:val="single" w:sz="8" w:space="0" w:color="auto"/>
              <w:right w:val="single" w:sz="8" w:space="0" w:color="auto"/>
            </w:tcBorders>
            <w:shd w:val="clear" w:color="auto" w:fill="auto"/>
            <w:noWrap/>
            <w:vAlign w:val="bottom"/>
            <w:hideMark/>
          </w:tcPr>
          <w:p w14:paraId="1F413292"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3881.4</w:t>
            </w:r>
          </w:p>
        </w:tc>
        <w:tc>
          <w:tcPr>
            <w:tcW w:w="744" w:type="dxa"/>
            <w:tcBorders>
              <w:top w:val="nil"/>
              <w:left w:val="nil"/>
              <w:bottom w:val="single" w:sz="8" w:space="0" w:color="auto"/>
              <w:right w:val="single" w:sz="8" w:space="0" w:color="auto"/>
            </w:tcBorders>
            <w:shd w:val="clear" w:color="auto" w:fill="auto"/>
            <w:noWrap/>
            <w:vAlign w:val="bottom"/>
            <w:hideMark/>
          </w:tcPr>
          <w:p w14:paraId="233DC735" w14:textId="77777777" w:rsidR="00D33F7C" w:rsidRPr="00AF27AC" w:rsidRDefault="00D33F7C" w:rsidP="00E213CE">
            <w:pPr>
              <w:jc w:val="right"/>
              <w:rPr>
                <w:rFonts w:ascii="Garamond" w:eastAsia="Times New Roman" w:hAnsi="Garamond" w:cs="Calibri"/>
                <w:color w:val="000000"/>
                <w:sz w:val="20"/>
                <w:szCs w:val="20"/>
                <w:lang w:val="en-IN" w:eastAsia="en-IN" w:bidi="hi-IN"/>
              </w:rPr>
            </w:pPr>
            <w:r w:rsidRPr="00AF27AC">
              <w:rPr>
                <w:rFonts w:ascii="Garamond" w:eastAsia="Times New Roman" w:hAnsi="Garamond" w:cs="Calibri"/>
                <w:color w:val="000000"/>
                <w:sz w:val="20"/>
                <w:szCs w:val="20"/>
                <w:lang w:val="en-IN" w:eastAsia="en-IN" w:bidi="hi-IN"/>
              </w:rPr>
              <w:t>3930</w:t>
            </w:r>
          </w:p>
        </w:tc>
      </w:tr>
      <w:tr w:rsidR="00D33F7C" w:rsidRPr="00AF27AC" w14:paraId="0E93C01C" w14:textId="77777777" w:rsidTr="00E213CE">
        <w:trPr>
          <w:trHeight w:val="217"/>
        </w:trPr>
        <w:tc>
          <w:tcPr>
            <w:tcW w:w="1551" w:type="dxa"/>
            <w:tcBorders>
              <w:top w:val="nil"/>
              <w:left w:val="nil"/>
              <w:bottom w:val="nil"/>
              <w:right w:val="nil"/>
            </w:tcBorders>
            <w:shd w:val="clear" w:color="auto" w:fill="auto"/>
            <w:noWrap/>
            <w:vAlign w:val="bottom"/>
            <w:hideMark/>
          </w:tcPr>
          <w:p w14:paraId="475A91D5" w14:textId="77777777" w:rsidR="00D33F7C" w:rsidRPr="00AF27AC" w:rsidRDefault="00D33F7C" w:rsidP="00E213CE">
            <w:pPr>
              <w:jc w:val="right"/>
              <w:rPr>
                <w:rFonts w:ascii="Garamond" w:eastAsia="Times New Roman" w:hAnsi="Garamond" w:cs="Calibri"/>
                <w:color w:val="000000"/>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78996BB2"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30C58B45"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257C966F"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37A3D4ED"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232C4F35"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75E76630"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494839A5"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72D852AB"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6FE86141"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40E7F39F"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1D7A0217" w14:textId="77777777" w:rsidR="00D33F7C" w:rsidRPr="00AF27AC" w:rsidRDefault="00D33F7C" w:rsidP="00E213CE">
            <w:pPr>
              <w:rPr>
                <w:rFonts w:ascii="Times New Roman" w:eastAsia="Times New Roman" w:hAnsi="Times New Roman"/>
                <w:sz w:val="20"/>
                <w:szCs w:val="20"/>
                <w:lang w:val="en-IN" w:eastAsia="en-IN" w:bidi="hi-IN"/>
              </w:rPr>
            </w:pPr>
          </w:p>
        </w:tc>
        <w:tc>
          <w:tcPr>
            <w:tcW w:w="744" w:type="dxa"/>
            <w:tcBorders>
              <w:top w:val="nil"/>
              <w:left w:val="nil"/>
              <w:bottom w:val="nil"/>
              <w:right w:val="nil"/>
            </w:tcBorders>
            <w:shd w:val="clear" w:color="auto" w:fill="auto"/>
            <w:noWrap/>
            <w:vAlign w:val="bottom"/>
            <w:hideMark/>
          </w:tcPr>
          <w:p w14:paraId="6CAEF256" w14:textId="77777777" w:rsidR="00D33F7C" w:rsidRPr="00AF27AC" w:rsidRDefault="00D33F7C" w:rsidP="00E213CE">
            <w:pPr>
              <w:rPr>
                <w:rFonts w:ascii="Times New Roman" w:eastAsia="Times New Roman" w:hAnsi="Times New Roman"/>
                <w:sz w:val="20"/>
                <w:szCs w:val="20"/>
                <w:lang w:val="en-IN" w:eastAsia="en-IN" w:bidi="hi-IN"/>
              </w:rPr>
            </w:pPr>
          </w:p>
        </w:tc>
      </w:tr>
    </w:tbl>
    <w:p w14:paraId="553DB72E" w14:textId="77777777" w:rsidR="00D33F7C" w:rsidRPr="001D2656" w:rsidRDefault="00D33F7C" w:rsidP="00D33F7C">
      <w:pPr>
        <w:spacing w:line="23" w:lineRule="atLeast"/>
        <w:rPr>
          <w:rFonts w:ascii="Garamond" w:hAnsi="Garamond"/>
          <w:bCs/>
          <w:sz w:val="18"/>
          <w:szCs w:val="18"/>
        </w:rPr>
      </w:pPr>
      <w:r w:rsidRPr="001D2656">
        <w:rPr>
          <w:rFonts w:ascii="Garamond" w:hAnsi="Garamond"/>
          <w:bCs/>
          <w:sz w:val="18"/>
          <w:szCs w:val="18"/>
        </w:rPr>
        <w:t xml:space="preserve"> Note: </w:t>
      </w:r>
    </w:p>
    <w:p w14:paraId="3BA944B7" w14:textId="77777777" w:rsidR="00D33F7C" w:rsidRPr="001D2656" w:rsidRDefault="00D33F7C" w:rsidP="00D33F7C">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 xml:space="preserve">Data available as on </w:t>
      </w:r>
      <w:r>
        <w:rPr>
          <w:rFonts w:ascii="Garamond" w:hAnsi="Garamond"/>
          <w:bCs/>
          <w:sz w:val="18"/>
          <w:szCs w:val="18"/>
          <w:lang w:val="en-US"/>
        </w:rPr>
        <w:t>10 August</w:t>
      </w:r>
      <w:r w:rsidRPr="001D2656">
        <w:rPr>
          <w:rFonts w:ascii="Garamond" w:hAnsi="Garamond"/>
          <w:bCs/>
          <w:sz w:val="18"/>
          <w:szCs w:val="18"/>
          <w:lang w:val="en-US"/>
        </w:rPr>
        <w:t xml:space="preserve"> 2021</w:t>
      </w:r>
    </w:p>
    <w:p w14:paraId="67BDF49F" w14:textId="77777777" w:rsidR="00D33F7C" w:rsidRPr="001D2656" w:rsidRDefault="00D33F7C" w:rsidP="00D33F7C">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14:paraId="7D5E7749" w14:textId="77777777" w:rsidR="00D33F7C" w:rsidRPr="001D2656" w:rsidRDefault="00D33F7C" w:rsidP="00D33F7C">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 xml:space="preserve">Estimated foreign holdings of U.S. Treasury marketable and non-marketable bills, bonds, and notes reported under the Treasury  International Capital (TIC) reporting system are based on monthly data on holdings of Treasury bonds and notes  as reported on TIC </w:t>
      </w:r>
      <w:r w:rsidRPr="001D2656">
        <w:rPr>
          <w:rFonts w:ascii="Garamond" w:hAnsi="Garamond"/>
          <w:bCs/>
          <w:sz w:val="18"/>
          <w:szCs w:val="18"/>
          <w:lang w:val="en-US"/>
        </w:rPr>
        <w:lastRenderedPageBreak/>
        <w:t>Form SLT, Aggregate Holdings of Long-Term Securities by U.S. and Foreign Residents  and on TIC Form BL2, Report of Customers' U.S. Dollar Liabilities to Foreign Residents.</w:t>
      </w:r>
    </w:p>
    <w:p w14:paraId="2C133191" w14:textId="77777777" w:rsidR="00D33F7C" w:rsidRDefault="00D33F7C" w:rsidP="00D33F7C">
      <w:pPr>
        <w:spacing w:line="23" w:lineRule="atLeast"/>
        <w:rPr>
          <w:rFonts w:ascii="Garamond" w:hAnsi="Garamond"/>
          <w:bCs/>
          <w:sz w:val="18"/>
          <w:szCs w:val="18"/>
        </w:rPr>
      </w:pPr>
      <w:r w:rsidRPr="001D2656">
        <w:rPr>
          <w:rFonts w:ascii="Garamond" w:hAnsi="Garamond"/>
          <w:bCs/>
          <w:sz w:val="18"/>
          <w:szCs w:val="18"/>
        </w:rPr>
        <w:t>Source: Department of the Treasury/Federal Reserve Board</w:t>
      </w:r>
    </w:p>
    <w:p w14:paraId="77615FDD" w14:textId="77777777" w:rsidR="00D33F7C" w:rsidRPr="001D2656" w:rsidRDefault="00D33F7C" w:rsidP="00D33F7C">
      <w:pPr>
        <w:spacing w:line="23" w:lineRule="atLeast"/>
        <w:rPr>
          <w:rFonts w:ascii="Times New Roman" w:hAnsi="Times New Roman"/>
          <w:bCs/>
          <w:sz w:val="18"/>
          <w:szCs w:val="18"/>
        </w:rPr>
      </w:pPr>
    </w:p>
    <w:p w14:paraId="41E429A4" w14:textId="77777777" w:rsidR="007C2E4F" w:rsidRDefault="007C2E4F" w:rsidP="000E125F">
      <w:pPr>
        <w:jc w:val="center"/>
        <w:rPr>
          <w:rFonts w:ascii="Palatino Linotype" w:hAnsi="Palatino Linotype" w:cs="Calibri"/>
          <w:b/>
          <w:sz w:val="28"/>
          <w:szCs w:val="28"/>
        </w:rPr>
      </w:pPr>
    </w:p>
    <w:p w14:paraId="691E4C32" w14:textId="77777777" w:rsidR="007C2E4F" w:rsidRDefault="007C2E4F" w:rsidP="000E125F">
      <w:pPr>
        <w:jc w:val="center"/>
        <w:rPr>
          <w:rFonts w:ascii="Palatino Linotype" w:hAnsi="Palatino Linotype" w:cs="Calibri"/>
          <w:b/>
          <w:sz w:val="28"/>
          <w:szCs w:val="28"/>
        </w:rPr>
      </w:pPr>
    </w:p>
    <w:p w14:paraId="4A5E0F47" w14:textId="77777777" w:rsidR="007C2E4F" w:rsidRDefault="007C2E4F" w:rsidP="000E125F">
      <w:pPr>
        <w:jc w:val="center"/>
        <w:rPr>
          <w:rFonts w:ascii="Palatino Linotype" w:hAnsi="Palatino Linotype" w:cs="Calibri"/>
          <w:b/>
          <w:sz w:val="28"/>
          <w:szCs w:val="28"/>
        </w:rPr>
      </w:pPr>
    </w:p>
    <w:p w14:paraId="157CECF7" w14:textId="77777777" w:rsidR="007C2E4F" w:rsidRDefault="007C2E4F" w:rsidP="000E125F">
      <w:pPr>
        <w:jc w:val="center"/>
        <w:rPr>
          <w:rFonts w:ascii="Palatino Linotype" w:hAnsi="Palatino Linotype" w:cs="Calibri"/>
          <w:b/>
          <w:sz w:val="28"/>
          <w:szCs w:val="28"/>
        </w:rPr>
      </w:pPr>
    </w:p>
    <w:p w14:paraId="749B6EDC" w14:textId="77777777" w:rsidR="007C2E4F" w:rsidRDefault="007C2E4F" w:rsidP="000E125F">
      <w:pPr>
        <w:jc w:val="center"/>
        <w:rPr>
          <w:rFonts w:ascii="Palatino Linotype" w:hAnsi="Palatino Linotype" w:cs="Calibri"/>
          <w:b/>
          <w:sz w:val="28"/>
          <w:szCs w:val="28"/>
        </w:rPr>
      </w:pPr>
    </w:p>
    <w:p w14:paraId="09F8D16E" w14:textId="77777777" w:rsidR="007C2E4F" w:rsidRDefault="007C2E4F" w:rsidP="000E125F">
      <w:pPr>
        <w:jc w:val="center"/>
        <w:rPr>
          <w:rFonts w:ascii="Palatino Linotype" w:hAnsi="Palatino Linotype" w:cs="Calibri"/>
          <w:b/>
          <w:sz w:val="28"/>
          <w:szCs w:val="28"/>
        </w:rPr>
      </w:pPr>
    </w:p>
    <w:p w14:paraId="6DB50179" w14:textId="77777777" w:rsidR="007C2E4F" w:rsidRDefault="007C2E4F" w:rsidP="000E125F">
      <w:pPr>
        <w:jc w:val="center"/>
        <w:rPr>
          <w:rFonts w:ascii="Palatino Linotype" w:hAnsi="Palatino Linotype" w:cs="Calibri"/>
          <w:b/>
          <w:sz w:val="28"/>
          <w:szCs w:val="28"/>
        </w:rPr>
      </w:pPr>
    </w:p>
    <w:p w14:paraId="54066A67" w14:textId="77777777" w:rsidR="007C2E4F" w:rsidRDefault="007C2E4F" w:rsidP="000E125F">
      <w:pPr>
        <w:jc w:val="center"/>
        <w:rPr>
          <w:rFonts w:ascii="Palatino Linotype" w:hAnsi="Palatino Linotype" w:cs="Calibri"/>
          <w:b/>
          <w:sz w:val="28"/>
          <w:szCs w:val="28"/>
        </w:rPr>
      </w:pPr>
    </w:p>
    <w:p w14:paraId="152CDD8B" w14:textId="77777777" w:rsidR="007C2E4F" w:rsidRDefault="007C2E4F" w:rsidP="000E125F">
      <w:pPr>
        <w:jc w:val="center"/>
        <w:rPr>
          <w:rFonts w:ascii="Palatino Linotype" w:hAnsi="Palatino Linotype" w:cs="Calibri"/>
          <w:b/>
          <w:sz w:val="28"/>
          <w:szCs w:val="28"/>
        </w:rPr>
      </w:pPr>
    </w:p>
    <w:p w14:paraId="753BD517" w14:textId="77777777" w:rsidR="007C2E4F" w:rsidRDefault="007C2E4F" w:rsidP="000E125F">
      <w:pPr>
        <w:jc w:val="center"/>
        <w:rPr>
          <w:rFonts w:ascii="Palatino Linotype" w:hAnsi="Palatino Linotype" w:cs="Calibri"/>
          <w:b/>
          <w:sz w:val="28"/>
          <w:szCs w:val="28"/>
        </w:rPr>
      </w:pPr>
    </w:p>
    <w:p w14:paraId="136ACB05" w14:textId="77777777" w:rsidR="007C2E4F" w:rsidRDefault="007C2E4F" w:rsidP="000E125F">
      <w:pPr>
        <w:jc w:val="center"/>
        <w:rPr>
          <w:rFonts w:ascii="Palatino Linotype" w:hAnsi="Palatino Linotype" w:cs="Calibri"/>
          <w:b/>
          <w:sz w:val="28"/>
          <w:szCs w:val="28"/>
        </w:rPr>
      </w:pPr>
    </w:p>
    <w:p w14:paraId="02FB3571" w14:textId="77777777" w:rsidR="007C2E4F" w:rsidRDefault="007C2E4F" w:rsidP="000E125F">
      <w:pPr>
        <w:jc w:val="center"/>
        <w:rPr>
          <w:rFonts w:ascii="Palatino Linotype" w:hAnsi="Palatino Linotype" w:cs="Calibri"/>
          <w:b/>
          <w:sz w:val="28"/>
          <w:szCs w:val="28"/>
        </w:rPr>
      </w:pPr>
    </w:p>
    <w:p w14:paraId="7A3DF37C" w14:textId="77777777" w:rsidR="007C2E4F" w:rsidRDefault="007C2E4F" w:rsidP="000E125F">
      <w:pPr>
        <w:jc w:val="center"/>
        <w:rPr>
          <w:rFonts w:ascii="Palatino Linotype" w:hAnsi="Palatino Linotype" w:cs="Calibri"/>
          <w:b/>
          <w:sz w:val="28"/>
          <w:szCs w:val="28"/>
        </w:rPr>
      </w:pPr>
    </w:p>
    <w:p w14:paraId="35B2C82C" w14:textId="77777777" w:rsidR="007C2E4F" w:rsidRDefault="007C2E4F" w:rsidP="000E125F">
      <w:pPr>
        <w:jc w:val="center"/>
        <w:rPr>
          <w:rFonts w:ascii="Palatino Linotype" w:hAnsi="Palatino Linotype" w:cs="Calibri"/>
          <w:b/>
          <w:sz w:val="28"/>
          <w:szCs w:val="28"/>
        </w:rPr>
      </w:pPr>
    </w:p>
    <w:p w14:paraId="26B60E96" w14:textId="77777777" w:rsidR="007C2E4F" w:rsidRDefault="007C2E4F" w:rsidP="000E125F">
      <w:pPr>
        <w:jc w:val="center"/>
        <w:rPr>
          <w:rFonts w:ascii="Palatino Linotype" w:hAnsi="Palatino Linotype" w:cs="Calibri"/>
          <w:b/>
          <w:sz w:val="28"/>
          <w:szCs w:val="28"/>
        </w:rPr>
      </w:pPr>
    </w:p>
    <w:p w14:paraId="315A58B9" w14:textId="77777777" w:rsidR="007C2E4F" w:rsidRDefault="007C2E4F" w:rsidP="000E125F">
      <w:pPr>
        <w:jc w:val="center"/>
        <w:rPr>
          <w:rFonts w:ascii="Palatino Linotype" w:hAnsi="Palatino Linotype" w:cs="Calibri"/>
          <w:b/>
          <w:sz w:val="28"/>
          <w:szCs w:val="28"/>
        </w:rPr>
      </w:pPr>
    </w:p>
    <w:p w14:paraId="720A8EF1" w14:textId="77777777" w:rsidR="007C2E4F" w:rsidRDefault="007C2E4F" w:rsidP="000E125F">
      <w:pPr>
        <w:jc w:val="center"/>
        <w:rPr>
          <w:rFonts w:ascii="Palatino Linotype" w:hAnsi="Palatino Linotype" w:cs="Calibri"/>
          <w:b/>
          <w:sz w:val="28"/>
          <w:szCs w:val="28"/>
        </w:rPr>
      </w:pPr>
    </w:p>
    <w:p w14:paraId="1A1A964F" w14:textId="77777777" w:rsidR="007C2E4F" w:rsidRDefault="007C2E4F" w:rsidP="000E125F">
      <w:pPr>
        <w:jc w:val="center"/>
        <w:rPr>
          <w:rFonts w:ascii="Palatino Linotype" w:hAnsi="Palatino Linotype" w:cs="Calibri"/>
          <w:b/>
          <w:sz w:val="28"/>
          <w:szCs w:val="28"/>
        </w:rPr>
      </w:pPr>
    </w:p>
    <w:p w14:paraId="090517C4" w14:textId="77777777" w:rsidR="007C2E4F" w:rsidRDefault="007C2E4F" w:rsidP="000E125F">
      <w:pPr>
        <w:jc w:val="center"/>
        <w:rPr>
          <w:rFonts w:ascii="Palatino Linotype" w:hAnsi="Palatino Linotype" w:cs="Calibri"/>
          <w:b/>
          <w:sz w:val="28"/>
          <w:szCs w:val="28"/>
        </w:rPr>
      </w:pPr>
    </w:p>
    <w:p w14:paraId="236D5D1F" w14:textId="77777777" w:rsidR="007C2E4F" w:rsidRDefault="007C2E4F" w:rsidP="000E125F">
      <w:pPr>
        <w:jc w:val="center"/>
        <w:rPr>
          <w:rFonts w:ascii="Palatino Linotype" w:hAnsi="Palatino Linotype" w:cs="Calibri"/>
          <w:b/>
          <w:sz w:val="28"/>
          <w:szCs w:val="28"/>
        </w:rPr>
      </w:pPr>
    </w:p>
    <w:p w14:paraId="359A3A77" w14:textId="77777777" w:rsidR="007C2E4F" w:rsidRDefault="007C2E4F" w:rsidP="000E125F">
      <w:pPr>
        <w:jc w:val="center"/>
        <w:rPr>
          <w:rFonts w:ascii="Palatino Linotype" w:hAnsi="Palatino Linotype" w:cs="Calibri"/>
          <w:b/>
          <w:sz w:val="28"/>
          <w:szCs w:val="28"/>
        </w:rPr>
      </w:pPr>
    </w:p>
    <w:p w14:paraId="78C1B6A7" w14:textId="77777777" w:rsidR="007C2E4F" w:rsidRDefault="007C2E4F" w:rsidP="000E125F">
      <w:pPr>
        <w:jc w:val="center"/>
        <w:rPr>
          <w:rFonts w:ascii="Palatino Linotype" w:hAnsi="Palatino Linotype" w:cs="Calibri"/>
          <w:b/>
          <w:sz w:val="28"/>
          <w:szCs w:val="28"/>
        </w:rPr>
      </w:pPr>
    </w:p>
    <w:p w14:paraId="3A891330" w14:textId="77777777" w:rsidR="007C2E4F" w:rsidRDefault="007C2E4F" w:rsidP="000E125F">
      <w:pPr>
        <w:jc w:val="center"/>
        <w:rPr>
          <w:rFonts w:ascii="Palatino Linotype" w:hAnsi="Palatino Linotype" w:cs="Calibri"/>
          <w:b/>
          <w:sz w:val="28"/>
          <w:szCs w:val="28"/>
        </w:rPr>
      </w:pPr>
    </w:p>
    <w:p w14:paraId="37B1EF48" w14:textId="77777777" w:rsidR="007C2E4F" w:rsidRDefault="007C2E4F" w:rsidP="000E125F">
      <w:pPr>
        <w:jc w:val="center"/>
        <w:rPr>
          <w:rFonts w:ascii="Palatino Linotype" w:hAnsi="Palatino Linotype" w:cs="Calibri"/>
          <w:b/>
          <w:sz w:val="28"/>
          <w:szCs w:val="28"/>
        </w:rPr>
      </w:pPr>
    </w:p>
    <w:p w14:paraId="403564A3" w14:textId="77777777" w:rsidR="007C2E4F" w:rsidRDefault="007C2E4F" w:rsidP="000E125F">
      <w:pPr>
        <w:jc w:val="center"/>
        <w:rPr>
          <w:rFonts w:ascii="Palatino Linotype" w:hAnsi="Palatino Linotype" w:cs="Calibri"/>
          <w:b/>
          <w:sz w:val="28"/>
          <w:szCs w:val="28"/>
        </w:rPr>
      </w:pPr>
    </w:p>
    <w:p w14:paraId="5B62A5FE" w14:textId="77777777" w:rsidR="007C2E4F" w:rsidRDefault="007C2E4F" w:rsidP="000E125F">
      <w:pPr>
        <w:jc w:val="center"/>
        <w:rPr>
          <w:rFonts w:ascii="Palatino Linotype" w:hAnsi="Palatino Linotype" w:cs="Calibri"/>
          <w:b/>
          <w:sz w:val="28"/>
          <w:szCs w:val="28"/>
        </w:rPr>
      </w:pPr>
    </w:p>
    <w:p w14:paraId="7286E6E0" w14:textId="77777777" w:rsidR="007C2E4F" w:rsidRDefault="007C2E4F" w:rsidP="000E125F">
      <w:pPr>
        <w:jc w:val="center"/>
        <w:rPr>
          <w:rFonts w:ascii="Palatino Linotype" w:hAnsi="Palatino Linotype" w:cs="Calibri"/>
          <w:b/>
          <w:sz w:val="28"/>
          <w:szCs w:val="28"/>
        </w:rPr>
      </w:pPr>
    </w:p>
    <w:p w14:paraId="3C5404E7" w14:textId="77777777" w:rsidR="007C2E4F" w:rsidRDefault="007C2E4F" w:rsidP="000E125F">
      <w:pPr>
        <w:jc w:val="center"/>
        <w:rPr>
          <w:rFonts w:ascii="Palatino Linotype" w:hAnsi="Palatino Linotype" w:cs="Calibri"/>
          <w:b/>
          <w:sz w:val="28"/>
          <w:szCs w:val="28"/>
        </w:rPr>
      </w:pPr>
    </w:p>
    <w:p w14:paraId="7E4CF08D" w14:textId="77777777" w:rsidR="007C2E4F" w:rsidRDefault="007C2E4F" w:rsidP="000E125F">
      <w:pPr>
        <w:jc w:val="center"/>
        <w:rPr>
          <w:rFonts w:ascii="Palatino Linotype" w:hAnsi="Palatino Linotype" w:cs="Calibri"/>
          <w:b/>
          <w:sz w:val="28"/>
          <w:szCs w:val="28"/>
        </w:rPr>
      </w:pPr>
    </w:p>
    <w:p w14:paraId="68B53ADF" w14:textId="77777777" w:rsidR="007C2E4F" w:rsidRDefault="007C2E4F" w:rsidP="000E125F">
      <w:pPr>
        <w:jc w:val="center"/>
        <w:rPr>
          <w:rFonts w:ascii="Palatino Linotype" w:hAnsi="Palatino Linotype" w:cs="Calibri"/>
          <w:b/>
          <w:sz w:val="28"/>
          <w:szCs w:val="28"/>
        </w:rPr>
      </w:pPr>
    </w:p>
    <w:p w14:paraId="0BA05B5A" w14:textId="77777777" w:rsidR="007C2E4F" w:rsidRDefault="007C2E4F" w:rsidP="000E125F">
      <w:pPr>
        <w:jc w:val="center"/>
        <w:rPr>
          <w:rFonts w:ascii="Palatino Linotype" w:hAnsi="Palatino Linotype" w:cs="Calibri"/>
          <w:b/>
          <w:sz w:val="28"/>
          <w:szCs w:val="28"/>
        </w:rPr>
      </w:pPr>
    </w:p>
    <w:p w14:paraId="21DD331C" w14:textId="77777777" w:rsidR="007C2E4F" w:rsidRDefault="007C2E4F" w:rsidP="000E125F">
      <w:pPr>
        <w:jc w:val="center"/>
        <w:rPr>
          <w:rFonts w:ascii="Palatino Linotype" w:hAnsi="Palatino Linotype" w:cs="Calibri"/>
          <w:b/>
          <w:sz w:val="28"/>
          <w:szCs w:val="28"/>
        </w:rPr>
      </w:pPr>
    </w:p>
    <w:p w14:paraId="3DFE817A" w14:textId="77777777" w:rsidR="007C2E4F" w:rsidRDefault="007C2E4F" w:rsidP="000E125F">
      <w:pPr>
        <w:jc w:val="center"/>
        <w:rPr>
          <w:rFonts w:ascii="Palatino Linotype" w:hAnsi="Palatino Linotype" w:cs="Calibri"/>
          <w:b/>
          <w:sz w:val="28"/>
          <w:szCs w:val="28"/>
        </w:rPr>
      </w:pPr>
    </w:p>
    <w:p w14:paraId="67BA0A06" w14:textId="77777777" w:rsidR="007C2E4F" w:rsidRDefault="007C2E4F" w:rsidP="000E125F">
      <w:pPr>
        <w:jc w:val="center"/>
        <w:rPr>
          <w:rFonts w:ascii="Palatino Linotype" w:hAnsi="Palatino Linotype" w:cs="Calibri"/>
          <w:b/>
          <w:sz w:val="28"/>
          <w:szCs w:val="28"/>
        </w:rPr>
      </w:pPr>
    </w:p>
    <w:p w14:paraId="671F66D0" w14:textId="77777777" w:rsidR="007C2E4F" w:rsidRDefault="007C2E4F" w:rsidP="000E125F">
      <w:pPr>
        <w:jc w:val="center"/>
        <w:rPr>
          <w:rFonts w:ascii="Palatino Linotype" w:hAnsi="Palatino Linotype" w:cs="Calibri"/>
          <w:b/>
          <w:sz w:val="28"/>
          <w:szCs w:val="28"/>
        </w:rPr>
      </w:pPr>
    </w:p>
    <w:p w14:paraId="6B50B49E" w14:textId="77777777" w:rsidR="007C2E4F" w:rsidRDefault="007C2E4F" w:rsidP="000E125F">
      <w:pPr>
        <w:jc w:val="center"/>
        <w:rPr>
          <w:rFonts w:ascii="Palatino Linotype" w:hAnsi="Palatino Linotype" w:cs="Calibri"/>
          <w:b/>
          <w:sz w:val="28"/>
          <w:szCs w:val="28"/>
        </w:rPr>
      </w:pPr>
    </w:p>
    <w:p w14:paraId="6DA79978" w14:textId="77777777"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14:paraId="51B777EB" w14:textId="77777777"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14:paraId="06805ECC" w14:textId="77777777" w:rsidR="000F236F" w:rsidRDefault="000F236F" w:rsidP="000F236F">
      <w:pPr>
        <w:tabs>
          <w:tab w:val="left" w:pos="8160"/>
        </w:tabs>
        <w:jc w:val="both"/>
        <w:rPr>
          <w:rFonts w:ascii="Palatino Linotype" w:hAnsi="Palatino Linotype"/>
          <w:b/>
          <w:sz w:val="22"/>
          <w:szCs w:val="22"/>
        </w:rPr>
      </w:pPr>
    </w:p>
    <w:p w14:paraId="05C16538" w14:textId="77777777"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14:paraId="6754D628" w14:textId="77777777" w:rsidR="00EA32C3" w:rsidRPr="00EA32C3" w:rsidRDefault="00013BA3" w:rsidP="00EA32C3">
      <w:pPr>
        <w:shd w:val="clear" w:color="auto" w:fill="FFFFFF"/>
        <w:spacing w:line="276" w:lineRule="auto"/>
        <w:jc w:val="both"/>
        <w:textAlignment w:val="baseline"/>
        <w:rPr>
          <w:rFonts w:ascii="Palatino Linotype" w:hAnsi="Palatino Linotype"/>
          <w:b/>
          <w:bCs/>
          <w:lang w:val="en-US" w:bidi="hi-IN"/>
        </w:rPr>
      </w:pPr>
      <w:r w:rsidRPr="0067031B">
        <w:rPr>
          <w:rFonts w:ascii="Palatino Linotype" w:hAnsi="Palatino Linotype"/>
          <w:b/>
          <w:bCs/>
          <w:lang w:val="en-US" w:bidi="hi-IN"/>
        </w:rPr>
        <w:t xml:space="preserve">1) </w:t>
      </w:r>
      <w:r w:rsidR="00EA32C3" w:rsidRPr="00EA32C3">
        <w:rPr>
          <w:rFonts w:ascii="Palatino Linotype" w:hAnsi="Palatino Linotype"/>
          <w:b/>
          <w:bCs/>
          <w:lang w:val="en-US" w:bidi="hi-IN"/>
        </w:rPr>
        <w:t>Monitoring Group Reports on Progress to Implement Recommendations to Strengthen</w:t>
      </w:r>
    </w:p>
    <w:p w14:paraId="3CA89AF1" w14:textId="77777777" w:rsidR="00013BA3" w:rsidRPr="0067031B" w:rsidRDefault="00EA32C3" w:rsidP="00EA32C3">
      <w:pPr>
        <w:shd w:val="clear" w:color="auto" w:fill="FFFFFF"/>
        <w:spacing w:line="276" w:lineRule="auto"/>
        <w:jc w:val="both"/>
        <w:textAlignment w:val="baseline"/>
        <w:rPr>
          <w:rFonts w:ascii="Palatino Linotype" w:hAnsi="Palatino Linotype"/>
          <w:b/>
          <w:bCs/>
          <w:lang w:val="en-US" w:bidi="hi-IN"/>
        </w:rPr>
      </w:pPr>
      <w:r w:rsidRPr="00EA32C3">
        <w:rPr>
          <w:rFonts w:ascii="Palatino Linotype" w:hAnsi="Palatino Linotype"/>
          <w:b/>
          <w:bCs/>
          <w:lang w:val="en-US" w:bidi="hi-IN"/>
        </w:rPr>
        <w:t>the International Audit and Ethics Standard-Setting System</w:t>
      </w:r>
      <w:r w:rsidR="00D564A7" w:rsidRPr="00D564A7">
        <w:rPr>
          <w:rFonts w:ascii="Palatino Linotype" w:hAnsi="Palatino Linotype"/>
          <w:b/>
          <w:bCs/>
          <w:lang w:val="en-US" w:bidi="hi-IN"/>
        </w:rPr>
        <w:cr/>
      </w:r>
    </w:p>
    <w:p w14:paraId="2B4CE44C" w14:textId="77777777" w:rsidR="00EA32C3" w:rsidRDefault="00EA32C3" w:rsidP="00EA32C3">
      <w:pPr>
        <w:jc w:val="both"/>
        <w:rPr>
          <w:rFonts w:ascii="Palatino Linotype" w:hAnsi="Palatino Linotype"/>
          <w:lang w:val="en-US" w:bidi="hi-IN"/>
        </w:rPr>
      </w:pPr>
      <w:r w:rsidRPr="00EA32C3">
        <w:rPr>
          <w:rFonts w:ascii="Palatino Linotype" w:hAnsi="Palatino Linotype"/>
          <w:lang w:val="en-US" w:bidi="hi-IN"/>
        </w:rPr>
        <w:t xml:space="preserve">The Monitoring Group </w:t>
      </w:r>
      <w:r>
        <w:rPr>
          <w:rFonts w:ascii="Palatino Linotype" w:hAnsi="Palatino Linotype"/>
          <w:lang w:val="en-US" w:bidi="hi-IN"/>
        </w:rPr>
        <w:t>(</w:t>
      </w:r>
      <w:r w:rsidRPr="00EA32C3">
        <w:rPr>
          <w:rFonts w:ascii="Palatino Linotype" w:hAnsi="Palatino Linotype"/>
          <w:lang w:val="en-US" w:bidi="hi-IN"/>
        </w:rPr>
        <w:t>MG</w:t>
      </w:r>
      <w:r>
        <w:rPr>
          <w:rFonts w:ascii="Palatino Linotype" w:hAnsi="Palatino Linotype"/>
          <w:lang w:val="en-US" w:bidi="hi-IN"/>
        </w:rPr>
        <w:t>)</w:t>
      </w:r>
      <w:r w:rsidRPr="00EA32C3">
        <w:rPr>
          <w:rFonts w:ascii="Palatino Linotype" w:hAnsi="Palatino Linotype"/>
          <w:lang w:val="en-US" w:bidi="hi-IN"/>
        </w:rPr>
        <w:t xml:space="preserve"> is responsible for the overall governance of the international audit and ethics</w:t>
      </w:r>
      <w:r>
        <w:rPr>
          <w:rFonts w:ascii="Palatino Linotype" w:hAnsi="Palatino Linotype"/>
          <w:lang w:val="en-US" w:bidi="hi-IN"/>
        </w:rPr>
        <w:t xml:space="preserve"> </w:t>
      </w:r>
      <w:r w:rsidRPr="00EA32C3">
        <w:rPr>
          <w:rFonts w:ascii="Palatino Linotype" w:hAnsi="Palatino Linotype"/>
          <w:lang w:val="en-US" w:bidi="hi-IN"/>
        </w:rPr>
        <w:t>standard-setting system including conducting periodic effectiveness reviews. In July 2020 the</w:t>
      </w:r>
      <w:r>
        <w:rPr>
          <w:rFonts w:ascii="Palatino Linotype" w:hAnsi="Palatino Linotype"/>
          <w:lang w:val="en-US" w:bidi="hi-IN"/>
        </w:rPr>
        <w:t xml:space="preserve"> </w:t>
      </w:r>
      <w:r w:rsidRPr="00EA32C3">
        <w:rPr>
          <w:rFonts w:ascii="Palatino Linotype" w:hAnsi="Palatino Linotype"/>
          <w:lang w:val="en-US" w:bidi="hi-IN"/>
        </w:rPr>
        <w:t>Monitoring Group (MG) issued its recommendations Strengthening the International Audit</w:t>
      </w:r>
      <w:r>
        <w:rPr>
          <w:rFonts w:ascii="Palatino Linotype" w:hAnsi="Palatino Linotype"/>
          <w:lang w:val="en-US" w:bidi="hi-IN"/>
        </w:rPr>
        <w:t xml:space="preserve"> </w:t>
      </w:r>
      <w:r w:rsidRPr="00EA32C3">
        <w:rPr>
          <w:rFonts w:ascii="Palatino Linotype" w:hAnsi="Palatino Linotype"/>
          <w:lang w:val="en-US" w:bidi="hi-IN"/>
        </w:rPr>
        <w:t>and Ethics Standard-Setting System (MG Recommendations or MG Reforms).</w:t>
      </w:r>
    </w:p>
    <w:p w14:paraId="3FDEFBCB" w14:textId="77777777" w:rsidR="00EA32C3" w:rsidRPr="00EA32C3" w:rsidRDefault="00EA32C3" w:rsidP="00EA32C3">
      <w:pPr>
        <w:jc w:val="both"/>
        <w:rPr>
          <w:rFonts w:ascii="Palatino Linotype" w:hAnsi="Palatino Linotype"/>
          <w:lang w:val="en-US" w:bidi="hi-IN"/>
        </w:rPr>
      </w:pPr>
    </w:p>
    <w:p w14:paraId="686E7FD2" w14:textId="77777777" w:rsidR="00EA32C3" w:rsidRPr="00EA32C3" w:rsidRDefault="00EA32C3" w:rsidP="00EA32C3">
      <w:pPr>
        <w:jc w:val="both"/>
        <w:rPr>
          <w:rFonts w:ascii="Palatino Linotype" w:hAnsi="Palatino Linotype"/>
          <w:lang w:val="en-US" w:bidi="hi-IN"/>
        </w:rPr>
      </w:pPr>
      <w:r w:rsidRPr="00EA32C3">
        <w:rPr>
          <w:rFonts w:ascii="Palatino Linotype" w:hAnsi="Palatino Linotype"/>
          <w:lang w:val="en-US" w:bidi="hi-IN"/>
        </w:rPr>
        <w:t>The MG Recommendations, when fully implemented, will provide significant improvements</w:t>
      </w:r>
    </w:p>
    <w:p w14:paraId="722A9CC3" w14:textId="77777777" w:rsidR="001109EA" w:rsidRDefault="00EA32C3" w:rsidP="00EA32C3">
      <w:pPr>
        <w:jc w:val="both"/>
        <w:rPr>
          <w:rFonts w:ascii="Palatino Linotype" w:hAnsi="Palatino Linotype"/>
          <w:lang w:val="en-US" w:bidi="hi-IN"/>
        </w:rPr>
      </w:pPr>
      <w:r w:rsidRPr="00EA32C3">
        <w:rPr>
          <w:rFonts w:ascii="Palatino Linotype" w:hAnsi="Palatino Linotype"/>
          <w:lang w:val="en-US" w:bidi="hi-IN"/>
        </w:rPr>
        <w:t>to the international audit-related standard setting system, resulting in enhanced standard setting</w:t>
      </w:r>
      <w:r>
        <w:rPr>
          <w:rFonts w:ascii="Palatino Linotype" w:hAnsi="Palatino Linotype"/>
          <w:lang w:val="en-US" w:bidi="hi-IN"/>
        </w:rPr>
        <w:t xml:space="preserve"> </w:t>
      </w:r>
      <w:r w:rsidRPr="00EA32C3">
        <w:rPr>
          <w:rFonts w:ascii="Palatino Linotype" w:hAnsi="Palatino Linotype"/>
          <w:lang w:val="en-US" w:bidi="hi-IN"/>
        </w:rPr>
        <w:t>that will be more responsive to the public interest, which should lead to improved audit quality</w:t>
      </w:r>
      <w:r>
        <w:rPr>
          <w:rFonts w:ascii="Palatino Linotype" w:hAnsi="Palatino Linotype"/>
          <w:lang w:val="en-US" w:bidi="hi-IN"/>
        </w:rPr>
        <w:t xml:space="preserve"> </w:t>
      </w:r>
      <w:r w:rsidRPr="00EA32C3">
        <w:rPr>
          <w:rFonts w:ascii="Palatino Linotype" w:hAnsi="Palatino Linotype"/>
          <w:lang w:val="en-US" w:bidi="hi-IN"/>
        </w:rPr>
        <w:t>for the benefit of users of financial statements. The MG Reforms specified that a transition</w:t>
      </w:r>
      <w:r>
        <w:rPr>
          <w:rFonts w:ascii="Palatino Linotype" w:hAnsi="Palatino Linotype"/>
          <w:lang w:val="en-US" w:bidi="hi-IN"/>
        </w:rPr>
        <w:t xml:space="preserve"> </w:t>
      </w:r>
      <w:r w:rsidRPr="00EA32C3">
        <w:rPr>
          <w:rFonts w:ascii="Palatino Linotype" w:hAnsi="Palatino Linotype"/>
          <w:lang w:val="en-US" w:bidi="hi-IN"/>
        </w:rPr>
        <w:t>plan would be established within nine months from the publication date and implementation</w:t>
      </w:r>
      <w:r>
        <w:rPr>
          <w:rFonts w:ascii="Palatino Linotype" w:hAnsi="Palatino Linotype"/>
          <w:lang w:val="en-US" w:bidi="hi-IN"/>
        </w:rPr>
        <w:t xml:space="preserve"> </w:t>
      </w:r>
      <w:r w:rsidRPr="00EA32C3">
        <w:rPr>
          <w:rFonts w:ascii="Palatino Linotype" w:hAnsi="Palatino Linotype"/>
          <w:lang w:val="en-US" w:bidi="hi-IN"/>
        </w:rPr>
        <w:t>within three years thereafter</w:t>
      </w:r>
      <w:r>
        <w:rPr>
          <w:rFonts w:ascii="Palatino Linotype" w:hAnsi="Palatino Linotype"/>
          <w:lang w:val="en-US" w:bidi="hi-IN"/>
        </w:rPr>
        <w:t>.</w:t>
      </w:r>
    </w:p>
    <w:p w14:paraId="67CCE03F" w14:textId="77777777" w:rsidR="00EA32C3" w:rsidRDefault="00EA32C3" w:rsidP="00EA32C3">
      <w:pPr>
        <w:jc w:val="both"/>
        <w:rPr>
          <w:rFonts w:ascii="Palatino Linotype" w:hAnsi="Palatino Linotype" w:cs="Calibri"/>
          <w:b/>
        </w:rPr>
      </w:pPr>
    </w:p>
    <w:p w14:paraId="39C3B105" w14:textId="77777777" w:rsidR="00013BA3" w:rsidRPr="0067031B" w:rsidRDefault="00013BA3" w:rsidP="00013BA3">
      <w:pPr>
        <w:jc w:val="both"/>
        <w:rPr>
          <w:rFonts w:ascii="Palatino Linotype" w:hAnsi="Palatino Linotype" w:cs="Calibri"/>
          <w:b/>
        </w:rPr>
      </w:pPr>
      <w:r w:rsidRPr="0067031B">
        <w:rPr>
          <w:rFonts w:ascii="Palatino Linotype" w:hAnsi="Palatino Linotype" w:cs="Calibri"/>
          <w:b/>
        </w:rPr>
        <w:t xml:space="preserve">Source:  </w:t>
      </w:r>
      <w:r w:rsidR="00EA32C3" w:rsidRPr="00EA32C3">
        <w:rPr>
          <w:rFonts w:ascii="Palatino Linotype" w:hAnsi="Palatino Linotype"/>
          <w:b/>
        </w:rPr>
        <w:t>https://www.iosco.org/news/pdf/IOSCONEWS606.pdf</w:t>
      </w:r>
    </w:p>
    <w:p w14:paraId="236AE861" w14:textId="77777777" w:rsidR="00013BA3" w:rsidRPr="0067031B" w:rsidRDefault="00013BA3" w:rsidP="00013BA3">
      <w:pPr>
        <w:jc w:val="both"/>
        <w:rPr>
          <w:rFonts w:ascii="Palatino Linotype" w:hAnsi="Palatino Linotype"/>
          <w:i/>
          <w:iCs/>
          <w:lang w:val="en-US" w:bidi="hi-IN"/>
        </w:rPr>
      </w:pPr>
    </w:p>
    <w:p w14:paraId="5761A9BA" w14:textId="77777777" w:rsidR="00EA32C3" w:rsidRPr="00EA32C3" w:rsidRDefault="00013BA3" w:rsidP="00EA32C3">
      <w:pPr>
        <w:jc w:val="both"/>
        <w:rPr>
          <w:rFonts w:ascii="Palatino Linotype" w:eastAsia="Calibri" w:hAnsi="Palatino Linotype"/>
          <w:b/>
          <w:bCs/>
          <w:lang w:val="en-US" w:bidi="hi-IN"/>
        </w:rPr>
      </w:pPr>
      <w:r w:rsidRPr="0067031B">
        <w:rPr>
          <w:rFonts w:ascii="Palatino Linotype" w:hAnsi="Palatino Linotype"/>
          <w:b/>
          <w:bCs/>
        </w:rPr>
        <w:t>2</w:t>
      </w:r>
      <w:r w:rsidRPr="0067031B">
        <w:rPr>
          <w:rFonts w:ascii="Palatino Linotype" w:hAnsi="Palatino Linotype"/>
          <w:b/>
          <w:bCs/>
          <w:lang w:val="en-US" w:bidi="hi-IN"/>
        </w:rPr>
        <w:t xml:space="preserve">)  </w:t>
      </w:r>
      <w:r w:rsidR="00EA32C3" w:rsidRPr="00EA32C3">
        <w:rPr>
          <w:rFonts w:ascii="Palatino Linotype" w:eastAsia="Calibri" w:hAnsi="Palatino Linotype"/>
          <w:b/>
          <w:bCs/>
          <w:lang w:val="en-US" w:bidi="hi-IN"/>
        </w:rPr>
        <w:t>IOSCO elaborates on its vision and expectations for the IFRS Foundation’s work</w:t>
      </w:r>
    </w:p>
    <w:p w14:paraId="58B93244" w14:textId="77777777" w:rsidR="00EA32C3" w:rsidRPr="00EA32C3" w:rsidRDefault="00EA32C3" w:rsidP="00EA32C3">
      <w:pPr>
        <w:jc w:val="both"/>
        <w:rPr>
          <w:rFonts w:ascii="Palatino Linotype" w:eastAsia="Calibri" w:hAnsi="Palatino Linotype"/>
          <w:b/>
          <w:bCs/>
          <w:lang w:val="en-US" w:bidi="hi-IN"/>
        </w:rPr>
      </w:pPr>
      <w:r w:rsidRPr="00EA32C3">
        <w:rPr>
          <w:rFonts w:ascii="Palatino Linotype" w:eastAsia="Calibri" w:hAnsi="Palatino Linotype"/>
          <w:b/>
          <w:bCs/>
          <w:lang w:val="en-US" w:bidi="hi-IN"/>
        </w:rPr>
        <w:t>towards a global baseline of investor-focussed sustainability standards to improve the</w:t>
      </w:r>
    </w:p>
    <w:p w14:paraId="53CA318B" w14:textId="77777777" w:rsidR="00013BA3" w:rsidRPr="0067031B" w:rsidRDefault="00EA32C3" w:rsidP="00EA32C3">
      <w:pPr>
        <w:jc w:val="both"/>
        <w:rPr>
          <w:rFonts w:ascii="Palatino Linotype" w:hAnsi="Palatino Linotype"/>
          <w:b/>
          <w:bCs/>
          <w:lang w:val="en-US" w:bidi="hi-IN"/>
        </w:rPr>
      </w:pPr>
      <w:r w:rsidRPr="00EA32C3">
        <w:rPr>
          <w:rFonts w:ascii="Palatino Linotype" w:eastAsia="Calibri" w:hAnsi="Palatino Linotype"/>
          <w:b/>
          <w:bCs/>
          <w:lang w:val="en-US" w:bidi="hi-IN"/>
        </w:rPr>
        <w:t>global consistency, comparability and reliability of sustainability reporting</w:t>
      </w:r>
    </w:p>
    <w:p w14:paraId="0EDB8F58" w14:textId="77777777" w:rsidR="00013BA3" w:rsidRPr="0067031B" w:rsidRDefault="00013BA3" w:rsidP="00013BA3">
      <w:pPr>
        <w:jc w:val="both"/>
        <w:rPr>
          <w:rFonts w:ascii="Palatino Linotype" w:eastAsia="Calibri" w:hAnsi="Palatino Linotype"/>
          <w:lang w:val="en-US" w:bidi="hi-IN"/>
        </w:rPr>
      </w:pPr>
    </w:p>
    <w:p w14:paraId="1816E163" w14:textId="77777777" w:rsidR="001109EA" w:rsidRPr="00EA32C3" w:rsidRDefault="00EA32C3" w:rsidP="00EA32C3">
      <w:pPr>
        <w:jc w:val="both"/>
        <w:rPr>
          <w:rFonts w:ascii="Palatino Linotype" w:eastAsia="Calibri" w:hAnsi="Palatino Linotype"/>
          <w:lang w:val="en-US" w:bidi="hi-IN"/>
        </w:rPr>
      </w:pPr>
      <w:r w:rsidRPr="00EA32C3">
        <w:rPr>
          <w:rFonts w:ascii="Palatino Linotype" w:eastAsia="Calibri" w:hAnsi="Palatino Linotype"/>
          <w:lang w:val="en-US" w:bidi="hi-IN"/>
        </w:rPr>
        <w:t>The Board of the International Organization of Securities Commissions (IOSCO) has published a report on issuers’ sustainability-related disclosures. The report, developed by</w:t>
      </w:r>
      <w:r>
        <w:rPr>
          <w:rFonts w:ascii="Palatino Linotype" w:eastAsia="Calibri" w:hAnsi="Palatino Linotype"/>
          <w:lang w:val="en-US" w:bidi="hi-IN"/>
        </w:rPr>
        <w:t xml:space="preserve"> </w:t>
      </w:r>
      <w:r w:rsidRPr="00EA32C3">
        <w:rPr>
          <w:rFonts w:ascii="Palatino Linotype" w:eastAsia="Calibri" w:hAnsi="Palatino Linotype"/>
          <w:lang w:val="en-US" w:bidi="hi-IN"/>
        </w:rPr>
        <w:t>IOSCO’s Sustainable Finance Taskforce (STF), reiterates the urgent need to improve the</w:t>
      </w:r>
      <w:r>
        <w:rPr>
          <w:rFonts w:ascii="Palatino Linotype" w:eastAsia="Calibri" w:hAnsi="Palatino Linotype"/>
          <w:lang w:val="en-US" w:bidi="hi-IN"/>
        </w:rPr>
        <w:t xml:space="preserve"> </w:t>
      </w:r>
      <w:r w:rsidRPr="00EA32C3">
        <w:rPr>
          <w:rFonts w:ascii="Palatino Linotype" w:eastAsia="Calibri" w:hAnsi="Palatino Linotype"/>
          <w:lang w:val="en-US" w:bidi="hi-IN"/>
        </w:rPr>
        <w:t>consistency, comparability and reliability of sustainability reporting for investors. Over the</w:t>
      </w:r>
      <w:r>
        <w:rPr>
          <w:rFonts w:ascii="Palatino Linotype" w:eastAsia="Calibri" w:hAnsi="Palatino Linotype"/>
          <w:lang w:val="en-US" w:bidi="hi-IN"/>
        </w:rPr>
        <w:t xml:space="preserve"> </w:t>
      </w:r>
      <w:r w:rsidRPr="00EA32C3">
        <w:rPr>
          <w:rFonts w:ascii="Palatino Linotype" w:eastAsia="Calibri" w:hAnsi="Palatino Linotype"/>
          <w:lang w:val="en-US" w:bidi="hi-IN"/>
        </w:rPr>
        <w:t>year since the STF was established, global momentum has been building in both public and</w:t>
      </w:r>
      <w:r>
        <w:rPr>
          <w:rFonts w:ascii="Palatino Linotype" w:eastAsia="Calibri" w:hAnsi="Palatino Linotype"/>
          <w:lang w:val="en-US" w:bidi="hi-IN"/>
        </w:rPr>
        <w:t xml:space="preserve"> </w:t>
      </w:r>
      <w:r w:rsidRPr="00EA32C3">
        <w:rPr>
          <w:rFonts w:ascii="Palatino Linotype" w:eastAsia="Calibri" w:hAnsi="Palatino Linotype"/>
          <w:lang w:val="en-US" w:bidi="hi-IN"/>
        </w:rPr>
        <w:t>private sector initiatives on sustainability-related disclosures. IOSCO´s work aims to support</w:t>
      </w:r>
      <w:r>
        <w:rPr>
          <w:rFonts w:ascii="Palatino Linotype" w:eastAsia="Calibri" w:hAnsi="Palatino Linotype"/>
          <w:lang w:val="en-US" w:bidi="hi-IN"/>
        </w:rPr>
        <w:t xml:space="preserve"> </w:t>
      </w:r>
      <w:r w:rsidRPr="00EA32C3">
        <w:rPr>
          <w:rFonts w:ascii="Palatino Linotype" w:eastAsia="Calibri" w:hAnsi="Palatino Linotype"/>
          <w:lang w:val="en-US" w:bidi="hi-IN"/>
        </w:rPr>
        <w:t>investors’ evolving informational needs and the ability of markets to price sustainability-related</w:t>
      </w:r>
      <w:r>
        <w:rPr>
          <w:rFonts w:ascii="Palatino Linotype" w:eastAsia="Calibri" w:hAnsi="Palatino Linotype"/>
          <w:lang w:val="en-US" w:bidi="hi-IN"/>
        </w:rPr>
        <w:t xml:space="preserve"> </w:t>
      </w:r>
      <w:r w:rsidRPr="00EA32C3">
        <w:rPr>
          <w:rFonts w:ascii="Palatino Linotype" w:eastAsia="Calibri" w:hAnsi="Palatino Linotype"/>
          <w:lang w:val="en-US" w:bidi="hi-IN"/>
        </w:rPr>
        <w:t>risks and opportunities and support capital allocation.</w:t>
      </w:r>
    </w:p>
    <w:p w14:paraId="40D15234" w14:textId="77777777" w:rsidR="00EA32C3" w:rsidRDefault="00EA32C3" w:rsidP="001109EA">
      <w:pPr>
        <w:jc w:val="both"/>
        <w:rPr>
          <w:rFonts w:ascii="Palatino Linotype" w:hAnsi="Palatino Linotype" w:cs="Calibri"/>
          <w:b/>
        </w:rPr>
      </w:pPr>
    </w:p>
    <w:p w14:paraId="394B7A6B" w14:textId="77777777" w:rsidR="001109EA" w:rsidRPr="00EA32C3" w:rsidRDefault="0066206E" w:rsidP="001109EA">
      <w:pPr>
        <w:jc w:val="both"/>
        <w:rPr>
          <w:rFonts w:ascii="Palatino Linotype" w:hAnsi="Palatino Linotype" w:cs="Calibri"/>
          <w:b/>
        </w:rPr>
      </w:pPr>
      <w:r>
        <w:rPr>
          <w:rFonts w:ascii="Palatino Linotype" w:hAnsi="Palatino Linotype" w:cs="Calibri"/>
          <w:b/>
        </w:rPr>
        <w:t xml:space="preserve">Source: </w:t>
      </w:r>
      <w:r w:rsidRPr="001109EA">
        <w:rPr>
          <w:rFonts w:ascii="Palatino Linotype" w:hAnsi="Palatino Linotype" w:cs="Calibri"/>
          <w:b/>
        </w:rPr>
        <w:t xml:space="preserve"> </w:t>
      </w:r>
      <w:hyperlink r:id="rId46" w:history="1">
        <w:r w:rsidR="00EA32C3" w:rsidRPr="00EA32C3">
          <w:rPr>
            <w:rFonts w:ascii="Palatino Linotype" w:hAnsi="Palatino Linotype" w:cs="Calibri"/>
            <w:b/>
          </w:rPr>
          <w:t>https://www.iosco.org/news/pdf/IOSCONEWS608.pdf</w:t>
        </w:r>
      </w:hyperlink>
    </w:p>
    <w:p w14:paraId="1FA4396F" w14:textId="77777777" w:rsidR="00EA32C3" w:rsidRPr="0067031B" w:rsidRDefault="00EA32C3" w:rsidP="001109EA">
      <w:pPr>
        <w:jc w:val="both"/>
        <w:rPr>
          <w:rFonts w:ascii="Palatino Linotype" w:eastAsia="Calibri" w:hAnsi="Palatino Linotype"/>
          <w:lang w:val="en-US" w:bidi="hi-IN"/>
        </w:rPr>
      </w:pPr>
    </w:p>
    <w:p w14:paraId="7A3C13A3" w14:textId="77777777" w:rsidR="001109EA" w:rsidRDefault="001109EA" w:rsidP="00013BA3">
      <w:pPr>
        <w:jc w:val="both"/>
        <w:rPr>
          <w:rFonts w:ascii="Palatino Linotype" w:hAnsi="Palatino Linotype"/>
          <w:b/>
          <w:bCs/>
          <w:lang w:val="en-US" w:bidi="hi-IN"/>
        </w:rPr>
      </w:pPr>
    </w:p>
    <w:p w14:paraId="6DCA5CE2" w14:textId="77777777" w:rsidR="00EA32C3" w:rsidRDefault="00EA32C3" w:rsidP="00013BA3">
      <w:pPr>
        <w:jc w:val="both"/>
        <w:rPr>
          <w:rFonts w:ascii="Palatino Linotype" w:hAnsi="Palatino Linotype"/>
          <w:b/>
          <w:bCs/>
          <w:lang w:val="en-US" w:bidi="hi-IN"/>
        </w:rPr>
      </w:pPr>
    </w:p>
    <w:p w14:paraId="075A2FEF" w14:textId="77777777" w:rsidR="00EA32C3" w:rsidRDefault="00EA32C3" w:rsidP="00013BA3">
      <w:pPr>
        <w:jc w:val="both"/>
        <w:rPr>
          <w:rFonts w:ascii="Palatino Linotype" w:hAnsi="Palatino Linotype"/>
          <w:b/>
          <w:bCs/>
          <w:lang w:val="en-US" w:bidi="hi-IN"/>
        </w:rPr>
      </w:pPr>
    </w:p>
    <w:p w14:paraId="29ED919B" w14:textId="77777777" w:rsidR="00EA32C3" w:rsidRDefault="00EA32C3" w:rsidP="00013BA3">
      <w:pPr>
        <w:jc w:val="both"/>
        <w:rPr>
          <w:rFonts w:ascii="Palatino Linotype" w:hAnsi="Palatino Linotype"/>
          <w:b/>
          <w:bCs/>
          <w:lang w:val="en-US" w:bidi="hi-IN"/>
        </w:rPr>
      </w:pPr>
    </w:p>
    <w:p w14:paraId="19F7C07A" w14:textId="77777777" w:rsidR="00EA32C3" w:rsidRDefault="00EA32C3" w:rsidP="00013BA3">
      <w:pPr>
        <w:jc w:val="both"/>
        <w:rPr>
          <w:rFonts w:ascii="Palatino Linotype" w:hAnsi="Palatino Linotype"/>
          <w:b/>
          <w:bCs/>
          <w:lang w:val="en-US" w:bidi="hi-IN"/>
        </w:rPr>
      </w:pPr>
    </w:p>
    <w:p w14:paraId="509FC1A4" w14:textId="77777777"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14:paraId="1BD488B2" w14:textId="77777777" w:rsidR="00272724" w:rsidRDefault="00272724" w:rsidP="00272724">
      <w:pPr>
        <w:shd w:val="clear" w:color="auto" w:fill="FFFFFF"/>
        <w:spacing w:line="276" w:lineRule="auto"/>
        <w:jc w:val="both"/>
        <w:rPr>
          <w:rFonts w:ascii="Palatino Linotype" w:hAnsi="Palatino Linotype"/>
          <w:color w:val="000000"/>
        </w:rPr>
      </w:pPr>
    </w:p>
    <w:p w14:paraId="438CDF84"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1. </w:t>
      </w:r>
      <w:r w:rsidRPr="00E95B43">
        <w:rPr>
          <w:rFonts w:ascii="Palatino Linotype" w:eastAsia="Calibri" w:hAnsi="Palatino Linotype"/>
          <w:b/>
          <w:bCs/>
        </w:rPr>
        <w:t xml:space="preserve">'Off-market’ </w:t>
      </w:r>
      <w:r>
        <w:rPr>
          <w:rFonts w:ascii="Palatino Linotype" w:eastAsia="Calibri" w:hAnsi="Palatino Linotype"/>
          <w:b/>
          <w:bCs/>
        </w:rPr>
        <w:t>T</w:t>
      </w:r>
      <w:r w:rsidRPr="00E95B43">
        <w:rPr>
          <w:rFonts w:ascii="Palatino Linotype" w:eastAsia="Calibri" w:hAnsi="Palatino Linotype"/>
          <w:b/>
          <w:bCs/>
        </w:rPr>
        <w:t xml:space="preserve">ransfer of </w:t>
      </w:r>
      <w:r>
        <w:rPr>
          <w:rFonts w:ascii="Palatino Linotype" w:eastAsia="Calibri" w:hAnsi="Palatino Linotype"/>
          <w:b/>
          <w:bCs/>
        </w:rPr>
        <w:t>S</w:t>
      </w:r>
      <w:r w:rsidRPr="00E95B43">
        <w:rPr>
          <w:rFonts w:ascii="Palatino Linotype" w:eastAsia="Calibri" w:hAnsi="Palatino Linotype"/>
          <w:b/>
          <w:bCs/>
        </w:rPr>
        <w:t>ecurities by F</w:t>
      </w:r>
      <w:r>
        <w:rPr>
          <w:rFonts w:ascii="Palatino Linotype" w:eastAsia="Calibri" w:hAnsi="Palatino Linotype"/>
          <w:b/>
          <w:bCs/>
        </w:rPr>
        <w:t xml:space="preserve">oreign </w:t>
      </w:r>
      <w:r w:rsidRPr="00E95B43">
        <w:rPr>
          <w:rFonts w:ascii="Palatino Linotype" w:eastAsia="Calibri" w:hAnsi="Palatino Linotype"/>
          <w:b/>
          <w:bCs/>
        </w:rPr>
        <w:t>P</w:t>
      </w:r>
      <w:r>
        <w:rPr>
          <w:rFonts w:ascii="Palatino Linotype" w:eastAsia="Calibri" w:hAnsi="Palatino Linotype"/>
          <w:b/>
          <w:bCs/>
        </w:rPr>
        <w:t xml:space="preserve">ortfolio </w:t>
      </w:r>
      <w:r w:rsidRPr="00E95B43">
        <w:rPr>
          <w:rFonts w:ascii="Palatino Linotype" w:eastAsia="Calibri" w:hAnsi="Palatino Linotype"/>
          <w:b/>
          <w:bCs/>
        </w:rPr>
        <w:t>I</w:t>
      </w:r>
      <w:r>
        <w:rPr>
          <w:rFonts w:ascii="Palatino Linotype" w:eastAsia="Calibri" w:hAnsi="Palatino Linotype"/>
          <w:b/>
          <w:bCs/>
        </w:rPr>
        <w:t>nvestors</w:t>
      </w:r>
    </w:p>
    <w:p w14:paraId="0E67B667" w14:textId="77777777" w:rsidR="00F025AD" w:rsidRDefault="00F025AD" w:rsidP="00F025AD">
      <w:pPr>
        <w:jc w:val="both"/>
        <w:rPr>
          <w:rFonts w:ascii="Palatino Linotype" w:eastAsia="Calibri" w:hAnsi="Palatino Linotype"/>
          <w:b/>
        </w:rPr>
      </w:pPr>
    </w:p>
    <w:p w14:paraId="3BCD5307" w14:textId="77777777" w:rsidR="00F025AD" w:rsidRPr="00FA3C2B" w:rsidRDefault="00F025AD" w:rsidP="00F025AD">
      <w:pPr>
        <w:jc w:val="both"/>
        <w:rPr>
          <w:rFonts w:ascii="Palatino Linotype" w:hAnsi="Palatino Linotype" w:cs="Arial"/>
          <w:sz w:val="22"/>
          <w:szCs w:val="22"/>
          <w:lang w:val="en-IN" w:eastAsia="en-IN" w:bidi="hi-IN"/>
        </w:rPr>
      </w:pPr>
      <w:r w:rsidRPr="00FA3C2B">
        <w:rPr>
          <w:rFonts w:ascii="Palatino Linotype" w:hAnsi="Palatino Linotype" w:cs="Arial"/>
          <w:sz w:val="22"/>
          <w:szCs w:val="22"/>
        </w:rPr>
        <w:t>The Finance Act, 2021 provides</w:t>
      </w:r>
      <w:r w:rsidRPr="00FA3C2B">
        <w:rPr>
          <w:rFonts w:ascii="Palatino Linotype" w:hAnsi="Palatino Linotype" w:cs="Arial"/>
          <w:sz w:val="22"/>
          <w:szCs w:val="22"/>
          <w:lang w:val="en-IN" w:eastAsia="en-IN" w:bidi="hi-IN"/>
        </w:rPr>
        <w:t xml:space="preserve"> </w:t>
      </w:r>
      <w:r w:rsidRPr="00FA3C2B">
        <w:rPr>
          <w:rFonts w:ascii="Palatino Linotype" w:hAnsi="Palatino Linotype" w:cs="Arial"/>
          <w:sz w:val="22"/>
          <w:szCs w:val="22"/>
        </w:rPr>
        <w:t>tax incentives for relocating</w:t>
      </w:r>
      <w:r w:rsidRPr="00FA3C2B">
        <w:rPr>
          <w:rFonts w:ascii="Palatino Linotype" w:hAnsi="Palatino Linotype" w:cs="Arial"/>
          <w:sz w:val="22"/>
          <w:szCs w:val="22"/>
          <w:lang w:val="en-IN" w:eastAsia="en-IN" w:bidi="hi-IN"/>
        </w:rPr>
        <w:t xml:space="preserve"> </w:t>
      </w:r>
      <w:r w:rsidRPr="00FA3C2B">
        <w:rPr>
          <w:rFonts w:ascii="Palatino Linotype" w:hAnsi="Palatino Linotype" w:cs="Arial"/>
          <w:sz w:val="22"/>
          <w:szCs w:val="22"/>
        </w:rPr>
        <w:t>foreign funds to International Financial Services Centre (IFSC) in order to make the IFSC</w:t>
      </w:r>
      <w:r w:rsidRPr="00FA3C2B">
        <w:rPr>
          <w:rFonts w:ascii="Palatino Linotype" w:hAnsi="Palatino Linotype" w:cs="Arial"/>
          <w:sz w:val="22"/>
          <w:szCs w:val="22"/>
          <w:lang w:val="en-IN" w:eastAsia="en-IN" w:bidi="hi-IN"/>
        </w:rPr>
        <w:t xml:space="preserve"> </w:t>
      </w:r>
      <w:r w:rsidRPr="00FA3C2B">
        <w:rPr>
          <w:rFonts w:ascii="Palatino Linotype" w:hAnsi="Palatino Linotype" w:cs="Arial"/>
          <w:sz w:val="22"/>
          <w:szCs w:val="22"/>
        </w:rPr>
        <w:t>in GIFT City a global financial hub</w:t>
      </w:r>
      <w:r>
        <w:rPr>
          <w:rFonts w:ascii="Palatino Linotype" w:hAnsi="Palatino Linotype" w:cs="Arial"/>
          <w:sz w:val="22"/>
          <w:szCs w:val="22"/>
          <w:lang w:val="en-IN" w:eastAsia="en-IN" w:bidi="hi-IN"/>
        </w:rPr>
        <w:t xml:space="preserve">. </w:t>
      </w:r>
      <w:r w:rsidRPr="00FA3C2B">
        <w:rPr>
          <w:rFonts w:ascii="Palatino Linotype" w:hAnsi="Palatino Linotype" w:cs="Arial"/>
          <w:sz w:val="22"/>
          <w:szCs w:val="22"/>
        </w:rPr>
        <w:t>In view of the above objective and to further facilitate such ‘relocation’, it has been decided that a FPI (original fund or its wholly owned special purpose vehicle) may approach its DDP</w:t>
      </w:r>
      <w:r>
        <w:rPr>
          <w:rFonts w:ascii="Palatino Linotype" w:hAnsi="Palatino Linotype" w:cs="Arial"/>
          <w:sz w:val="22"/>
          <w:szCs w:val="22"/>
          <w:lang w:val="en-IN" w:eastAsia="en-IN" w:bidi="hi-IN"/>
        </w:rPr>
        <w:t xml:space="preserve"> </w:t>
      </w:r>
      <w:r w:rsidRPr="00FA3C2B">
        <w:rPr>
          <w:rFonts w:ascii="Palatino Linotype" w:hAnsi="Palatino Linotype" w:cs="Arial"/>
          <w:sz w:val="22"/>
          <w:szCs w:val="22"/>
        </w:rPr>
        <w:t xml:space="preserve">for approval of a one - time ‘off-market’ transfer of its securities to the ‘resultant fund’ </w:t>
      </w:r>
      <w:r w:rsidRPr="00FA3C2B">
        <w:rPr>
          <w:rFonts w:ascii="Palatino Linotype" w:eastAsia="Calibri" w:hAnsi="Palatino Linotype"/>
          <w:bCs/>
          <w:sz w:val="22"/>
          <w:szCs w:val="22"/>
        </w:rPr>
        <w:t>The terms‘ original fund’, ‘relocation’ and ‘resultant fund’ will have the same meaning as assigned to them under the Finance Act, 2021.</w:t>
      </w:r>
    </w:p>
    <w:p w14:paraId="4EF70391" w14:textId="77777777" w:rsidR="00F025AD" w:rsidRDefault="00F025AD" w:rsidP="00F025AD">
      <w:pPr>
        <w:jc w:val="both"/>
        <w:rPr>
          <w:rFonts w:ascii="Palatino Linotype" w:eastAsia="Calibri" w:hAnsi="Palatino Linotype"/>
          <w:bCs/>
          <w:i/>
          <w:iCs/>
        </w:rPr>
      </w:pPr>
    </w:p>
    <w:p w14:paraId="7550AB36"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E95B43">
        <w:rPr>
          <w:rFonts w:ascii="Palatino Linotype" w:eastAsia="Calibri" w:hAnsi="Palatino Linotype"/>
          <w:bCs/>
          <w:i/>
          <w:iCs/>
        </w:rPr>
        <w:t xml:space="preserve">SEBI/HO/FPI&amp;C/P/CIR/2021/0569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01</w:t>
      </w:r>
      <w:r w:rsidRPr="001D431F">
        <w:rPr>
          <w:rFonts w:ascii="Palatino Linotype" w:eastAsia="Calibri" w:hAnsi="Palatino Linotype"/>
          <w:bCs/>
          <w:i/>
          <w:iCs/>
        </w:rPr>
        <w:t>, 2021</w:t>
      </w:r>
    </w:p>
    <w:p w14:paraId="32C53925" w14:textId="77777777" w:rsidR="00F025AD" w:rsidRDefault="00F025AD" w:rsidP="00F025AD">
      <w:pPr>
        <w:jc w:val="center"/>
        <w:rPr>
          <w:rFonts w:ascii="Palatino Linotype" w:hAnsi="Palatino Linotype"/>
          <w:b/>
          <w:sz w:val="28"/>
          <w:szCs w:val="36"/>
          <w:u w:val="single"/>
        </w:rPr>
      </w:pPr>
    </w:p>
    <w:p w14:paraId="532E041A"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2. </w:t>
      </w:r>
      <w:r w:rsidRPr="00E95B43">
        <w:rPr>
          <w:rFonts w:ascii="Palatino Linotype" w:eastAsia="Calibri" w:hAnsi="Palatino Linotype"/>
          <w:b/>
          <w:bCs/>
        </w:rPr>
        <w:t xml:space="preserve">Streamlining the </w:t>
      </w:r>
      <w:r>
        <w:rPr>
          <w:rFonts w:ascii="Palatino Linotype" w:eastAsia="Calibri" w:hAnsi="Palatino Linotype"/>
          <w:b/>
          <w:bCs/>
        </w:rPr>
        <w:t>P</w:t>
      </w:r>
      <w:r w:rsidRPr="00E95B43">
        <w:rPr>
          <w:rFonts w:ascii="Palatino Linotype" w:eastAsia="Calibri" w:hAnsi="Palatino Linotype"/>
          <w:b/>
          <w:bCs/>
        </w:rPr>
        <w:t>roces</w:t>
      </w:r>
      <w:r>
        <w:rPr>
          <w:rFonts w:ascii="Palatino Linotype" w:eastAsia="Calibri" w:hAnsi="Palatino Linotype"/>
          <w:b/>
          <w:bCs/>
        </w:rPr>
        <w:t>s of IPOs with UPI in ASBA and R</w:t>
      </w:r>
      <w:r w:rsidRPr="00E95B43">
        <w:rPr>
          <w:rFonts w:ascii="Palatino Linotype" w:eastAsia="Calibri" w:hAnsi="Palatino Linotype"/>
          <w:b/>
          <w:bCs/>
        </w:rPr>
        <w:t xml:space="preserve">edressal of </w:t>
      </w:r>
      <w:r>
        <w:rPr>
          <w:rFonts w:ascii="Palatino Linotype" w:eastAsia="Calibri" w:hAnsi="Palatino Linotype"/>
          <w:b/>
          <w:bCs/>
        </w:rPr>
        <w:t>I</w:t>
      </w:r>
      <w:r w:rsidRPr="00E95B43">
        <w:rPr>
          <w:rFonts w:ascii="Palatino Linotype" w:eastAsia="Calibri" w:hAnsi="Palatino Linotype"/>
          <w:b/>
          <w:bCs/>
        </w:rPr>
        <w:t>nvestors grievances</w:t>
      </w:r>
    </w:p>
    <w:p w14:paraId="2760341C" w14:textId="77777777" w:rsidR="00F025AD" w:rsidRPr="00E95B43" w:rsidRDefault="00F025AD" w:rsidP="00F025AD">
      <w:pPr>
        <w:contextualSpacing/>
        <w:jc w:val="both"/>
        <w:rPr>
          <w:rFonts w:ascii="Palatino Linotype" w:eastAsia="Calibri" w:hAnsi="Palatino Linotype"/>
          <w:b/>
          <w:bCs/>
        </w:rPr>
      </w:pPr>
    </w:p>
    <w:p w14:paraId="30BBE7C5" w14:textId="77777777" w:rsidR="00F025AD" w:rsidRDefault="00F025AD" w:rsidP="00F025AD">
      <w:pPr>
        <w:jc w:val="both"/>
        <w:rPr>
          <w:rFonts w:ascii="Palatino Linotype" w:eastAsia="Calibri" w:hAnsi="Palatino Linotype"/>
          <w:bCs/>
        </w:rPr>
      </w:pPr>
      <w:r>
        <w:rPr>
          <w:rFonts w:ascii="Palatino Linotype" w:eastAsia="Calibri" w:hAnsi="Palatino Linotype"/>
          <w:bCs/>
        </w:rPr>
        <w:t xml:space="preserve">Timelines were </w:t>
      </w:r>
      <w:r w:rsidRPr="00CB4C1E">
        <w:rPr>
          <w:rFonts w:ascii="Palatino Linotype" w:eastAsia="Calibri" w:hAnsi="Palatino Linotype"/>
          <w:bCs/>
        </w:rPr>
        <w:t xml:space="preserve">extended for </w:t>
      </w:r>
      <w:r>
        <w:rPr>
          <w:rFonts w:ascii="Palatino Linotype" w:eastAsia="Calibri" w:hAnsi="Palatino Linotype"/>
          <w:bCs/>
        </w:rPr>
        <w:t xml:space="preserve">implementation of guidelines pertaining to SMS alerts under the Unified Payment Interface (UPI) system for shares applied and allotted during an IPO.  The deadline for putting in place automated web portal for IPOs through UPI system has also been extended.  </w:t>
      </w:r>
    </w:p>
    <w:p w14:paraId="33B742FD" w14:textId="77777777" w:rsidR="00F025AD" w:rsidRDefault="00F025AD" w:rsidP="00F025AD">
      <w:pPr>
        <w:jc w:val="both"/>
        <w:rPr>
          <w:rFonts w:ascii="Palatino Linotype" w:eastAsia="Calibri" w:hAnsi="Palatino Linotype"/>
          <w:bCs/>
        </w:rPr>
      </w:pPr>
    </w:p>
    <w:p w14:paraId="1891B642" w14:textId="77777777" w:rsidR="00F025AD" w:rsidRDefault="00F025AD" w:rsidP="00F025AD">
      <w:pPr>
        <w:jc w:val="both"/>
        <w:rPr>
          <w:rFonts w:ascii="Palatino Linotype" w:eastAsia="Calibri" w:hAnsi="Palatino Linotype"/>
          <w:bCs/>
        </w:rPr>
      </w:pPr>
      <w:r>
        <w:rPr>
          <w:rFonts w:ascii="Palatino Linotype" w:eastAsia="Calibri" w:hAnsi="Palatino Linotype"/>
          <w:bCs/>
        </w:rPr>
        <w:t xml:space="preserve">The framework for automated web portal would come into force from October 1, 2021 and SMS alerts from January 01, 2022. </w:t>
      </w:r>
    </w:p>
    <w:p w14:paraId="2909CD5B" w14:textId="77777777" w:rsidR="00F025AD" w:rsidRDefault="00F025AD" w:rsidP="00F025AD">
      <w:pPr>
        <w:jc w:val="both"/>
        <w:rPr>
          <w:rFonts w:ascii="Palatino Linotype" w:eastAsia="Calibri" w:hAnsi="Palatino Linotype"/>
          <w:bCs/>
        </w:rPr>
      </w:pPr>
    </w:p>
    <w:p w14:paraId="7817EB8E" w14:textId="77777777" w:rsidR="00F025AD" w:rsidRDefault="00F025AD" w:rsidP="00F025AD">
      <w:pPr>
        <w:jc w:val="both"/>
        <w:rPr>
          <w:rFonts w:ascii="Palatino Linotype" w:eastAsia="Calibri" w:hAnsi="Palatino Linotype"/>
          <w:bCs/>
        </w:rPr>
      </w:pPr>
      <w:r>
        <w:rPr>
          <w:rFonts w:ascii="Palatino Linotype" w:eastAsia="Calibri" w:hAnsi="Palatino Linotype"/>
          <w:bCs/>
        </w:rPr>
        <w:t>The extension has been given after stakeholders sought more time due to the COVID pandemic.</w:t>
      </w:r>
    </w:p>
    <w:p w14:paraId="48B49C13" w14:textId="77777777" w:rsidR="00F025AD" w:rsidRDefault="00F025AD" w:rsidP="00F025AD">
      <w:pPr>
        <w:jc w:val="both"/>
        <w:rPr>
          <w:rFonts w:ascii="Palatino Linotype" w:eastAsia="Calibri" w:hAnsi="Palatino Linotype"/>
          <w:bCs/>
          <w:i/>
          <w:iCs/>
        </w:rPr>
      </w:pPr>
    </w:p>
    <w:p w14:paraId="53D4578C"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E95B43">
        <w:rPr>
          <w:rFonts w:ascii="Palatino Linotype" w:eastAsia="Calibri" w:hAnsi="Palatino Linotype"/>
          <w:bCs/>
          <w:i/>
          <w:iCs/>
        </w:rPr>
        <w:t>SEBI/HO/CFD/DIL2/P/CIR/2021/570</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02</w:t>
      </w:r>
      <w:r w:rsidRPr="001D431F">
        <w:rPr>
          <w:rFonts w:ascii="Palatino Linotype" w:eastAsia="Calibri" w:hAnsi="Palatino Linotype"/>
          <w:bCs/>
          <w:i/>
          <w:iCs/>
        </w:rPr>
        <w:t>, 2021</w:t>
      </w:r>
    </w:p>
    <w:p w14:paraId="142F7D1D" w14:textId="77777777" w:rsidR="00F025AD" w:rsidRDefault="00F025AD" w:rsidP="00F025AD">
      <w:pPr>
        <w:jc w:val="center"/>
        <w:rPr>
          <w:rFonts w:ascii="Palatino Linotype" w:hAnsi="Palatino Linotype"/>
          <w:b/>
          <w:sz w:val="28"/>
          <w:szCs w:val="36"/>
          <w:u w:val="single"/>
        </w:rPr>
      </w:pPr>
    </w:p>
    <w:p w14:paraId="7CDF808C"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3. </w:t>
      </w:r>
      <w:r w:rsidRPr="00E95B43">
        <w:rPr>
          <w:rFonts w:ascii="Palatino Linotype" w:eastAsia="Calibri" w:hAnsi="Palatino Linotype"/>
          <w:b/>
          <w:bCs/>
        </w:rPr>
        <w:t>Circular on Enhancement of Overseas Investment Limits</w:t>
      </w:r>
    </w:p>
    <w:p w14:paraId="255371D9" w14:textId="77777777" w:rsidR="00F025AD" w:rsidRDefault="00F025AD" w:rsidP="00F025AD">
      <w:pPr>
        <w:jc w:val="both"/>
        <w:rPr>
          <w:rFonts w:ascii="Palatino Linotype" w:eastAsia="Calibri" w:hAnsi="Palatino Linotype"/>
          <w:b/>
        </w:rPr>
      </w:pPr>
    </w:p>
    <w:p w14:paraId="0D435665" w14:textId="1BA94BFA" w:rsidR="00F025AD" w:rsidRDefault="00F025AD" w:rsidP="00F025AD">
      <w:pPr>
        <w:jc w:val="both"/>
        <w:rPr>
          <w:rFonts w:ascii="Palatino Linotype" w:eastAsia="Calibri" w:hAnsi="Palatino Linotype"/>
          <w:bCs/>
        </w:rPr>
      </w:pPr>
      <w:r>
        <w:rPr>
          <w:rFonts w:ascii="Palatino Linotype" w:eastAsia="Calibri" w:hAnsi="Palatino Linotype"/>
          <w:bCs/>
        </w:rPr>
        <w:t>Investment limit</w:t>
      </w:r>
      <w:r w:rsidR="007D4F15">
        <w:rPr>
          <w:rFonts w:ascii="Palatino Linotype" w:eastAsia="Calibri" w:hAnsi="Palatino Linotype"/>
          <w:bCs/>
        </w:rPr>
        <w:t xml:space="preserve"> has been</w:t>
      </w:r>
      <w:r>
        <w:rPr>
          <w:rFonts w:ascii="Palatino Linotype" w:eastAsia="Calibri" w:hAnsi="Palatino Linotype"/>
          <w:bCs/>
        </w:rPr>
        <w:t xml:space="preserve"> raised for overseas investments by each mutual fund house to $1 billion from $600 million, while the overall cap for the mutual fund industry </w:t>
      </w:r>
      <w:r w:rsidR="007D4F15">
        <w:rPr>
          <w:rFonts w:ascii="Palatino Linotype" w:eastAsia="Calibri" w:hAnsi="Palatino Linotype"/>
          <w:bCs/>
        </w:rPr>
        <w:t xml:space="preserve">has been maintained </w:t>
      </w:r>
      <w:r>
        <w:rPr>
          <w:rFonts w:ascii="Palatino Linotype" w:eastAsia="Calibri" w:hAnsi="Palatino Linotype"/>
          <w:bCs/>
        </w:rPr>
        <w:t xml:space="preserve">at $7 billion.  </w:t>
      </w:r>
      <w:r w:rsidR="007D4F15">
        <w:rPr>
          <w:rFonts w:ascii="Palatino Linotype" w:eastAsia="Calibri" w:hAnsi="Palatino Linotype"/>
          <w:bCs/>
        </w:rPr>
        <w:t>The</w:t>
      </w:r>
      <w:r>
        <w:rPr>
          <w:rFonts w:ascii="Palatino Linotype" w:eastAsia="Calibri" w:hAnsi="Palatino Linotype"/>
          <w:bCs/>
        </w:rPr>
        <w:t xml:space="preserve"> limit of investments in overseas exchange traded funds by each fund house </w:t>
      </w:r>
      <w:r w:rsidR="007D4F15">
        <w:rPr>
          <w:rFonts w:ascii="Palatino Linotype" w:eastAsia="Calibri" w:hAnsi="Palatino Linotype"/>
          <w:bCs/>
        </w:rPr>
        <w:t xml:space="preserve">has been hiked </w:t>
      </w:r>
      <w:r>
        <w:rPr>
          <w:rFonts w:ascii="Palatino Linotype" w:eastAsia="Calibri" w:hAnsi="Palatino Linotype"/>
          <w:bCs/>
        </w:rPr>
        <w:t>to $300 million from $ 200 million.  This would be within the cap of $1 billion for the mutual fund industry’s investment in overseas ETFs.</w:t>
      </w:r>
    </w:p>
    <w:p w14:paraId="6B561BE2" w14:textId="77777777" w:rsidR="00F025AD" w:rsidRDefault="00F025AD" w:rsidP="00F025AD">
      <w:pPr>
        <w:jc w:val="both"/>
        <w:rPr>
          <w:rFonts w:ascii="Palatino Linotype" w:eastAsia="Calibri" w:hAnsi="Palatino Linotype"/>
          <w:bCs/>
          <w:i/>
          <w:iCs/>
        </w:rPr>
      </w:pPr>
    </w:p>
    <w:p w14:paraId="617899F8"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E95B43">
        <w:rPr>
          <w:rFonts w:ascii="Palatino Linotype" w:eastAsia="Calibri" w:hAnsi="Palatino Linotype"/>
          <w:bCs/>
          <w:i/>
          <w:iCs/>
        </w:rPr>
        <w:t>SEBI/HO/IMD/IMD-II/DOF3/P/CIR/2021/571</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03</w:t>
      </w:r>
      <w:r w:rsidRPr="001D431F">
        <w:rPr>
          <w:rFonts w:ascii="Palatino Linotype" w:eastAsia="Calibri" w:hAnsi="Palatino Linotype"/>
          <w:bCs/>
          <w:i/>
          <w:iCs/>
        </w:rPr>
        <w:t>, 2021</w:t>
      </w:r>
    </w:p>
    <w:p w14:paraId="6AB7BC72" w14:textId="77777777" w:rsidR="00F025AD" w:rsidRDefault="00F025AD" w:rsidP="00F025AD">
      <w:pPr>
        <w:jc w:val="center"/>
        <w:rPr>
          <w:rFonts w:ascii="Palatino Linotype" w:hAnsi="Palatino Linotype"/>
          <w:b/>
          <w:sz w:val="28"/>
          <w:szCs w:val="36"/>
          <w:u w:val="single"/>
        </w:rPr>
      </w:pPr>
    </w:p>
    <w:p w14:paraId="25C55D33"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4. </w:t>
      </w:r>
      <w:r w:rsidRPr="00E95B43">
        <w:rPr>
          <w:rFonts w:ascii="Palatino Linotype" w:eastAsia="Calibri" w:hAnsi="Palatino Linotype"/>
          <w:b/>
          <w:bCs/>
        </w:rPr>
        <w:t>Centralized Database for Corporate Bonds/ Debentures</w:t>
      </w:r>
    </w:p>
    <w:p w14:paraId="1F9523B4" w14:textId="77777777" w:rsidR="00F025AD" w:rsidRDefault="00F025AD" w:rsidP="00F025AD">
      <w:pPr>
        <w:jc w:val="both"/>
        <w:rPr>
          <w:rFonts w:ascii="Palatino Linotype" w:eastAsia="Calibri" w:hAnsi="Palatino Linotype"/>
          <w:b/>
        </w:rPr>
      </w:pPr>
    </w:p>
    <w:p w14:paraId="37877061" w14:textId="77777777" w:rsidR="00F025AD" w:rsidRDefault="00F025AD" w:rsidP="00F025AD">
      <w:pPr>
        <w:jc w:val="both"/>
        <w:rPr>
          <w:rFonts w:ascii="Palatino Linotype" w:eastAsia="Calibri" w:hAnsi="Palatino Linotype"/>
          <w:bCs/>
        </w:rPr>
      </w:pPr>
      <w:r>
        <w:rPr>
          <w:rFonts w:ascii="Palatino Linotype" w:eastAsia="Calibri" w:hAnsi="Palatino Linotype"/>
          <w:bCs/>
        </w:rPr>
        <w:lastRenderedPageBreak/>
        <w:t xml:space="preserve">SEBI streamlined the framework for centralized database for corporate bonds to provide further ease of access of information for investors.  Under this, an updated list of data fields to be maintained in the database along with the manner of filing the same.  </w:t>
      </w:r>
    </w:p>
    <w:p w14:paraId="61EF17B9" w14:textId="77777777" w:rsidR="00F025AD" w:rsidRDefault="00F025AD" w:rsidP="00F025AD">
      <w:pPr>
        <w:jc w:val="both"/>
        <w:rPr>
          <w:rFonts w:ascii="Palatino Linotype" w:eastAsia="Calibri" w:hAnsi="Palatino Linotype"/>
          <w:bCs/>
        </w:rPr>
      </w:pPr>
    </w:p>
    <w:p w14:paraId="2C6DEFEC" w14:textId="77777777" w:rsidR="00F025AD" w:rsidRDefault="00F025AD" w:rsidP="00F025AD">
      <w:pPr>
        <w:jc w:val="both"/>
        <w:rPr>
          <w:rFonts w:ascii="Palatino Linotype" w:eastAsia="Calibri" w:hAnsi="Palatino Linotype"/>
          <w:bCs/>
        </w:rPr>
      </w:pPr>
      <w:r>
        <w:rPr>
          <w:rFonts w:ascii="Palatino Linotype" w:eastAsia="Calibri" w:hAnsi="Palatino Linotype"/>
          <w:bCs/>
        </w:rPr>
        <w:t>The new framework will be applicable for debt securities issued on or after August 01, 2021.</w:t>
      </w:r>
    </w:p>
    <w:p w14:paraId="1099F0CD" w14:textId="77777777" w:rsidR="00F025AD" w:rsidRDefault="00F025AD" w:rsidP="00F025AD">
      <w:pPr>
        <w:jc w:val="both"/>
        <w:rPr>
          <w:rFonts w:ascii="Palatino Linotype" w:eastAsia="Calibri" w:hAnsi="Palatino Linotype"/>
          <w:bCs/>
          <w:i/>
          <w:iCs/>
        </w:rPr>
      </w:pPr>
    </w:p>
    <w:p w14:paraId="7CB7A78F"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E95B43">
        <w:rPr>
          <w:rFonts w:ascii="Palatino Linotype" w:eastAsia="Calibri" w:hAnsi="Palatino Linotype"/>
          <w:bCs/>
          <w:i/>
          <w:iCs/>
        </w:rPr>
        <w:t>SEBI/HO/DDHS/DDHS1/P/CIR/2021/572</w:t>
      </w:r>
      <w:r w:rsidRPr="000C75B5">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04</w:t>
      </w:r>
      <w:r w:rsidRPr="001D431F">
        <w:rPr>
          <w:rFonts w:ascii="Palatino Linotype" w:eastAsia="Calibri" w:hAnsi="Palatino Linotype"/>
          <w:bCs/>
          <w:i/>
          <w:iCs/>
        </w:rPr>
        <w:t>, 2021</w:t>
      </w:r>
    </w:p>
    <w:p w14:paraId="2CA416E8" w14:textId="77777777" w:rsidR="00F025AD" w:rsidRDefault="00F025AD" w:rsidP="0060602C">
      <w:pPr>
        <w:contextualSpacing/>
        <w:jc w:val="both"/>
        <w:rPr>
          <w:rFonts w:ascii="Palatino Linotype" w:eastAsia="Calibri" w:hAnsi="Palatino Linotype"/>
          <w:b/>
          <w:bCs/>
        </w:rPr>
      </w:pPr>
    </w:p>
    <w:p w14:paraId="2E0F82CC"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5. </w:t>
      </w:r>
      <w:r w:rsidRPr="00D556B8">
        <w:rPr>
          <w:rFonts w:ascii="Palatino Linotype" w:eastAsia="Calibri" w:hAnsi="Palatino Linotype"/>
          <w:b/>
          <w:bCs/>
        </w:rPr>
        <w:t>P</w:t>
      </w:r>
      <w:r>
        <w:rPr>
          <w:rFonts w:ascii="Palatino Linotype" w:eastAsia="Calibri" w:hAnsi="Palatino Linotype"/>
          <w:b/>
          <w:bCs/>
        </w:rPr>
        <w:t>otential Risk Class Matrix for D</w:t>
      </w:r>
      <w:r w:rsidRPr="00D556B8">
        <w:rPr>
          <w:rFonts w:ascii="Palatino Linotype" w:eastAsia="Calibri" w:hAnsi="Palatino Linotype"/>
          <w:b/>
          <w:bCs/>
        </w:rPr>
        <w:t xml:space="preserve">ebt </w:t>
      </w:r>
      <w:r>
        <w:rPr>
          <w:rFonts w:ascii="Palatino Linotype" w:eastAsia="Calibri" w:hAnsi="Palatino Linotype"/>
          <w:b/>
          <w:bCs/>
        </w:rPr>
        <w:t>S</w:t>
      </w:r>
      <w:r w:rsidRPr="00D556B8">
        <w:rPr>
          <w:rFonts w:ascii="Palatino Linotype" w:eastAsia="Calibri" w:hAnsi="Palatino Linotype"/>
          <w:b/>
          <w:bCs/>
        </w:rPr>
        <w:t>chemes based on Interest Rate Risk and Credit Risk</w:t>
      </w:r>
    </w:p>
    <w:p w14:paraId="24198EA6" w14:textId="77777777" w:rsidR="00F025AD" w:rsidRDefault="00F025AD" w:rsidP="00F025AD">
      <w:pPr>
        <w:jc w:val="both"/>
        <w:rPr>
          <w:rFonts w:ascii="Palatino Linotype" w:eastAsia="Calibri" w:hAnsi="Palatino Linotype"/>
          <w:b/>
        </w:rPr>
      </w:pPr>
    </w:p>
    <w:p w14:paraId="0382352C" w14:textId="77777777" w:rsidR="00F025AD" w:rsidRPr="00D556B8" w:rsidRDefault="00F025AD" w:rsidP="00F025AD">
      <w:pPr>
        <w:jc w:val="both"/>
        <w:rPr>
          <w:rFonts w:ascii="Palatino Linotype" w:eastAsia="Calibri" w:hAnsi="Palatino Linotype"/>
          <w:bCs/>
        </w:rPr>
      </w:pPr>
      <w:r>
        <w:rPr>
          <w:rFonts w:ascii="Palatino Linotype" w:eastAsia="Calibri" w:hAnsi="Palatino Linotype"/>
          <w:bCs/>
        </w:rPr>
        <w:t xml:space="preserve">SEBI issued a risk classification to Mutual Funds </w:t>
      </w:r>
      <w:r w:rsidRPr="00D556B8">
        <w:rPr>
          <w:rFonts w:ascii="Palatino Linotype" w:eastAsia="Calibri" w:hAnsi="Palatino Linotype"/>
          <w:bCs/>
        </w:rPr>
        <w:t>to classify all debt-related schemes on their platform as potential risk class matrix, on the basis of their interest and credit risk.</w:t>
      </w:r>
      <w:r>
        <w:rPr>
          <w:rFonts w:ascii="Palatino Linotype" w:eastAsia="Calibri" w:hAnsi="Palatino Linotype"/>
          <w:bCs/>
        </w:rPr>
        <w:t xml:space="preserve">  </w:t>
      </w:r>
      <w:r w:rsidRPr="00D556B8">
        <w:rPr>
          <w:rFonts w:ascii="Palatino Linotype" w:eastAsia="Calibri" w:hAnsi="Palatino Linotype"/>
          <w:bCs/>
        </w:rPr>
        <w:t>To enable this, a display table has been made mandatory from December 1, 2021 for all such schemes</w:t>
      </w:r>
      <w:r>
        <w:rPr>
          <w:rFonts w:ascii="Palatino Linotype" w:eastAsia="Calibri" w:hAnsi="Palatino Linotype"/>
          <w:bCs/>
        </w:rPr>
        <w:t>.</w:t>
      </w:r>
    </w:p>
    <w:p w14:paraId="353E9BAC" w14:textId="77777777" w:rsidR="00F025AD" w:rsidRPr="00D556B8" w:rsidRDefault="00F025AD" w:rsidP="00F025AD">
      <w:pPr>
        <w:jc w:val="both"/>
        <w:rPr>
          <w:rFonts w:ascii="Palatino Linotype" w:eastAsia="Calibri" w:hAnsi="Palatino Linotype"/>
          <w:bCs/>
        </w:rPr>
      </w:pPr>
    </w:p>
    <w:p w14:paraId="3DE6E249" w14:textId="77777777" w:rsidR="00F025AD" w:rsidRDefault="00F025AD" w:rsidP="00F025AD">
      <w:pPr>
        <w:jc w:val="both"/>
        <w:rPr>
          <w:rFonts w:ascii="Palatino Linotype" w:eastAsia="Calibri" w:hAnsi="Palatino Linotype"/>
          <w:bCs/>
        </w:rPr>
      </w:pPr>
      <w:r w:rsidRPr="00D556B8">
        <w:rPr>
          <w:rFonts w:ascii="Palatino Linotype" w:eastAsia="Calibri" w:hAnsi="Palatino Linotype"/>
          <w:bCs/>
        </w:rPr>
        <w:t xml:space="preserve">To align existing schemes with the provisions of the new framework, each scheme will be inserted in one of the nine cells specified by </w:t>
      </w:r>
      <w:r>
        <w:rPr>
          <w:rFonts w:ascii="Palatino Linotype" w:eastAsia="Calibri" w:hAnsi="Palatino Linotype"/>
          <w:bCs/>
        </w:rPr>
        <w:t>SEBI</w:t>
      </w:r>
      <w:r w:rsidRPr="00D556B8">
        <w:rPr>
          <w:rFonts w:ascii="Palatino Linotype" w:eastAsia="Calibri" w:hAnsi="Palatino Linotype"/>
          <w:bCs/>
        </w:rPr>
        <w:t>, while retaining their existing scheme category as specified under ‘Categorisation and Rationalisation of Mutual Fund Schemes'.</w:t>
      </w:r>
    </w:p>
    <w:p w14:paraId="5D83EB53" w14:textId="77777777" w:rsidR="00F025AD" w:rsidRPr="00CB4C1E" w:rsidRDefault="00F025AD" w:rsidP="00F025AD">
      <w:pPr>
        <w:jc w:val="both"/>
        <w:rPr>
          <w:rFonts w:ascii="Palatino Linotype" w:eastAsia="Calibri" w:hAnsi="Palatino Linotype"/>
          <w:bCs/>
        </w:rPr>
      </w:pPr>
    </w:p>
    <w:p w14:paraId="28E7C311"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D556B8">
        <w:rPr>
          <w:rFonts w:ascii="Palatino Linotype" w:eastAsia="Calibri" w:hAnsi="Palatino Linotype"/>
          <w:bCs/>
          <w:i/>
          <w:iCs/>
        </w:rPr>
        <w:t xml:space="preserve">SEBI/HO/IMD/IMD-II DOF3/P/CIR/2021/573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07</w:t>
      </w:r>
      <w:r w:rsidRPr="001D431F">
        <w:rPr>
          <w:rFonts w:ascii="Palatino Linotype" w:eastAsia="Calibri" w:hAnsi="Palatino Linotype"/>
          <w:bCs/>
          <w:i/>
          <w:iCs/>
        </w:rPr>
        <w:t>, 2021</w:t>
      </w:r>
    </w:p>
    <w:p w14:paraId="5E333CF0" w14:textId="77777777" w:rsidR="00F025AD" w:rsidRDefault="00F025AD" w:rsidP="0060602C">
      <w:pPr>
        <w:contextualSpacing/>
        <w:jc w:val="both"/>
        <w:rPr>
          <w:rFonts w:ascii="Palatino Linotype" w:eastAsia="Calibri" w:hAnsi="Palatino Linotype"/>
          <w:b/>
          <w:bCs/>
        </w:rPr>
      </w:pPr>
    </w:p>
    <w:p w14:paraId="6EB5B440"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6. </w:t>
      </w:r>
      <w:r w:rsidRPr="007E2D8F">
        <w:rPr>
          <w:rFonts w:ascii="Palatino Linotype" w:eastAsia="Calibri" w:hAnsi="Palatino Linotype"/>
          <w:b/>
          <w:bCs/>
        </w:rPr>
        <w:t>Revised Framework for Regulatory Sandbox</w:t>
      </w:r>
    </w:p>
    <w:p w14:paraId="4BD0FF20" w14:textId="77777777" w:rsidR="00F025AD" w:rsidRDefault="00F025AD" w:rsidP="00F025AD">
      <w:pPr>
        <w:jc w:val="both"/>
        <w:rPr>
          <w:rFonts w:ascii="Palatino Linotype" w:eastAsia="Calibri" w:hAnsi="Palatino Linotype"/>
          <w:b/>
        </w:rPr>
      </w:pPr>
    </w:p>
    <w:p w14:paraId="2BD83C7A" w14:textId="77777777" w:rsidR="00F025AD" w:rsidRDefault="00F025AD" w:rsidP="00F025AD">
      <w:pPr>
        <w:jc w:val="both"/>
        <w:rPr>
          <w:rFonts w:ascii="Palatino Linotype" w:eastAsia="Calibri" w:hAnsi="Palatino Linotype"/>
          <w:bCs/>
        </w:rPr>
      </w:pPr>
      <w:r>
        <w:rPr>
          <w:rFonts w:ascii="Palatino Linotype" w:eastAsia="Calibri" w:hAnsi="Palatino Linotype"/>
          <w:bCs/>
        </w:rPr>
        <w:t>SEBI</w:t>
      </w:r>
      <w:r w:rsidRPr="002D27E3">
        <w:rPr>
          <w:rFonts w:ascii="Palatino Linotype" w:eastAsia="Calibri" w:hAnsi="Palatino Linotype"/>
          <w:bCs/>
        </w:rPr>
        <w:t xml:space="preserve"> </w:t>
      </w:r>
      <w:r>
        <w:rPr>
          <w:rFonts w:ascii="Palatino Linotype" w:eastAsia="Calibri" w:hAnsi="Palatino Linotype"/>
          <w:bCs/>
        </w:rPr>
        <w:t xml:space="preserve">has issued revised </w:t>
      </w:r>
      <w:r w:rsidRPr="002D27E3">
        <w:rPr>
          <w:rFonts w:ascii="Palatino Linotype" w:eastAsia="Calibri" w:hAnsi="Palatino Linotype"/>
          <w:bCs/>
        </w:rPr>
        <w:t>eligibility criteria for the regulatory sandbox, laying down requirements to apply for the two stages of sandbox testing.</w:t>
      </w:r>
      <w:r>
        <w:rPr>
          <w:rFonts w:ascii="Palatino Linotype" w:eastAsia="Calibri" w:hAnsi="Palatino Linotype"/>
          <w:bCs/>
        </w:rPr>
        <w:t xml:space="preserve">  </w:t>
      </w:r>
      <w:r w:rsidRPr="002D27E3">
        <w:rPr>
          <w:rFonts w:ascii="Palatino Linotype" w:eastAsia="Calibri" w:hAnsi="Palatino Linotype"/>
          <w:bCs/>
        </w:rPr>
        <w:t>The revision has been done in order to enhance the reach and achieve the desir</w:t>
      </w:r>
      <w:r>
        <w:rPr>
          <w:rFonts w:ascii="Palatino Linotype" w:eastAsia="Calibri" w:hAnsi="Palatino Linotype"/>
          <w:bCs/>
        </w:rPr>
        <w:t>ed aim</w:t>
      </w:r>
      <w:r w:rsidRPr="002D27E3">
        <w:rPr>
          <w:rFonts w:ascii="Palatino Linotype" w:eastAsia="Calibri" w:hAnsi="Palatino Linotype"/>
          <w:bCs/>
        </w:rPr>
        <w:t>.</w:t>
      </w:r>
    </w:p>
    <w:p w14:paraId="2194E399" w14:textId="77777777" w:rsidR="00F025AD" w:rsidRPr="00D556B8" w:rsidRDefault="00F025AD" w:rsidP="00F025AD">
      <w:pPr>
        <w:jc w:val="both"/>
        <w:rPr>
          <w:rFonts w:ascii="Palatino Linotype" w:eastAsia="Calibri" w:hAnsi="Palatino Linotype"/>
          <w:bCs/>
        </w:rPr>
      </w:pPr>
    </w:p>
    <w:p w14:paraId="67EC1ECD"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7E2D8F">
        <w:rPr>
          <w:rFonts w:ascii="Palatino Linotype" w:eastAsia="Calibri" w:hAnsi="Palatino Linotype"/>
          <w:bCs/>
          <w:i/>
          <w:iCs/>
        </w:rPr>
        <w:t>SEBI/HO/ITD/ITD/CIR/P/2021/575</w:t>
      </w:r>
      <w:r w:rsidRPr="00D556B8">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14</w:t>
      </w:r>
      <w:r w:rsidRPr="001D431F">
        <w:rPr>
          <w:rFonts w:ascii="Palatino Linotype" w:eastAsia="Calibri" w:hAnsi="Palatino Linotype"/>
          <w:bCs/>
          <w:i/>
          <w:iCs/>
        </w:rPr>
        <w:t>, 2021</w:t>
      </w:r>
    </w:p>
    <w:p w14:paraId="68667D7B" w14:textId="77777777" w:rsidR="00F025AD" w:rsidRDefault="00F025AD" w:rsidP="00F025AD">
      <w:pPr>
        <w:jc w:val="both"/>
        <w:rPr>
          <w:rFonts w:ascii="Palatino Linotype" w:eastAsia="Calibri" w:hAnsi="Palatino Linotype"/>
          <w:bCs/>
          <w:i/>
          <w:iCs/>
        </w:rPr>
      </w:pPr>
    </w:p>
    <w:p w14:paraId="3EE8BDD0"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7. Relaxation from the R</w:t>
      </w:r>
      <w:r w:rsidRPr="007E2D8F">
        <w:rPr>
          <w:rFonts w:ascii="Palatino Linotype" w:eastAsia="Calibri" w:hAnsi="Palatino Linotype"/>
          <w:b/>
          <w:bCs/>
        </w:rPr>
        <w:t xml:space="preserve">equirement of </w:t>
      </w:r>
      <w:r>
        <w:rPr>
          <w:rFonts w:ascii="Palatino Linotype" w:eastAsia="Calibri" w:hAnsi="Palatino Linotype"/>
          <w:b/>
          <w:bCs/>
        </w:rPr>
        <w:t>M</w:t>
      </w:r>
      <w:r w:rsidRPr="007E2D8F">
        <w:rPr>
          <w:rFonts w:ascii="Palatino Linotype" w:eastAsia="Calibri" w:hAnsi="Palatino Linotype"/>
          <w:b/>
          <w:bCs/>
        </w:rPr>
        <w:t xml:space="preserve">inimum </w:t>
      </w:r>
      <w:r>
        <w:rPr>
          <w:rFonts w:ascii="Palatino Linotype" w:eastAsia="Calibri" w:hAnsi="Palatino Linotype"/>
          <w:b/>
          <w:bCs/>
        </w:rPr>
        <w:t>V</w:t>
      </w:r>
      <w:r w:rsidRPr="007E2D8F">
        <w:rPr>
          <w:rFonts w:ascii="Palatino Linotype" w:eastAsia="Calibri" w:hAnsi="Palatino Linotype"/>
          <w:b/>
          <w:bCs/>
        </w:rPr>
        <w:t xml:space="preserve">esting </w:t>
      </w:r>
      <w:r>
        <w:rPr>
          <w:rFonts w:ascii="Palatino Linotype" w:eastAsia="Calibri" w:hAnsi="Palatino Linotype"/>
          <w:b/>
          <w:bCs/>
        </w:rPr>
        <w:t>P</w:t>
      </w:r>
      <w:r w:rsidRPr="007E2D8F">
        <w:rPr>
          <w:rFonts w:ascii="Palatino Linotype" w:eastAsia="Calibri" w:hAnsi="Palatino Linotype"/>
          <w:b/>
          <w:bCs/>
        </w:rPr>
        <w:t xml:space="preserve">eriod in case of </w:t>
      </w:r>
      <w:r>
        <w:rPr>
          <w:rFonts w:ascii="Palatino Linotype" w:eastAsia="Calibri" w:hAnsi="Palatino Linotype"/>
          <w:b/>
          <w:bCs/>
        </w:rPr>
        <w:t>D</w:t>
      </w:r>
      <w:r w:rsidRPr="007E2D8F">
        <w:rPr>
          <w:rFonts w:ascii="Palatino Linotype" w:eastAsia="Calibri" w:hAnsi="Palatino Linotype"/>
          <w:b/>
          <w:bCs/>
        </w:rPr>
        <w:t xml:space="preserve">eath of </w:t>
      </w:r>
      <w:r>
        <w:rPr>
          <w:rFonts w:ascii="Palatino Linotype" w:eastAsia="Calibri" w:hAnsi="Palatino Linotype"/>
          <w:b/>
          <w:bCs/>
        </w:rPr>
        <w:t>E</w:t>
      </w:r>
      <w:r w:rsidRPr="007E2D8F">
        <w:rPr>
          <w:rFonts w:ascii="Palatino Linotype" w:eastAsia="Calibri" w:hAnsi="Palatino Linotype"/>
          <w:b/>
          <w:bCs/>
        </w:rPr>
        <w:t>mployee(s) under SEBI (Share Based Employee Benefit) Regulations, 2014</w:t>
      </w:r>
    </w:p>
    <w:p w14:paraId="01C69E25" w14:textId="77777777" w:rsidR="00F025AD" w:rsidRDefault="00F025AD" w:rsidP="00F025AD">
      <w:pPr>
        <w:jc w:val="both"/>
        <w:rPr>
          <w:rFonts w:ascii="Palatino Linotype" w:eastAsia="Calibri" w:hAnsi="Palatino Linotype"/>
          <w:b/>
        </w:rPr>
      </w:pPr>
    </w:p>
    <w:p w14:paraId="3BADB327" w14:textId="77777777" w:rsidR="00F025AD" w:rsidRPr="00C90B22" w:rsidRDefault="00F025AD" w:rsidP="00F025AD">
      <w:pPr>
        <w:jc w:val="both"/>
        <w:rPr>
          <w:rFonts w:ascii="Palatino Linotype" w:eastAsia="Calibri" w:hAnsi="Palatino Linotype"/>
          <w:bCs/>
        </w:rPr>
      </w:pPr>
    </w:p>
    <w:p w14:paraId="11BEC47A" w14:textId="77777777" w:rsidR="00F025AD" w:rsidRPr="00C90B22" w:rsidRDefault="00F025AD" w:rsidP="00F025AD">
      <w:pPr>
        <w:jc w:val="both"/>
        <w:rPr>
          <w:rFonts w:ascii="Palatino Linotype" w:eastAsia="Calibri" w:hAnsi="Palatino Linotype"/>
          <w:bCs/>
        </w:rPr>
      </w:pPr>
      <w:r>
        <w:rPr>
          <w:rFonts w:ascii="Palatino Linotype" w:eastAsia="Calibri" w:hAnsi="Palatino Linotype"/>
          <w:bCs/>
        </w:rPr>
        <w:t xml:space="preserve">In view of the COVID-19 pandemic situation, SEBI </w:t>
      </w:r>
      <w:r w:rsidRPr="00C90B22">
        <w:rPr>
          <w:rFonts w:ascii="Palatino Linotype" w:eastAsia="Calibri" w:hAnsi="Palatino Linotype"/>
          <w:bCs/>
        </w:rPr>
        <w:t xml:space="preserve">has relaxed the vesting period requirement under </w:t>
      </w:r>
      <w:r>
        <w:rPr>
          <w:rFonts w:ascii="Palatino Linotype" w:eastAsia="Calibri" w:hAnsi="Palatino Linotype"/>
          <w:bCs/>
        </w:rPr>
        <w:t>SEBI (</w:t>
      </w:r>
      <w:r w:rsidRPr="00C90B22">
        <w:rPr>
          <w:rFonts w:ascii="Palatino Linotype" w:eastAsia="Calibri" w:hAnsi="Palatino Linotype"/>
          <w:bCs/>
        </w:rPr>
        <w:t>Share Based Employee Benefit</w:t>
      </w:r>
      <w:r>
        <w:rPr>
          <w:rFonts w:ascii="Palatino Linotype" w:eastAsia="Calibri" w:hAnsi="Palatino Linotype"/>
          <w:bCs/>
        </w:rPr>
        <w:t>)</w:t>
      </w:r>
      <w:r w:rsidRPr="00C90B22">
        <w:rPr>
          <w:rFonts w:ascii="Palatino Linotype" w:eastAsia="Calibri" w:hAnsi="Palatino Linotype"/>
          <w:bCs/>
        </w:rPr>
        <w:t xml:space="preserve"> Regulations, 2014</w:t>
      </w:r>
      <w:r>
        <w:rPr>
          <w:rFonts w:ascii="Palatino Linotype" w:eastAsia="Calibri" w:hAnsi="Palatino Linotype"/>
          <w:bCs/>
        </w:rPr>
        <w:t xml:space="preserve">,  </w:t>
      </w:r>
      <w:r w:rsidRPr="00C90B22">
        <w:rPr>
          <w:rFonts w:ascii="Palatino Linotype" w:eastAsia="Calibri" w:hAnsi="Palatino Linotype"/>
          <w:bCs/>
        </w:rPr>
        <w:t>(SBEB</w:t>
      </w:r>
      <w:r>
        <w:rPr>
          <w:rFonts w:ascii="Palatino Linotype" w:eastAsia="Calibri" w:hAnsi="Palatino Linotype"/>
          <w:bCs/>
        </w:rPr>
        <w:t xml:space="preserve"> Regulations</w:t>
      </w:r>
      <w:r w:rsidRPr="00C90B22">
        <w:rPr>
          <w:rFonts w:ascii="Palatino Linotype" w:eastAsia="Calibri" w:hAnsi="Palatino Linotype"/>
          <w:bCs/>
        </w:rPr>
        <w:t>), if an employee dies.</w:t>
      </w:r>
      <w:r>
        <w:rPr>
          <w:rFonts w:ascii="Palatino Linotype" w:eastAsia="Calibri" w:hAnsi="Palatino Linotype"/>
          <w:bCs/>
        </w:rPr>
        <w:t xml:space="preserve">  I</w:t>
      </w:r>
      <w:r w:rsidRPr="00C90B22">
        <w:rPr>
          <w:rFonts w:ascii="Palatino Linotype" w:eastAsia="Calibri" w:hAnsi="Palatino Linotype"/>
          <w:bCs/>
        </w:rPr>
        <w:t xml:space="preserve">n the event of death of the employee while in employment, all the options, </w:t>
      </w:r>
      <w:r>
        <w:rPr>
          <w:rFonts w:ascii="Palatino Linotype" w:eastAsia="Calibri" w:hAnsi="Palatino Linotype"/>
          <w:bCs/>
        </w:rPr>
        <w:t>s</w:t>
      </w:r>
      <w:r w:rsidRPr="00C90B22">
        <w:rPr>
          <w:rFonts w:ascii="Palatino Linotype" w:eastAsia="Calibri" w:hAnsi="Palatino Linotype"/>
          <w:bCs/>
        </w:rPr>
        <w:t xml:space="preserve">tock </w:t>
      </w:r>
      <w:r>
        <w:rPr>
          <w:rFonts w:ascii="Palatino Linotype" w:eastAsia="Calibri" w:hAnsi="Palatino Linotype"/>
          <w:bCs/>
        </w:rPr>
        <w:t>a</w:t>
      </w:r>
      <w:r w:rsidRPr="00C90B22">
        <w:rPr>
          <w:rFonts w:ascii="Palatino Linotype" w:eastAsia="Calibri" w:hAnsi="Palatino Linotype"/>
          <w:bCs/>
        </w:rPr>
        <w:t xml:space="preserve">ppreciation </w:t>
      </w:r>
      <w:r>
        <w:rPr>
          <w:rFonts w:ascii="Palatino Linotype" w:eastAsia="Calibri" w:hAnsi="Palatino Linotype"/>
          <w:bCs/>
        </w:rPr>
        <w:t>r</w:t>
      </w:r>
      <w:r w:rsidRPr="00C90B22">
        <w:rPr>
          <w:rFonts w:ascii="Palatino Linotype" w:eastAsia="Calibri" w:hAnsi="Palatino Linotype"/>
          <w:bCs/>
        </w:rPr>
        <w:t>ights,  or any other benefit granted to an employee under a scheme till such date shall vest in the legal heirs or nominees of the deceased employee.</w:t>
      </w:r>
    </w:p>
    <w:p w14:paraId="5E84369D" w14:textId="77777777" w:rsidR="00F025AD" w:rsidRPr="00C90B22" w:rsidRDefault="00F025AD" w:rsidP="00F025AD">
      <w:pPr>
        <w:jc w:val="both"/>
        <w:rPr>
          <w:rFonts w:ascii="Palatino Linotype" w:eastAsia="Calibri" w:hAnsi="Palatino Linotype"/>
          <w:bCs/>
        </w:rPr>
      </w:pPr>
    </w:p>
    <w:p w14:paraId="11300B04" w14:textId="77777777" w:rsidR="00F025AD" w:rsidRDefault="00F025AD" w:rsidP="00F025AD">
      <w:pPr>
        <w:jc w:val="both"/>
        <w:rPr>
          <w:rFonts w:ascii="Palatino Linotype" w:eastAsia="Calibri" w:hAnsi="Palatino Linotype"/>
          <w:bCs/>
        </w:rPr>
      </w:pPr>
      <w:r w:rsidRPr="00C90B22">
        <w:rPr>
          <w:rFonts w:ascii="Palatino Linotype" w:eastAsia="Calibri" w:hAnsi="Palatino Linotype"/>
          <w:bCs/>
        </w:rPr>
        <w:t xml:space="preserve">The relaxation will be available to all such employees, who </w:t>
      </w:r>
      <w:r>
        <w:rPr>
          <w:rFonts w:ascii="Palatino Linotype" w:eastAsia="Calibri" w:hAnsi="Palatino Linotype"/>
          <w:bCs/>
        </w:rPr>
        <w:t>died on or after April 1, 2020.</w:t>
      </w:r>
    </w:p>
    <w:p w14:paraId="7B235418" w14:textId="77777777" w:rsidR="00F025AD" w:rsidRPr="00D556B8" w:rsidRDefault="00F025AD" w:rsidP="00F025AD">
      <w:pPr>
        <w:jc w:val="both"/>
        <w:rPr>
          <w:rFonts w:ascii="Palatino Linotype" w:eastAsia="Calibri" w:hAnsi="Palatino Linotype"/>
          <w:bCs/>
        </w:rPr>
      </w:pPr>
    </w:p>
    <w:p w14:paraId="155E0D0A"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7E2D8F">
        <w:rPr>
          <w:rFonts w:ascii="Palatino Linotype" w:eastAsia="Calibri" w:hAnsi="Palatino Linotype"/>
          <w:bCs/>
          <w:i/>
          <w:iCs/>
        </w:rPr>
        <w:t>SEBI/HO/CFD/DCR2/CIR/P/2021/576</w:t>
      </w:r>
      <w:r w:rsidRPr="00D556B8">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15</w:t>
      </w:r>
      <w:r w:rsidRPr="001D431F">
        <w:rPr>
          <w:rFonts w:ascii="Palatino Linotype" w:eastAsia="Calibri" w:hAnsi="Palatino Linotype"/>
          <w:bCs/>
          <w:i/>
          <w:iCs/>
        </w:rPr>
        <w:t>, 2021</w:t>
      </w:r>
    </w:p>
    <w:p w14:paraId="5426F6E6" w14:textId="77777777" w:rsidR="00F025AD" w:rsidRDefault="00F025AD" w:rsidP="00F025AD">
      <w:pPr>
        <w:jc w:val="both"/>
        <w:rPr>
          <w:rFonts w:ascii="Palatino Linotype" w:eastAsia="Calibri" w:hAnsi="Palatino Linotype"/>
          <w:bCs/>
          <w:i/>
          <w:iCs/>
        </w:rPr>
      </w:pPr>
    </w:p>
    <w:p w14:paraId="75DAAD38" w14:textId="77777777" w:rsidR="00F025AD" w:rsidRPr="007E2D8F"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8. </w:t>
      </w:r>
      <w:r w:rsidRPr="007E2D8F">
        <w:rPr>
          <w:rFonts w:ascii="Palatino Linotype" w:eastAsia="Calibri" w:hAnsi="Palatino Linotype"/>
          <w:b/>
          <w:bCs/>
        </w:rPr>
        <w:t xml:space="preserve">Settlement of Running Account of Client’s Funds lying with Trading Member </w:t>
      </w:r>
    </w:p>
    <w:p w14:paraId="61342B1D" w14:textId="77777777" w:rsidR="00F025AD" w:rsidRDefault="00F025AD" w:rsidP="00F025AD">
      <w:pPr>
        <w:jc w:val="both"/>
        <w:rPr>
          <w:rFonts w:ascii="Palatino Linotype" w:eastAsia="Calibri" w:hAnsi="Palatino Linotype"/>
          <w:b/>
        </w:rPr>
      </w:pPr>
    </w:p>
    <w:p w14:paraId="2966D56C" w14:textId="77777777" w:rsidR="00F025AD" w:rsidRPr="00C90B22" w:rsidRDefault="00F025AD" w:rsidP="00F025AD">
      <w:pPr>
        <w:jc w:val="both"/>
        <w:rPr>
          <w:rFonts w:ascii="Palatino Linotype" w:eastAsia="Calibri" w:hAnsi="Palatino Linotype"/>
          <w:bCs/>
        </w:rPr>
      </w:pPr>
      <w:r>
        <w:rPr>
          <w:rFonts w:ascii="Palatino Linotype" w:eastAsia="Calibri" w:hAnsi="Palatino Linotype"/>
          <w:bCs/>
        </w:rPr>
        <w:t>In partial modification of the aforementioned circulars dated December 03, 2009 and September 26, 2016 on settlement of running account, it was decided that t</w:t>
      </w:r>
      <w:r w:rsidRPr="00C90B22">
        <w:rPr>
          <w:rFonts w:ascii="Palatino Linotype" w:eastAsia="Calibri" w:hAnsi="Palatino Linotype"/>
          <w:bCs/>
        </w:rPr>
        <w:t xml:space="preserve">he settlement of running account of funds of the client shall be done by the </w:t>
      </w:r>
      <w:r>
        <w:rPr>
          <w:rFonts w:ascii="Palatino Linotype" w:eastAsia="Calibri" w:hAnsi="Palatino Linotype"/>
          <w:bCs/>
        </w:rPr>
        <w:t>trading member (</w:t>
      </w:r>
      <w:r w:rsidRPr="00C90B22">
        <w:rPr>
          <w:rFonts w:ascii="Palatino Linotype" w:eastAsia="Calibri" w:hAnsi="Palatino Linotype"/>
          <w:bCs/>
        </w:rPr>
        <w:t>TM</w:t>
      </w:r>
      <w:r>
        <w:rPr>
          <w:rFonts w:ascii="Palatino Linotype" w:eastAsia="Calibri" w:hAnsi="Palatino Linotype"/>
          <w:bCs/>
        </w:rPr>
        <w:t xml:space="preserve">) </w:t>
      </w:r>
      <w:r w:rsidRPr="00C90B22">
        <w:rPr>
          <w:rFonts w:ascii="Palatino Linotype" w:eastAsia="Calibri" w:hAnsi="Palatino Linotype"/>
          <w:bCs/>
        </w:rPr>
        <w:t xml:space="preserve"> after considering the </w:t>
      </w:r>
      <w:r>
        <w:rPr>
          <w:rFonts w:ascii="Palatino Linotype" w:eastAsia="Calibri" w:hAnsi="Palatino Linotype"/>
          <w:bCs/>
        </w:rPr>
        <w:t>e</w:t>
      </w:r>
      <w:r w:rsidRPr="00C90B22">
        <w:rPr>
          <w:rFonts w:ascii="Palatino Linotype" w:eastAsia="Calibri" w:hAnsi="Palatino Linotype"/>
          <w:bCs/>
        </w:rPr>
        <w:t xml:space="preserve">nd of the day  obligation of funds as on the date of settlement across all the </w:t>
      </w:r>
      <w:r>
        <w:rPr>
          <w:rFonts w:ascii="Palatino Linotype" w:eastAsia="Calibri" w:hAnsi="Palatino Linotype"/>
          <w:bCs/>
        </w:rPr>
        <w:t>e</w:t>
      </w:r>
      <w:r w:rsidRPr="00C90B22">
        <w:rPr>
          <w:rFonts w:ascii="Palatino Linotype" w:eastAsia="Calibri" w:hAnsi="Palatino Linotype"/>
          <w:bCs/>
        </w:rPr>
        <w:t>xchanges, at least once within a gap of 30/90 days between two settlements of running account as per the preference of the client.</w:t>
      </w:r>
    </w:p>
    <w:p w14:paraId="69165A90" w14:textId="77777777" w:rsidR="00F025AD" w:rsidRPr="00C90B22" w:rsidRDefault="00F025AD" w:rsidP="00F025AD">
      <w:pPr>
        <w:jc w:val="both"/>
        <w:rPr>
          <w:rFonts w:ascii="Palatino Linotype" w:eastAsia="Calibri" w:hAnsi="Palatino Linotype"/>
          <w:bCs/>
        </w:rPr>
      </w:pPr>
    </w:p>
    <w:p w14:paraId="199D2759" w14:textId="77777777" w:rsidR="00F025AD" w:rsidRPr="00A66484" w:rsidRDefault="00F025AD" w:rsidP="00F025AD">
      <w:pPr>
        <w:jc w:val="both"/>
        <w:rPr>
          <w:rFonts w:ascii="Palatino Linotype" w:hAnsi="Palatino Linotype"/>
          <w:lang w:val="en-IN" w:eastAsia="en-IN" w:bidi="hi-IN"/>
        </w:rPr>
      </w:pPr>
      <w:r w:rsidRPr="00A66484">
        <w:rPr>
          <w:rFonts w:ascii="Palatino Linotype" w:hAnsi="Palatino Linotype"/>
        </w:rPr>
        <w:t>In case of client having any outstanding trade position on the day on which settlement of running account of funds is scheduled, a TM may retain funds calculated in the manner specified.</w:t>
      </w:r>
    </w:p>
    <w:p w14:paraId="3CFB3D6D" w14:textId="77777777" w:rsidR="00F025AD" w:rsidRPr="00D556B8" w:rsidRDefault="00F025AD" w:rsidP="00F025AD">
      <w:pPr>
        <w:jc w:val="both"/>
        <w:rPr>
          <w:rFonts w:ascii="Palatino Linotype" w:eastAsia="Calibri" w:hAnsi="Palatino Linotype"/>
          <w:bCs/>
        </w:rPr>
      </w:pPr>
    </w:p>
    <w:p w14:paraId="0D704C01"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7E2D8F">
        <w:rPr>
          <w:rFonts w:ascii="Palatino Linotype" w:eastAsia="Calibri" w:hAnsi="Palatino Linotype"/>
          <w:bCs/>
          <w:i/>
          <w:iCs/>
        </w:rPr>
        <w:t>SEBI/HO/MIRSD/DOP/P/CIR/2021/577</w:t>
      </w:r>
      <w:r w:rsidRPr="00D556B8">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16</w:t>
      </w:r>
      <w:r w:rsidRPr="001D431F">
        <w:rPr>
          <w:rFonts w:ascii="Palatino Linotype" w:eastAsia="Calibri" w:hAnsi="Palatino Linotype"/>
          <w:bCs/>
          <w:i/>
          <w:iCs/>
        </w:rPr>
        <w:t>, 2021</w:t>
      </w:r>
    </w:p>
    <w:p w14:paraId="282067D4" w14:textId="77777777" w:rsidR="00F025AD" w:rsidRDefault="00F025AD" w:rsidP="00F025AD">
      <w:pPr>
        <w:jc w:val="both"/>
        <w:rPr>
          <w:rFonts w:ascii="Palatino Linotype" w:eastAsia="Calibri" w:hAnsi="Palatino Linotype"/>
          <w:bCs/>
          <w:i/>
          <w:iCs/>
        </w:rPr>
      </w:pPr>
    </w:p>
    <w:p w14:paraId="7E3C02F5"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 xml:space="preserve">9. </w:t>
      </w:r>
      <w:r w:rsidRPr="007E2D8F">
        <w:rPr>
          <w:rFonts w:ascii="Palatino Linotype" w:eastAsia="Calibri" w:hAnsi="Palatino Linotype"/>
          <w:b/>
          <w:bCs/>
        </w:rPr>
        <w:t>Automation of Continual Disclosures under Regulation 7(2) of SEBI (Prohibition of Insider Trading) Regulations, 2015 - System Driven Disclosures for inclusion of listed Debt Securities</w:t>
      </w:r>
    </w:p>
    <w:p w14:paraId="5F4A7420" w14:textId="77777777" w:rsidR="00F025AD" w:rsidRDefault="00F025AD" w:rsidP="00F025AD">
      <w:pPr>
        <w:jc w:val="both"/>
        <w:rPr>
          <w:rFonts w:ascii="Palatino Linotype" w:eastAsia="Calibri" w:hAnsi="Palatino Linotype"/>
          <w:b/>
        </w:rPr>
      </w:pPr>
    </w:p>
    <w:p w14:paraId="4655EB08" w14:textId="77777777" w:rsidR="00F025AD" w:rsidRPr="00282702" w:rsidRDefault="00F025AD" w:rsidP="00F025AD">
      <w:pPr>
        <w:jc w:val="both"/>
        <w:rPr>
          <w:rFonts w:ascii="Palatino Linotype" w:eastAsia="Calibri" w:hAnsi="Palatino Linotype"/>
          <w:bCs/>
        </w:rPr>
      </w:pPr>
      <w:r>
        <w:rPr>
          <w:rFonts w:ascii="Palatino Linotype" w:eastAsia="Calibri" w:hAnsi="Palatino Linotype"/>
          <w:bCs/>
        </w:rPr>
        <w:t xml:space="preserve">The </w:t>
      </w:r>
      <w:r w:rsidRPr="00282702">
        <w:rPr>
          <w:rFonts w:ascii="Palatino Linotype" w:eastAsia="Calibri" w:hAnsi="Palatino Linotype"/>
          <w:bCs/>
        </w:rPr>
        <w:t xml:space="preserve">listed companies' promoters and directors' dealings in listed debt securities </w:t>
      </w:r>
      <w:r>
        <w:rPr>
          <w:rFonts w:ascii="Palatino Linotype" w:eastAsia="Calibri" w:hAnsi="Palatino Linotype"/>
          <w:bCs/>
        </w:rPr>
        <w:t xml:space="preserve">were included </w:t>
      </w:r>
      <w:r w:rsidRPr="00282702">
        <w:rPr>
          <w:rFonts w:ascii="Palatino Linotype" w:eastAsia="Calibri" w:hAnsi="Palatino Linotype"/>
          <w:bCs/>
        </w:rPr>
        <w:t>under the purview of system driven disclosures</w:t>
      </w:r>
      <w:r>
        <w:rPr>
          <w:rFonts w:ascii="Palatino Linotype" w:eastAsia="Calibri" w:hAnsi="Palatino Linotype"/>
          <w:bCs/>
        </w:rPr>
        <w:t xml:space="preserve"> for members of promoter group and designated person(s) in addition to the promoter(s) and director(s) of the company</w:t>
      </w:r>
      <w:r w:rsidRPr="00282702">
        <w:rPr>
          <w:rFonts w:ascii="Palatino Linotype" w:eastAsia="Calibri" w:hAnsi="Palatino Linotype"/>
          <w:bCs/>
        </w:rPr>
        <w:t>.</w:t>
      </w:r>
    </w:p>
    <w:p w14:paraId="692671F6" w14:textId="77777777" w:rsidR="00F025AD" w:rsidRDefault="00F025AD" w:rsidP="00F025AD">
      <w:pPr>
        <w:jc w:val="both"/>
        <w:rPr>
          <w:rFonts w:ascii="Palatino Linotype" w:eastAsia="Calibri" w:hAnsi="Palatino Linotype"/>
          <w:bCs/>
        </w:rPr>
      </w:pPr>
    </w:p>
    <w:p w14:paraId="02EEE554" w14:textId="77777777" w:rsidR="00F025AD" w:rsidRPr="00282702" w:rsidRDefault="00F025AD" w:rsidP="00F025AD">
      <w:pPr>
        <w:jc w:val="both"/>
        <w:rPr>
          <w:rFonts w:ascii="Palatino Linotype" w:eastAsia="Calibri" w:hAnsi="Palatino Linotype"/>
          <w:bCs/>
        </w:rPr>
      </w:pPr>
      <w:r w:rsidRPr="00282702">
        <w:rPr>
          <w:rFonts w:ascii="Palatino Linotype" w:eastAsia="Calibri" w:hAnsi="Palatino Linotype"/>
          <w:bCs/>
        </w:rPr>
        <w:t xml:space="preserve">The stock exchanges and depositories will </w:t>
      </w:r>
      <w:r>
        <w:rPr>
          <w:rFonts w:ascii="Palatino Linotype" w:eastAsia="Calibri" w:hAnsi="Palatino Linotype"/>
          <w:bCs/>
        </w:rPr>
        <w:t xml:space="preserve">have to </w:t>
      </w:r>
      <w:r w:rsidRPr="00282702">
        <w:rPr>
          <w:rFonts w:ascii="Palatino Linotype" w:eastAsia="Calibri" w:hAnsi="Palatino Linotype"/>
          <w:bCs/>
        </w:rPr>
        <w:t xml:space="preserve">make necessary arrangements so that disclosures pertaining to listed debt securities along with equity shares and equity derivative instruments are disseminated on the websites of respective bourses from </w:t>
      </w:r>
      <w:r>
        <w:rPr>
          <w:rFonts w:ascii="Palatino Linotype" w:eastAsia="Calibri" w:hAnsi="Palatino Linotype"/>
          <w:bCs/>
        </w:rPr>
        <w:t>July 1, 2021.</w:t>
      </w:r>
    </w:p>
    <w:p w14:paraId="21E07DC4" w14:textId="77777777" w:rsidR="00F025AD" w:rsidRPr="00282702" w:rsidRDefault="00F025AD" w:rsidP="00F025AD">
      <w:pPr>
        <w:jc w:val="both"/>
        <w:rPr>
          <w:rFonts w:ascii="Palatino Linotype" w:eastAsia="Calibri" w:hAnsi="Palatino Linotype"/>
          <w:bCs/>
        </w:rPr>
      </w:pPr>
    </w:p>
    <w:p w14:paraId="3C458F2A"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7E2D8F">
        <w:rPr>
          <w:rFonts w:ascii="Palatino Linotype" w:eastAsia="Calibri" w:hAnsi="Palatino Linotype"/>
          <w:bCs/>
          <w:i/>
          <w:iCs/>
        </w:rPr>
        <w:t>SEBI/HO/ISD/ISD/CIR/P/2021/578</w:t>
      </w:r>
      <w:r w:rsidRPr="00D556B8">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16</w:t>
      </w:r>
      <w:r w:rsidRPr="001D431F">
        <w:rPr>
          <w:rFonts w:ascii="Palatino Linotype" w:eastAsia="Calibri" w:hAnsi="Palatino Linotype"/>
          <w:bCs/>
          <w:i/>
          <w:iCs/>
        </w:rPr>
        <w:t>, 2021</w:t>
      </w:r>
    </w:p>
    <w:p w14:paraId="53920943" w14:textId="77777777" w:rsidR="00F025AD" w:rsidRDefault="00F025AD" w:rsidP="00F025AD">
      <w:pPr>
        <w:jc w:val="both"/>
        <w:rPr>
          <w:rFonts w:ascii="Palatino Linotype" w:eastAsia="Calibri" w:hAnsi="Palatino Linotype"/>
          <w:bCs/>
          <w:i/>
          <w:iCs/>
        </w:rPr>
      </w:pPr>
    </w:p>
    <w:p w14:paraId="247A225D"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10. Framework for A</w:t>
      </w:r>
      <w:r w:rsidRPr="007E2D8F">
        <w:rPr>
          <w:rFonts w:ascii="Palatino Linotype" w:eastAsia="Calibri" w:hAnsi="Palatino Linotype"/>
          <w:b/>
          <w:bCs/>
        </w:rPr>
        <w:t xml:space="preserve">dministration and </w:t>
      </w:r>
      <w:r>
        <w:rPr>
          <w:rFonts w:ascii="Palatino Linotype" w:eastAsia="Calibri" w:hAnsi="Palatino Linotype"/>
          <w:b/>
          <w:bCs/>
        </w:rPr>
        <w:t>S</w:t>
      </w:r>
      <w:r w:rsidRPr="007E2D8F">
        <w:rPr>
          <w:rFonts w:ascii="Palatino Linotype" w:eastAsia="Calibri" w:hAnsi="Palatino Linotype"/>
          <w:b/>
          <w:bCs/>
        </w:rPr>
        <w:t>upervision of Investment Advisers under the SEBI (Investment Advisers) Regulations, 2013</w:t>
      </w:r>
    </w:p>
    <w:p w14:paraId="7C850726" w14:textId="77777777" w:rsidR="00F025AD" w:rsidRDefault="00F025AD" w:rsidP="00F025AD">
      <w:pPr>
        <w:jc w:val="both"/>
        <w:rPr>
          <w:rFonts w:ascii="Palatino Linotype" w:eastAsia="Calibri" w:hAnsi="Palatino Linotype"/>
          <w:b/>
        </w:rPr>
      </w:pPr>
    </w:p>
    <w:p w14:paraId="167033F2" w14:textId="77777777" w:rsidR="00F025AD" w:rsidRPr="00737710" w:rsidRDefault="00F025AD" w:rsidP="00F025AD">
      <w:pPr>
        <w:jc w:val="both"/>
        <w:rPr>
          <w:rFonts w:ascii="Palatino Linotype" w:eastAsia="Calibri" w:hAnsi="Palatino Linotype"/>
          <w:bCs/>
        </w:rPr>
      </w:pPr>
    </w:p>
    <w:p w14:paraId="69857732" w14:textId="1787DDE8" w:rsidR="00F025AD" w:rsidRPr="00737710" w:rsidRDefault="00F025AD" w:rsidP="00F025AD">
      <w:pPr>
        <w:jc w:val="both"/>
        <w:rPr>
          <w:rFonts w:ascii="Palatino Linotype" w:eastAsia="Calibri" w:hAnsi="Palatino Linotype"/>
          <w:bCs/>
        </w:rPr>
      </w:pPr>
      <w:r w:rsidRPr="00737710">
        <w:rPr>
          <w:rFonts w:ascii="Palatino Linotype" w:eastAsia="Calibri" w:hAnsi="Palatino Linotype"/>
          <w:bCs/>
        </w:rPr>
        <w:t xml:space="preserve">SEBI has appointed BSE Administration &amp; Supervision Limited (BASL), a wholly-owned subsidiary of BSE </w:t>
      </w:r>
      <w:r w:rsidR="007D4F15">
        <w:rPr>
          <w:rFonts w:ascii="Palatino Linotype" w:eastAsia="Calibri" w:hAnsi="Palatino Linotype"/>
          <w:bCs/>
        </w:rPr>
        <w:t>Ltd</w:t>
      </w:r>
      <w:r w:rsidR="007D4F15" w:rsidRPr="00737710">
        <w:rPr>
          <w:rFonts w:ascii="Palatino Linotype" w:eastAsia="Calibri" w:hAnsi="Palatino Linotype"/>
          <w:bCs/>
        </w:rPr>
        <w:t xml:space="preserve"> </w:t>
      </w:r>
      <w:r w:rsidRPr="00737710">
        <w:rPr>
          <w:rFonts w:ascii="Palatino Linotype" w:eastAsia="Calibri" w:hAnsi="Palatino Linotype"/>
          <w:bCs/>
        </w:rPr>
        <w:t xml:space="preserve">as Investment Adviser Administration and Supervisory Body </w:t>
      </w:r>
      <w:r>
        <w:rPr>
          <w:rFonts w:ascii="Palatino Linotype" w:eastAsia="Calibri" w:hAnsi="Palatino Linotype"/>
          <w:bCs/>
        </w:rPr>
        <w:t>(</w:t>
      </w:r>
      <w:r w:rsidRPr="00737710">
        <w:rPr>
          <w:rFonts w:ascii="Palatino Linotype" w:eastAsia="Calibri" w:hAnsi="Palatino Linotype"/>
          <w:bCs/>
        </w:rPr>
        <w:t>IAASB</w:t>
      </w:r>
      <w:r>
        <w:rPr>
          <w:rFonts w:ascii="Palatino Linotype" w:eastAsia="Calibri" w:hAnsi="Palatino Linotype"/>
          <w:bCs/>
        </w:rPr>
        <w:t>)</w:t>
      </w:r>
      <w:r w:rsidRPr="00737710">
        <w:rPr>
          <w:rFonts w:ascii="Palatino Linotype" w:eastAsia="Calibri" w:hAnsi="Palatino Linotype"/>
          <w:bCs/>
        </w:rPr>
        <w:t xml:space="preserve"> for a period of three years from June 01, 2021.</w:t>
      </w:r>
    </w:p>
    <w:p w14:paraId="403AA06A" w14:textId="77777777" w:rsidR="00F025AD" w:rsidRPr="00737710" w:rsidRDefault="00F025AD" w:rsidP="00F025AD">
      <w:pPr>
        <w:jc w:val="both"/>
        <w:rPr>
          <w:rFonts w:ascii="Palatino Linotype" w:eastAsia="Calibri" w:hAnsi="Palatino Linotype"/>
          <w:bCs/>
        </w:rPr>
      </w:pPr>
    </w:p>
    <w:p w14:paraId="2428E7E3" w14:textId="6F83C97C" w:rsidR="00F025AD" w:rsidRPr="00737710" w:rsidRDefault="00F025AD" w:rsidP="00F025AD">
      <w:pPr>
        <w:jc w:val="both"/>
        <w:rPr>
          <w:rFonts w:ascii="Palatino Linotype" w:eastAsia="Calibri" w:hAnsi="Palatino Linotype"/>
          <w:bCs/>
        </w:rPr>
      </w:pPr>
      <w:r w:rsidRPr="00737710">
        <w:rPr>
          <w:rFonts w:ascii="Palatino Linotype" w:eastAsia="Calibri" w:hAnsi="Palatino Linotype"/>
          <w:bCs/>
        </w:rPr>
        <w:t>IAASB responsibilities include supervision of</w:t>
      </w:r>
      <w:r>
        <w:rPr>
          <w:rFonts w:ascii="Palatino Linotype" w:eastAsia="Calibri" w:hAnsi="Palatino Linotype"/>
          <w:bCs/>
        </w:rPr>
        <w:t xml:space="preserve"> investment advisers (</w:t>
      </w:r>
      <w:r w:rsidRPr="00737710">
        <w:rPr>
          <w:rFonts w:ascii="Palatino Linotype" w:eastAsia="Calibri" w:hAnsi="Palatino Linotype"/>
          <w:bCs/>
        </w:rPr>
        <w:t>IAs</w:t>
      </w:r>
      <w:r>
        <w:rPr>
          <w:rFonts w:ascii="Palatino Linotype" w:eastAsia="Calibri" w:hAnsi="Palatino Linotype"/>
          <w:bCs/>
        </w:rPr>
        <w:t>)</w:t>
      </w:r>
      <w:r w:rsidRPr="00737710">
        <w:rPr>
          <w:rFonts w:ascii="Palatino Linotype" w:eastAsia="Calibri" w:hAnsi="Palatino Linotype"/>
          <w:bCs/>
        </w:rPr>
        <w:t xml:space="preserve">, grievance redressal </w:t>
      </w:r>
      <w:r w:rsidR="005B2091">
        <w:rPr>
          <w:rFonts w:ascii="Palatino Linotype" w:eastAsia="Calibri" w:hAnsi="Palatino Linotype"/>
          <w:bCs/>
        </w:rPr>
        <w:t xml:space="preserve">of clients and </w:t>
      </w:r>
      <w:r w:rsidR="005B2091" w:rsidRPr="00737710">
        <w:rPr>
          <w:rFonts w:ascii="Palatino Linotype" w:eastAsia="Calibri" w:hAnsi="Palatino Linotype"/>
          <w:bCs/>
        </w:rPr>
        <w:t>IAs</w:t>
      </w:r>
      <w:r w:rsidRPr="00737710">
        <w:rPr>
          <w:rFonts w:ascii="Palatino Linotype" w:eastAsia="Calibri" w:hAnsi="Palatino Linotype"/>
          <w:bCs/>
        </w:rPr>
        <w:t xml:space="preserve">, monitoring activities </w:t>
      </w:r>
      <w:r w:rsidR="005B2091">
        <w:rPr>
          <w:rFonts w:ascii="Palatino Linotype" w:eastAsia="Calibri" w:hAnsi="Palatino Linotype"/>
          <w:bCs/>
        </w:rPr>
        <w:t xml:space="preserve">of </w:t>
      </w:r>
      <w:r w:rsidRPr="00737710">
        <w:rPr>
          <w:rFonts w:ascii="Palatino Linotype" w:eastAsia="Calibri" w:hAnsi="Palatino Linotype"/>
          <w:bCs/>
        </w:rPr>
        <w:t>IAs</w:t>
      </w:r>
      <w:r w:rsidR="005B2091">
        <w:rPr>
          <w:rFonts w:ascii="Palatino Linotype" w:eastAsia="Calibri" w:hAnsi="Palatino Linotype"/>
          <w:bCs/>
        </w:rPr>
        <w:t xml:space="preserve">, </w:t>
      </w:r>
      <w:r w:rsidRPr="00737710">
        <w:rPr>
          <w:rFonts w:ascii="Palatino Linotype" w:eastAsia="Calibri" w:hAnsi="Palatino Linotype"/>
          <w:bCs/>
        </w:rPr>
        <w:t>maintenance of IAs database</w:t>
      </w:r>
      <w:r w:rsidR="005B2091">
        <w:rPr>
          <w:rFonts w:ascii="Palatino Linotype" w:eastAsia="Calibri" w:hAnsi="Palatino Linotype"/>
          <w:bCs/>
        </w:rPr>
        <w:t>, submission of periodical reports to SEBI, taking administrative action and referring to SEBI for enforcement action.</w:t>
      </w:r>
      <w:r w:rsidRPr="00737710">
        <w:rPr>
          <w:rFonts w:ascii="Palatino Linotype" w:eastAsia="Calibri" w:hAnsi="Palatino Linotype"/>
          <w:bCs/>
        </w:rPr>
        <w:t xml:space="preserve"> </w:t>
      </w:r>
    </w:p>
    <w:p w14:paraId="5054C016" w14:textId="77777777" w:rsidR="00F025AD" w:rsidRPr="00737710" w:rsidRDefault="00F025AD" w:rsidP="00F025AD">
      <w:pPr>
        <w:jc w:val="both"/>
        <w:rPr>
          <w:rFonts w:ascii="Palatino Linotype" w:eastAsia="Calibri" w:hAnsi="Palatino Linotype"/>
          <w:bCs/>
        </w:rPr>
      </w:pPr>
    </w:p>
    <w:p w14:paraId="5E59F6EA" w14:textId="77777777" w:rsidR="00F025AD" w:rsidRPr="00D556B8" w:rsidRDefault="00F025AD" w:rsidP="00F025AD">
      <w:pPr>
        <w:jc w:val="both"/>
        <w:rPr>
          <w:rFonts w:ascii="Palatino Linotype" w:eastAsia="Calibri" w:hAnsi="Palatino Linotype"/>
          <w:bCs/>
        </w:rPr>
      </w:pPr>
    </w:p>
    <w:p w14:paraId="3C625091"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7E2D8F">
        <w:rPr>
          <w:rFonts w:ascii="Palatino Linotype" w:eastAsia="Calibri" w:hAnsi="Palatino Linotype"/>
          <w:bCs/>
          <w:i/>
          <w:iCs/>
        </w:rPr>
        <w:t>SEBI/HO/IMD/IMD-I/DOF1/P/CIR/2021/579</w:t>
      </w:r>
      <w:r w:rsidRPr="00D556B8">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18</w:t>
      </w:r>
      <w:r w:rsidRPr="001D431F">
        <w:rPr>
          <w:rFonts w:ascii="Palatino Linotype" w:eastAsia="Calibri" w:hAnsi="Palatino Linotype"/>
          <w:bCs/>
          <w:i/>
          <w:iCs/>
        </w:rPr>
        <w:t>, 2021</w:t>
      </w:r>
    </w:p>
    <w:p w14:paraId="22B9912F" w14:textId="77777777" w:rsidR="00F025AD" w:rsidRDefault="00F025AD" w:rsidP="00F025AD">
      <w:pPr>
        <w:jc w:val="both"/>
        <w:rPr>
          <w:rFonts w:ascii="Palatino Linotype" w:eastAsia="Calibri" w:hAnsi="Palatino Linotype"/>
          <w:bCs/>
          <w:i/>
          <w:iCs/>
        </w:rPr>
      </w:pPr>
    </w:p>
    <w:p w14:paraId="44038EFE" w14:textId="77777777" w:rsidR="00F025AD" w:rsidRDefault="00F025AD" w:rsidP="00F025AD">
      <w:pPr>
        <w:contextualSpacing/>
        <w:jc w:val="both"/>
        <w:rPr>
          <w:rFonts w:ascii="Palatino Linotype" w:eastAsia="Calibri" w:hAnsi="Palatino Linotype"/>
          <w:b/>
          <w:bCs/>
        </w:rPr>
      </w:pPr>
      <w:r>
        <w:rPr>
          <w:rFonts w:ascii="Palatino Linotype" w:eastAsia="Calibri" w:hAnsi="Palatino Linotype"/>
          <w:b/>
          <w:bCs/>
        </w:rPr>
        <w:t>11. Norms for I</w:t>
      </w:r>
      <w:r w:rsidRPr="007E2D8F">
        <w:rPr>
          <w:rFonts w:ascii="Palatino Linotype" w:eastAsia="Calibri" w:hAnsi="Palatino Linotype"/>
          <w:b/>
          <w:bCs/>
        </w:rPr>
        <w:t xml:space="preserve">nvestment and </w:t>
      </w:r>
      <w:r>
        <w:rPr>
          <w:rFonts w:ascii="Palatino Linotype" w:eastAsia="Calibri" w:hAnsi="Palatino Linotype"/>
          <w:b/>
          <w:bCs/>
        </w:rPr>
        <w:t>D</w:t>
      </w:r>
      <w:r w:rsidRPr="007E2D8F">
        <w:rPr>
          <w:rFonts w:ascii="Palatino Linotype" w:eastAsia="Calibri" w:hAnsi="Palatino Linotype"/>
          <w:b/>
          <w:bCs/>
        </w:rPr>
        <w:t>i</w:t>
      </w:r>
      <w:r>
        <w:rPr>
          <w:rFonts w:ascii="Palatino Linotype" w:eastAsia="Calibri" w:hAnsi="Palatino Linotype"/>
          <w:b/>
          <w:bCs/>
        </w:rPr>
        <w:t>s</w:t>
      </w:r>
      <w:r w:rsidRPr="007E2D8F">
        <w:rPr>
          <w:rFonts w:ascii="Palatino Linotype" w:eastAsia="Calibri" w:hAnsi="Palatino Linotype"/>
          <w:b/>
          <w:bCs/>
        </w:rPr>
        <w:t>closure by Mutual Funds in Derivatives</w:t>
      </w:r>
    </w:p>
    <w:p w14:paraId="579174B9" w14:textId="77777777" w:rsidR="00F025AD" w:rsidRDefault="00F025AD" w:rsidP="00F025AD">
      <w:pPr>
        <w:jc w:val="both"/>
        <w:rPr>
          <w:rFonts w:ascii="Palatino Linotype" w:eastAsia="Calibri" w:hAnsi="Palatino Linotype"/>
          <w:b/>
        </w:rPr>
      </w:pPr>
    </w:p>
    <w:p w14:paraId="0237BDDE" w14:textId="77777777" w:rsidR="00F025AD" w:rsidRPr="0086410E" w:rsidRDefault="00F025AD" w:rsidP="00F025AD">
      <w:pPr>
        <w:jc w:val="both"/>
        <w:rPr>
          <w:rFonts w:ascii="Palatino Linotype" w:eastAsia="Calibri" w:hAnsi="Palatino Linotype"/>
          <w:bCs/>
        </w:rPr>
      </w:pPr>
      <w:r>
        <w:rPr>
          <w:rFonts w:ascii="Palatino Linotype" w:eastAsia="Calibri" w:hAnsi="Palatino Linotype"/>
          <w:bCs/>
        </w:rPr>
        <w:t xml:space="preserve"> Paragraph 8 of the SEBI circular dated August 18, 2010 was modified based on the feedback received from the industry.</w:t>
      </w:r>
    </w:p>
    <w:p w14:paraId="2F7BAD44" w14:textId="77777777" w:rsidR="00F025AD" w:rsidRPr="0086410E" w:rsidRDefault="00F025AD" w:rsidP="00F025AD">
      <w:pPr>
        <w:jc w:val="both"/>
        <w:rPr>
          <w:rFonts w:ascii="Palatino Linotype" w:eastAsia="Calibri" w:hAnsi="Palatino Linotype"/>
          <w:bCs/>
        </w:rPr>
      </w:pPr>
    </w:p>
    <w:p w14:paraId="36B2C559" w14:textId="77777777" w:rsidR="00F025AD" w:rsidRPr="0086410E" w:rsidRDefault="00F025AD" w:rsidP="00F025AD">
      <w:pPr>
        <w:jc w:val="both"/>
        <w:rPr>
          <w:rFonts w:ascii="Palatino Linotype" w:eastAsia="Calibri" w:hAnsi="Palatino Linotype"/>
          <w:bCs/>
        </w:rPr>
      </w:pPr>
      <w:r w:rsidRPr="0086410E">
        <w:rPr>
          <w:rFonts w:ascii="Palatino Linotype" w:eastAsia="Calibri" w:hAnsi="Palatino Linotype"/>
          <w:bCs/>
        </w:rPr>
        <w:t xml:space="preserve">Based on the modified norms, the </w:t>
      </w:r>
      <w:r>
        <w:rPr>
          <w:rFonts w:ascii="Palatino Linotype" w:eastAsia="Calibri" w:hAnsi="Palatino Linotype"/>
          <w:bCs/>
        </w:rPr>
        <w:t>m</w:t>
      </w:r>
      <w:r w:rsidRPr="0086410E">
        <w:rPr>
          <w:rFonts w:ascii="Palatino Linotype" w:eastAsia="Calibri" w:hAnsi="Palatino Linotype"/>
          <w:bCs/>
        </w:rPr>
        <w:t xml:space="preserve">utual </w:t>
      </w:r>
      <w:r>
        <w:rPr>
          <w:rFonts w:ascii="Palatino Linotype" w:eastAsia="Calibri" w:hAnsi="Palatino Linotype"/>
          <w:bCs/>
        </w:rPr>
        <w:t>f</w:t>
      </w:r>
      <w:r w:rsidRPr="0086410E">
        <w:rPr>
          <w:rFonts w:ascii="Palatino Linotype" w:eastAsia="Calibri" w:hAnsi="Palatino Linotype"/>
          <w:bCs/>
        </w:rPr>
        <w:t xml:space="preserve">unds may enter into plain vanilla </w:t>
      </w:r>
      <w:r>
        <w:rPr>
          <w:rFonts w:ascii="Palatino Linotype" w:eastAsia="Calibri" w:hAnsi="Palatino Linotype"/>
          <w:bCs/>
        </w:rPr>
        <w:t>i</w:t>
      </w:r>
      <w:r w:rsidRPr="0086410E">
        <w:rPr>
          <w:rFonts w:ascii="Palatino Linotype" w:eastAsia="Calibri" w:hAnsi="Palatino Linotype"/>
          <w:bCs/>
        </w:rPr>
        <w:t xml:space="preserve">nterest </w:t>
      </w:r>
      <w:r>
        <w:rPr>
          <w:rFonts w:ascii="Palatino Linotype" w:eastAsia="Calibri" w:hAnsi="Palatino Linotype"/>
          <w:bCs/>
        </w:rPr>
        <w:t>r</w:t>
      </w:r>
      <w:r w:rsidRPr="0086410E">
        <w:rPr>
          <w:rFonts w:ascii="Palatino Linotype" w:eastAsia="Calibri" w:hAnsi="Palatino Linotype"/>
          <w:bCs/>
        </w:rPr>
        <w:t xml:space="preserve">ate </w:t>
      </w:r>
      <w:r>
        <w:rPr>
          <w:rFonts w:ascii="Palatino Linotype" w:eastAsia="Calibri" w:hAnsi="Palatino Linotype"/>
          <w:bCs/>
        </w:rPr>
        <w:t>s</w:t>
      </w:r>
      <w:r w:rsidRPr="0086410E">
        <w:rPr>
          <w:rFonts w:ascii="Palatino Linotype" w:eastAsia="Calibri" w:hAnsi="Palatino Linotype"/>
          <w:bCs/>
        </w:rPr>
        <w:t>waps (IRS) for hedging purposes.  The value of the notional principal in such cases must not exceed the value of respective existing assets being hedged by the scheme.</w:t>
      </w:r>
    </w:p>
    <w:p w14:paraId="0349C84B" w14:textId="77777777" w:rsidR="00F025AD" w:rsidRPr="0086410E" w:rsidRDefault="00F025AD" w:rsidP="00F025AD">
      <w:pPr>
        <w:jc w:val="both"/>
        <w:rPr>
          <w:rFonts w:ascii="Palatino Linotype" w:eastAsia="Calibri" w:hAnsi="Palatino Linotype"/>
          <w:bCs/>
        </w:rPr>
      </w:pPr>
    </w:p>
    <w:p w14:paraId="40959A5F" w14:textId="2DD58FB0" w:rsidR="00F025AD" w:rsidRPr="0086410E" w:rsidRDefault="00F025AD" w:rsidP="00F025AD">
      <w:pPr>
        <w:jc w:val="both"/>
        <w:rPr>
          <w:rFonts w:ascii="Palatino Linotype" w:eastAsia="Calibri" w:hAnsi="Palatino Linotype"/>
          <w:bCs/>
        </w:rPr>
      </w:pPr>
      <w:r w:rsidRPr="0086410E">
        <w:rPr>
          <w:rFonts w:ascii="Palatino Linotype" w:eastAsia="Calibri" w:hAnsi="Palatino Linotype"/>
          <w:bCs/>
        </w:rPr>
        <w:t xml:space="preserve">In case of participation in IRS is through over-the-counter transactions, the counter party has to be an entity recognized as a market maker </w:t>
      </w:r>
      <w:r w:rsidR="007D4F15" w:rsidRPr="0086410E">
        <w:rPr>
          <w:rFonts w:ascii="Palatino Linotype" w:eastAsia="Calibri" w:hAnsi="Palatino Linotype"/>
          <w:bCs/>
        </w:rPr>
        <w:t>by RBI</w:t>
      </w:r>
      <w:r w:rsidRPr="0086410E">
        <w:rPr>
          <w:rFonts w:ascii="Palatino Linotype" w:eastAsia="Calibri" w:hAnsi="Palatino Linotype"/>
          <w:bCs/>
        </w:rPr>
        <w:t>.</w:t>
      </w:r>
    </w:p>
    <w:p w14:paraId="46500009" w14:textId="77777777" w:rsidR="00F025AD" w:rsidRPr="0086410E" w:rsidRDefault="00F025AD" w:rsidP="00F025AD">
      <w:pPr>
        <w:jc w:val="both"/>
        <w:rPr>
          <w:rFonts w:ascii="Palatino Linotype" w:eastAsia="Calibri" w:hAnsi="Palatino Linotype"/>
          <w:bCs/>
        </w:rPr>
      </w:pPr>
    </w:p>
    <w:p w14:paraId="061E3BBB" w14:textId="77777777" w:rsidR="00F025AD" w:rsidRDefault="00F025AD" w:rsidP="00F025AD">
      <w:pPr>
        <w:jc w:val="both"/>
        <w:rPr>
          <w:rFonts w:ascii="Palatino Linotype" w:eastAsia="Calibri" w:hAnsi="Palatino Linotype"/>
          <w:bCs/>
        </w:rPr>
      </w:pPr>
      <w:r w:rsidRPr="0086410E">
        <w:rPr>
          <w:rFonts w:ascii="Palatino Linotype" w:eastAsia="Calibri" w:hAnsi="Palatino Linotype"/>
          <w:bCs/>
        </w:rPr>
        <w:t>Further</w:t>
      </w:r>
      <w:r w:rsidR="007D4F15">
        <w:rPr>
          <w:rFonts w:ascii="Palatino Linotype" w:eastAsia="Calibri" w:hAnsi="Palatino Linotype"/>
          <w:bCs/>
        </w:rPr>
        <w:t>,</w:t>
      </w:r>
      <w:r w:rsidRPr="0086410E">
        <w:rPr>
          <w:rFonts w:ascii="Palatino Linotype" w:eastAsia="Calibri" w:hAnsi="Palatino Linotype"/>
          <w:bCs/>
        </w:rPr>
        <w:t xml:space="preserve"> the exposure to a single counterparty in such transactions should not exceed 10% of the net assets of the scheme.</w:t>
      </w:r>
    </w:p>
    <w:p w14:paraId="50E61BF8" w14:textId="77777777" w:rsidR="00F025AD" w:rsidRPr="00D556B8" w:rsidRDefault="00F025AD" w:rsidP="00F025AD">
      <w:pPr>
        <w:jc w:val="both"/>
        <w:rPr>
          <w:rFonts w:ascii="Palatino Linotype" w:eastAsia="Calibri" w:hAnsi="Palatino Linotype"/>
          <w:bCs/>
        </w:rPr>
      </w:pPr>
    </w:p>
    <w:p w14:paraId="26CBEB49" w14:textId="77777777" w:rsidR="00F025AD" w:rsidRDefault="00F025AD" w:rsidP="00F025AD">
      <w:pPr>
        <w:jc w:val="both"/>
        <w:rPr>
          <w:rFonts w:ascii="Palatino Linotype" w:eastAsia="Calibri" w:hAnsi="Palatino Linotype"/>
          <w:bCs/>
          <w:i/>
          <w:iCs/>
        </w:rPr>
      </w:pPr>
      <w:r w:rsidRPr="001D431F">
        <w:rPr>
          <w:rFonts w:ascii="Palatino Linotype" w:eastAsia="Calibri" w:hAnsi="Palatino Linotype"/>
          <w:bCs/>
          <w:i/>
          <w:iCs/>
        </w:rPr>
        <w:t>Source</w:t>
      </w:r>
      <w:r>
        <w:rPr>
          <w:rFonts w:ascii="Palatino Linotype" w:eastAsia="Calibri" w:hAnsi="Palatino Linotype"/>
          <w:bCs/>
          <w:i/>
          <w:iCs/>
        </w:rPr>
        <w:t>:</w:t>
      </w:r>
      <w:r w:rsidRPr="001D431F">
        <w:rPr>
          <w:rFonts w:ascii="Palatino Linotype" w:eastAsia="Calibri" w:hAnsi="Palatino Linotype"/>
          <w:bCs/>
          <w:i/>
          <w:iCs/>
        </w:rPr>
        <w:t xml:space="preserve"> </w:t>
      </w:r>
      <w:r w:rsidRPr="007E2D8F">
        <w:rPr>
          <w:rFonts w:ascii="Palatino Linotype" w:eastAsia="Calibri" w:hAnsi="Palatino Linotype"/>
          <w:bCs/>
          <w:i/>
          <w:iCs/>
        </w:rPr>
        <w:t>SEBI/HO/IMD/IMD-I DOF2/P/CIR/2021/580</w:t>
      </w:r>
      <w:r w:rsidRPr="00D556B8">
        <w:rPr>
          <w:rFonts w:ascii="Palatino Linotype" w:eastAsia="Calibri" w:hAnsi="Palatino Linotype"/>
          <w:bCs/>
          <w:i/>
          <w:iCs/>
        </w:rPr>
        <w:t xml:space="preserve"> </w:t>
      </w:r>
      <w:r w:rsidRPr="001805AA">
        <w:rPr>
          <w:rFonts w:ascii="Palatino Linotype" w:eastAsia="Calibri" w:hAnsi="Palatino Linotype"/>
          <w:bCs/>
          <w:i/>
          <w:iCs/>
        </w:rPr>
        <w:t>D</w:t>
      </w:r>
      <w:r w:rsidRPr="001D431F">
        <w:rPr>
          <w:rFonts w:ascii="Palatino Linotype" w:eastAsia="Calibri" w:hAnsi="Palatino Linotype"/>
          <w:bCs/>
          <w:i/>
          <w:iCs/>
        </w:rPr>
        <w:t xml:space="preserve">ated </w:t>
      </w:r>
      <w:r>
        <w:rPr>
          <w:rFonts w:ascii="Palatino Linotype" w:eastAsia="Calibri" w:hAnsi="Palatino Linotype"/>
          <w:bCs/>
          <w:i/>
          <w:iCs/>
        </w:rPr>
        <w:t>June 18</w:t>
      </w:r>
      <w:r w:rsidRPr="001D431F">
        <w:rPr>
          <w:rFonts w:ascii="Palatino Linotype" w:eastAsia="Calibri" w:hAnsi="Palatino Linotype"/>
          <w:bCs/>
          <w:i/>
          <w:iCs/>
        </w:rPr>
        <w:t>, 2021</w:t>
      </w:r>
    </w:p>
    <w:p w14:paraId="780E2276" w14:textId="77777777" w:rsidR="00F025AD" w:rsidRDefault="00F025AD" w:rsidP="0060602C">
      <w:pPr>
        <w:contextualSpacing/>
        <w:jc w:val="both"/>
        <w:rPr>
          <w:rFonts w:ascii="Palatino Linotype" w:eastAsia="Calibri" w:hAnsi="Palatino Linotype"/>
          <w:b/>
          <w:bCs/>
        </w:rPr>
      </w:pPr>
    </w:p>
    <w:p w14:paraId="514D0BFE" w14:textId="77777777" w:rsidR="00F025AD" w:rsidRPr="00155195" w:rsidRDefault="00F025AD" w:rsidP="00F025AD">
      <w:pPr>
        <w:autoSpaceDE w:val="0"/>
        <w:autoSpaceDN w:val="0"/>
        <w:adjustRightInd w:val="0"/>
        <w:spacing w:after="160" w:line="259" w:lineRule="auto"/>
        <w:contextualSpacing/>
        <w:jc w:val="both"/>
        <w:rPr>
          <w:rFonts w:ascii="Palatino Linotype" w:eastAsia="Calibri" w:hAnsi="Palatino Linotype" w:cs="CIDFont+F3"/>
          <w:b/>
          <w:bCs/>
          <w:lang w:val="en-IN" w:bidi="hi-IN"/>
        </w:rPr>
      </w:pPr>
      <w:r>
        <w:rPr>
          <w:rFonts w:ascii="Palatino Linotype" w:eastAsia="Calibri" w:hAnsi="Palatino Linotype" w:cs="CIDFont+F3"/>
          <w:b/>
          <w:bCs/>
          <w:lang w:val="en-IN" w:bidi="hi-IN"/>
        </w:rPr>
        <w:t xml:space="preserve">12. </w:t>
      </w:r>
      <w:r w:rsidRPr="00155195">
        <w:rPr>
          <w:rFonts w:ascii="Palatino Linotype" w:eastAsia="Calibri" w:hAnsi="Palatino Linotype" w:cs="CIDFont+F3"/>
          <w:b/>
          <w:bCs/>
          <w:lang w:val="en-IN" w:bidi="hi-IN"/>
        </w:rPr>
        <w:t>Prudential Norms for Liquidity Risk Management for Open-Ended Debt Schemes</w:t>
      </w:r>
    </w:p>
    <w:p w14:paraId="13D1E452" w14:textId="77777777" w:rsidR="00F025AD" w:rsidRPr="00155195" w:rsidRDefault="00F025AD" w:rsidP="00F025AD">
      <w:pPr>
        <w:autoSpaceDE w:val="0"/>
        <w:autoSpaceDN w:val="0"/>
        <w:adjustRightInd w:val="0"/>
        <w:ind w:left="720"/>
        <w:contextualSpacing/>
        <w:rPr>
          <w:rFonts w:ascii="Palatino Linotype" w:eastAsia="Calibri" w:hAnsi="Palatino Linotype" w:cs="CIDFont+F3"/>
          <w:lang w:val="en-IN" w:bidi="hi-IN"/>
        </w:rPr>
      </w:pPr>
    </w:p>
    <w:p w14:paraId="7630D77B" w14:textId="77777777" w:rsidR="00F025AD" w:rsidRPr="00155195" w:rsidRDefault="00F025AD" w:rsidP="00F025AD">
      <w:pPr>
        <w:autoSpaceDE w:val="0"/>
        <w:autoSpaceDN w:val="0"/>
        <w:adjustRightInd w:val="0"/>
        <w:jc w:val="both"/>
        <w:rPr>
          <w:rFonts w:ascii="Palatino Linotype" w:eastAsia="Calibri" w:hAnsi="Palatino Linotype" w:cs="CIDFont+F5"/>
          <w:lang w:val="en-IN" w:bidi="hi-IN"/>
        </w:rPr>
      </w:pPr>
      <w:r w:rsidRPr="00155195">
        <w:rPr>
          <w:rFonts w:ascii="Palatino Linotype" w:eastAsia="Calibri" w:hAnsi="Palatino Linotype" w:cs="CIDFont+F3"/>
          <w:lang w:val="en-IN" w:bidi="hi-IN"/>
        </w:rPr>
        <w:t xml:space="preserve">Clarifications were issued w.r.t. para 1(b) of the </w:t>
      </w:r>
      <w:r w:rsidRPr="00155195">
        <w:rPr>
          <w:rFonts w:ascii="Palatino Linotype" w:eastAsia="Calibri" w:hAnsi="Palatino Linotype" w:cs="CIDFont+F5"/>
          <w:lang w:val="en-IN" w:bidi="hi-IN"/>
        </w:rPr>
        <w:t>circular SEBI/HO/IMD/DF3/CIR/P/2020/229 dated November 06, 2020 wherein norms regarding holding of liquid assets in open ended debt schemes and stress testing of open ended debt schemes were specified.</w:t>
      </w:r>
    </w:p>
    <w:p w14:paraId="4AC784A4" w14:textId="77777777" w:rsidR="00F025AD" w:rsidRDefault="00F025AD" w:rsidP="00F025AD">
      <w:pPr>
        <w:autoSpaceDE w:val="0"/>
        <w:autoSpaceDN w:val="0"/>
        <w:adjustRightInd w:val="0"/>
        <w:jc w:val="both"/>
        <w:rPr>
          <w:rFonts w:ascii="Palatino Linotype" w:eastAsia="Calibri" w:hAnsi="Palatino Linotype" w:cs="CIDFont+F5"/>
          <w:lang w:val="en-IN" w:bidi="hi-IN"/>
        </w:rPr>
      </w:pPr>
    </w:p>
    <w:p w14:paraId="63386443" w14:textId="77777777" w:rsidR="00F025AD" w:rsidRPr="00155195" w:rsidRDefault="00F025AD" w:rsidP="00F025AD">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SEBI/HO/IMD/IMD-II DOF3/P/CIR/2021/583 dated June 25, 2021</w:t>
      </w:r>
    </w:p>
    <w:p w14:paraId="056B52A2" w14:textId="77777777" w:rsidR="00F025AD" w:rsidRPr="00155195" w:rsidRDefault="00F025AD" w:rsidP="00F025AD">
      <w:pPr>
        <w:autoSpaceDE w:val="0"/>
        <w:autoSpaceDN w:val="0"/>
        <w:adjustRightInd w:val="0"/>
        <w:jc w:val="both"/>
        <w:rPr>
          <w:rFonts w:ascii="Palatino Linotype" w:eastAsia="Calibri" w:hAnsi="Palatino Linotype" w:cs="Mangal"/>
          <w:lang w:val="en-IN" w:bidi="hi-IN"/>
        </w:rPr>
      </w:pPr>
    </w:p>
    <w:p w14:paraId="014DC0BC" w14:textId="77777777" w:rsidR="00F025AD" w:rsidRPr="00155195" w:rsidRDefault="00F025AD" w:rsidP="00F025AD">
      <w:pPr>
        <w:autoSpaceDE w:val="0"/>
        <w:autoSpaceDN w:val="0"/>
        <w:adjustRightInd w:val="0"/>
        <w:jc w:val="both"/>
        <w:rPr>
          <w:rFonts w:ascii="Palatino Linotype" w:eastAsia="Calibri" w:hAnsi="Palatino Linotype" w:cs="Mangal"/>
          <w:lang w:val="en-IN" w:bidi="hi-IN"/>
        </w:rPr>
      </w:pPr>
    </w:p>
    <w:p w14:paraId="1EE7A266" w14:textId="77777777" w:rsidR="00F025AD" w:rsidRDefault="00F025AD" w:rsidP="00F025AD">
      <w:pPr>
        <w:spacing w:after="160" w:line="259" w:lineRule="auto"/>
        <w:contextualSpacing/>
        <w:rPr>
          <w:rFonts w:ascii="Palatino Linotype" w:hAnsi="Palatino Linotype" w:cs="Courier New"/>
          <w:b/>
          <w:bCs/>
          <w:lang w:val="en-IN" w:eastAsia="en-IN" w:bidi="hi-IN"/>
        </w:rPr>
      </w:pPr>
      <w:r>
        <w:rPr>
          <w:rFonts w:ascii="Palatino Linotype" w:hAnsi="Palatino Linotype" w:cs="Courier New"/>
          <w:b/>
          <w:bCs/>
          <w:lang w:val="en-IN" w:eastAsia="en-IN" w:bidi="hi-IN"/>
        </w:rPr>
        <w:t xml:space="preserve">13. </w:t>
      </w:r>
      <w:r w:rsidRPr="00155195">
        <w:rPr>
          <w:rFonts w:ascii="Palatino Linotype" w:hAnsi="Palatino Linotype" w:cs="Courier New"/>
          <w:b/>
          <w:bCs/>
          <w:lang w:val="en-IN" w:eastAsia="en-IN" w:bidi="hi-IN"/>
        </w:rPr>
        <w:t>Alignment of interest of Key Employees of Asset Management Companies with the Unitholders of the Mutual Fund Schemes</w:t>
      </w:r>
    </w:p>
    <w:p w14:paraId="374DDC14" w14:textId="77777777" w:rsidR="00F025AD" w:rsidRPr="00155195" w:rsidRDefault="00F025AD" w:rsidP="00F025AD">
      <w:pPr>
        <w:spacing w:after="160" w:line="259" w:lineRule="auto"/>
        <w:ind w:left="720"/>
        <w:contextualSpacing/>
        <w:rPr>
          <w:rFonts w:ascii="Palatino Linotype" w:hAnsi="Palatino Linotype" w:cs="Courier New"/>
          <w:b/>
          <w:bCs/>
          <w:lang w:val="en-IN" w:eastAsia="en-IN" w:bidi="hi-IN"/>
        </w:rPr>
      </w:pPr>
    </w:p>
    <w:p w14:paraId="4100B302" w14:textId="77777777" w:rsidR="00F025AD" w:rsidRPr="00730F19" w:rsidRDefault="00F025AD" w:rsidP="00F025AD">
      <w:pPr>
        <w:spacing w:after="160" w:line="259" w:lineRule="auto"/>
        <w:jc w:val="both"/>
        <w:rPr>
          <w:rFonts w:ascii="Palatino Linotype" w:hAnsi="Palatino Linotype" w:cs="Courier New"/>
          <w:lang w:val="en-IN" w:eastAsia="en-IN" w:bidi="hi-IN"/>
        </w:rPr>
      </w:pPr>
      <w:r w:rsidRPr="00155195">
        <w:rPr>
          <w:rFonts w:ascii="Palatino Linotype" w:hAnsi="Palatino Linotype" w:cs="Courier New"/>
          <w:lang w:val="en-IN" w:eastAsia="en-IN" w:bidi="hi-IN"/>
        </w:rPr>
        <w:t xml:space="preserve">Date of implementation of circular no. SEBI/HO/IMD/IMD-I/DOF5/P/CIR/2021/553 dated April 28,2021, wherein provisions with regard to </w:t>
      </w:r>
      <w:r w:rsidRPr="00155195">
        <w:rPr>
          <w:rFonts w:ascii="Palatino Linotype" w:hAnsi="Palatino Linotype" w:cs="Arial"/>
          <w:lang w:val="en-IN" w:eastAsia="en-IN" w:bidi="hi-IN"/>
        </w:rPr>
        <w:t>‘</w:t>
      </w:r>
      <w:r w:rsidRPr="00155195">
        <w:rPr>
          <w:rFonts w:ascii="Palatino Linotype" w:hAnsi="Palatino Linotype" w:cs="Courier New"/>
          <w:lang w:val="en-IN" w:eastAsia="en-IN" w:bidi="hi-IN"/>
        </w:rPr>
        <w:t>Alignment of interest of Key Employees of Asset Management Companies with the Unitholders of the Mutual Fund Schemes</w:t>
      </w:r>
      <w:r w:rsidRPr="00155195">
        <w:rPr>
          <w:rFonts w:ascii="Palatino Linotype" w:hAnsi="Palatino Linotype" w:cs="Arial"/>
          <w:lang w:val="en-IN" w:eastAsia="en-IN" w:bidi="hi-IN"/>
        </w:rPr>
        <w:t>’</w:t>
      </w:r>
      <w:r w:rsidRPr="00155195">
        <w:rPr>
          <w:rFonts w:ascii="Palatino Linotype" w:hAnsi="Palatino Linotype" w:cs="Courier New"/>
          <w:lang w:val="en-IN" w:eastAsia="en-IN" w:bidi="hi-IN"/>
        </w:rPr>
        <w:t xml:space="preserve"> were specified was extended to October 01, 2021. The aforesaid circular was to be applicable </w:t>
      </w:r>
      <w:r>
        <w:rPr>
          <w:rFonts w:ascii="Palatino Linotype" w:hAnsi="Palatino Linotype" w:cs="Courier New"/>
          <w:lang w:val="en-IN" w:eastAsia="en-IN" w:bidi="hi-IN"/>
        </w:rPr>
        <w:t>with effect from July 01, 2021.</w:t>
      </w:r>
    </w:p>
    <w:p w14:paraId="52E03DAD" w14:textId="77777777" w:rsidR="00F025AD" w:rsidRPr="00155195" w:rsidRDefault="00F025AD" w:rsidP="00F025AD">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t>Source:</w:t>
      </w:r>
      <w:r w:rsidRPr="00155195">
        <w:rPr>
          <w:rFonts w:ascii="Palatino Linotype" w:eastAsia="Calibri" w:hAnsi="Palatino Linotype" w:cs="Mangal"/>
          <w:lang w:val="en-IN" w:bidi="hi-IN"/>
        </w:rPr>
        <w:t xml:space="preserve"> SEBI/HO/IMD/IMD-I/DOF5/P/CIR/2021/582 dated June 25, 2021</w:t>
      </w:r>
    </w:p>
    <w:p w14:paraId="7FAAE98A" w14:textId="77777777" w:rsidR="00F025AD" w:rsidRPr="00155195" w:rsidRDefault="00F025AD" w:rsidP="00F025AD">
      <w:pPr>
        <w:autoSpaceDE w:val="0"/>
        <w:autoSpaceDN w:val="0"/>
        <w:adjustRightInd w:val="0"/>
        <w:jc w:val="both"/>
        <w:rPr>
          <w:rFonts w:ascii="Palatino Linotype" w:eastAsia="Calibri" w:hAnsi="Palatino Linotype" w:cs="Mangal"/>
          <w:lang w:val="en-IN" w:bidi="hi-IN"/>
        </w:rPr>
      </w:pPr>
    </w:p>
    <w:p w14:paraId="5ACE4F36" w14:textId="77777777" w:rsidR="00F025AD" w:rsidRDefault="00F025AD" w:rsidP="00F025AD">
      <w:pPr>
        <w:autoSpaceDE w:val="0"/>
        <w:autoSpaceDN w:val="0"/>
        <w:adjustRightInd w:val="0"/>
        <w:rPr>
          <w:rFonts w:ascii="Palatino Linotype" w:eastAsia="Calibri" w:hAnsi="Palatino Linotype" w:cs="Calibri"/>
          <w:color w:val="000000"/>
          <w:lang w:val="en-IN" w:bidi="hi-IN"/>
        </w:rPr>
      </w:pPr>
    </w:p>
    <w:p w14:paraId="122DFDE6" w14:textId="77777777" w:rsidR="007C2E4F" w:rsidRDefault="007C2E4F" w:rsidP="00F025AD">
      <w:pPr>
        <w:autoSpaceDE w:val="0"/>
        <w:autoSpaceDN w:val="0"/>
        <w:adjustRightInd w:val="0"/>
        <w:rPr>
          <w:rFonts w:ascii="Palatino Linotype" w:eastAsia="Calibri" w:hAnsi="Palatino Linotype" w:cs="Calibri"/>
          <w:color w:val="000000"/>
          <w:lang w:val="en-IN" w:bidi="hi-IN"/>
        </w:rPr>
      </w:pPr>
    </w:p>
    <w:p w14:paraId="097214A2" w14:textId="77777777" w:rsidR="007C2E4F" w:rsidRDefault="007C2E4F" w:rsidP="00F025AD">
      <w:pPr>
        <w:autoSpaceDE w:val="0"/>
        <w:autoSpaceDN w:val="0"/>
        <w:adjustRightInd w:val="0"/>
        <w:rPr>
          <w:rFonts w:ascii="Palatino Linotype" w:eastAsia="Calibri" w:hAnsi="Palatino Linotype" w:cs="Calibri"/>
          <w:color w:val="000000"/>
          <w:lang w:val="en-IN" w:bidi="hi-IN"/>
        </w:rPr>
      </w:pPr>
    </w:p>
    <w:p w14:paraId="788E478A" w14:textId="77777777" w:rsidR="007C2E4F" w:rsidRDefault="007C2E4F" w:rsidP="00F025AD">
      <w:pPr>
        <w:autoSpaceDE w:val="0"/>
        <w:autoSpaceDN w:val="0"/>
        <w:adjustRightInd w:val="0"/>
        <w:rPr>
          <w:rFonts w:ascii="Palatino Linotype" w:eastAsia="Calibri" w:hAnsi="Palatino Linotype" w:cs="Calibri"/>
          <w:color w:val="000000"/>
          <w:lang w:val="en-IN" w:bidi="hi-IN"/>
        </w:rPr>
      </w:pPr>
    </w:p>
    <w:p w14:paraId="055B7E49" w14:textId="77777777" w:rsidR="007C2E4F" w:rsidRPr="00155195" w:rsidRDefault="007C2E4F" w:rsidP="00F025AD">
      <w:pPr>
        <w:autoSpaceDE w:val="0"/>
        <w:autoSpaceDN w:val="0"/>
        <w:adjustRightInd w:val="0"/>
        <w:rPr>
          <w:rFonts w:ascii="Palatino Linotype" w:eastAsia="Calibri" w:hAnsi="Palatino Linotype" w:cs="Calibri"/>
          <w:color w:val="000000"/>
          <w:lang w:val="en-IN" w:bidi="hi-IN"/>
        </w:rPr>
      </w:pPr>
    </w:p>
    <w:p w14:paraId="37C1C307" w14:textId="77777777" w:rsidR="00F025AD" w:rsidRPr="00155195" w:rsidRDefault="00F025AD" w:rsidP="00F025AD">
      <w:pPr>
        <w:autoSpaceDE w:val="0"/>
        <w:autoSpaceDN w:val="0"/>
        <w:adjustRightInd w:val="0"/>
        <w:spacing w:after="160" w:line="259" w:lineRule="auto"/>
        <w:jc w:val="both"/>
        <w:rPr>
          <w:rFonts w:ascii="Palatino Linotype" w:eastAsia="Calibri" w:hAnsi="Palatino Linotype" w:cs="Calibri"/>
          <w:color w:val="000000"/>
          <w:lang w:val="en-IN" w:bidi="hi-IN"/>
        </w:rPr>
      </w:pPr>
      <w:r>
        <w:rPr>
          <w:rFonts w:ascii="Palatino Linotype" w:eastAsia="Calibri" w:hAnsi="Palatino Linotype" w:cs="Calibri"/>
          <w:b/>
          <w:bCs/>
          <w:color w:val="000000"/>
          <w:lang w:val="en-IN" w:bidi="hi-IN"/>
        </w:rPr>
        <w:lastRenderedPageBreak/>
        <w:t xml:space="preserve">14. </w:t>
      </w:r>
      <w:r w:rsidRPr="00155195">
        <w:rPr>
          <w:rFonts w:ascii="Palatino Linotype" w:eastAsia="Calibri" w:hAnsi="Palatino Linotype" w:cs="Calibri"/>
          <w:b/>
          <w:bCs/>
          <w:color w:val="000000"/>
          <w:lang w:val="en-IN" w:bidi="hi-IN"/>
        </w:rPr>
        <w:t>Amendment to SEBI (Alternative Investment Funds) Regulations, 2012</w:t>
      </w:r>
    </w:p>
    <w:p w14:paraId="1F63B96A" w14:textId="77777777" w:rsidR="00F025AD" w:rsidRPr="00155195" w:rsidRDefault="00F025AD" w:rsidP="00F025AD">
      <w:pPr>
        <w:autoSpaceDE w:val="0"/>
        <w:autoSpaceDN w:val="0"/>
        <w:adjustRightInd w:val="0"/>
        <w:rPr>
          <w:rFonts w:ascii="Palatino Linotype" w:eastAsia="Calibri" w:hAnsi="Palatino Linotype" w:cs="Calibri"/>
          <w:color w:val="000000"/>
          <w:lang w:val="en-IN" w:bidi="hi-IN"/>
        </w:rPr>
      </w:pPr>
    </w:p>
    <w:p w14:paraId="4FCCD121" w14:textId="77777777" w:rsidR="00F025AD" w:rsidRPr="00155195" w:rsidRDefault="00F025AD" w:rsidP="00F025AD">
      <w:pPr>
        <w:autoSpaceDE w:val="0"/>
        <w:autoSpaceDN w:val="0"/>
        <w:adjustRightInd w:val="0"/>
        <w:jc w:val="both"/>
        <w:rPr>
          <w:rFonts w:ascii="Palatino Linotype" w:eastAsia="Calibri" w:hAnsi="Palatino Linotype" w:cs="Calibri"/>
          <w:color w:val="000000"/>
          <w:lang w:val="en-IN" w:bidi="hi-IN"/>
        </w:rPr>
      </w:pPr>
      <w:r w:rsidRPr="00155195">
        <w:rPr>
          <w:rFonts w:ascii="Palatino Linotype" w:eastAsia="Calibri" w:hAnsi="Palatino Linotype" w:cs="Calibri"/>
          <w:color w:val="000000"/>
          <w:lang w:val="en-IN" w:bidi="hi-IN"/>
        </w:rPr>
        <w:t>SEBI (Alternative Investment Funds) Regulations, 2012 (“AIF Regulations”), have been amended and notified on May 05, 2021. Accordingly changes in the respective SEBI circulars w.r.t. framework for AIFs to invest simultaneously in units of other AIFs and directly in securities of investee companies, applicability of Code of Conduct on key management personnel, clarifications with respect to Investment Committee were specified.</w:t>
      </w:r>
    </w:p>
    <w:p w14:paraId="7F7FAC9C" w14:textId="77777777" w:rsidR="00F025AD" w:rsidRPr="00155195" w:rsidRDefault="00F025AD" w:rsidP="00F025AD">
      <w:pPr>
        <w:autoSpaceDE w:val="0"/>
        <w:autoSpaceDN w:val="0"/>
        <w:adjustRightInd w:val="0"/>
        <w:rPr>
          <w:rFonts w:ascii="Palatino Linotype" w:eastAsia="Calibri" w:hAnsi="Palatino Linotype" w:cs="Calibri"/>
          <w:color w:val="000000"/>
          <w:lang w:val="en-IN" w:bidi="hi-IN"/>
        </w:rPr>
      </w:pPr>
      <w:r>
        <w:rPr>
          <w:rFonts w:ascii="Palatino Linotype" w:eastAsia="Calibri" w:hAnsi="Palatino Linotype" w:cs="Calibri"/>
          <w:color w:val="000000"/>
          <w:lang w:val="en-IN" w:bidi="hi-IN"/>
        </w:rPr>
        <w:t xml:space="preserve"> </w:t>
      </w:r>
    </w:p>
    <w:p w14:paraId="600DE3C4" w14:textId="77777777" w:rsidR="00F025AD" w:rsidRPr="00155195" w:rsidRDefault="00F025AD" w:rsidP="00F025AD">
      <w:pPr>
        <w:autoSpaceDE w:val="0"/>
        <w:autoSpaceDN w:val="0"/>
        <w:adjustRightInd w:val="0"/>
        <w:rPr>
          <w:rFonts w:ascii="Palatino Linotype" w:eastAsia="Calibri" w:hAnsi="Palatino Linotype" w:cs="Calibri"/>
          <w:color w:val="000000"/>
          <w:lang w:val="en-IN" w:bidi="hi-IN"/>
        </w:rPr>
      </w:pPr>
      <w:r>
        <w:rPr>
          <w:rFonts w:ascii="Palatino Linotype" w:eastAsia="Calibri" w:hAnsi="Palatino Linotype" w:cs="Calibri"/>
          <w:color w:val="000000"/>
          <w:lang w:val="en-IN" w:bidi="hi-IN"/>
        </w:rPr>
        <w:t xml:space="preserve">Source: </w:t>
      </w:r>
      <w:r w:rsidRPr="00155195">
        <w:rPr>
          <w:rFonts w:ascii="Palatino Linotype" w:eastAsia="Calibri" w:hAnsi="Palatino Linotype" w:cs="Calibri"/>
          <w:color w:val="000000"/>
          <w:lang w:val="en-IN" w:bidi="hi-IN"/>
        </w:rPr>
        <w:t>SEBI/HO/IMD-I/DF6/P/CIR/2021/584 dated June 25, 2021</w:t>
      </w:r>
    </w:p>
    <w:p w14:paraId="0FE7C33A" w14:textId="77777777" w:rsidR="00F025AD" w:rsidRDefault="00F025AD" w:rsidP="0060602C">
      <w:pPr>
        <w:contextualSpacing/>
        <w:jc w:val="both"/>
        <w:rPr>
          <w:rFonts w:ascii="Palatino Linotype" w:eastAsia="Calibri" w:hAnsi="Palatino Linotype"/>
          <w:b/>
          <w:bCs/>
        </w:rPr>
      </w:pPr>
    </w:p>
    <w:p w14:paraId="4939468F" w14:textId="77777777" w:rsidR="00F025AD" w:rsidRPr="00155195" w:rsidRDefault="00F025AD" w:rsidP="00F025AD">
      <w:pPr>
        <w:autoSpaceDE w:val="0"/>
        <w:autoSpaceDN w:val="0"/>
        <w:adjustRightInd w:val="0"/>
        <w:spacing w:after="160" w:line="259" w:lineRule="auto"/>
        <w:contextualSpacing/>
        <w:jc w:val="both"/>
        <w:rPr>
          <w:rFonts w:ascii="Palatino Linotype" w:eastAsia="Calibri" w:hAnsi="Palatino Linotype" w:cs="CIDFont+F3"/>
          <w:b/>
          <w:bCs/>
          <w:lang w:val="en-IN" w:bidi="hi-IN"/>
        </w:rPr>
      </w:pPr>
      <w:r>
        <w:rPr>
          <w:rFonts w:ascii="Palatino Linotype" w:eastAsia="Calibri" w:hAnsi="Palatino Linotype" w:cs="CIDFont+F3"/>
          <w:b/>
          <w:bCs/>
          <w:lang w:val="en-IN" w:bidi="hi-IN"/>
        </w:rPr>
        <w:t xml:space="preserve">15. </w:t>
      </w:r>
      <w:r w:rsidRPr="00352E58">
        <w:rPr>
          <w:rFonts w:ascii="Palatino Linotype" w:eastAsia="Calibri" w:hAnsi="Palatino Linotype" w:cs="CIDFont+F3"/>
          <w:b/>
          <w:bCs/>
          <w:lang w:val="en-IN" w:bidi="hi-IN"/>
        </w:rPr>
        <w:t>Relaxation in timelines for compliance with regulatory requirements</w:t>
      </w:r>
    </w:p>
    <w:p w14:paraId="3554C885" w14:textId="77777777" w:rsidR="00F025AD" w:rsidRPr="00155195" w:rsidRDefault="00F025AD" w:rsidP="00F025AD">
      <w:pPr>
        <w:autoSpaceDE w:val="0"/>
        <w:autoSpaceDN w:val="0"/>
        <w:adjustRightInd w:val="0"/>
        <w:ind w:left="720"/>
        <w:contextualSpacing/>
        <w:rPr>
          <w:rFonts w:ascii="Palatino Linotype" w:eastAsia="Calibri" w:hAnsi="Palatino Linotype" w:cs="CIDFont+F3"/>
          <w:lang w:val="en-IN" w:bidi="hi-IN"/>
        </w:rPr>
      </w:pPr>
      <w:r>
        <w:rPr>
          <w:rFonts w:ascii="Palatino Linotype" w:eastAsia="Calibri" w:hAnsi="Palatino Linotype" w:cs="CIDFont+F3"/>
          <w:lang w:val="en-IN" w:bidi="hi-IN"/>
        </w:rPr>
        <w:t xml:space="preserve"> </w:t>
      </w:r>
    </w:p>
    <w:p w14:paraId="109D77BA" w14:textId="4A5E6AF7" w:rsidR="00F025AD" w:rsidRPr="00352E58" w:rsidRDefault="00F33C2B" w:rsidP="00F025AD">
      <w:pPr>
        <w:spacing w:after="160" w:line="259" w:lineRule="auto"/>
        <w:rPr>
          <w:rFonts w:ascii="Palatino Linotype" w:eastAsia="Calibri" w:hAnsi="Palatino Linotype" w:cs="Mangal"/>
          <w:lang w:bidi="hi-IN"/>
        </w:rPr>
      </w:pPr>
      <w:r>
        <w:rPr>
          <w:rFonts w:ascii="Palatino Linotype" w:eastAsia="Calibri" w:hAnsi="Palatino Linotype" w:cs="Mangal"/>
          <w:lang w:bidi="hi-IN"/>
        </w:rPr>
        <w:t>In view of the pandemic situation</w:t>
      </w:r>
      <w:r w:rsidR="00F025AD" w:rsidRPr="00352E58">
        <w:rPr>
          <w:rFonts w:ascii="Palatino Linotype" w:eastAsia="Calibri" w:hAnsi="Palatino Linotype" w:cs="Mangal"/>
          <w:lang w:bidi="hi-IN"/>
        </w:rPr>
        <w:t xml:space="preserve"> </w:t>
      </w:r>
      <w:r w:rsidR="005B2091">
        <w:rPr>
          <w:rFonts w:ascii="Palatino Linotype" w:eastAsia="Calibri" w:hAnsi="Palatino Linotype" w:cs="Mangal"/>
          <w:lang w:bidi="hi-IN"/>
        </w:rPr>
        <w:t xml:space="preserve">, </w:t>
      </w:r>
      <w:r w:rsidR="00F025AD" w:rsidRPr="00352E58">
        <w:rPr>
          <w:rFonts w:ascii="Palatino Linotype" w:eastAsia="Calibri" w:hAnsi="Palatino Linotype" w:cs="Mangal"/>
          <w:lang w:bidi="hi-IN"/>
        </w:rPr>
        <w:t xml:space="preserve">SEBI </w:t>
      </w:r>
      <w:r w:rsidR="005B2091" w:rsidRPr="00352E58">
        <w:rPr>
          <w:rFonts w:ascii="Palatino Linotype" w:eastAsia="Calibri" w:hAnsi="Palatino Linotype" w:cs="Mangal"/>
          <w:lang w:bidi="hi-IN"/>
        </w:rPr>
        <w:t>ha</w:t>
      </w:r>
      <w:r w:rsidR="005B2091">
        <w:rPr>
          <w:rFonts w:ascii="Palatino Linotype" w:eastAsia="Calibri" w:hAnsi="Palatino Linotype" w:cs="Mangal"/>
          <w:lang w:bidi="hi-IN"/>
        </w:rPr>
        <w:t>s</w:t>
      </w:r>
      <w:r w:rsidR="005B2091" w:rsidRPr="00352E58">
        <w:rPr>
          <w:rFonts w:ascii="Palatino Linotype" w:eastAsia="Calibri" w:hAnsi="Palatino Linotype" w:cs="Mangal"/>
          <w:lang w:bidi="hi-IN"/>
        </w:rPr>
        <w:t xml:space="preserve"> </w:t>
      </w:r>
      <w:r w:rsidR="005B2091">
        <w:rPr>
          <w:rFonts w:ascii="Palatino Linotype" w:eastAsia="Calibri" w:hAnsi="Palatino Linotype" w:cs="Mangal"/>
          <w:lang w:bidi="hi-IN"/>
        </w:rPr>
        <w:t>extended</w:t>
      </w:r>
      <w:r w:rsidR="005B2091" w:rsidRPr="00352E58">
        <w:rPr>
          <w:rFonts w:ascii="Palatino Linotype" w:eastAsia="Calibri" w:hAnsi="Palatino Linotype" w:cs="Mangal"/>
          <w:lang w:bidi="hi-IN"/>
        </w:rPr>
        <w:t xml:space="preserve"> </w:t>
      </w:r>
      <w:r w:rsidR="00F025AD" w:rsidRPr="00352E58">
        <w:rPr>
          <w:rFonts w:ascii="Palatino Linotype" w:eastAsia="Calibri" w:hAnsi="Palatino Linotype" w:cs="Mangal"/>
          <w:lang w:bidi="hi-IN"/>
        </w:rPr>
        <w:t>timelines for compliance with following regulatory requirements by the trading Members / Clearing Members / KYC Registration Agencies, as under: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3780"/>
        <w:gridCol w:w="2356"/>
        <w:gridCol w:w="2409"/>
      </w:tblGrid>
      <w:tr w:rsidR="00F025AD" w:rsidRPr="00FB2FFF" w14:paraId="51028F96" w14:textId="77777777" w:rsidTr="00F025AD">
        <w:tc>
          <w:tcPr>
            <w:tcW w:w="805" w:type="dxa"/>
            <w:shd w:val="clear" w:color="auto" w:fill="auto"/>
          </w:tcPr>
          <w:p w14:paraId="0406D325"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Sr. No</w:t>
            </w:r>
          </w:p>
        </w:tc>
        <w:tc>
          <w:tcPr>
            <w:tcW w:w="3780" w:type="dxa"/>
            <w:shd w:val="clear" w:color="auto" w:fill="auto"/>
          </w:tcPr>
          <w:p w14:paraId="14DEEB3D"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Submission/Compliance</w:t>
            </w:r>
          </w:p>
        </w:tc>
        <w:tc>
          <w:tcPr>
            <w:tcW w:w="2356" w:type="dxa"/>
            <w:shd w:val="clear" w:color="auto" w:fill="auto"/>
          </w:tcPr>
          <w:p w14:paraId="46F350DC"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Current timeline/Period of exclusion</w:t>
            </w:r>
          </w:p>
        </w:tc>
        <w:tc>
          <w:tcPr>
            <w:tcW w:w="2409" w:type="dxa"/>
            <w:shd w:val="clear" w:color="auto" w:fill="auto"/>
          </w:tcPr>
          <w:p w14:paraId="7F71EF9E"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Proposed timeline/Period of exclusion</w:t>
            </w:r>
          </w:p>
        </w:tc>
      </w:tr>
      <w:tr w:rsidR="00F025AD" w:rsidRPr="00FB2FFF" w14:paraId="37BA1812" w14:textId="77777777" w:rsidTr="00F025AD">
        <w:tc>
          <w:tcPr>
            <w:tcW w:w="805" w:type="dxa"/>
            <w:shd w:val="clear" w:color="auto" w:fill="auto"/>
          </w:tcPr>
          <w:p w14:paraId="6A4B4BD3"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1.</w:t>
            </w:r>
          </w:p>
        </w:tc>
        <w:tc>
          <w:tcPr>
            <w:tcW w:w="3780" w:type="dxa"/>
            <w:shd w:val="clear" w:color="auto" w:fill="auto"/>
          </w:tcPr>
          <w:p w14:paraId="65A8D1CA"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Maintaining call recordings of orders/  instructions  received from clients</w:t>
            </w:r>
          </w:p>
        </w:tc>
        <w:tc>
          <w:tcPr>
            <w:tcW w:w="2356" w:type="dxa"/>
            <w:vMerge w:val="restart"/>
            <w:shd w:val="clear" w:color="auto" w:fill="auto"/>
          </w:tcPr>
          <w:p w14:paraId="1885210E" w14:textId="77777777" w:rsidR="00F025AD" w:rsidRPr="00FB2FFF" w:rsidRDefault="00F025AD" w:rsidP="00F025AD">
            <w:pPr>
              <w:rPr>
                <w:rFonts w:ascii="Palatino Linotype" w:eastAsia="Calibri" w:hAnsi="Palatino Linotype" w:cs="Mangal"/>
                <w:sz w:val="22"/>
                <w:lang w:bidi="hi-IN"/>
              </w:rPr>
            </w:pPr>
          </w:p>
          <w:p w14:paraId="4651D46D" w14:textId="77777777" w:rsidR="00F025AD" w:rsidRPr="00FB2FFF" w:rsidRDefault="00F025AD" w:rsidP="00F025AD">
            <w:pPr>
              <w:rPr>
                <w:rFonts w:ascii="Palatino Linotype" w:eastAsia="Calibri" w:hAnsi="Palatino Linotype" w:cs="Mangal"/>
                <w:sz w:val="22"/>
                <w:lang w:bidi="hi-IN"/>
              </w:rPr>
            </w:pPr>
          </w:p>
          <w:p w14:paraId="4C4F383B" w14:textId="77777777" w:rsidR="00F025AD" w:rsidRPr="00FB2FFF" w:rsidRDefault="00F025AD" w:rsidP="00F025AD">
            <w:pPr>
              <w:rPr>
                <w:rFonts w:ascii="Palatino Linotype" w:eastAsia="Calibri" w:hAnsi="Palatino Linotype" w:cs="Mangal"/>
                <w:sz w:val="22"/>
                <w:lang w:bidi="hi-IN"/>
              </w:rPr>
            </w:pPr>
          </w:p>
          <w:p w14:paraId="162D1916"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Till June 30, 2021</w:t>
            </w:r>
          </w:p>
        </w:tc>
        <w:tc>
          <w:tcPr>
            <w:tcW w:w="2409" w:type="dxa"/>
            <w:vMerge w:val="restart"/>
            <w:shd w:val="clear" w:color="auto" w:fill="auto"/>
          </w:tcPr>
          <w:p w14:paraId="5B2818D0" w14:textId="77777777" w:rsidR="00F025AD" w:rsidRPr="00FB2FFF" w:rsidRDefault="00F025AD" w:rsidP="00F025AD">
            <w:pPr>
              <w:rPr>
                <w:rFonts w:ascii="Palatino Linotype" w:eastAsia="Calibri" w:hAnsi="Palatino Linotype" w:cs="Mangal"/>
                <w:sz w:val="22"/>
                <w:lang w:bidi="hi-IN"/>
              </w:rPr>
            </w:pPr>
          </w:p>
          <w:p w14:paraId="2C4CC9C4" w14:textId="77777777" w:rsidR="00F025AD" w:rsidRPr="00FB2FFF" w:rsidRDefault="00F025AD" w:rsidP="00F025AD">
            <w:pPr>
              <w:rPr>
                <w:rFonts w:ascii="Palatino Linotype" w:eastAsia="Calibri" w:hAnsi="Palatino Linotype" w:cs="Mangal"/>
                <w:sz w:val="22"/>
                <w:lang w:bidi="hi-IN"/>
              </w:rPr>
            </w:pPr>
          </w:p>
          <w:p w14:paraId="18E534C1" w14:textId="77777777" w:rsidR="00F025AD" w:rsidRPr="00FB2FFF" w:rsidRDefault="00F025AD" w:rsidP="00F025AD">
            <w:pPr>
              <w:rPr>
                <w:rFonts w:ascii="Palatino Linotype" w:eastAsia="Calibri" w:hAnsi="Palatino Linotype" w:cs="Mangal"/>
                <w:sz w:val="22"/>
                <w:lang w:bidi="hi-IN"/>
              </w:rPr>
            </w:pPr>
          </w:p>
          <w:p w14:paraId="2C258DB5" w14:textId="12D8858C" w:rsidR="00F025AD" w:rsidRPr="00FB2FFF" w:rsidRDefault="00F025AD" w:rsidP="00F33C2B">
            <w:pPr>
              <w:rPr>
                <w:rFonts w:ascii="Palatino Linotype" w:eastAsia="Calibri" w:hAnsi="Palatino Linotype" w:cs="Mangal"/>
                <w:sz w:val="22"/>
                <w:lang w:bidi="hi-IN"/>
              </w:rPr>
            </w:pPr>
            <w:r w:rsidRPr="00FB2FFF">
              <w:rPr>
                <w:rFonts w:ascii="Palatino Linotype" w:eastAsia="Calibri" w:hAnsi="Palatino Linotype" w:cs="Mangal"/>
                <w:sz w:val="22"/>
                <w:lang w:bidi="hi-IN"/>
              </w:rPr>
              <w:t xml:space="preserve">Till </w:t>
            </w:r>
            <w:r w:rsidR="00F33C2B" w:rsidRPr="00FB2FFF">
              <w:rPr>
                <w:rFonts w:ascii="Palatino Linotype" w:eastAsia="Calibri" w:hAnsi="Palatino Linotype" w:cs="Mangal"/>
                <w:sz w:val="22"/>
                <w:lang w:bidi="hi-IN"/>
              </w:rPr>
              <w:t>Ju</w:t>
            </w:r>
            <w:r w:rsidR="00F33C2B">
              <w:rPr>
                <w:rFonts w:ascii="Palatino Linotype" w:eastAsia="Calibri" w:hAnsi="Palatino Linotype" w:cs="Mangal"/>
                <w:sz w:val="22"/>
                <w:lang w:bidi="hi-IN"/>
              </w:rPr>
              <w:t>ly</w:t>
            </w:r>
            <w:r w:rsidR="00F33C2B" w:rsidRPr="00FB2FFF">
              <w:rPr>
                <w:rFonts w:ascii="Palatino Linotype" w:eastAsia="Calibri" w:hAnsi="Palatino Linotype" w:cs="Mangal"/>
                <w:sz w:val="22"/>
                <w:lang w:bidi="hi-IN"/>
              </w:rPr>
              <w:t xml:space="preserve"> 3</w:t>
            </w:r>
            <w:r w:rsidR="00F33C2B">
              <w:rPr>
                <w:rFonts w:ascii="Palatino Linotype" w:eastAsia="Calibri" w:hAnsi="Palatino Linotype" w:cs="Mangal"/>
                <w:sz w:val="22"/>
                <w:lang w:bidi="hi-IN"/>
              </w:rPr>
              <w:t>1</w:t>
            </w:r>
            <w:r w:rsidRPr="00FB2FFF">
              <w:rPr>
                <w:rFonts w:ascii="Palatino Linotype" w:eastAsia="Calibri" w:hAnsi="Palatino Linotype" w:cs="Mangal"/>
                <w:sz w:val="22"/>
                <w:lang w:bidi="hi-IN"/>
              </w:rPr>
              <w:t>, 2021</w:t>
            </w:r>
          </w:p>
        </w:tc>
      </w:tr>
      <w:tr w:rsidR="00F025AD" w:rsidRPr="00FB2FFF" w14:paraId="7E1250BB" w14:textId="77777777" w:rsidTr="00F025AD">
        <w:tc>
          <w:tcPr>
            <w:tcW w:w="805" w:type="dxa"/>
            <w:shd w:val="clear" w:color="auto" w:fill="auto"/>
          </w:tcPr>
          <w:p w14:paraId="793A30AB"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2.</w:t>
            </w:r>
          </w:p>
        </w:tc>
        <w:tc>
          <w:tcPr>
            <w:tcW w:w="3780" w:type="dxa"/>
            <w:shd w:val="clear" w:color="auto" w:fill="auto"/>
          </w:tcPr>
          <w:p w14:paraId="486A10EC"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Client Funding Reporting</w:t>
            </w:r>
          </w:p>
        </w:tc>
        <w:tc>
          <w:tcPr>
            <w:tcW w:w="2356" w:type="dxa"/>
            <w:vMerge/>
            <w:shd w:val="clear" w:color="auto" w:fill="auto"/>
          </w:tcPr>
          <w:p w14:paraId="281810DE" w14:textId="77777777" w:rsidR="00F025AD" w:rsidRPr="00FB2FFF" w:rsidRDefault="00F025AD" w:rsidP="00F025AD">
            <w:pPr>
              <w:rPr>
                <w:rFonts w:ascii="Palatino Linotype" w:eastAsia="Calibri" w:hAnsi="Palatino Linotype" w:cs="Mangal"/>
                <w:sz w:val="22"/>
                <w:lang w:bidi="hi-IN"/>
              </w:rPr>
            </w:pPr>
          </w:p>
        </w:tc>
        <w:tc>
          <w:tcPr>
            <w:tcW w:w="2409" w:type="dxa"/>
            <w:vMerge/>
            <w:shd w:val="clear" w:color="auto" w:fill="auto"/>
          </w:tcPr>
          <w:p w14:paraId="3E4BD40A" w14:textId="77777777" w:rsidR="00F025AD" w:rsidRPr="00FB2FFF" w:rsidRDefault="00F025AD" w:rsidP="00F025AD">
            <w:pPr>
              <w:rPr>
                <w:rFonts w:ascii="Palatino Linotype" w:eastAsia="Calibri" w:hAnsi="Palatino Linotype" w:cs="Mangal"/>
                <w:sz w:val="22"/>
                <w:lang w:bidi="hi-IN"/>
              </w:rPr>
            </w:pPr>
          </w:p>
        </w:tc>
      </w:tr>
      <w:tr w:rsidR="00F025AD" w:rsidRPr="00FB2FFF" w14:paraId="3E56EBEE" w14:textId="77777777" w:rsidTr="00F025AD">
        <w:tc>
          <w:tcPr>
            <w:tcW w:w="805" w:type="dxa"/>
            <w:shd w:val="clear" w:color="auto" w:fill="auto"/>
          </w:tcPr>
          <w:p w14:paraId="1FB0129E"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3.</w:t>
            </w:r>
          </w:p>
        </w:tc>
        <w:tc>
          <w:tcPr>
            <w:tcW w:w="3780" w:type="dxa"/>
            <w:shd w:val="clear" w:color="auto" w:fill="auto"/>
          </w:tcPr>
          <w:p w14:paraId="40C6F477"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To operate the     trading terminals    from    designated alternate locations</w:t>
            </w:r>
          </w:p>
        </w:tc>
        <w:tc>
          <w:tcPr>
            <w:tcW w:w="2356" w:type="dxa"/>
            <w:vMerge/>
            <w:shd w:val="clear" w:color="auto" w:fill="auto"/>
          </w:tcPr>
          <w:p w14:paraId="2B9D547F" w14:textId="77777777" w:rsidR="00F025AD" w:rsidRPr="00FB2FFF" w:rsidRDefault="00F025AD" w:rsidP="00F025AD">
            <w:pPr>
              <w:rPr>
                <w:rFonts w:ascii="Palatino Linotype" w:eastAsia="Calibri" w:hAnsi="Palatino Linotype" w:cs="Mangal"/>
                <w:sz w:val="22"/>
                <w:lang w:bidi="hi-IN"/>
              </w:rPr>
            </w:pPr>
          </w:p>
        </w:tc>
        <w:tc>
          <w:tcPr>
            <w:tcW w:w="2409" w:type="dxa"/>
            <w:vMerge/>
            <w:shd w:val="clear" w:color="auto" w:fill="auto"/>
          </w:tcPr>
          <w:p w14:paraId="4DBF48C1" w14:textId="77777777" w:rsidR="00F025AD" w:rsidRPr="00FB2FFF" w:rsidRDefault="00F025AD" w:rsidP="00F025AD">
            <w:pPr>
              <w:rPr>
                <w:rFonts w:ascii="Palatino Linotype" w:eastAsia="Calibri" w:hAnsi="Palatino Linotype" w:cs="Mangal"/>
                <w:sz w:val="22"/>
                <w:lang w:bidi="hi-IN"/>
              </w:rPr>
            </w:pPr>
          </w:p>
        </w:tc>
      </w:tr>
      <w:tr w:rsidR="00F025AD" w:rsidRPr="00FB2FFF" w14:paraId="77A4616B" w14:textId="77777777" w:rsidTr="00F025AD">
        <w:tc>
          <w:tcPr>
            <w:tcW w:w="805" w:type="dxa"/>
            <w:shd w:val="clear" w:color="auto" w:fill="auto"/>
          </w:tcPr>
          <w:p w14:paraId="27A5DECE"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4.</w:t>
            </w:r>
          </w:p>
        </w:tc>
        <w:tc>
          <w:tcPr>
            <w:tcW w:w="3780" w:type="dxa"/>
            <w:shd w:val="clear" w:color="auto" w:fill="auto"/>
          </w:tcPr>
          <w:p w14:paraId="21615A68"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KYC   application   form   and supporting documents   of  the  clients  to  be  uploaded on system of KRA   within 10 working days</w:t>
            </w:r>
          </w:p>
        </w:tc>
        <w:tc>
          <w:tcPr>
            <w:tcW w:w="2356" w:type="dxa"/>
            <w:shd w:val="clear" w:color="auto" w:fill="auto"/>
          </w:tcPr>
          <w:p w14:paraId="2ED60BE4"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Till June 30, 2021,   documents  may  be uploaded  on  to  the system of KRA within    15    working days.   *A 30-day time period is provided to SEBI Registered Intermediary after June   30,   2021   to clear the backlog.</w:t>
            </w:r>
          </w:p>
        </w:tc>
        <w:tc>
          <w:tcPr>
            <w:tcW w:w="2409" w:type="dxa"/>
            <w:shd w:val="clear" w:color="auto" w:fill="auto"/>
          </w:tcPr>
          <w:p w14:paraId="649307F0"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Till July 31, 2021,   documents  may  be uploaded  on  to  the system of KRA within    15    working days.   *A 30-day time period is provided to SEBI Registered Intermediary after July    31,    2021    to clear the backlog.</w:t>
            </w:r>
          </w:p>
        </w:tc>
      </w:tr>
      <w:tr w:rsidR="00F025AD" w:rsidRPr="00FB2FFF" w14:paraId="798106EA" w14:textId="77777777" w:rsidTr="00F025AD">
        <w:tc>
          <w:tcPr>
            <w:tcW w:w="805" w:type="dxa"/>
            <w:shd w:val="clear" w:color="auto" w:fill="auto"/>
          </w:tcPr>
          <w:p w14:paraId="783A40E6"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5.</w:t>
            </w:r>
          </w:p>
        </w:tc>
        <w:tc>
          <w:tcPr>
            <w:tcW w:w="3780" w:type="dxa"/>
            <w:shd w:val="clear" w:color="auto" w:fill="auto"/>
          </w:tcPr>
          <w:p w14:paraId="6DD8C1A5"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Issue     of     Annual     Global Statement to clients</w:t>
            </w:r>
          </w:p>
        </w:tc>
        <w:tc>
          <w:tcPr>
            <w:tcW w:w="2356" w:type="dxa"/>
            <w:shd w:val="clear" w:color="auto" w:fill="auto"/>
          </w:tcPr>
          <w:p w14:paraId="2F89CE27"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Till June 30, 2021.   *Relaxation    is provided  only  if  the client  has  requested for a physical statement.</w:t>
            </w:r>
          </w:p>
        </w:tc>
        <w:tc>
          <w:tcPr>
            <w:tcW w:w="2409" w:type="dxa"/>
            <w:shd w:val="clear" w:color="auto" w:fill="auto"/>
          </w:tcPr>
          <w:p w14:paraId="54B687B5" w14:textId="77777777" w:rsidR="00F025AD" w:rsidRPr="00FB2FFF" w:rsidRDefault="00F025AD" w:rsidP="00F025AD">
            <w:pPr>
              <w:rPr>
                <w:rFonts w:ascii="Palatino Linotype" w:eastAsia="Calibri" w:hAnsi="Palatino Linotype" w:cs="Mangal"/>
                <w:sz w:val="22"/>
                <w:lang w:bidi="hi-IN"/>
              </w:rPr>
            </w:pPr>
            <w:r w:rsidRPr="00FB2FFF">
              <w:rPr>
                <w:rFonts w:ascii="Palatino Linotype" w:eastAsia="Calibri" w:hAnsi="Palatino Linotype" w:cs="Mangal"/>
                <w:sz w:val="22"/>
                <w:lang w:bidi="hi-IN"/>
              </w:rPr>
              <w:t>Till July 31, 2021.   *Relaxation    is provided  only  if  the client  has  requested for a physical statement.</w:t>
            </w:r>
          </w:p>
        </w:tc>
      </w:tr>
    </w:tbl>
    <w:p w14:paraId="65F328E1" w14:textId="77777777" w:rsidR="00F025AD" w:rsidRDefault="00F025AD" w:rsidP="00F025AD">
      <w:pPr>
        <w:autoSpaceDE w:val="0"/>
        <w:autoSpaceDN w:val="0"/>
        <w:adjustRightInd w:val="0"/>
        <w:jc w:val="both"/>
        <w:rPr>
          <w:rFonts w:ascii="Palatino Linotype" w:eastAsia="Calibri" w:hAnsi="Palatino Linotype" w:cs="CIDFont+F5"/>
          <w:lang w:val="en-IN" w:bidi="hi-IN"/>
        </w:rPr>
      </w:pPr>
    </w:p>
    <w:p w14:paraId="3C7432E7" w14:textId="77777777" w:rsidR="00F025AD" w:rsidRPr="00155195" w:rsidRDefault="00F025AD" w:rsidP="00F025AD">
      <w:pPr>
        <w:autoSpaceDE w:val="0"/>
        <w:autoSpaceDN w:val="0"/>
        <w:adjustRightInd w:val="0"/>
        <w:jc w:val="both"/>
        <w:rPr>
          <w:rFonts w:ascii="Palatino Linotype" w:eastAsia="Calibri" w:hAnsi="Palatino Linotype" w:cs="Mangal"/>
          <w:lang w:val="en-IN" w:bidi="hi-IN"/>
        </w:rPr>
      </w:pPr>
      <w:r w:rsidRPr="00155195">
        <w:rPr>
          <w:rFonts w:ascii="Palatino Linotype" w:eastAsia="Calibri" w:hAnsi="Palatino Linotype" w:cs="CIDFont+F5"/>
          <w:lang w:val="en-IN" w:bidi="hi-IN"/>
        </w:rPr>
        <w:lastRenderedPageBreak/>
        <w:t>Source:</w:t>
      </w:r>
      <w:r w:rsidRPr="00155195">
        <w:rPr>
          <w:rFonts w:ascii="Palatino Linotype" w:eastAsia="Calibri" w:hAnsi="Palatino Linotype" w:cs="Mangal"/>
          <w:lang w:val="en-IN" w:bidi="hi-IN"/>
        </w:rPr>
        <w:t xml:space="preserve"> </w:t>
      </w:r>
      <w:r w:rsidRPr="00352E58">
        <w:rPr>
          <w:rFonts w:ascii="Palatino Linotype" w:eastAsia="Calibri" w:hAnsi="Palatino Linotype" w:cs="Mangal"/>
          <w:lang w:val="en-IN" w:bidi="hi-IN"/>
        </w:rPr>
        <w:t>SEBI/HO/MIRSD/DOP/P/CIR/2021/587</w:t>
      </w:r>
      <w:r w:rsidRPr="00155195">
        <w:rPr>
          <w:rFonts w:ascii="Palatino Linotype" w:eastAsia="Calibri" w:hAnsi="Palatino Linotype" w:cs="Mangal"/>
          <w:lang w:val="en-IN" w:bidi="hi-IN"/>
        </w:rPr>
        <w:t xml:space="preserve"> dated June </w:t>
      </w:r>
      <w:r>
        <w:rPr>
          <w:rFonts w:ascii="Palatino Linotype" w:eastAsia="Calibri" w:hAnsi="Palatino Linotype" w:cs="Mangal"/>
          <w:lang w:val="en-IN" w:bidi="hi-IN"/>
        </w:rPr>
        <w:t>30</w:t>
      </w:r>
      <w:r w:rsidRPr="00155195">
        <w:rPr>
          <w:rFonts w:ascii="Palatino Linotype" w:eastAsia="Calibri" w:hAnsi="Palatino Linotype" w:cs="Mangal"/>
          <w:lang w:val="en-IN" w:bidi="hi-IN"/>
        </w:rPr>
        <w:t>, 2021</w:t>
      </w:r>
    </w:p>
    <w:p w14:paraId="50D1A8BA" w14:textId="77777777" w:rsidR="00F025AD" w:rsidRDefault="00F025AD" w:rsidP="0060602C">
      <w:pPr>
        <w:contextualSpacing/>
        <w:jc w:val="both"/>
        <w:rPr>
          <w:rFonts w:ascii="Palatino Linotype" w:eastAsia="Calibri" w:hAnsi="Palatino Linotype"/>
          <w:b/>
          <w:bCs/>
        </w:rPr>
      </w:pPr>
    </w:p>
    <w:p w14:paraId="1642B520" w14:textId="77777777" w:rsidR="00F025AD" w:rsidRDefault="00284E34" w:rsidP="00F025AD">
      <w:pPr>
        <w:spacing w:after="120"/>
        <w:rPr>
          <w:rFonts w:ascii="Garamond" w:hAnsi="Garamond" w:cs="Arial"/>
          <w:i/>
          <w:szCs w:val="32"/>
        </w:rPr>
      </w:pPr>
      <w:r w:rsidRPr="008570C3">
        <w:rPr>
          <w:rFonts w:ascii="Garamond" w:hAnsi="Garamond" w:cs="Arial"/>
          <w:i/>
          <w:szCs w:val="32"/>
        </w:rPr>
        <w:t>Disclaimer: The summary has been prepared for the convenience of readers. In case of any ambiguity, please refer to the original circular.</w:t>
      </w:r>
    </w:p>
    <w:p w14:paraId="182B4007" w14:textId="77777777" w:rsidR="00F025AD" w:rsidRDefault="00F025AD" w:rsidP="00F025AD">
      <w:pPr>
        <w:spacing w:after="120"/>
        <w:rPr>
          <w:rFonts w:ascii="Garamond" w:hAnsi="Garamond" w:cs="Arial"/>
          <w:i/>
          <w:szCs w:val="32"/>
        </w:rPr>
      </w:pPr>
    </w:p>
    <w:p w14:paraId="22086175" w14:textId="77777777" w:rsidR="007C2E4F" w:rsidRDefault="007C2E4F" w:rsidP="00F025AD">
      <w:pPr>
        <w:spacing w:after="120"/>
        <w:jc w:val="center"/>
        <w:rPr>
          <w:rFonts w:ascii="Palatino Linotype" w:hAnsi="Palatino Linotype"/>
          <w:b/>
          <w:sz w:val="28"/>
          <w:szCs w:val="28"/>
        </w:rPr>
      </w:pPr>
    </w:p>
    <w:p w14:paraId="40387323" w14:textId="77777777" w:rsidR="00D80A78" w:rsidRDefault="00D80A78" w:rsidP="00F025AD">
      <w:pPr>
        <w:spacing w:after="120"/>
        <w:jc w:val="center"/>
        <w:rPr>
          <w:rFonts w:ascii="Palatino Linotype" w:hAnsi="Palatino Linotype"/>
          <w:b/>
          <w:sz w:val="28"/>
          <w:szCs w:val="28"/>
        </w:rPr>
      </w:pPr>
    </w:p>
    <w:p w14:paraId="50A5E1BA" w14:textId="77777777" w:rsidR="00D80A78" w:rsidRDefault="00D80A78" w:rsidP="00F025AD">
      <w:pPr>
        <w:spacing w:after="120"/>
        <w:jc w:val="center"/>
        <w:rPr>
          <w:rFonts w:ascii="Palatino Linotype" w:hAnsi="Palatino Linotype"/>
          <w:b/>
          <w:sz w:val="28"/>
          <w:szCs w:val="28"/>
        </w:rPr>
      </w:pPr>
    </w:p>
    <w:p w14:paraId="06D17883" w14:textId="77777777" w:rsidR="00D80A78" w:rsidRDefault="00D80A78" w:rsidP="00F025AD">
      <w:pPr>
        <w:spacing w:after="120"/>
        <w:jc w:val="center"/>
        <w:rPr>
          <w:rFonts w:ascii="Palatino Linotype" w:hAnsi="Palatino Linotype"/>
          <w:b/>
          <w:sz w:val="28"/>
          <w:szCs w:val="28"/>
        </w:rPr>
      </w:pPr>
    </w:p>
    <w:p w14:paraId="2D08E832" w14:textId="77777777" w:rsidR="00D80A78" w:rsidRDefault="00D80A78" w:rsidP="00F025AD">
      <w:pPr>
        <w:spacing w:after="120"/>
        <w:jc w:val="center"/>
        <w:rPr>
          <w:rFonts w:ascii="Palatino Linotype" w:hAnsi="Palatino Linotype"/>
          <w:b/>
          <w:sz w:val="28"/>
          <w:szCs w:val="28"/>
        </w:rPr>
      </w:pPr>
    </w:p>
    <w:p w14:paraId="49C09F41" w14:textId="77777777" w:rsidR="00D80A78" w:rsidRDefault="00D80A78" w:rsidP="00F025AD">
      <w:pPr>
        <w:spacing w:after="120"/>
        <w:jc w:val="center"/>
        <w:rPr>
          <w:rFonts w:ascii="Palatino Linotype" w:hAnsi="Palatino Linotype"/>
          <w:b/>
          <w:sz w:val="28"/>
          <w:szCs w:val="28"/>
        </w:rPr>
      </w:pPr>
    </w:p>
    <w:p w14:paraId="7DAA5953" w14:textId="77777777" w:rsidR="00D80A78" w:rsidRDefault="00D80A78" w:rsidP="00F025AD">
      <w:pPr>
        <w:spacing w:after="120"/>
        <w:jc w:val="center"/>
        <w:rPr>
          <w:rFonts w:ascii="Palatino Linotype" w:hAnsi="Palatino Linotype"/>
          <w:b/>
          <w:sz w:val="28"/>
          <w:szCs w:val="28"/>
        </w:rPr>
      </w:pPr>
    </w:p>
    <w:p w14:paraId="0B31C7C2" w14:textId="77777777" w:rsidR="00D80A78" w:rsidRDefault="00D80A78" w:rsidP="00F025AD">
      <w:pPr>
        <w:spacing w:after="120"/>
        <w:jc w:val="center"/>
        <w:rPr>
          <w:rFonts w:ascii="Palatino Linotype" w:hAnsi="Palatino Linotype"/>
          <w:b/>
          <w:sz w:val="28"/>
          <w:szCs w:val="28"/>
        </w:rPr>
      </w:pPr>
    </w:p>
    <w:p w14:paraId="0FC901AC" w14:textId="77777777" w:rsidR="00D80A78" w:rsidRDefault="00D80A78" w:rsidP="00F025AD">
      <w:pPr>
        <w:spacing w:after="120"/>
        <w:jc w:val="center"/>
        <w:rPr>
          <w:rFonts w:ascii="Palatino Linotype" w:hAnsi="Palatino Linotype"/>
          <w:b/>
          <w:sz w:val="28"/>
          <w:szCs w:val="28"/>
        </w:rPr>
      </w:pPr>
    </w:p>
    <w:p w14:paraId="2D51CCB2" w14:textId="77777777" w:rsidR="00D80A78" w:rsidRDefault="00D80A78" w:rsidP="00F025AD">
      <w:pPr>
        <w:spacing w:after="120"/>
        <w:jc w:val="center"/>
        <w:rPr>
          <w:rFonts w:ascii="Palatino Linotype" w:hAnsi="Palatino Linotype"/>
          <w:b/>
          <w:sz w:val="28"/>
          <w:szCs w:val="28"/>
        </w:rPr>
      </w:pPr>
    </w:p>
    <w:p w14:paraId="36269EC2" w14:textId="77777777" w:rsidR="00D80A78" w:rsidRDefault="00D80A78" w:rsidP="00F025AD">
      <w:pPr>
        <w:spacing w:after="120"/>
        <w:jc w:val="center"/>
        <w:rPr>
          <w:rFonts w:ascii="Palatino Linotype" w:hAnsi="Palatino Linotype"/>
          <w:b/>
          <w:sz w:val="28"/>
          <w:szCs w:val="28"/>
        </w:rPr>
      </w:pPr>
    </w:p>
    <w:p w14:paraId="02A54701" w14:textId="77777777" w:rsidR="00D80A78" w:rsidRDefault="00D80A78" w:rsidP="00F025AD">
      <w:pPr>
        <w:spacing w:after="120"/>
        <w:jc w:val="center"/>
        <w:rPr>
          <w:rFonts w:ascii="Palatino Linotype" w:hAnsi="Palatino Linotype"/>
          <w:b/>
          <w:sz w:val="28"/>
          <w:szCs w:val="28"/>
        </w:rPr>
      </w:pPr>
    </w:p>
    <w:p w14:paraId="19A1B2A1" w14:textId="77777777" w:rsidR="00D80A78" w:rsidRDefault="00D80A78" w:rsidP="00F025AD">
      <w:pPr>
        <w:spacing w:after="120"/>
        <w:jc w:val="center"/>
        <w:rPr>
          <w:rFonts w:ascii="Palatino Linotype" w:hAnsi="Palatino Linotype"/>
          <w:b/>
          <w:sz w:val="28"/>
          <w:szCs w:val="28"/>
        </w:rPr>
      </w:pPr>
    </w:p>
    <w:p w14:paraId="6B4E85FB" w14:textId="77777777" w:rsidR="00D80A78" w:rsidRDefault="00D80A78" w:rsidP="00F025AD">
      <w:pPr>
        <w:spacing w:after="120"/>
        <w:jc w:val="center"/>
        <w:rPr>
          <w:rFonts w:ascii="Palatino Linotype" w:hAnsi="Palatino Linotype"/>
          <w:b/>
          <w:sz w:val="28"/>
          <w:szCs w:val="28"/>
        </w:rPr>
      </w:pPr>
    </w:p>
    <w:p w14:paraId="3E76E791" w14:textId="77777777" w:rsidR="00D80A78" w:rsidRDefault="00D80A78" w:rsidP="00F025AD">
      <w:pPr>
        <w:spacing w:after="120"/>
        <w:jc w:val="center"/>
        <w:rPr>
          <w:rFonts w:ascii="Palatino Linotype" w:hAnsi="Palatino Linotype"/>
          <w:b/>
          <w:sz w:val="28"/>
          <w:szCs w:val="28"/>
        </w:rPr>
      </w:pPr>
    </w:p>
    <w:p w14:paraId="729E8967" w14:textId="77777777" w:rsidR="00D80A78" w:rsidRDefault="00D80A78" w:rsidP="00F025AD">
      <w:pPr>
        <w:spacing w:after="120"/>
        <w:jc w:val="center"/>
        <w:rPr>
          <w:rFonts w:ascii="Palatino Linotype" w:hAnsi="Palatino Linotype"/>
          <w:b/>
          <w:sz w:val="28"/>
          <w:szCs w:val="28"/>
        </w:rPr>
      </w:pPr>
    </w:p>
    <w:p w14:paraId="470A2B8E" w14:textId="77777777" w:rsidR="00D80A78" w:rsidRDefault="00D80A78" w:rsidP="00F025AD">
      <w:pPr>
        <w:spacing w:after="120"/>
        <w:jc w:val="center"/>
        <w:rPr>
          <w:rFonts w:ascii="Palatino Linotype" w:hAnsi="Palatino Linotype"/>
          <w:b/>
          <w:sz w:val="28"/>
          <w:szCs w:val="28"/>
        </w:rPr>
      </w:pPr>
    </w:p>
    <w:p w14:paraId="6C35B93B" w14:textId="77777777" w:rsidR="00D80A78" w:rsidRDefault="00D80A78" w:rsidP="00F025AD">
      <w:pPr>
        <w:spacing w:after="120"/>
        <w:jc w:val="center"/>
        <w:rPr>
          <w:rFonts w:ascii="Palatino Linotype" w:hAnsi="Palatino Linotype"/>
          <w:b/>
          <w:sz w:val="28"/>
          <w:szCs w:val="28"/>
        </w:rPr>
      </w:pPr>
    </w:p>
    <w:p w14:paraId="640FF3AF" w14:textId="77777777" w:rsidR="00D80A78" w:rsidRDefault="00D80A78" w:rsidP="00F025AD">
      <w:pPr>
        <w:spacing w:after="120"/>
        <w:jc w:val="center"/>
        <w:rPr>
          <w:rFonts w:ascii="Palatino Linotype" w:hAnsi="Palatino Linotype"/>
          <w:b/>
          <w:sz w:val="28"/>
          <w:szCs w:val="28"/>
        </w:rPr>
      </w:pPr>
    </w:p>
    <w:p w14:paraId="5304661A" w14:textId="77777777" w:rsidR="00D80A78" w:rsidRDefault="00D80A78" w:rsidP="00F025AD">
      <w:pPr>
        <w:spacing w:after="120"/>
        <w:jc w:val="center"/>
        <w:rPr>
          <w:rFonts w:ascii="Palatino Linotype" w:hAnsi="Palatino Linotype"/>
          <w:b/>
          <w:sz w:val="28"/>
          <w:szCs w:val="28"/>
        </w:rPr>
      </w:pPr>
    </w:p>
    <w:p w14:paraId="6ACDD201" w14:textId="77777777" w:rsidR="00D80A78" w:rsidRDefault="00D80A78" w:rsidP="00F025AD">
      <w:pPr>
        <w:spacing w:after="120"/>
        <w:jc w:val="center"/>
        <w:rPr>
          <w:rFonts w:ascii="Palatino Linotype" w:hAnsi="Palatino Linotype"/>
          <w:b/>
          <w:sz w:val="28"/>
          <w:szCs w:val="28"/>
        </w:rPr>
      </w:pPr>
    </w:p>
    <w:p w14:paraId="74FE530A" w14:textId="77777777" w:rsidR="00D80A78" w:rsidRDefault="00D80A78" w:rsidP="00F025AD">
      <w:pPr>
        <w:spacing w:after="120"/>
        <w:jc w:val="center"/>
        <w:rPr>
          <w:rFonts w:ascii="Palatino Linotype" w:hAnsi="Palatino Linotype"/>
          <w:b/>
          <w:sz w:val="28"/>
          <w:szCs w:val="28"/>
        </w:rPr>
      </w:pPr>
    </w:p>
    <w:p w14:paraId="5BC4AF60" w14:textId="77777777" w:rsidR="00D80A78" w:rsidRDefault="00D80A78" w:rsidP="00F025AD">
      <w:pPr>
        <w:spacing w:after="120"/>
        <w:jc w:val="center"/>
        <w:rPr>
          <w:rFonts w:ascii="Palatino Linotype" w:hAnsi="Palatino Linotype"/>
          <w:b/>
          <w:sz w:val="28"/>
          <w:szCs w:val="28"/>
        </w:rPr>
      </w:pPr>
    </w:p>
    <w:p w14:paraId="2388E2BF" w14:textId="77777777" w:rsidR="00D80A78" w:rsidRDefault="00D80A78" w:rsidP="00F025AD">
      <w:pPr>
        <w:spacing w:after="120"/>
        <w:jc w:val="center"/>
        <w:rPr>
          <w:rFonts w:ascii="Palatino Linotype" w:hAnsi="Palatino Linotype"/>
          <w:b/>
          <w:sz w:val="28"/>
          <w:szCs w:val="28"/>
        </w:rPr>
      </w:pPr>
    </w:p>
    <w:p w14:paraId="77ACD5AD" w14:textId="77777777" w:rsidR="00D80A78" w:rsidRDefault="00D80A78" w:rsidP="00F025AD">
      <w:pPr>
        <w:spacing w:after="120"/>
        <w:jc w:val="center"/>
        <w:rPr>
          <w:rFonts w:ascii="Palatino Linotype" w:hAnsi="Palatino Linotype"/>
          <w:b/>
          <w:sz w:val="28"/>
          <w:szCs w:val="28"/>
        </w:rPr>
      </w:pPr>
    </w:p>
    <w:p w14:paraId="4E44173F" w14:textId="77777777" w:rsidR="00272724" w:rsidRPr="004752BB" w:rsidRDefault="00272724" w:rsidP="00F025AD">
      <w:pPr>
        <w:spacing w:after="120"/>
        <w:jc w:val="center"/>
        <w:rPr>
          <w:rFonts w:ascii="Palatino Linotype" w:hAnsi="Palatino Linotype"/>
          <w:b/>
          <w:sz w:val="28"/>
          <w:szCs w:val="28"/>
        </w:rPr>
      </w:pPr>
      <w:r w:rsidRPr="004752BB">
        <w:rPr>
          <w:rFonts w:ascii="Palatino Linotype" w:hAnsi="Palatino Linotype"/>
          <w:b/>
          <w:sz w:val="28"/>
          <w:szCs w:val="28"/>
        </w:rPr>
        <w:lastRenderedPageBreak/>
        <w:t>REGULATORY ACTIONS TAKEN BY SEBI</w:t>
      </w:r>
    </w:p>
    <w:p w14:paraId="253CA966" w14:textId="77777777" w:rsidR="00272724" w:rsidRDefault="00272724" w:rsidP="00272724">
      <w:pPr>
        <w:rPr>
          <w:rFonts w:ascii="Palatino Linotype" w:hAnsi="Palatino Linotype"/>
          <w:b/>
          <w:sz w:val="40"/>
          <w:szCs w:val="40"/>
        </w:rPr>
      </w:pPr>
    </w:p>
    <w:p w14:paraId="233B7BE8" w14:textId="77777777"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14:paraId="3C0D428E" w14:textId="77777777" w:rsidR="00A07B14" w:rsidRDefault="00A07B14" w:rsidP="00272724">
      <w:pPr>
        <w:rPr>
          <w:rFonts w:ascii="Palatino Linotype" w:hAnsi="Palatino Linotype"/>
          <w:b/>
        </w:rPr>
      </w:pPr>
    </w:p>
    <w:tbl>
      <w:tblPr>
        <w:tblW w:w="11482" w:type="dxa"/>
        <w:tblInd w:w="-714" w:type="dxa"/>
        <w:tblLayout w:type="fixed"/>
        <w:tblLook w:val="04A0" w:firstRow="1" w:lastRow="0" w:firstColumn="1" w:lastColumn="0" w:noHBand="0" w:noVBand="1"/>
      </w:tblPr>
      <w:tblGrid>
        <w:gridCol w:w="567"/>
        <w:gridCol w:w="1276"/>
        <w:gridCol w:w="2127"/>
        <w:gridCol w:w="1559"/>
        <w:gridCol w:w="2126"/>
        <w:gridCol w:w="2268"/>
        <w:gridCol w:w="1559"/>
      </w:tblGrid>
      <w:tr w:rsidR="000E7AC9" w:rsidRPr="00B83873" w14:paraId="383915FC"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63BF222B" w14:textId="77777777" w:rsidR="000E7AC9"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Sl.</w:t>
            </w:r>
          </w:p>
          <w:p w14:paraId="368EAAA2" w14:textId="77777777" w:rsidR="000E7AC9" w:rsidRPr="00B83873"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No.</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34C89E" w14:textId="77777777"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2127" w:type="dxa"/>
            <w:tcBorders>
              <w:top w:val="single" w:sz="4" w:space="0" w:color="auto"/>
              <w:left w:val="nil"/>
              <w:bottom w:val="single" w:sz="4" w:space="0" w:color="auto"/>
              <w:right w:val="single" w:sz="4" w:space="0" w:color="auto"/>
            </w:tcBorders>
            <w:shd w:val="clear" w:color="auto" w:fill="auto"/>
            <w:noWrap/>
            <w:vAlign w:val="bottom"/>
            <w:hideMark/>
          </w:tcPr>
          <w:p w14:paraId="76011EFA" w14:textId="77777777"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40E44E6" w14:textId="77777777"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14:paraId="5275EA92" w14:textId="77777777"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10B4B3AA" w14:textId="77777777"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7F5D4550" w14:textId="77777777"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Pr>
                <w:rFonts w:ascii="Palatino Linotype" w:hAnsi="Palatino Linotype" w:cs="Calibri"/>
                <w:b/>
                <w:bCs/>
                <w:color w:val="000000"/>
                <w:sz w:val="20"/>
                <w:szCs w:val="20"/>
                <w:lang w:val="en-IN" w:eastAsia="en-IN" w:bidi="hi-IN"/>
              </w:rPr>
              <w:t xml:space="preserve"> (</w:t>
            </w:r>
            <w:r w:rsidRPr="00D22F0B">
              <w:rPr>
                <w:rFonts w:ascii="Rupee Foradian" w:hAnsi="Rupee Foradian" w:cs="Calibri"/>
                <w:b/>
                <w:bCs/>
                <w:color w:val="000000"/>
                <w:sz w:val="20"/>
                <w:szCs w:val="20"/>
                <w:lang w:val="en-IN" w:eastAsia="en-IN" w:bidi="hi-IN"/>
              </w:rPr>
              <w:t>`</w:t>
            </w:r>
            <w:r>
              <w:rPr>
                <w:rFonts w:ascii="Palatino Linotype" w:hAnsi="Palatino Linotype" w:cs="Calibri"/>
                <w:b/>
                <w:bCs/>
                <w:color w:val="000000"/>
                <w:sz w:val="20"/>
                <w:szCs w:val="20"/>
                <w:lang w:val="en-IN" w:eastAsia="en-IN" w:bidi="hi-IN"/>
              </w:rPr>
              <w:t>)</w:t>
            </w:r>
          </w:p>
        </w:tc>
      </w:tr>
      <w:tr w:rsidR="00F025AD" w:rsidRPr="00B83873" w14:paraId="48D46CB0"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010D2B35"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w:t>
            </w:r>
          </w:p>
        </w:tc>
        <w:tc>
          <w:tcPr>
            <w:tcW w:w="1276" w:type="dxa"/>
            <w:tcBorders>
              <w:top w:val="single" w:sz="4" w:space="0" w:color="auto"/>
              <w:bottom w:val="single" w:sz="4" w:space="0" w:color="auto"/>
              <w:right w:val="single" w:sz="4" w:space="0" w:color="auto"/>
            </w:tcBorders>
            <w:shd w:val="clear" w:color="auto" w:fill="auto"/>
            <w:noWrap/>
          </w:tcPr>
          <w:p w14:paraId="713F4EB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01/06/2021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4BCBB99"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Capital Heed Financial Research (Proprietor  Shailendra Sen)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775A33D"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7044003"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Capital Heed Financial Research (Proprietor Shailendra Sen)</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9189FCF"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Regulation  13(a) and (b)  of SEBI (Investment  Advisers) Regulations, 2013  </w:t>
            </w:r>
          </w:p>
          <w:p w14:paraId="40B7B79E" w14:textId="77777777" w:rsidR="00F025AD" w:rsidRPr="007C6D7E" w:rsidRDefault="00F025AD" w:rsidP="00F025AD">
            <w:pPr>
              <w:shd w:val="clear" w:color="auto" w:fill="FFFFFF"/>
              <w:jc w:val="both"/>
              <w:rPr>
                <w:rFonts w:ascii="Palatino Linotype" w:hAnsi="Palatino Linotype"/>
                <w:sz w:val="20"/>
                <w:szCs w:val="20"/>
              </w:rPr>
            </w:pPr>
          </w:p>
          <w:p w14:paraId="630C0622" w14:textId="77777777" w:rsidR="00F025AD" w:rsidRPr="007C6D7E" w:rsidRDefault="00F025AD" w:rsidP="00F025AD">
            <w:pPr>
              <w:shd w:val="clear" w:color="auto" w:fill="FFFFFF"/>
              <w:rPr>
                <w:rFonts w:ascii="Palatino Linotype" w:hAnsi="Palatino Linotype"/>
                <w:sz w:val="20"/>
                <w:szCs w:val="20"/>
              </w:rPr>
            </w:pPr>
            <w:r w:rsidRPr="007C6D7E">
              <w:rPr>
                <w:rFonts w:ascii="Palatino Linotype" w:hAnsi="Palatino Linotype"/>
                <w:sz w:val="20"/>
                <w:szCs w:val="20"/>
              </w:rPr>
              <w:t xml:space="preserve">Clauses 1 and 8 of the Code of Conduct for investment adviser read with regulation </w:t>
            </w:r>
          </w:p>
          <w:p w14:paraId="5F54291B" w14:textId="77777777" w:rsidR="00F025AD" w:rsidRPr="007C6D7E" w:rsidRDefault="00F025AD" w:rsidP="00F025AD">
            <w:pPr>
              <w:shd w:val="clear" w:color="auto" w:fill="FFFFFF"/>
              <w:rPr>
                <w:rFonts w:ascii="Palatino Linotype" w:hAnsi="Palatino Linotype"/>
                <w:sz w:val="20"/>
                <w:szCs w:val="20"/>
              </w:rPr>
            </w:pPr>
            <w:r w:rsidRPr="007C6D7E">
              <w:rPr>
                <w:rFonts w:ascii="Palatino Linotype" w:hAnsi="Palatino Linotype"/>
                <w:sz w:val="20"/>
                <w:szCs w:val="20"/>
              </w:rPr>
              <w:t>15(9) of the IA Regulations.</w:t>
            </w:r>
          </w:p>
          <w:p w14:paraId="3AB9DA15" w14:textId="77777777" w:rsidR="00F025AD" w:rsidRPr="007C6D7E" w:rsidRDefault="00F025AD" w:rsidP="00F025AD">
            <w:pPr>
              <w:shd w:val="clear" w:color="auto" w:fill="FFFFFF"/>
              <w:jc w:val="both"/>
              <w:rPr>
                <w:rFonts w:ascii="Palatino Linotype" w:hAnsi="Palatino Linotype"/>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6F03957"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269B366F"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185A6A9D"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w:t>
            </w:r>
          </w:p>
        </w:tc>
        <w:tc>
          <w:tcPr>
            <w:tcW w:w="1276" w:type="dxa"/>
            <w:tcBorders>
              <w:top w:val="single" w:sz="4" w:space="0" w:color="auto"/>
              <w:bottom w:val="single" w:sz="4" w:space="0" w:color="auto"/>
              <w:right w:val="single" w:sz="4" w:space="0" w:color="auto"/>
            </w:tcBorders>
            <w:shd w:val="clear" w:color="auto" w:fill="auto"/>
            <w:noWrap/>
          </w:tcPr>
          <w:p w14:paraId="5FB8D83C"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01/06/2021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14C4F69"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Research Infotech, proprietor Jasmeet Kaur Bagga</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78F5246"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0542D2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Research Infotech, proprietor Jasmeet Kaur Bagga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8563153" w14:textId="77777777" w:rsidR="00F025AD" w:rsidRPr="007C6D7E" w:rsidRDefault="00F025AD" w:rsidP="00F025AD">
            <w:pPr>
              <w:shd w:val="clear" w:color="auto" w:fill="FFFFFF"/>
              <w:rPr>
                <w:rFonts w:ascii="Palatino Linotype" w:hAnsi="Palatino Linotype"/>
                <w:sz w:val="20"/>
                <w:szCs w:val="20"/>
              </w:rPr>
            </w:pPr>
            <w:r w:rsidRPr="007C6D7E">
              <w:rPr>
                <w:rFonts w:ascii="Palatino Linotype" w:hAnsi="Palatino Linotype"/>
                <w:sz w:val="20"/>
                <w:szCs w:val="20"/>
              </w:rPr>
              <w:t xml:space="preserve">Regulation  15  (1),  clauses  1,  2,  5  and  6  of  the  Code  of Conduct for investment adviser </w:t>
            </w:r>
          </w:p>
          <w:p w14:paraId="2DAF2168"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read with regulation 15(9) of SEBI (Investment Advisers) Regulations, 2013 and Section 12A(a), (b) and (c) of the SEBI Act,1992 and </w:t>
            </w:r>
          </w:p>
          <w:p w14:paraId="32A16DF8" w14:textId="77777777" w:rsidR="00F025AD" w:rsidRPr="007C6D7E" w:rsidRDefault="00F025AD" w:rsidP="00F025AD">
            <w:pPr>
              <w:shd w:val="clear" w:color="auto" w:fill="FFFFFF"/>
              <w:jc w:val="both"/>
              <w:rPr>
                <w:rFonts w:ascii="Palatino Linotype" w:hAnsi="Palatino Linotype"/>
                <w:sz w:val="20"/>
                <w:szCs w:val="20"/>
              </w:rPr>
            </w:pPr>
          </w:p>
          <w:p w14:paraId="76049F1A"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Regulations 3(b),(c) and(d) and 4(1) and 4(2)(k)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A58AABF"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38B36305"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2B83FA05"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w:t>
            </w:r>
          </w:p>
        </w:tc>
        <w:tc>
          <w:tcPr>
            <w:tcW w:w="1276" w:type="dxa"/>
            <w:tcBorders>
              <w:top w:val="single" w:sz="4" w:space="0" w:color="auto"/>
              <w:bottom w:val="single" w:sz="4" w:space="0" w:color="auto"/>
              <w:right w:val="single" w:sz="4" w:space="0" w:color="auto"/>
            </w:tcBorders>
            <w:shd w:val="clear" w:color="auto" w:fill="auto"/>
            <w:noWrap/>
          </w:tcPr>
          <w:p w14:paraId="011B666A"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01/06/2021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334A6C2"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Shantanu Sheorey Aquakult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5EE276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C6BB330"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ASBN Commodities &amp; Fineserve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AC62323"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Regulation  3  (a),  (b),  (c),  (d)  and  4  (1), 4(2),  (a)  and  (e)  of the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E3EC25E"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1A83696B"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54EA8C9C"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w:t>
            </w:r>
          </w:p>
        </w:tc>
        <w:tc>
          <w:tcPr>
            <w:tcW w:w="1276" w:type="dxa"/>
            <w:tcBorders>
              <w:top w:val="single" w:sz="4" w:space="0" w:color="auto"/>
              <w:bottom w:val="single" w:sz="4" w:space="0" w:color="auto"/>
              <w:right w:val="single" w:sz="4" w:space="0" w:color="auto"/>
            </w:tcBorders>
            <w:shd w:val="clear" w:color="auto" w:fill="auto"/>
            <w:noWrap/>
          </w:tcPr>
          <w:p w14:paraId="452115B0"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03/06/2021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149D2B0"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Wildstock (Proprietor: Mr. Sanjeev Singh)</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82463E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71A91E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Wildstock (Proprietor: Mr. Sanjeev Singh)</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15D2396"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 12A (c) of SEBI Act, 1992 and Regulations 3(d) and Regulations 4(1), 4(2)(k)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D2B2050"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1195B3E1"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3E6FE4DE"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w:t>
            </w:r>
          </w:p>
        </w:tc>
        <w:tc>
          <w:tcPr>
            <w:tcW w:w="1276" w:type="dxa"/>
            <w:tcBorders>
              <w:top w:val="single" w:sz="4" w:space="0" w:color="auto"/>
              <w:bottom w:val="single" w:sz="4" w:space="0" w:color="auto"/>
              <w:right w:val="single" w:sz="4" w:space="0" w:color="auto"/>
            </w:tcBorders>
            <w:shd w:val="clear" w:color="auto" w:fill="auto"/>
            <w:noWrap/>
          </w:tcPr>
          <w:p w14:paraId="65ABFEEC"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03/06/2021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25FA19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Future Investment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9C7E3D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47DA1B4"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Pinky Kelva, Proprietor of Future Investment</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14:paraId="62B13926"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Regulations 16 and 17 of the IA Regulations, 2013 and the provisions of PFUTP </w:t>
            </w:r>
            <w:r w:rsidRPr="007C6D7E">
              <w:rPr>
                <w:rFonts w:ascii="Palatino Linotype" w:hAnsi="Palatino Linotype"/>
                <w:sz w:val="20"/>
                <w:szCs w:val="20"/>
              </w:rPr>
              <w:lastRenderedPageBreak/>
              <w:t>Regulations, 2003, as outlined in the Interim Order</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3EA60F0"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lastRenderedPageBreak/>
              <w:t>-</w:t>
            </w:r>
          </w:p>
        </w:tc>
      </w:tr>
      <w:tr w:rsidR="00F025AD" w:rsidRPr="00B83873" w14:paraId="4CC8FE04"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3722664D"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6</w:t>
            </w:r>
          </w:p>
        </w:tc>
        <w:tc>
          <w:tcPr>
            <w:tcW w:w="1276" w:type="dxa"/>
            <w:tcBorders>
              <w:top w:val="single" w:sz="4" w:space="0" w:color="auto"/>
              <w:bottom w:val="single" w:sz="4" w:space="0" w:color="auto"/>
              <w:right w:val="single" w:sz="4" w:space="0" w:color="auto"/>
            </w:tcBorders>
            <w:shd w:val="clear" w:color="auto" w:fill="auto"/>
            <w:noWrap/>
          </w:tcPr>
          <w:p w14:paraId="3DBB6E37"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04/06/2021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A801071"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Tips4Market  (Proprietor: Mahesh  Vaghajibhai Ramani)</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E039E6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BE1EAED"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Tips4Market  (Proprietor: Mahesh  Vaghajibhai Ramani)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4FE87CC"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 12(1) of SEBI Act, 1992 read with Regulation 3(1) of the IA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3AC8722"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55B2D86C"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55C5B10D"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1C261225"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07/06/2021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B92E7C9"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Front Running: Various Funds of Fidelity Group</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DD2FBC3"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211377D"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Vaibhav Dhadda (alias Avi Dhadda) and 10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98A9378"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Sections12A(a), 12A(b), and 12A(c) of SEBI Act, 1992 read with Regulation 3(a), 3(b), 3(c), 3(d), 4(1) and 4(2)(q)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448535D" w14:textId="77777777" w:rsidR="00F025AD" w:rsidRPr="007C6D7E" w:rsidRDefault="00F025AD" w:rsidP="00F025AD">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w:t>
            </w:r>
          </w:p>
        </w:tc>
      </w:tr>
      <w:tr w:rsidR="00F025AD" w:rsidRPr="00B83873" w14:paraId="0124F312"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49258592"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3F81FFD1"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07/06/2021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93FBD3A"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Franklin Templeton Asset Management Company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D4B6524"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073CE59"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Franklin Templeton asset management (India)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5C015FC"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Regulations </w:t>
            </w:r>
          </w:p>
          <w:p w14:paraId="55181C84"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25(1), 25(2), 25(3), 25(6A), 25(6B), 25(16), Clauses (2), (6), (8) and (9) of the Code of Conduct as specified in Fifth Schedule of the Mutual Fund Regulations and the SEBI Circular dated July </w:t>
            </w:r>
          </w:p>
          <w:p w14:paraId="190AE818"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27, 2000. </w:t>
            </w:r>
          </w:p>
          <w:p w14:paraId="5276A906" w14:textId="77777777" w:rsidR="00F025AD" w:rsidRPr="007C6D7E" w:rsidRDefault="00F025AD" w:rsidP="00F025AD">
            <w:pPr>
              <w:shd w:val="clear" w:color="auto" w:fill="FFFFFF"/>
              <w:rPr>
                <w:rFonts w:ascii="Palatino Linotype" w:eastAsia="Calibri" w:hAnsi="Palatino Linotype" w:cs="Mangal"/>
                <w:sz w:val="20"/>
                <w:szCs w:val="20"/>
              </w:rPr>
            </w:pPr>
          </w:p>
          <w:p w14:paraId="2D3F2FE3"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Regulation 39(2)(a) of the SEBI (Mutual Funds) Regulations, 1996 </w:t>
            </w:r>
          </w:p>
          <w:p w14:paraId="6C1CCFBC" w14:textId="77777777" w:rsidR="00F025AD" w:rsidRPr="007C6D7E" w:rsidRDefault="00F025AD" w:rsidP="00F025AD">
            <w:pPr>
              <w:shd w:val="clear" w:color="auto" w:fill="FFFFFF"/>
              <w:jc w:val="both"/>
              <w:rPr>
                <w:rFonts w:ascii="Palatino Linotype" w:eastAsia="Calibri" w:hAnsi="Palatino Linotype" w:cs="Mangal"/>
                <w:sz w:val="20"/>
                <w:szCs w:val="20"/>
              </w:rPr>
            </w:pPr>
          </w:p>
          <w:p w14:paraId="285A48F3" w14:textId="77777777" w:rsidR="00F025AD" w:rsidRPr="007C6D7E" w:rsidRDefault="00F025AD" w:rsidP="00F025AD">
            <w:pPr>
              <w:shd w:val="clear" w:color="auto" w:fill="FFFFFF"/>
              <w:jc w:val="both"/>
              <w:rPr>
                <w:rFonts w:ascii="Palatino Linotype" w:eastAsia="Calibri" w:hAnsi="Palatino Linotype" w:cs="Mangal"/>
                <w:sz w:val="20"/>
                <w:szCs w:val="20"/>
                <w:lang w:val="en-IN"/>
              </w:rPr>
            </w:pPr>
            <w:r w:rsidRPr="007C6D7E">
              <w:rPr>
                <w:rFonts w:ascii="Palatino Linotype" w:eastAsia="Calibri" w:hAnsi="Palatino Linotype" w:cs="Mangal"/>
                <w:sz w:val="20"/>
                <w:szCs w:val="20"/>
                <w:lang w:val="en-IN"/>
              </w:rPr>
              <w:t>SEBI</w:t>
            </w:r>
            <w:r w:rsidRPr="007C6D7E">
              <w:rPr>
                <w:rFonts w:ascii="Palatino Linotype" w:eastAsia="Calibri" w:hAnsi="Palatino Linotype" w:cs="Mangal"/>
                <w:sz w:val="20"/>
                <w:szCs w:val="20"/>
              </w:rPr>
              <w:t xml:space="preserve"> Circular no </w:t>
            </w:r>
            <w:r w:rsidRPr="007C6D7E">
              <w:rPr>
                <w:rFonts w:ascii="Palatino Linotype" w:eastAsia="Calibri" w:hAnsi="Palatino Linotype" w:cs="Mangal"/>
                <w:sz w:val="20"/>
                <w:szCs w:val="20"/>
                <w:lang w:val="en-IN"/>
              </w:rPr>
              <w:t xml:space="preserve">SEBI/HO/IMD/DF3/CIR/P/2017/114 </w:t>
            </w:r>
            <w:r w:rsidRPr="007C6D7E">
              <w:rPr>
                <w:rFonts w:ascii="Palatino Linotype" w:eastAsia="Calibri" w:hAnsi="Palatino Linotype" w:cs="Mangal"/>
                <w:sz w:val="20"/>
                <w:szCs w:val="20"/>
              </w:rPr>
              <w:t>dated</w:t>
            </w:r>
            <w:r w:rsidRPr="007C6D7E">
              <w:rPr>
                <w:rFonts w:ascii="Palatino Linotype" w:eastAsia="Calibri" w:hAnsi="Palatino Linotype" w:cs="Mangal"/>
                <w:sz w:val="20"/>
                <w:szCs w:val="20"/>
                <w:lang w:val="en-IN"/>
              </w:rPr>
              <w:t xml:space="preserve"> </w:t>
            </w:r>
            <w:r w:rsidRPr="007C6D7E">
              <w:rPr>
                <w:rFonts w:ascii="Palatino Linotype" w:eastAsia="Calibri" w:hAnsi="Palatino Linotype" w:cs="Mangal"/>
                <w:sz w:val="20"/>
                <w:szCs w:val="20"/>
              </w:rPr>
              <w:t xml:space="preserve"> October 6, 2017</w:t>
            </w:r>
          </w:p>
          <w:p w14:paraId="2AAD4A40" w14:textId="77777777" w:rsidR="00F025AD" w:rsidRPr="007C6D7E" w:rsidRDefault="00F025AD" w:rsidP="00F025AD">
            <w:pPr>
              <w:shd w:val="clear" w:color="auto" w:fill="FFFFFF"/>
              <w:jc w:val="both"/>
              <w:rPr>
                <w:rFonts w:ascii="Palatino Linotype" w:eastAsia="Calibri" w:hAnsi="Palatino Linotype" w:cs="Mangal"/>
                <w:sz w:val="20"/>
                <w:szCs w:val="20"/>
              </w:rPr>
            </w:pPr>
          </w:p>
          <w:p w14:paraId="55064706"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SEBI Circular no SEBI/HO/IMD/DF3/CIR/P/2017/126 dated  December 4, 2017</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CDF9FD9" w14:textId="77777777" w:rsidR="00F025AD" w:rsidRPr="007C6D7E" w:rsidRDefault="00F025AD" w:rsidP="00F025AD">
            <w:pPr>
              <w:rPr>
                <w:rFonts w:ascii="Palatino Linotype" w:eastAsia="Calibri" w:hAnsi="Palatino Linotype" w:cs="Mangal"/>
                <w:sz w:val="20"/>
                <w:szCs w:val="20"/>
              </w:rPr>
            </w:pPr>
            <w:r w:rsidRPr="007C6D7E">
              <w:rPr>
                <w:rFonts w:ascii="Palatino Linotype" w:eastAsia="Calibri" w:hAnsi="Palatino Linotype" w:cs="Mangal"/>
                <w:b/>
                <w:sz w:val="20"/>
                <w:szCs w:val="20"/>
              </w:rPr>
              <w:t>Penalty</w:t>
            </w:r>
            <w:r w:rsidRPr="007C6D7E">
              <w:rPr>
                <w:rFonts w:ascii="Palatino Linotype" w:eastAsia="Calibri" w:hAnsi="Palatino Linotype" w:cs="Mangal"/>
                <w:sz w:val="20"/>
                <w:szCs w:val="20"/>
              </w:rPr>
              <w:t xml:space="preserve"> – Rs 5 crore</w:t>
            </w:r>
          </w:p>
          <w:p w14:paraId="5A042C89" w14:textId="77777777" w:rsidR="00F025AD" w:rsidRPr="007C6D7E" w:rsidRDefault="00F025AD" w:rsidP="00F025AD">
            <w:pPr>
              <w:shd w:val="clear" w:color="auto" w:fill="FFFFFF"/>
              <w:rPr>
                <w:rFonts w:ascii="Palatino Linotype" w:eastAsia="Calibri" w:hAnsi="Palatino Linotype" w:cs="Mangal"/>
                <w:sz w:val="20"/>
                <w:szCs w:val="20"/>
                <w:lang w:val="en-IN"/>
              </w:rPr>
            </w:pPr>
            <w:r w:rsidRPr="007C6D7E">
              <w:rPr>
                <w:rFonts w:ascii="Palatino Linotype" w:eastAsia="Calibri" w:hAnsi="Palatino Linotype" w:cs="Mangal"/>
                <w:b/>
                <w:sz w:val="20"/>
                <w:szCs w:val="20"/>
              </w:rPr>
              <w:t>Disgorgement</w:t>
            </w:r>
            <w:r w:rsidRPr="007C6D7E">
              <w:rPr>
                <w:rFonts w:ascii="Palatino Linotype" w:eastAsia="Calibri" w:hAnsi="Palatino Linotype" w:cs="Mangal"/>
                <w:sz w:val="20"/>
                <w:szCs w:val="20"/>
              </w:rPr>
              <w:t xml:space="preserve"> – Rs. </w:t>
            </w:r>
            <w:r w:rsidRPr="007C6D7E">
              <w:rPr>
                <w:rFonts w:ascii="Palatino Linotype" w:eastAsia="Calibri" w:hAnsi="Palatino Linotype" w:cs="Mangal"/>
                <w:sz w:val="20"/>
                <w:szCs w:val="20"/>
                <w:lang w:val="en-IN"/>
              </w:rPr>
              <w:t>512,50,92,534</w:t>
            </w:r>
          </w:p>
          <w:p w14:paraId="6D2D6267" w14:textId="77777777" w:rsidR="00F025AD" w:rsidRPr="007C6D7E" w:rsidRDefault="00F025AD" w:rsidP="00F025AD">
            <w:pPr>
              <w:rPr>
                <w:rFonts w:ascii="Palatino Linotype" w:eastAsia="Calibri" w:hAnsi="Palatino Linotype" w:cs="Mangal"/>
                <w:sz w:val="20"/>
                <w:szCs w:val="20"/>
              </w:rPr>
            </w:pPr>
          </w:p>
        </w:tc>
      </w:tr>
      <w:tr w:rsidR="00F025AD" w:rsidRPr="00B83873" w14:paraId="4B730AFF"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018DB184"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33DFBC5E"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07/06/2021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94A35F5"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Franklin Templeton Mutual Fund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F04ADFE"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193AB07"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Vivek Kudva Roopa Kudva Vasanthi Kudva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914DAC8"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Regulation  5(3)  of  the SEBI  (Investor  Protection  and Education Fund) Regulations, 2009 and Regulation 39(2)(a) of the SEBI (Mutual Funds) Regulations, 1996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01A2BCB" w14:textId="77777777" w:rsidR="00F025AD" w:rsidRPr="007C6D7E" w:rsidRDefault="00F025AD" w:rsidP="00F025AD">
            <w:pPr>
              <w:rPr>
                <w:rFonts w:ascii="Palatino Linotype" w:eastAsia="Calibri" w:hAnsi="Palatino Linotype" w:cs="Mangal"/>
                <w:sz w:val="20"/>
                <w:szCs w:val="20"/>
              </w:rPr>
            </w:pPr>
            <w:r w:rsidRPr="007C6D7E">
              <w:rPr>
                <w:rFonts w:ascii="Palatino Linotype" w:eastAsia="Calibri" w:hAnsi="Palatino Linotype" w:cs="Mangal"/>
                <w:b/>
                <w:sz w:val="20"/>
                <w:szCs w:val="20"/>
              </w:rPr>
              <w:t>Penalty</w:t>
            </w:r>
            <w:r w:rsidRPr="007C6D7E">
              <w:rPr>
                <w:rFonts w:ascii="Palatino Linotype" w:eastAsia="Calibri" w:hAnsi="Palatino Linotype" w:cs="Mangal"/>
                <w:sz w:val="20"/>
                <w:szCs w:val="20"/>
              </w:rPr>
              <w:t xml:space="preserve"> – Rs 7 crore</w:t>
            </w:r>
          </w:p>
          <w:p w14:paraId="670EF9F0" w14:textId="77777777" w:rsidR="00F025AD" w:rsidRPr="007C6D7E" w:rsidRDefault="00F025AD" w:rsidP="00F025AD">
            <w:pPr>
              <w:shd w:val="clear" w:color="auto" w:fill="FFFFFF"/>
              <w:jc w:val="both"/>
              <w:rPr>
                <w:rFonts w:ascii="Palatino Linotype" w:eastAsia="Calibri" w:hAnsi="Palatino Linotype" w:cs="Mangal"/>
                <w:b/>
                <w:sz w:val="20"/>
                <w:szCs w:val="20"/>
              </w:rPr>
            </w:pPr>
          </w:p>
          <w:p w14:paraId="44975B4E"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b/>
                <w:sz w:val="20"/>
                <w:szCs w:val="20"/>
              </w:rPr>
              <w:t>Refund to Escrow Account</w:t>
            </w:r>
            <w:r w:rsidRPr="007C6D7E">
              <w:rPr>
                <w:rFonts w:ascii="Palatino Linotype" w:eastAsia="Calibri" w:hAnsi="Palatino Linotype" w:cs="Mangal"/>
                <w:sz w:val="20"/>
                <w:szCs w:val="20"/>
              </w:rPr>
              <w:t>- Rs.  22,64,25,773 plus interest @12% p.a.</w:t>
            </w:r>
          </w:p>
          <w:p w14:paraId="7D96A77C" w14:textId="77777777" w:rsidR="00F025AD" w:rsidRPr="007C6D7E" w:rsidRDefault="00F025AD" w:rsidP="00F025AD">
            <w:pPr>
              <w:shd w:val="clear" w:color="auto" w:fill="FFFFFF"/>
              <w:jc w:val="both"/>
              <w:rPr>
                <w:rFonts w:ascii="Palatino Linotype" w:eastAsia="Calibri" w:hAnsi="Palatino Linotype" w:cs="Mangal"/>
                <w:sz w:val="20"/>
                <w:szCs w:val="20"/>
              </w:rPr>
            </w:pPr>
          </w:p>
          <w:p w14:paraId="17A42C52" w14:textId="77777777" w:rsidR="00F025AD" w:rsidRPr="007C6D7E" w:rsidRDefault="00F025AD" w:rsidP="00F025AD">
            <w:pPr>
              <w:shd w:val="clear" w:color="auto" w:fill="FFFFFF"/>
              <w:jc w:val="both"/>
              <w:rPr>
                <w:rFonts w:ascii="Palatino Linotype" w:eastAsia="Calibri" w:hAnsi="Palatino Linotype" w:cs="Mangal"/>
                <w:sz w:val="20"/>
                <w:szCs w:val="20"/>
              </w:rPr>
            </w:pPr>
          </w:p>
          <w:p w14:paraId="10450B67" w14:textId="77777777" w:rsidR="00F025AD" w:rsidRPr="007C6D7E" w:rsidRDefault="00F025AD" w:rsidP="00F025AD">
            <w:pPr>
              <w:shd w:val="clear" w:color="auto" w:fill="FFFFFF"/>
              <w:jc w:val="both"/>
              <w:rPr>
                <w:rFonts w:ascii="Palatino Linotype" w:eastAsia="Calibri" w:hAnsi="Palatino Linotype" w:cs="Mangal"/>
                <w:sz w:val="20"/>
                <w:szCs w:val="20"/>
              </w:rPr>
            </w:pPr>
          </w:p>
          <w:p w14:paraId="43D31814" w14:textId="77777777" w:rsidR="00F025AD" w:rsidRPr="007C6D7E" w:rsidRDefault="00F025AD" w:rsidP="00F025AD">
            <w:pPr>
              <w:rPr>
                <w:rFonts w:ascii="Palatino Linotype" w:eastAsia="Calibri" w:hAnsi="Palatino Linotype" w:cs="Mangal"/>
                <w:sz w:val="20"/>
                <w:szCs w:val="20"/>
              </w:rPr>
            </w:pPr>
          </w:p>
          <w:p w14:paraId="144F90CF" w14:textId="77777777" w:rsidR="00F025AD" w:rsidRPr="007C6D7E" w:rsidRDefault="00F025AD" w:rsidP="00F025AD">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w:t>
            </w:r>
          </w:p>
        </w:tc>
      </w:tr>
      <w:tr w:rsidR="00F025AD" w:rsidRPr="00B83873" w14:paraId="49606ED9"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1779C283"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10</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3527E851"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07/06/2021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7084544"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Rushabh Research (Proprietor: Nitin Nanalal Dedhia)</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356135F"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8322344"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Rushabh Research (Proprietor: Nitin Nanalal Dedhia)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67FB601"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Section 12A  (c)  of SEBI Act,  1992 and Regulations Regulation 2(1)(c) 3(d) and 4(1) of 4(2)(k)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C761716" w14:textId="77777777" w:rsidR="00F025AD" w:rsidRPr="007C6D7E" w:rsidRDefault="00F025AD" w:rsidP="00F025AD">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w:t>
            </w:r>
          </w:p>
        </w:tc>
      </w:tr>
      <w:tr w:rsidR="00F025AD" w:rsidRPr="00B83873" w14:paraId="3E67F2C6"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13895C18"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179EAF5B"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DB9F719"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Capital Money Mantra (Proprietor: Gaurav Yadav)</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2494709"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036ECA6"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Capital Money Mantra (Proprietor: Gaurav Yadav)</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62187FB"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Section  12(1)  of SEBI  Act,  1992  read  with  Regulation 3(1) of SEBI (Investment Advisers)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F6A5C68" w14:textId="77777777" w:rsidR="00F025AD" w:rsidRPr="007C6D7E" w:rsidRDefault="00F025AD" w:rsidP="00F025AD">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w:t>
            </w:r>
          </w:p>
        </w:tc>
      </w:tr>
      <w:tr w:rsidR="00F025AD" w:rsidRPr="00B83873" w14:paraId="52182AB1"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34D96C79"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14232FEE"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4F28C5D"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Computech Sharecap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7FF8988"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14BCD4B"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Computech Sharecap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40F9A81"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Regulation  30A(8)(c)  of  the  SEBI (Intermediaries  Regulations), 2008 and  shall ensure compliance with Clause 23 of the Code of Conduct for RTAs specified in Schedule III read with Regulation 13 of the SEBI (RTA)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5A6FBD6" w14:textId="77777777" w:rsidR="00F025AD" w:rsidRPr="007C6D7E" w:rsidRDefault="00F025AD" w:rsidP="00F025AD">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w:t>
            </w:r>
          </w:p>
        </w:tc>
      </w:tr>
      <w:tr w:rsidR="00F025AD" w:rsidRPr="00B83873" w14:paraId="1CA6C421"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042A9C00"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71AF5B5A"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F50841A"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Majestic Auto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EE8D5BF"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55D0DC7"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Majestic Auto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DE65BD8"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Regulation 98 of SEBI (Listing Obligations  and  Disclosure  Requirements)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95E2B10" w14:textId="77777777" w:rsidR="00F025AD" w:rsidRPr="007C6D7E" w:rsidRDefault="00F025AD" w:rsidP="00F025AD">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w:t>
            </w:r>
          </w:p>
        </w:tc>
      </w:tr>
      <w:tr w:rsidR="00F025AD" w:rsidRPr="00B83873" w14:paraId="3CB49DC2"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44BEEC1F"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14</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6B753BB3"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B802516"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Max India Research (Proprietor: Abhishek Gupta)</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E1B7590"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E79F47A" w14:textId="77777777" w:rsidR="00F025AD" w:rsidRPr="007C6D7E" w:rsidRDefault="00F025AD" w:rsidP="00F025AD">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Max India Research (Proprietor: Abhishek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7A493A8" w14:textId="77777777" w:rsidR="00F025AD" w:rsidRPr="007C6D7E" w:rsidRDefault="00F025AD" w:rsidP="00F025AD">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Section 12(1) of the SEBI Act, 1992 read with Regulation 3(1) of the IA Regulations, 2013and Section 12A(a), (b) and (c) of the SEBI Act, 1992 read with Regulation 3(a), (b), (c) and (d)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FC17BBA" w14:textId="77777777" w:rsidR="00F025AD" w:rsidRPr="007C6D7E" w:rsidRDefault="00F025AD" w:rsidP="00F025AD">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1,00,000</w:t>
            </w:r>
          </w:p>
        </w:tc>
      </w:tr>
      <w:tr w:rsidR="00F025AD" w:rsidRPr="00B83873" w14:paraId="7555593F"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7814F9CF"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15</w:t>
            </w:r>
          </w:p>
        </w:tc>
        <w:tc>
          <w:tcPr>
            <w:tcW w:w="1276" w:type="dxa"/>
            <w:tcBorders>
              <w:top w:val="single" w:sz="4" w:space="0" w:color="auto"/>
              <w:bottom w:val="single" w:sz="4" w:space="0" w:color="auto"/>
              <w:right w:val="single" w:sz="4" w:space="0" w:color="auto"/>
            </w:tcBorders>
            <w:shd w:val="clear" w:color="auto" w:fill="auto"/>
            <w:noWrap/>
          </w:tcPr>
          <w:p w14:paraId="57C06E56"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C55C811"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Zylog Systems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1E8DA17"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D037AB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Zylog Systems Limited and 12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988DBC9"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Regulations  3(1),  3(2)  and  4  of  the  SEBI (Substantial   Acquisition   of   Shares   and   Takeover)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2648529"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3314E41A"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664DC08B"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16</w:t>
            </w:r>
          </w:p>
        </w:tc>
        <w:tc>
          <w:tcPr>
            <w:tcW w:w="1276" w:type="dxa"/>
            <w:tcBorders>
              <w:top w:val="single" w:sz="4" w:space="0" w:color="auto"/>
              <w:bottom w:val="single" w:sz="4" w:space="0" w:color="auto"/>
              <w:right w:val="single" w:sz="4" w:space="0" w:color="auto"/>
            </w:tcBorders>
            <w:shd w:val="clear" w:color="auto" w:fill="auto"/>
            <w:noWrap/>
          </w:tcPr>
          <w:p w14:paraId="4FE07BAC"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1F553E4"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Prowise Capital</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BA04CE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FB45772"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 xml:space="preserve">Prowise Capital, Prowise Consultancy, Yogendra Gangrade, Swati Purwar, Vaibhav Patil, Arun Jatav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48B9C89"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 19 of the SEBI Act, 1992 and Regulations  4(2)(k)  of  PFUTP Regulations, 2003 and Regulation 2(1) (m) of the SEBI (Investment Advisors)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B0111CE"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6AC5BE5C"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437F923C"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17</w:t>
            </w:r>
          </w:p>
        </w:tc>
        <w:tc>
          <w:tcPr>
            <w:tcW w:w="1276" w:type="dxa"/>
            <w:tcBorders>
              <w:top w:val="single" w:sz="4" w:space="0" w:color="auto"/>
              <w:bottom w:val="single" w:sz="4" w:space="0" w:color="auto"/>
              <w:right w:val="single" w:sz="4" w:space="0" w:color="auto"/>
            </w:tcBorders>
            <w:shd w:val="clear" w:color="auto" w:fill="auto"/>
            <w:noWrap/>
          </w:tcPr>
          <w:p w14:paraId="1019EB01"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15/06/2021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D594BB8"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Mehul Johnson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5BAC12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8922522"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Mehul Johnson</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9A742F9"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Regulations 9 of SEBI PIT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0C11815"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0028A3A4"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3F24BC5E"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18</w:t>
            </w:r>
          </w:p>
        </w:tc>
        <w:tc>
          <w:tcPr>
            <w:tcW w:w="1276" w:type="dxa"/>
            <w:tcBorders>
              <w:top w:val="single" w:sz="4" w:space="0" w:color="auto"/>
              <w:bottom w:val="single" w:sz="4" w:space="0" w:color="auto"/>
              <w:right w:val="single" w:sz="4" w:space="0" w:color="auto"/>
            </w:tcBorders>
            <w:shd w:val="clear" w:color="auto" w:fill="auto"/>
            <w:noWrap/>
          </w:tcPr>
          <w:p w14:paraId="7F5B402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15/06/2021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ABA2356"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Inter Globe Finance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1EA998D"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0115AA4"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 xml:space="preserve">Inter Globe Finance Limited, Navin Jain, Pritam Kumar Choudhary, Seema Gupta, Anirban Dutta, Vikash Kedia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4CF03B2"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  12A(1)  and  12A(2)  read  with Section  23E  and  23H of  Securities  Contracts  (Regulations)  Act,  1956 and Regulations 4(2)(f)(iii)(3),  4(2)(f)(iii)(6) of SEBI   (Listing   Obligation   and   Disclosure Requirements) Regulation, 2015 (LODR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4CDA466"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36,00,000</w:t>
            </w:r>
          </w:p>
        </w:tc>
      </w:tr>
      <w:tr w:rsidR="00F025AD" w:rsidRPr="00B83873" w14:paraId="0A037E71"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321A821A"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19</w:t>
            </w:r>
          </w:p>
        </w:tc>
        <w:tc>
          <w:tcPr>
            <w:tcW w:w="1276" w:type="dxa"/>
            <w:tcBorders>
              <w:top w:val="single" w:sz="4" w:space="0" w:color="auto"/>
              <w:bottom w:val="single" w:sz="4" w:space="0" w:color="auto"/>
              <w:right w:val="single" w:sz="4" w:space="0" w:color="auto"/>
            </w:tcBorders>
            <w:shd w:val="clear" w:color="auto" w:fill="auto"/>
            <w:noWrap/>
          </w:tcPr>
          <w:p w14:paraId="3DFDE9C7"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16/06/2021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0FE4059"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Research Services (Proprietor: Mr. Gourav Kumar Gour)</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4F773F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429B30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Research Services (Proprietor: Mr. Gourav Kumar Gour)</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EC733D9"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 12(1) of the SEBI Act, 1992 read with Regulation 3(1) of the IA Regulations, 2013 and Section 12A(a), (b)  and  (c)  of  the  SEBI  Act, 1992  read  with  Regulation  3(a),  (b),  (c)  and  (d)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B1CC6CD"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1FD82633"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431671F8"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20</w:t>
            </w:r>
          </w:p>
        </w:tc>
        <w:tc>
          <w:tcPr>
            <w:tcW w:w="1276" w:type="dxa"/>
            <w:tcBorders>
              <w:top w:val="single" w:sz="4" w:space="0" w:color="auto"/>
              <w:bottom w:val="single" w:sz="4" w:space="0" w:color="auto"/>
              <w:right w:val="single" w:sz="4" w:space="0" w:color="auto"/>
            </w:tcBorders>
            <w:shd w:val="clear" w:color="auto" w:fill="auto"/>
            <w:noWrap/>
          </w:tcPr>
          <w:p w14:paraId="4F1F046B"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17/06/2021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3F96817"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 xml:space="preserve">Atlas Jewellery India Limited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21B37C9"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937F68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 xml:space="preserve">Atlas Jewellery India Limited and 6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2FA8BF0"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Regulation 25 (1) of Takeover Regulations read  with  regulation  25  (5)  of  Takeover  Regulations and clause 35 of the Listing Agreement and regulation 72 (1)(c) of ICDR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0D754AC"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628D15A4"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423E3297"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21</w:t>
            </w:r>
          </w:p>
        </w:tc>
        <w:tc>
          <w:tcPr>
            <w:tcW w:w="1276" w:type="dxa"/>
            <w:tcBorders>
              <w:top w:val="single" w:sz="4" w:space="0" w:color="auto"/>
              <w:bottom w:val="single" w:sz="4" w:space="0" w:color="auto"/>
              <w:right w:val="single" w:sz="4" w:space="0" w:color="auto"/>
            </w:tcBorders>
            <w:shd w:val="clear" w:color="auto" w:fill="auto"/>
            <w:noWrap/>
          </w:tcPr>
          <w:p w14:paraId="6727B04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8A39E4A"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Moongipa Investments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7FC63A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8891281"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Moongipa Investments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D97C836"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Regulation 8(3)(f) of the SCRR, Regulation 9 read with Clause A(2) and A(5) of the Code of Conduct under the Stock Broker Regulations and SEBI circulars dated </w:t>
            </w:r>
            <w:r w:rsidRPr="007C6D7E">
              <w:rPr>
                <w:rFonts w:ascii="Palatino Linotype" w:hAnsi="Palatino Linotype"/>
                <w:sz w:val="20"/>
                <w:szCs w:val="20"/>
              </w:rPr>
              <w:lastRenderedPageBreak/>
              <w:t>November 18, 1993, December 03, 2009 and August 22,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2E8A84A"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lastRenderedPageBreak/>
              <w:t>-</w:t>
            </w:r>
          </w:p>
        </w:tc>
      </w:tr>
      <w:tr w:rsidR="00F025AD" w:rsidRPr="00B83873" w14:paraId="479B1410"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59843108"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22</w:t>
            </w:r>
          </w:p>
        </w:tc>
        <w:tc>
          <w:tcPr>
            <w:tcW w:w="1276" w:type="dxa"/>
            <w:tcBorders>
              <w:top w:val="single" w:sz="4" w:space="0" w:color="auto"/>
              <w:bottom w:val="single" w:sz="4" w:space="0" w:color="auto"/>
              <w:right w:val="single" w:sz="4" w:space="0" w:color="auto"/>
            </w:tcBorders>
            <w:shd w:val="clear" w:color="auto" w:fill="auto"/>
            <w:noWrap/>
          </w:tcPr>
          <w:p w14:paraId="3F59F4CB"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910F75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Blue Bird (India)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AEED95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815CDA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 xml:space="preserve">Blue Bird (India) Limited and 10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7806094"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 12A (b) of the SEBI Act, 1992, Regulations3 (c), 4(1) and 4(2) (f)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305FBD5"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4E174A12"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235D830E"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23</w:t>
            </w:r>
          </w:p>
        </w:tc>
        <w:tc>
          <w:tcPr>
            <w:tcW w:w="1276" w:type="dxa"/>
            <w:tcBorders>
              <w:top w:val="single" w:sz="4" w:space="0" w:color="auto"/>
              <w:bottom w:val="single" w:sz="4" w:space="0" w:color="auto"/>
              <w:right w:val="single" w:sz="4" w:space="0" w:color="auto"/>
            </w:tcBorders>
            <w:shd w:val="clear" w:color="auto" w:fill="auto"/>
            <w:noWrap/>
          </w:tcPr>
          <w:p w14:paraId="55797060"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ED8E6DF"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Atlas Jewellery  India Limited</w:t>
            </w:r>
          </w:p>
          <w:p w14:paraId="521DC43D"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Corrigendum to the order dated june 17, 2021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AFE4016"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6ED635B"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Atlas Jewellery  India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C099252"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Clause 35 of the Listing Agreement and regulation 72 (1)(c) of ICDR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3F1BB8"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2A9048D0"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6E81616A"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24</w:t>
            </w:r>
          </w:p>
        </w:tc>
        <w:tc>
          <w:tcPr>
            <w:tcW w:w="1276" w:type="dxa"/>
            <w:tcBorders>
              <w:top w:val="single" w:sz="4" w:space="0" w:color="auto"/>
              <w:bottom w:val="single" w:sz="4" w:space="0" w:color="auto"/>
              <w:right w:val="single" w:sz="4" w:space="0" w:color="auto"/>
            </w:tcBorders>
            <w:shd w:val="clear" w:color="auto" w:fill="auto"/>
            <w:noWrap/>
          </w:tcPr>
          <w:p w14:paraId="74830748"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1BB4506"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Alchemist Holdings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853D85C"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3A031D0"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Balvir Singh, Sukrit Sood, Ashima Sood, Sunil Kanti Kar</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3A3E415"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Sections 56(1), 56(3) and 60 of the Companies Act,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171ECA5"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66A7864B"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7C46295A"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25</w:t>
            </w:r>
          </w:p>
        </w:tc>
        <w:tc>
          <w:tcPr>
            <w:tcW w:w="1276" w:type="dxa"/>
            <w:tcBorders>
              <w:top w:val="single" w:sz="4" w:space="0" w:color="auto"/>
              <w:bottom w:val="single" w:sz="4" w:space="0" w:color="auto"/>
              <w:right w:val="single" w:sz="4" w:space="0" w:color="auto"/>
            </w:tcBorders>
            <w:shd w:val="clear" w:color="auto" w:fill="auto"/>
            <w:noWrap/>
          </w:tcPr>
          <w:p w14:paraId="2AAD6113"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22/06/2021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871E7A6"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GDR Issue of Sterling Biotech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4D0ABAA"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45662DC"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Sterling Biotech Limited (In Liquidation) and 7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11B846A" w14:textId="77777777" w:rsidR="00F025AD" w:rsidRPr="007C6D7E" w:rsidRDefault="00F025AD" w:rsidP="00F025AD">
            <w:pPr>
              <w:jc w:val="both"/>
              <w:rPr>
                <w:rFonts w:ascii="Palatino Linotype" w:hAnsi="Palatino Linotype"/>
                <w:sz w:val="20"/>
                <w:szCs w:val="20"/>
                <w:lang w:val="en-IN" w:eastAsia="en-IN" w:bidi="hi-IN"/>
              </w:rPr>
            </w:pPr>
            <w:r w:rsidRPr="007C6D7E">
              <w:rPr>
                <w:rFonts w:ascii="Palatino Linotype" w:hAnsi="Palatino Linotype"/>
                <w:sz w:val="20"/>
                <w:szCs w:val="20"/>
                <w:lang w:val="en-IN" w:eastAsia="en-IN" w:bidi="hi-IN"/>
              </w:rPr>
              <w:t>Section 12A(a), 12A(b), 12A(c)of SEBI Act 1992 r/w Regulations 3(a), (b), (c), (d) &amp; 4(1) of SEBI</w:t>
            </w:r>
          </w:p>
          <w:p w14:paraId="07B39EF8" w14:textId="77777777" w:rsidR="00F025AD" w:rsidRPr="007C6D7E" w:rsidRDefault="00F025AD" w:rsidP="00F025AD">
            <w:pPr>
              <w:jc w:val="both"/>
              <w:rPr>
                <w:rFonts w:ascii="Palatino Linotype" w:hAnsi="Palatino Linotype"/>
                <w:sz w:val="20"/>
                <w:szCs w:val="20"/>
                <w:lang w:val="en-IN" w:eastAsia="en-IN" w:bidi="hi-IN"/>
              </w:rPr>
            </w:pPr>
            <w:r w:rsidRPr="007C6D7E">
              <w:rPr>
                <w:rFonts w:ascii="Palatino Linotype" w:hAnsi="Palatino Linotype"/>
                <w:sz w:val="20"/>
                <w:szCs w:val="20"/>
                <w:lang w:val="en-IN" w:eastAsia="en-IN" w:bidi="hi-IN"/>
              </w:rPr>
              <w:t>(PFUTP) Regulations, 2003</w:t>
            </w:r>
          </w:p>
          <w:p w14:paraId="10E63603" w14:textId="77777777" w:rsidR="00F025AD" w:rsidRPr="007C6D7E" w:rsidRDefault="00F025AD" w:rsidP="00F025AD">
            <w:pPr>
              <w:shd w:val="clear" w:color="auto" w:fill="FFFFFF"/>
              <w:jc w:val="both"/>
              <w:rPr>
                <w:rFonts w:ascii="Palatino Linotype" w:eastAsia="Calibri" w:hAnsi="Palatino Linotype"/>
                <w:sz w:val="20"/>
                <w:szCs w:val="20"/>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AB2C11E" w14:textId="77777777" w:rsidR="00F025AD" w:rsidRPr="007C6D7E" w:rsidRDefault="00F025AD" w:rsidP="00F025AD">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w:t>
            </w:r>
          </w:p>
        </w:tc>
      </w:tr>
      <w:tr w:rsidR="00F025AD" w:rsidRPr="00B83873" w14:paraId="4E3FC48D"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43D7E8C0"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26</w:t>
            </w:r>
          </w:p>
        </w:tc>
        <w:tc>
          <w:tcPr>
            <w:tcW w:w="1276" w:type="dxa"/>
            <w:tcBorders>
              <w:top w:val="single" w:sz="4" w:space="0" w:color="auto"/>
              <w:bottom w:val="single" w:sz="4" w:space="0" w:color="auto"/>
              <w:right w:val="single" w:sz="4" w:space="0" w:color="auto"/>
            </w:tcBorders>
            <w:shd w:val="clear" w:color="auto" w:fill="auto"/>
            <w:noWrap/>
          </w:tcPr>
          <w:p w14:paraId="4D08F11B"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22/06/2021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B166D1A"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Vishwas   Stocks   Research   Private   Limited,   Dalal   Stocks Advisory Private Limited and Devki Stocks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64658C"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498834C"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Dalal Merchandise Advisory Pvt. Ltd. And 7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9F1F9D6"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SEBI Act, 1992, relevant regulations of </w:t>
            </w:r>
          </w:p>
          <w:p w14:paraId="630A70EA"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PFUTP Regulations, 2003 and the relevant</w:t>
            </w:r>
          </w:p>
          <w:p w14:paraId="229AA99C"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provisions of</w:t>
            </w:r>
          </w:p>
          <w:p w14:paraId="22698F07"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SEBI Investment Adviser Regulations, 2013</w:t>
            </w:r>
          </w:p>
          <w:p w14:paraId="46A0D2B7" w14:textId="77777777" w:rsidR="00F025AD" w:rsidRPr="007C6D7E" w:rsidRDefault="00F025AD" w:rsidP="00F025AD">
            <w:pPr>
              <w:shd w:val="clear" w:color="auto" w:fill="FFFFFF"/>
              <w:jc w:val="both"/>
              <w:rPr>
                <w:rFonts w:ascii="Palatino Linotype" w:eastAsia="Calibri" w:hAnsi="Palatino Linotype"/>
                <w:sz w:val="20"/>
                <w:szCs w:val="20"/>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2C081C9" w14:textId="77777777" w:rsidR="00F025AD" w:rsidRPr="007C6D7E" w:rsidRDefault="00F025AD" w:rsidP="00F025AD">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w:t>
            </w:r>
          </w:p>
        </w:tc>
      </w:tr>
      <w:tr w:rsidR="00F025AD" w:rsidRPr="00B83873" w14:paraId="4F6344F8"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7F642877"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27</w:t>
            </w:r>
          </w:p>
        </w:tc>
        <w:tc>
          <w:tcPr>
            <w:tcW w:w="1276" w:type="dxa"/>
            <w:tcBorders>
              <w:top w:val="single" w:sz="4" w:space="0" w:color="auto"/>
              <w:bottom w:val="single" w:sz="4" w:space="0" w:color="auto"/>
              <w:right w:val="single" w:sz="4" w:space="0" w:color="auto"/>
            </w:tcBorders>
            <w:shd w:val="clear" w:color="auto" w:fill="auto"/>
            <w:noWrap/>
          </w:tcPr>
          <w:p w14:paraId="407155DE"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23/06/2021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6F7EA35"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Unickon Securities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FE0D4CF"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F50F611"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Unickon Securities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FFCE789"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Regulation 9(a) and (b) of the Broker Regulations. ‘fit and proper’ criteria specified under Schedule II of the Intermediaries Regulations read with</w:t>
            </w:r>
          </w:p>
          <w:p w14:paraId="744B21E6"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Regulation 5(e) of the Broker Regulations and </w:t>
            </w:r>
          </w:p>
          <w:p w14:paraId="01605810"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Regulation 6A of the </w:t>
            </w:r>
          </w:p>
          <w:p w14:paraId="681F19AE"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DP Regulations. </w:t>
            </w:r>
          </w:p>
          <w:p w14:paraId="0C290713" w14:textId="77777777" w:rsidR="00F025AD" w:rsidRPr="007C6D7E" w:rsidRDefault="00F025AD" w:rsidP="00F025AD">
            <w:pPr>
              <w:shd w:val="clear" w:color="auto" w:fill="FFFFFF"/>
              <w:jc w:val="both"/>
              <w:rPr>
                <w:rFonts w:ascii="Palatino Linotype" w:eastAsia="Calibri" w:hAnsi="Palatino Linotype"/>
                <w:sz w:val="20"/>
                <w:szCs w:val="20"/>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D012132" w14:textId="77777777" w:rsidR="00F025AD" w:rsidRPr="007C6D7E" w:rsidRDefault="00F025AD" w:rsidP="00F025AD">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w:t>
            </w:r>
          </w:p>
        </w:tc>
      </w:tr>
      <w:tr w:rsidR="00F025AD" w:rsidRPr="00B83873" w14:paraId="13258081"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2E59B4B6"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28</w:t>
            </w:r>
          </w:p>
        </w:tc>
        <w:tc>
          <w:tcPr>
            <w:tcW w:w="1276" w:type="dxa"/>
            <w:tcBorders>
              <w:top w:val="single" w:sz="4" w:space="0" w:color="auto"/>
              <w:bottom w:val="single" w:sz="4" w:space="0" w:color="auto"/>
              <w:right w:val="single" w:sz="4" w:space="0" w:color="auto"/>
            </w:tcBorders>
            <w:shd w:val="clear" w:color="auto" w:fill="auto"/>
            <w:noWrap/>
          </w:tcPr>
          <w:p w14:paraId="4276830F"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78EA13A"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Link Intime India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5CC128D"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0F074F4"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Link Intime India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3C3844A"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RTI Circular no. 1 (2000 - 2001) dated May 09, 2001, Clause 3 of the Code of Conduct for </w:t>
            </w:r>
            <w:r w:rsidRPr="007C6D7E">
              <w:rPr>
                <w:rFonts w:ascii="Palatino Linotype" w:eastAsia="Calibri" w:hAnsi="Palatino Linotype"/>
                <w:sz w:val="20"/>
                <w:szCs w:val="20"/>
                <w:lang w:val="en-IN"/>
              </w:rPr>
              <w:lastRenderedPageBreak/>
              <w:t xml:space="preserve">RTAs prescribed under Regulation 13 of the RTA Regulations </w:t>
            </w:r>
          </w:p>
          <w:p w14:paraId="6EB6E7F1" w14:textId="77777777" w:rsidR="00F025AD" w:rsidRPr="007C6D7E" w:rsidRDefault="00F025AD" w:rsidP="00F025AD">
            <w:pPr>
              <w:shd w:val="clear" w:color="auto" w:fill="FFFFFF"/>
              <w:jc w:val="both"/>
              <w:rPr>
                <w:rFonts w:ascii="Palatino Linotype" w:eastAsia="Calibri" w:hAnsi="Palatino Linotype"/>
                <w:sz w:val="20"/>
                <w:szCs w:val="20"/>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9ECF951" w14:textId="77777777" w:rsidR="00F025AD" w:rsidRPr="007C6D7E" w:rsidRDefault="00F025AD" w:rsidP="00F025AD">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lastRenderedPageBreak/>
              <w:t>-</w:t>
            </w:r>
          </w:p>
        </w:tc>
      </w:tr>
      <w:tr w:rsidR="00F025AD" w:rsidRPr="00B83873" w14:paraId="6D481311"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20BF93E1"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29</w:t>
            </w:r>
          </w:p>
        </w:tc>
        <w:tc>
          <w:tcPr>
            <w:tcW w:w="1276" w:type="dxa"/>
            <w:tcBorders>
              <w:top w:val="single" w:sz="4" w:space="0" w:color="auto"/>
              <w:bottom w:val="single" w:sz="4" w:space="0" w:color="auto"/>
              <w:right w:val="single" w:sz="4" w:space="0" w:color="auto"/>
            </w:tcBorders>
            <w:shd w:val="clear" w:color="auto" w:fill="auto"/>
            <w:noWrap/>
          </w:tcPr>
          <w:p w14:paraId="7098EF5C"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6238758"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Equity Mania Financial Advisory (Prop: Mr. Ankit Goel)</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C0C1C9B"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7B20D6C" w14:textId="77777777" w:rsidR="00F025AD" w:rsidRPr="007C6D7E" w:rsidRDefault="00F025AD" w:rsidP="00F025AD">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Equity Mania Financial Advisory (Prop: MrAnkit Goel)</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4B9BB08" w14:textId="77777777" w:rsidR="00F025AD" w:rsidRPr="007C6D7E" w:rsidRDefault="00F025AD" w:rsidP="00F025AD">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Section  12(1) of SEBI 1992 r/w Regulation 3(1) of the IA Regulations, 2013 and Regulation 2(1) (m) of SEBI (Investment Advisers)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448F0BB" w14:textId="77777777" w:rsidR="00F025AD" w:rsidRPr="007C6D7E" w:rsidRDefault="00F025AD" w:rsidP="00F025AD">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w:t>
            </w:r>
          </w:p>
        </w:tc>
      </w:tr>
      <w:tr w:rsidR="00F025AD" w:rsidRPr="00B83873" w14:paraId="0E672E0F"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01106AEA"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30</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6DE250AC"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28/06/2021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E3DC322"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Profitsaim (Proprietor Syed Ayaz)</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273BCE7"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D22C3AE"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Profitsaim (Proprietor Syed Ayaz)</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9B9DB47"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Section 12(1) of SEBI Act, 1992 read with Regulation 3(1) of SEBI (Investment  Advisers)  Regulations,  2013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A1E1062"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644F76EA"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275EC09B"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790FB4E6"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A9BDD67"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S.S. Securities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889B060"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5404BA9"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S.S. Securities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EA364BE"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Regulation  4(1)  read  with  Regulation  2(1)(c)  of  PFUTP Regulations read with Clause D(4) of Code of Conduct prescribed for sub-brokers in Schedule II under Regulation 15(1)(b) of Broker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D5C9866"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F025AD" w:rsidRPr="00B83873" w14:paraId="1E4EF5A6" w14:textId="77777777" w:rsidTr="00F025AD">
        <w:trPr>
          <w:trHeight w:val="300"/>
        </w:trPr>
        <w:tc>
          <w:tcPr>
            <w:tcW w:w="567" w:type="dxa"/>
            <w:tcBorders>
              <w:top w:val="single" w:sz="4" w:space="0" w:color="auto"/>
              <w:left w:val="single" w:sz="4" w:space="0" w:color="auto"/>
              <w:bottom w:val="single" w:sz="4" w:space="0" w:color="auto"/>
              <w:right w:val="single" w:sz="4" w:space="0" w:color="auto"/>
            </w:tcBorders>
          </w:tcPr>
          <w:p w14:paraId="5791E492"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32</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12FA8EA8"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13F7FCD"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Biocon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C169ADC"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A3FDD63"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Shreehas P Tambe</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F1CF55C"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Regulation    7(2)(a)    of    PIT Regulations, Clause 6 of Minimum Standards for Code of Conduct to Regulate, Monitor and Report Trading by Insiders, specified in Schedule B read with regulation 9(1) of PIT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4FD8E75"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2,00,000</w:t>
            </w:r>
          </w:p>
        </w:tc>
      </w:tr>
      <w:tr w:rsidR="00F025AD" w:rsidRPr="00B83873" w14:paraId="34133340"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6329E4C" w14:textId="77777777" w:rsidR="00F025AD" w:rsidRPr="007C6D7E" w:rsidRDefault="00F025AD" w:rsidP="00F025AD">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6EEF9DE7"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9898E04"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Front Running Trading activity of Dealers of Reliance Securities Ltd. and other connected entities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D1A2D42"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04715EA" w14:textId="77777777" w:rsidR="00F025AD" w:rsidRPr="007C6D7E" w:rsidRDefault="00F025AD" w:rsidP="00F025AD">
            <w:pPr>
              <w:jc w:val="both"/>
              <w:rPr>
                <w:rFonts w:ascii="Palatino Linotype" w:hAnsi="Palatino Linotype"/>
                <w:sz w:val="20"/>
                <w:szCs w:val="20"/>
              </w:rPr>
            </w:pPr>
            <w:r w:rsidRPr="007C6D7E">
              <w:rPr>
                <w:rFonts w:ascii="Palatino Linotype" w:hAnsi="Palatino Linotype"/>
                <w:sz w:val="20"/>
                <w:szCs w:val="20"/>
              </w:rPr>
              <w:t>Meena Ramniklal Vira and 19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220A327" w14:textId="77777777" w:rsidR="00F025AD" w:rsidRPr="007C6D7E" w:rsidRDefault="00F025AD" w:rsidP="00F025AD">
            <w:pPr>
              <w:shd w:val="clear" w:color="auto" w:fill="FFFFFF"/>
              <w:jc w:val="both"/>
              <w:rPr>
                <w:rFonts w:ascii="Palatino Linotype" w:hAnsi="Palatino Linotype"/>
                <w:sz w:val="20"/>
                <w:szCs w:val="20"/>
              </w:rPr>
            </w:pPr>
            <w:r w:rsidRPr="007C6D7E">
              <w:rPr>
                <w:rFonts w:ascii="Palatino Linotype" w:hAnsi="Palatino Linotype"/>
                <w:sz w:val="20"/>
                <w:szCs w:val="20"/>
              </w:rPr>
              <w:t>provisions  of  3  (a),  3  (b),  3  (c),  3(d),  4(1)  and  4(2)(q)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91FCD48" w14:textId="77777777" w:rsidR="00F025AD" w:rsidRPr="007C6D7E" w:rsidRDefault="00F025AD" w:rsidP="00F025AD">
            <w:pPr>
              <w:jc w:val="right"/>
              <w:rPr>
                <w:rFonts w:ascii="Palatino Linotype" w:hAnsi="Palatino Linotype"/>
                <w:sz w:val="20"/>
                <w:szCs w:val="20"/>
              </w:rPr>
            </w:pPr>
            <w:r w:rsidRPr="007C6D7E">
              <w:rPr>
                <w:rFonts w:ascii="Palatino Linotype" w:hAnsi="Palatino Linotype"/>
                <w:sz w:val="20"/>
                <w:szCs w:val="20"/>
              </w:rPr>
              <w:t>-</w:t>
            </w:r>
          </w:p>
        </w:tc>
      </w:tr>
      <w:tr w:rsidR="007C6D7E" w:rsidRPr="00B83873" w14:paraId="07F4C2C1"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FA1EDE6"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34</w:t>
            </w:r>
          </w:p>
        </w:tc>
        <w:tc>
          <w:tcPr>
            <w:tcW w:w="1276" w:type="dxa"/>
            <w:tcBorders>
              <w:top w:val="single" w:sz="4" w:space="0" w:color="auto"/>
              <w:bottom w:val="single" w:sz="4" w:space="0" w:color="auto"/>
              <w:right w:val="single" w:sz="4" w:space="0" w:color="auto"/>
            </w:tcBorders>
            <w:shd w:val="clear" w:color="auto" w:fill="auto"/>
            <w:noWrap/>
          </w:tcPr>
          <w:p w14:paraId="62306D9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6EA10C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PMC Fincorp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C93707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F4EB04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PMC Fincorp Limited, Raj Kumar Modi, Prabhat   Management   Services   Pvt   Ltd, R R P Management Services Pvt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8CDFB05"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Section  12A  (a),  (b),  (c)  of  SEBI  Act  read  with Regulation 3 (a), (b), (c), (d) and4(1) of SEBI(Prohibition  of  Fraudulent  and  Unfair  Trade  Practices  Relating  to Securities   </w:t>
            </w:r>
            <w:r w:rsidRPr="007C6D7E">
              <w:rPr>
                <w:rFonts w:ascii="Palatino Linotype" w:hAnsi="Palatino Linotype"/>
                <w:sz w:val="20"/>
                <w:szCs w:val="20"/>
              </w:rPr>
              <w:lastRenderedPageBreak/>
              <w:t>Market)   Regulations,   2003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123DD7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lastRenderedPageBreak/>
              <w:t>40,00,000</w:t>
            </w:r>
          </w:p>
        </w:tc>
      </w:tr>
      <w:tr w:rsidR="007C6D7E" w:rsidRPr="00B83873" w14:paraId="42F27400"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3E01E62"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35</w:t>
            </w:r>
          </w:p>
        </w:tc>
        <w:tc>
          <w:tcPr>
            <w:tcW w:w="1276" w:type="dxa"/>
            <w:tcBorders>
              <w:top w:val="single" w:sz="4" w:space="0" w:color="auto"/>
              <w:bottom w:val="single" w:sz="4" w:space="0" w:color="auto"/>
              <w:right w:val="single" w:sz="4" w:space="0" w:color="auto"/>
            </w:tcBorders>
            <w:shd w:val="clear" w:color="auto" w:fill="auto"/>
            <w:noWrap/>
          </w:tcPr>
          <w:p w14:paraId="57FA7F4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FF0986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Capstocks &amp; Securities (India) Pvt.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C14C08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32ACB9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Capstocks &amp; Securities (India)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BD143CF" w14:textId="77777777" w:rsidR="007C6D7E" w:rsidRPr="007C6D7E" w:rsidRDefault="007C6D7E" w:rsidP="007C6D7E">
            <w:pPr>
              <w:pStyle w:val="Default"/>
              <w:rPr>
                <w:rFonts w:ascii="Palatino Linotype" w:hAnsi="Palatino Linotype"/>
                <w:sz w:val="20"/>
                <w:szCs w:val="20"/>
              </w:rPr>
            </w:pPr>
          </w:p>
          <w:p w14:paraId="562341E0" w14:textId="77777777" w:rsidR="007C6D7E" w:rsidRPr="007C6D7E" w:rsidRDefault="007C6D7E" w:rsidP="007C6D7E">
            <w:pPr>
              <w:pStyle w:val="Default"/>
              <w:rPr>
                <w:rFonts w:ascii="Palatino Linotype" w:hAnsi="Palatino Linotype"/>
                <w:sz w:val="20"/>
                <w:szCs w:val="20"/>
              </w:rPr>
            </w:pPr>
            <w:r w:rsidRPr="007C6D7E">
              <w:rPr>
                <w:rFonts w:ascii="Palatino Linotype" w:hAnsi="Palatino Linotype"/>
                <w:sz w:val="20"/>
                <w:szCs w:val="20"/>
              </w:rPr>
              <w:t>SEBI Circular SMD/SED/CIR/93/23321 dated November 18, 1993;</w:t>
            </w:r>
          </w:p>
          <w:p w14:paraId="21A31AF3" w14:textId="77777777" w:rsidR="007C6D7E" w:rsidRPr="007C6D7E" w:rsidRDefault="007C6D7E" w:rsidP="007C6D7E">
            <w:pPr>
              <w:pStyle w:val="Default"/>
              <w:rPr>
                <w:rFonts w:ascii="Palatino Linotype" w:hAnsi="Palatino Linotype"/>
                <w:sz w:val="20"/>
                <w:szCs w:val="20"/>
              </w:rPr>
            </w:pPr>
          </w:p>
          <w:p w14:paraId="094D9753" w14:textId="77777777" w:rsidR="007C6D7E" w:rsidRPr="007C6D7E" w:rsidRDefault="007C6D7E" w:rsidP="007C6D7E">
            <w:pPr>
              <w:pStyle w:val="Default"/>
              <w:rPr>
                <w:rFonts w:ascii="Palatino Linotype" w:hAnsi="Palatino Linotype"/>
                <w:sz w:val="20"/>
                <w:szCs w:val="20"/>
              </w:rPr>
            </w:pPr>
            <w:r w:rsidRPr="007C6D7E">
              <w:rPr>
                <w:rFonts w:ascii="Palatino Linotype" w:hAnsi="Palatino Linotype"/>
                <w:sz w:val="20"/>
                <w:szCs w:val="20"/>
              </w:rPr>
              <w:t xml:space="preserve">Circular SEBI/HO/MIRSD/MIRSD2/CIR/P/2016/95 dated September 26, 2016. </w:t>
            </w:r>
          </w:p>
          <w:p w14:paraId="00B303BA" w14:textId="77777777" w:rsidR="007C6D7E" w:rsidRPr="007C6D7E" w:rsidRDefault="007C6D7E" w:rsidP="007C6D7E">
            <w:pPr>
              <w:pStyle w:val="Default"/>
              <w:rPr>
                <w:rFonts w:ascii="Palatino Linotype" w:hAnsi="Palatino Linotype"/>
                <w:sz w:val="20"/>
                <w:szCs w:val="20"/>
              </w:rPr>
            </w:pPr>
          </w:p>
          <w:p w14:paraId="6EA2AF5D" w14:textId="77777777" w:rsidR="007C6D7E" w:rsidRPr="007C6D7E" w:rsidRDefault="007C6D7E" w:rsidP="007C6D7E">
            <w:pPr>
              <w:pStyle w:val="Default"/>
              <w:rPr>
                <w:rFonts w:ascii="Palatino Linotype" w:hAnsi="Palatino Linotype"/>
                <w:sz w:val="20"/>
                <w:szCs w:val="20"/>
              </w:rPr>
            </w:pPr>
          </w:p>
          <w:p w14:paraId="722E76D9" w14:textId="77777777" w:rsidR="007C6D7E" w:rsidRPr="007C6D7E" w:rsidRDefault="007C6D7E" w:rsidP="007C6D7E">
            <w:pPr>
              <w:pStyle w:val="Default"/>
              <w:rPr>
                <w:rFonts w:ascii="Palatino Linotype" w:hAnsi="Palatino Linotype"/>
                <w:sz w:val="20"/>
                <w:szCs w:val="20"/>
              </w:rPr>
            </w:pPr>
            <w:r w:rsidRPr="007C6D7E">
              <w:rPr>
                <w:rFonts w:ascii="Palatino Linotype" w:hAnsi="Palatino Linotype"/>
                <w:sz w:val="20"/>
                <w:szCs w:val="20"/>
              </w:rPr>
              <w:t xml:space="preserve">Circular SEBI/MIRSD/SE/Cir-19/2009 dated December 03, 2009 </w:t>
            </w:r>
          </w:p>
          <w:p w14:paraId="7B925625" w14:textId="77777777" w:rsidR="007C6D7E" w:rsidRPr="007C6D7E" w:rsidRDefault="007C6D7E" w:rsidP="007C6D7E">
            <w:pPr>
              <w:pStyle w:val="Default"/>
              <w:rPr>
                <w:rFonts w:ascii="Palatino Linotype" w:hAnsi="Palatino Linotype"/>
                <w:sz w:val="20"/>
                <w:szCs w:val="20"/>
              </w:rPr>
            </w:pPr>
            <w:r w:rsidRPr="007C6D7E">
              <w:rPr>
                <w:rFonts w:ascii="Palatino Linotype" w:hAnsi="Palatino Linotype"/>
                <w:sz w:val="20"/>
                <w:szCs w:val="20"/>
              </w:rPr>
              <w:t xml:space="preserve"> </w:t>
            </w:r>
          </w:p>
          <w:p w14:paraId="37FFB843" w14:textId="77777777" w:rsidR="007C6D7E" w:rsidRPr="007C6D7E" w:rsidRDefault="007C6D7E" w:rsidP="007C6D7E">
            <w:pPr>
              <w:pStyle w:val="Default"/>
              <w:rPr>
                <w:rFonts w:ascii="Palatino Linotype" w:hAnsi="Palatino Linotype"/>
                <w:sz w:val="20"/>
                <w:szCs w:val="20"/>
              </w:rPr>
            </w:pPr>
            <w:r w:rsidRPr="007C6D7E">
              <w:rPr>
                <w:rFonts w:ascii="Palatino Linotype" w:hAnsi="Palatino Linotype"/>
                <w:sz w:val="20"/>
                <w:szCs w:val="20"/>
              </w:rPr>
              <w:t xml:space="preserve"> </w:t>
            </w:r>
          </w:p>
          <w:p w14:paraId="684CAEB1" w14:textId="77777777" w:rsidR="007C6D7E" w:rsidRPr="007C6D7E" w:rsidRDefault="007C6D7E" w:rsidP="007C6D7E">
            <w:pPr>
              <w:pStyle w:val="Default"/>
              <w:rPr>
                <w:rFonts w:ascii="Palatino Linotype" w:hAnsi="Palatino Linotype"/>
                <w:sz w:val="20"/>
                <w:szCs w:val="20"/>
              </w:rPr>
            </w:pPr>
            <w:r w:rsidRPr="007C6D7E">
              <w:rPr>
                <w:rFonts w:ascii="Palatino Linotype" w:hAnsi="Palatino Linotype"/>
                <w:sz w:val="20"/>
                <w:szCs w:val="20"/>
              </w:rPr>
              <w:t xml:space="preserve">Circular CIR/HO/MIRSD/MIRSD2/CIR/P/2017/108 dated September 26, 2017 </w:t>
            </w:r>
          </w:p>
          <w:p w14:paraId="60D699A9" w14:textId="77777777" w:rsidR="007C6D7E" w:rsidRPr="007C6D7E" w:rsidRDefault="007C6D7E" w:rsidP="007C6D7E">
            <w:pPr>
              <w:shd w:val="clear" w:color="auto" w:fill="FFFFFF"/>
              <w:jc w:val="both"/>
              <w:rPr>
                <w:rFonts w:ascii="Palatino Linotype" w:hAnsi="Palatino Linotype"/>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3D1CEA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7,00,000</w:t>
            </w:r>
          </w:p>
        </w:tc>
      </w:tr>
      <w:tr w:rsidR="007C6D7E" w:rsidRPr="00B83873" w14:paraId="5F993A4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A5903D5"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36</w:t>
            </w:r>
          </w:p>
        </w:tc>
        <w:tc>
          <w:tcPr>
            <w:tcW w:w="1276" w:type="dxa"/>
            <w:tcBorders>
              <w:top w:val="single" w:sz="4" w:space="0" w:color="auto"/>
              <w:bottom w:val="single" w:sz="4" w:space="0" w:color="auto"/>
              <w:right w:val="single" w:sz="4" w:space="0" w:color="auto"/>
            </w:tcBorders>
            <w:shd w:val="clear" w:color="auto" w:fill="auto"/>
            <w:noWrap/>
          </w:tcPr>
          <w:p w14:paraId="73F4E86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585ACF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Trading in 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448391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1C3399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Shiva Commodities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9862B74"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B3DDECE"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10,40,000</w:t>
            </w:r>
          </w:p>
        </w:tc>
      </w:tr>
      <w:tr w:rsidR="007C6D7E" w:rsidRPr="00B83873" w14:paraId="122A057C"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145CE360"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37</w:t>
            </w:r>
          </w:p>
        </w:tc>
        <w:tc>
          <w:tcPr>
            <w:tcW w:w="1276" w:type="dxa"/>
            <w:tcBorders>
              <w:top w:val="single" w:sz="4" w:space="0" w:color="auto"/>
              <w:bottom w:val="single" w:sz="4" w:space="0" w:color="auto"/>
              <w:right w:val="single" w:sz="4" w:space="0" w:color="auto"/>
            </w:tcBorders>
            <w:shd w:val="clear" w:color="auto" w:fill="auto"/>
            <w:noWrap/>
          </w:tcPr>
          <w:p w14:paraId="4A8B94D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7D9FA6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SDC Techmedia Limited (Formerly known as One Source Techmedia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069579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452A2A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Mr. Jose Charles Martin</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1360C14"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29(1)  read  with  Regulation  29(3)  of  the  SEBI (Substantial  Acquisition  of  Shares  and  Takeovers)  Regulations,  2011 (SAST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17A0BF9"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2DE31DA8"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71212399"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38</w:t>
            </w:r>
          </w:p>
        </w:tc>
        <w:tc>
          <w:tcPr>
            <w:tcW w:w="1276" w:type="dxa"/>
            <w:tcBorders>
              <w:top w:val="single" w:sz="4" w:space="0" w:color="auto"/>
              <w:bottom w:val="single" w:sz="4" w:space="0" w:color="auto"/>
              <w:right w:val="single" w:sz="4" w:space="0" w:color="auto"/>
            </w:tcBorders>
            <w:shd w:val="clear" w:color="auto" w:fill="auto"/>
            <w:noWrap/>
          </w:tcPr>
          <w:p w14:paraId="1F5F99F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1A2277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4D1DE4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249D50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Rajesh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57F9D48"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Regulation 7(1A) read with 7(2) and 8(2) of SAST Regulations, 1997.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BC19E4F"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w:t>
            </w:r>
          </w:p>
        </w:tc>
      </w:tr>
      <w:tr w:rsidR="007C6D7E" w:rsidRPr="00B83873" w14:paraId="5E81534E"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7CF59184"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39</w:t>
            </w:r>
          </w:p>
        </w:tc>
        <w:tc>
          <w:tcPr>
            <w:tcW w:w="1276" w:type="dxa"/>
            <w:tcBorders>
              <w:top w:val="single" w:sz="4" w:space="0" w:color="auto"/>
              <w:bottom w:val="single" w:sz="4" w:space="0" w:color="auto"/>
              <w:right w:val="single" w:sz="4" w:space="0" w:color="auto"/>
            </w:tcBorders>
            <w:shd w:val="clear" w:color="auto" w:fill="auto"/>
            <w:noWrap/>
          </w:tcPr>
          <w:p w14:paraId="73DC6CD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A483F8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0BB277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6E6DEB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Harish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1FC146F"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Regulation 8(2) of SAST Regulations, 1997.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EA8D85D"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w:t>
            </w:r>
          </w:p>
        </w:tc>
      </w:tr>
      <w:tr w:rsidR="007C6D7E" w:rsidRPr="00B83873" w14:paraId="4C4DF926"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265CA5A"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40</w:t>
            </w:r>
          </w:p>
        </w:tc>
        <w:tc>
          <w:tcPr>
            <w:tcW w:w="1276" w:type="dxa"/>
            <w:tcBorders>
              <w:top w:val="single" w:sz="4" w:space="0" w:color="auto"/>
              <w:bottom w:val="single" w:sz="4" w:space="0" w:color="auto"/>
              <w:right w:val="single" w:sz="4" w:space="0" w:color="auto"/>
            </w:tcBorders>
            <w:shd w:val="clear" w:color="auto" w:fill="auto"/>
            <w:noWrap/>
          </w:tcPr>
          <w:p w14:paraId="3610B19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978DD7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CD51D9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6DDBB6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Chandra Devi Jatan Raj Kathari</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36BD84E"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8(2) of SAST Regulations, 1997</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B55F969"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w:t>
            </w:r>
          </w:p>
        </w:tc>
      </w:tr>
      <w:tr w:rsidR="007C6D7E" w:rsidRPr="00B83873" w14:paraId="00E737B7"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65C15FF"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41</w:t>
            </w:r>
          </w:p>
        </w:tc>
        <w:tc>
          <w:tcPr>
            <w:tcW w:w="1276" w:type="dxa"/>
            <w:tcBorders>
              <w:top w:val="single" w:sz="4" w:space="0" w:color="auto"/>
              <w:bottom w:val="single" w:sz="4" w:space="0" w:color="auto"/>
              <w:right w:val="single" w:sz="4" w:space="0" w:color="auto"/>
            </w:tcBorders>
            <w:shd w:val="clear" w:color="auto" w:fill="auto"/>
            <w:noWrap/>
          </w:tcPr>
          <w:p w14:paraId="75C4C6C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909C24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Himachal Fibres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66E70C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5E8BC4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Dyal Sarup</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C8D09DF"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Regulation 8(2) for F.Y. 2007 and 2010 of SAST Regulations.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9C0B4D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w:t>
            </w:r>
          </w:p>
        </w:tc>
      </w:tr>
      <w:tr w:rsidR="007C6D7E" w:rsidRPr="00B83873" w14:paraId="0F6ED96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1510826"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42</w:t>
            </w:r>
          </w:p>
        </w:tc>
        <w:tc>
          <w:tcPr>
            <w:tcW w:w="1276" w:type="dxa"/>
            <w:tcBorders>
              <w:top w:val="single" w:sz="4" w:space="0" w:color="auto"/>
              <w:bottom w:val="single" w:sz="4" w:space="0" w:color="auto"/>
              <w:right w:val="single" w:sz="4" w:space="0" w:color="auto"/>
            </w:tcBorders>
            <w:shd w:val="clear" w:color="auto" w:fill="auto"/>
            <w:noWrap/>
          </w:tcPr>
          <w:p w14:paraId="5CB27B2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62AD12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3A653B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EE6035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Swaran Financial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91C2B67"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8B9EABA"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12,00,000</w:t>
            </w:r>
          </w:p>
        </w:tc>
      </w:tr>
      <w:tr w:rsidR="007C6D7E" w:rsidRPr="00B83873" w14:paraId="4B86F583"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A96492A"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43</w:t>
            </w:r>
          </w:p>
        </w:tc>
        <w:tc>
          <w:tcPr>
            <w:tcW w:w="1276" w:type="dxa"/>
            <w:tcBorders>
              <w:top w:val="single" w:sz="4" w:space="0" w:color="auto"/>
              <w:bottom w:val="single" w:sz="4" w:space="0" w:color="auto"/>
              <w:right w:val="single" w:sz="4" w:space="0" w:color="auto"/>
            </w:tcBorders>
            <w:shd w:val="clear" w:color="auto" w:fill="auto"/>
            <w:noWrap/>
          </w:tcPr>
          <w:p w14:paraId="62818B7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ECFA7A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F5F623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947F32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Laxmi  Iron  &amp;  Steel  Works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8482630"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2EDE56B"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70A7F95C"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138592E9"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44</w:t>
            </w:r>
          </w:p>
        </w:tc>
        <w:tc>
          <w:tcPr>
            <w:tcW w:w="1276" w:type="dxa"/>
            <w:tcBorders>
              <w:top w:val="single" w:sz="4" w:space="0" w:color="auto"/>
              <w:bottom w:val="single" w:sz="4" w:space="0" w:color="auto"/>
              <w:right w:val="single" w:sz="4" w:space="0" w:color="auto"/>
            </w:tcBorders>
            <w:shd w:val="clear" w:color="auto" w:fill="auto"/>
            <w:noWrap/>
          </w:tcPr>
          <w:p w14:paraId="0661B2D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D168C7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Illiquid Stock Options on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516969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E9B893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Sarswati  Sales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FEB56C6"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26CBD54"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14,50,000</w:t>
            </w:r>
          </w:p>
        </w:tc>
      </w:tr>
      <w:tr w:rsidR="007C6D7E" w:rsidRPr="00B83873" w14:paraId="01989FF0"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771620F3"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45</w:t>
            </w:r>
          </w:p>
        </w:tc>
        <w:tc>
          <w:tcPr>
            <w:tcW w:w="1276" w:type="dxa"/>
            <w:tcBorders>
              <w:top w:val="single" w:sz="4" w:space="0" w:color="auto"/>
              <w:bottom w:val="single" w:sz="4" w:space="0" w:color="auto"/>
              <w:right w:val="single" w:sz="4" w:space="0" w:color="auto"/>
            </w:tcBorders>
            <w:shd w:val="clear" w:color="auto" w:fill="auto"/>
            <w:noWrap/>
          </w:tcPr>
          <w:p w14:paraId="26FB051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6FEEBB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CA6AE3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175634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Yatin B Shah</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F6F17D4"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 of SEBI Act and Regulations3(a), 3(b), 3(c), 3(d), 4(1), 4(2)(a)and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3F1E2DA"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7FD02357"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73C6C63"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46</w:t>
            </w:r>
          </w:p>
        </w:tc>
        <w:tc>
          <w:tcPr>
            <w:tcW w:w="1276" w:type="dxa"/>
            <w:tcBorders>
              <w:top w:val="single" w:sz="4" w:space="0" w:color="auto"/>
              <w:bottom w:val="single" w:sz="4" w:space="0" w:color="auto"/>
              <w:right w:val="single" w:sz="4" w:space="0" w:color="auto"/>
            </w:tcBorders>
            <w:shd w:val="clear" w:color="auto" w:fill="auto"/>
            <w:noWrap/>
          </w:tcPr>
          <w:p w14:paraId="441706A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2662CA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4CCA8A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A70387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Rakesh Sharma, Rajesh Unnikrishnan, Dharmesh Shah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E33D100"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 of SEBI Act and Regulations3(a), 3(b), 3(c), 3(d), 4(1), 4(2)(e) and 4(2)(r)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4E5D2AE"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6,00,000</w:t>
            </w:r>
          </w:p>
        </w:tc>
      </w:tr>
      <w:tr w:rsidR="007C6D7E" w:rsidRPr="00B83873" w14:paraId="542DF4FB"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EE8C168"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47</w:t>
            </w:r>
          </w:p>
        </w:tc>
        <w:tc>
          <w:tcPr>
            <w:tcW w:w="1276" w:type="dxa"/>
            <w:tcBorders>
              <w:top w:val="single" w:sz="4" w:space="0" w:color="auto"/>
              <w:bottom w:val="single" w:sz="4" w:space="0" w:color="auto"/>
              <w:right w:val="single" w:sz="4" w:space="0" w:color="auto"/>
            </w:tcBorders>
            <w:shd w:val="clear" w:color="auto" w:fill="auto"/>
            <w:noWrap/>
          </w:tcPr>
          <w:p w14:paraId="725095E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893F17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EA3831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1E9559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Maheshbhai Himatlal Sheth, Deepak Thakkar, Raju G. Shah, Sharda Pujara, Meet  Shares  and  Stocks Services Ltd, Mukesh Jain, Sanjay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F862181"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 of SEBI Act and Regulations3(a),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7C037EA"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13,00,000</w:t>
            </w:r>
          </w:p>
        </w:tc>
      </w:tr>
      <w:tr w:rsidR="007C6D7E" w:rsidRPr="00B83873" w14:paraId="747DC314"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021C2D62"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48</w:t>
            </w:r>
          </w:p>
        </w:tc>
        <w:tc>
          <w:tcPr>
            <w:tcW w:w="1276" w:type="dxa"/>
            <w:tcBorders>
              <w:top w:val="single" w:sz="4" w:space="0" w:color="auto"/>
              <w:bottom w:val="single" w:sz="4" w:space="0" w:color="auto"/>
              <w:right w:val="single" w:sz="4" w:space="0" w:color="auto"/>
            </w:tcBorders>
            <w:shd w:val="clear" w:color="auto" w:fill="auto"/>
            <w:noWrap/>
          </w:tcPr>
          <w:p w14:paraId="0E05C72C" w14:textId="77777777" w:rsidR="007C6D7E" w:rsidRPr="007C6D7E" w:rsidRDefault="007C6D7E" w:rsidP="007C6D7E">
            <w:pPr>
              <w:jc w:val="both"/>
              <w:rPr>
                <w:rFonts w:ascii="Palatino Linotype" w:hAnsi="Palatino Linotype"/>
                <w:b/>
                <w:bCs/>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EB689C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BD14B6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7465E4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Amol Kokane, Falguni Jayesh Shah, Hardik Mithani, Priyanka Darshan Desai, Inventure Growth &amp; Securities Ltd, SPJ Stock Broker Pvt Ltd, DKG Securities Pvt Ltd,  APL Infrastructure Ltd,   Milanbhai Mithani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19C6612"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12A(a), 12A(b) and 12A(c) of SEBI Act and Regulation 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804A013"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21,00,000</w:t>
            </w:r>
          </w:p>
        </w:tc>
      </w:tr>
      <w:tr w:rsidR="007C6D7E" w:rsidRPr="00B83873" w14:paraId="384AA23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17B1CFBA"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49</w:t>
            </w:r>
          </w:p>
        </w:tc>
        <w:tc>
          <w:tcPr>
            <w:tcW w:w="1276" w:type="dxa"/>
            <w:tcBorders>
              <w:top w:val="single" w:sz="4" w:space="0" w:color="auto"/>
              <w:bottom w:val="single" w:sz="4" w:space="0" w:color="auto"/>
              <w:right w:val="single" w:sz="4" w:space="0" w:color="auto"/>
            </w:tcBorders>
            <w:shd w:val="clear" w:color="auto" w:fill="auto"/>
            <w:noWrap/>
          </w:tcPr>
          <w:p w14:paraId="1B7AD6F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31/05/2021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2962EC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Supreme Tex Mart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68E639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F8F47A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Sanjay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6BCF3E3"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7(2)(a)  of SEBI (Prohibition of Insider Trading Regulations), 2015 (PIT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9E52F0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399FB191"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23D32E8"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50</w:t>
            </w:r>
          </w:p>
        </w:tc>
        <w:tc>
          <w:tcPr>
            <w:tcW w:w="1276" w:type="dxa"/>
            <w:tcBorders>
              <w:top w:val="single" w:sz="4" w:space="0" w:color="auto"/>
              <w:bottom w:val="single" w:sz="4" w:space="0" w:color="auto"/>
              <w:right w:val="single" w:sz="4" w:space="0" w:color="auto"/>
            </w:tcBorders>
            <w:shd w:val="clear" w:color="auto" w:fill="auto"/>
            <w:noWrap/>
          </w:tcPr>
          <w:p w14:paraId="20D6A07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01/06/2021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4D7835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Birla Pacific Medspa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AD6C00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B92A0F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Subhashree  Hiris  Pvt.  Ltd.,  Sky Light Distributors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3351ECF"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and 4(1) of the PFUTP Regulations read with Section12A(a), (b) &amp; (c) of the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7EBBC32"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10,00,000</w:t>
            </w:r>
          </w:p>
        </w:tc>
      </w:tr>
      <w:tr w:rsidR="007C6D7E" w:rsidRPr="00B83873" w14:paraId="3AD93A76"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3E6BD4A1"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51</w:t>
            </w:r>
          </w:p>
        </w:tc>
        <w:tc>
          <w:tcPr>
            <w:tcW w:w="1276" w:type="dxa"/>
            <w:tcBorders>
              <w:top w:val="single" w:sz="4" w:space="0" w:color="auto"/>
              <w:bottom w:val="single" w:sz="4" w:space="0" w:color="auto"/>
              <w:right w:val="single" w:sz="4" w:space="0" w:color="auto"/>
            </w:tcBorders>
            <w:shd w:val="clear" w:color="auto" w:fill="auto"/>
            <w:noWrap/>
          </w:tcPr>
          <w:p w14:paraId="49C8ECD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02/06/2021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C33EC5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Exclusive Securities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EFDE04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C92D3F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Exclusive Securities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7DBB84E"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SEBI  Circular  No.  SEBI/MIRSD/SE/CIR-19/2009  dated  December  03, 2009, Clauses  A  (1),  (2)  and  (5)  of  the  Code  of Conduct as specified in Schedule II  read  with  Regulation  9(f)  and  Regulation  26(xvi)  and  26(xx)  of  the  SEBI  (Stock Brokers and Sub-brokers)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33A3393"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7A8F2CF1"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3AA49337"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52</w:t>
            </w:r>
          </w:p>
        </w:tc>
        <w:tc>
          <w:tcPr>
            <w:tcW w:w="1276" w:type="dxa"/>
            <w:tcBorders>
              <w:top w:val="single" w:sz="4" w:space="0" w:color="auto"/>
              <w:bottom w:val="single" w:sz="4" w:space="0" w:color="auto"/>
              <w:right w:val="single" w:sz="4" w:space="0" w:color="auto"/>
            </w:tcBorders>
            <w:shd w:val="clear" w:color="auto" w:fill="auto"/>
            <w:noWrap/>
          </w:tcPr>
          <w:p w14:paraId="56B0705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04/06/2021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9D348E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SDC Techmedia Ltd  (formerly known as Onesource Techmedia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9A154D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D414E9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Fayaz Usman Faheed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D6FF7ED"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22(3) of   the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B87247A"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w:t>
            </w:r>
          </w:p>
        </w:tc>
      </w:tr>
      <w:tr w:rsidR="007C6D7E" w:rsidRPr="00B83873" w14:paraId="6984A319"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1BC0479"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53</w:t>
            </w:r>
          </w:p>
        </w:tc>
        <w:tc>
          <w:tcPr>
            <w:tcW w:w="1276" w:type="dxa"/>
            <w:tcBorders>
              <w:top w:val="single" w:sz="4" w:space="0" w:color="auto"/>
              <w:bottom w:val="single" w:sz="4" w:space="0" w:color="auto"/>
              <w:right w:val="single" w:sz="4" w:space="0" w:color="auto"/>
            </w:tcBorders>
            <w:shd w:val="clear" w:color="auto" w:fill="auto"/>
            <w:noWrap/>
          </w:tcPr>
          <w:p w14:paraId="0504779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04/06/2021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76CA95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Santowin Corporation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EA8F4A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2BF5FA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Sushma Ashok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2C6269F"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13(4) and 13(4A) read with Regulation 13(5) of PIT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6C47335"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0886038D"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071F730"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54</w:t>
            </w:r>
          </w:p>
        </w:tc>
        <w:tc>
          <w:tcPr>
            <w:tcW w:w="1276" w:type="dxa"/>
            <w:tcBorders>
              <w:top w:val="single" w:sz="4" w:space="0" w:color="auto"/>
              <w:bottom w:val="single" w:sz="4" w:space="0" w:color="auto"/>
              <w:right w:val="single" w:sz="4" w:space="0" w:color="auto"/>
            </w:tcBorders>
            <w:shd w:val="clear" w:color="auto" w:fill="auto"/>
            <w:noWrap/>
          </w:tcPr>
          <w:p w14:paraId="4F249EA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04/06/2021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AE6C7E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Santowin Corporation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28ED57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C9FD7B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Akshat Ashok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B23B576"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13(4A) read  with Regulation   13(5)   of   PIT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3F5673A"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58D3632A"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1842E5C8"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55</w:t>
            </w:r>
          </w:p>
        </w:tc>
        <w:tc>
          <w:tcPr>
            <w:tcW w:w="1276" w:type="dxa"/>
            <w:tcBorders>
              <w:top w:val="single" w:sz="4" w:space="0" w:color="auto"/>
              <w:bottom w:val="single" w:sz="4" w:space="0" w:color="auto"/>
              <w:right w:val="single" w:sz="4" w:space="0" w:color="auto"/>
            </w:tcBorders>
            <w:shd w:val="clear" w:color="auto" w:fill="auto"/>
            <w:noWrap/>
          </w:tcPr>
          <w:p w14:paraId="5975EDE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04/06/2021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C35160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Santowin Corporation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B9BEE1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8094AA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Ankush Ashok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782F81C"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13(4) read with Regulation 13(5) of and Regulation 13(4A) read with Regulation 13(5) of PIT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6753087"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3C3D705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0901DF8"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56</w:t>
            </w:r>
          </w:p>
        </w:tc>
        <w:tc>
          <w:tcPr>
            <w:tcW w:w="1276" w:type="dxa"/>
            <w:tcBorders>
              <w:top w:val="single" w:sz="4" w:space="0" w:color="auto"/>
              <w:bottom w:val="single" w:sz="4" w:space="0" w:color="auto"/>
              <w:right w:val="single" w:sz="4" w:space="0" w:color="auto"/>
            </w:tcBorders>
            <w:shd w:val="clear" w:color="auto" w:fill="auto"/>
            <w:noWrap/>
          </w:tcPr>
          <w:p w14:paraId="73DA998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04/06/2021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44068C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Santowin Corporation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00254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EA4161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Santowin Corporation Limited and Ashok B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7EFB097"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Clause 47(a) of the Equity Listing Agreement read with Section 21 of SCRA </w:t>
            </w:r>
          </w:p>
          <w:p w14:paraId="21567AF5" w14:textId="77777777" w:rsidR="007C6D7E" w:rsidRPr="007C6D7E" w:rsidRDefault="007C6D7E" w:rsidP="007C6D7E">
            <w:pPr>
              <w:shd w:val="clear" w:color="auto" w:fill="FFFFFF"/>
              <w:jc w:val="both"/>
              <w:rPr>
                <w:rFonts w:ascii="Palatino Linotype" w:hAnsi="Palatino Linotype"/>
                <w:sz w:val="20"/>
                <w:szCs w:val="20"/>
              </w:rPr>
            </w:pPr>
          </w:p>
          <w:p w14:paraId="0DB7C447"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Clause  3.2  of  Code  of Corporate  Disclosure  Practices  for Prevention  of  Insider Trading  provided  in Schedule II read with Regulation 12(2) of PIT Regulations, 1992 </w:t>
            </w:r>
          </w:p>
          <w:p w14:paraId="5DF17EE7" w14:textId="77777777" w:rsidR="007C6D7E" w:rsidRPr="007C6D7E" w:rsidRDefault="007C6D7E" w:rsidP="007C6D7E">
            <w:pPr>
              <w:shd w:val="clear" w:color="auto" w:fill="FFFFFF"/>
              <w:jc w:val="both"/>
              <w:rPr>
                <w:rFonts w:ascii="Palatino Linotype" w:hAnsi="Palatino Linotype"/>
                <w:sz w:val="20"/>
                <w:szCs w:val="20"/>
              </w:rPr>
            </w:pPr>
          </w:p>
          <w:p w14:paraId="149E5D14" w14:textId="77777777" w:rsidR="007C6D7E" w:rsidRPr="007C6D7E" w:rsidRDefault="007C6D7E" w:rsidP="007C6D7E">
            <w:pPr>
              <w:rPr>
                <w:rFonts w:ascii="Palatino Linotype" w:hAnsi="Palatino Linotype" w:cs="Arial"/>
                <w:sz w:val="20"/>
                <w:szCs w:val="20"/>
                <w:lang w:val="en-IN" w:eastAsia="en-IN" w:bidi="hi-IN"/>
              </w:rPr>
            </w:pPr>
            <w:r w:rsidRPr="007C6D7E">
              <w:rPr>
                <w:rFonts w:ascii="Palatino Linotype" w:hAnsi="Palatino Linotype" w:cs="Arial"/>
                <w:sz w:val="20"/>
                <w:szCs w:val="20"/>
                <w:lang w:val="en-IN" w:eastAsia="en-IN" w:bidi="hi-IN"/>
              </w:rPr>
              <w:t xml:space="preserve">Regulations 13(4) and 13(4A) read with Regulation 13(5) of PIT Regulations, </w:t>
            </w:r>
          </w:p>
          <w:p w14:paraId="1A659718" w14:textId="77777777" w:rsidR="007C6D7E" w:rsidRPr="007C6D7E" w:rsidRDefault="007C6D7E" w:rsidP="007C6D7E">
            <w:pPr>
              <w:rPr>
                <w:rFonts w:ascii="Palatino Linotype" w:hAnsi="Palatino Linotype" w:cs="Arial"/>
                <w:sz w:val="20"/>
                <w:szCs w:val="20"/>
                <w:lang w:val="en-IN" w:eastAsia="en-IN" w:bidi="hi-IN"/>
              </w:rPr>
            </w:pPr>
            <w:r w:rsidRPr="007C6D7E">
              <w:rPr>
                <w:rFonts w:ascii="Palatino Linotype" w:hAnsi="Palatino Linotype" w:cs="Arial"/>
                <w:sz w:val="20"/>
                <w:szCs w:val="20"/>
                <w:lang w:val="en-IN" w:eastAsia="en-IN" w:bidi="hi-IN"/>
              </w:rPr>
              <w:t>1992,</w:t>
            </w:r>
          </w:p>
          <w:p w14:paraId="46622A7E" w14:textId="77777777" w:rsidR="007C6D7E" w:rsidRPr="007C6D7E" w:rsidRDefault="007C6D7E" w:rsidP="007C6D7E">
            <w:pPr>
              <w:shd w:val="clear" w:color="auto" w:fill="FFFFFF"/>
              <w:jc w:val="both"/>
              <w:rPr>
                <w:rFonts w:ascii="Palatino Linotype" w:hAnsi="Palatino Linotype"/>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F04F525"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lastRenderedPageBreak/>
              <w:t>8,00,000</w:t>
            </w:r>
          </w:p>
        </w:tc>
      </w:tr>
      <w:tr w:rsidR="007C6D7E" w:rsidRPr="00B83873" w14:paraId="26A0007D" w14:textId="77777777" w:rsidTr="00E213CE">
        <w:trPr>
          <w:trHeight w:val="300"/>
        </w:trPr>
        <w:tc>
          <w:tcPr>
            <w:tcW w:w="567" w:type="dxa"/>
            <w:tcBorders>
              <w:top w:val="single" w:sz="4" w:space="0" w:color="auto"/>
              <w:left w:val="single" w:sz="4" w:space="0" w:color="auto"/>
              <w:bottom w:val="single" w:sz="4" w:space="0" w:color="auto"/>
              <w:right w:val="single" w:sz="4" w:space="0" w:color="auto"/>
            </w:tcBorders>
          </w:tcPr>
          <w:p w14:paraId="1C0AD880"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57</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672070C0"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08/06/2021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6292762D"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Gini Silk Mills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7CC82ED"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BC78B1F"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Ramakant Mangalchand Gaggar, Alaukik Mines &amp; Power Pvt. Ltd, Garnet International Ltd, Mangal Savitri Bizcon Pvt. Ltd, Suresh Gaggar.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13119F9" w14:textId="77777777" w:rsidR="007C6D7E" w:rsidRPr="007C6D7E" w:rsidRDefault="007C6D7E" w:rsidP="007C6D7E">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Regulation  29(2)  read  with  Regulation  29(3) of SEBI (Substantial Acquisition of Shares and Takeover)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3BE4D15" w14:textId="77777777" w:rsidR="007C6D7E" w:rsidRPr="007C6D7E" w:rsidRDefault="007C6D7E" w:rsidP="007C6D7E">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5,00,000</w:t>
            </w:r>
          </w:p>
        </w:tc>
      </w:tr>
      <w:tr w:rsidR="007C6D7E" w:rsidRPr="00B83873" w14:paraId="41C85E24" w14:textId="77777777" w:rsidTr="00E213CE">
        <w:trPr>
          <w:trHeight w:val="300"/>
        </w:trPr>
        <w:tc>
          <w:tcPr>
            <w:tcW w:w="567" w:type="dxa"/>
            <w:tcBorders>
              <w:top w:val="single" w:sz="4" w:space="0" w:color="auto"/>
              <w:left w:val="single" w:sz="4" w:space="0" w:color="auto"/>
              <w:bottom w:val="single" w:sz="4" w:space="0" w:color="auto"/>
              <w:right w:val="single" w:sz="4" w:space="0" w:color="auto"/>
            </w:tcBorders>
          </w:tcPr>
          <w:p w14:paraId="633F776D"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58</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14D57D66"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08/06/2021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D385BA3"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GDR Issues of 6 companies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207526"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63B1317"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Arun Panchariya and 13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3581C7F" w14:textId="77777777" w:rsidR="007C6D7E" w:rsidRPr="007C6D7E" w:rsidRDefault="007C6D7E" w:rsidP="007C6D7E">
            <w:pPr>
              <w:shd w:val="clear" w:color="auto" w:fill="FFFFFF"/>
              <w:rPr>
                <w:rFonts w:ascii="Palatino Linotype" w:eastAsia="Calibri" w:hAnsi="Palatino Linotype" w:cs="Mangal"/>
                <w:sz w:val="20"/>
                <w:szCs w:val="20"/>
                <w:lang w:val="en-IN"/>
              </w:rPr>
            </w:pPr>
            <w:r w:rsidRPr="007C6D7E">
              <w:rPr>
                <w:rFonts w:ascii="Palatino Linotype" w:eastAsia="Calibri" w:hAnsi="Palatino Linotype" w:cs="Mangal"/>
                <w:sz w:val="20"/>
                <w:szCs w:val="20"/>
              </w:rPr>
              <w:t xml:space="preserve">Section 12A(a),(b) and (c) of the SEBI Act read with Regulation </w:t>
            </w:r>
            <w:r w:rsidRPr="007C6D7E">
              <w:rPr>
                <w:rFonts w:ascii="Palatino Linotype" w:eastAsia="Calibri" w:hAnsi="Palatino Linotype" w:cs="Mangal"/>
                <w:sz w:val="20"/>
                <w:szCs w:val="20"/>
                <w:lang w:val="en-IN"/>
              </w:rPr>
              <w:t>3(a),</w:t>
            </w:r>
            <w:r w:rsidRPr="007C6D7E">
              <w:rPr>
                <w:rFonts w:ascii="Palatino Linotype" w:eastAsia="Calibri" w:hAnsi="Palatino Linotype" w:cs="Mangal"/>
                <w:sz w:val="20"/>
                <w:szCs w:val="20"/>
              </w:rPr>
              <w:t xml:space="preserve"> </w:t>
            </w:r>
          </w:p>
          <w:p w14:paraId="3649DE06" w14:textId="77777777" w:rsidR="007C6D7E" w:rsidRPr="007C6D7E" w:rsidRDefault="007C6D7E" w:rsidP="007C6D7E">
            <w:pPr>
              <w:shd w:val="clear" w:color="auto" w:fill="FFFFFF"/>
              <w:rPr>
                <w:rFonts w:ascii="Palatino Linotype" w:eastAsia="Calibri" w:hAnsi="Palatino Linotype" w:cs="Mangal"/>
                <w:sz w:val="20"/>
                <w:szCs w:val="20"/>
              </w:rPr>
            </w:pPr>
            <w:r w:rsidRPr="007C6D7E">
              <w:rPr>
                <w:rFonts w:ascii="Palatino Linotype" w:eastAsia="Calibri" w:hAnsi="Palatino Linotype" w:cs="Mangal"/>
                <w:sz w:val="20"/>
                <w:szCs w:val="20"/>
              </w:rPr>
              <w:t>3(c), 3(d), 4(1), 4(2), 4(2)(c), 4(2)(e), 4(2)(f), 4(2)(k) and 4(2)(r) 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AD75443" w14:textId="77777777" w:rsidR="007C6D7E" w:rsidRPr="007C6D7E" w:rsidRDefault="007C6D7E" w:rsidP="007C6D7E">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t>31,56,00,000</w:t>
            </w:r>
          </w:p>
        </w:tc>
      </w:tr>
      <w:tr w:rsidR="007C6D7E" w:rsidRPr="00B83873" w14:paraId="6F62F29B"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3ED04FB6"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59</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14:paraId="588EE1A4"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11/06/2021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C733953"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A2Z Infra Engineering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B6B22CE"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8232A35" w14:textId="77777777" w:rsidR="007C6D7E" w:rsidRPr="007C6D7E" w:rsidRDefault="007C6D7E" w:rsidP="007C6D7E">
            <w:pPr>
              <w:jc w:val="both"/>
              <w:rPr>
                <w:rFonts w:ascii="Palatino Linotype" w:eastAsia="Calibri" w:hAnsi="Palatino Linotype" w:cs="Mangal"/>
                <w:sz w:val="20"/>
                <w:szCs w:val="20"/>
              </w:rPr>
            </w:pPr>
            <w:r w:rsidRPr="007C6D7E">
              <w:rPr>
                <w:rFonts w:ascii="Palatino Linotype" w:eastAsia="Calibri" w:hAnsi="Palatino Linotype" w:cs="Mangal"/>
                <w:sz w:val="20"/>
                <w:szCs w:val="20"/>
              </w:rPr>
              <w:t>Keshav Shares And Stocks Ltd, Surbhi Resorts Pvt Ltd (Now known as Signature Sattva Infratech Pvt Ltd), Multiplex Capital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816DFFC" w14:textId="77777777" w:rsidR="007C6D7E" w:rsidRPr="007C6D7E" w:rsidRDefault="007C6D7E" w:rsidP="007C6D7E">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Section 16 of SCRA, 1956 read with SEBI Notification No. LAD-NRO/GN/2013-14/26/6667 dated  October  03,  2013,  Section  13  and  Section  18  of  SCRA,1956  read  with Section  2(i)  of  SCRA,  1956 </w:t>
            </w:r>
          </w:p>
          <w:p w14:paraId="309BB13F" w14:textId="77777777" w:rsidR="007C6D7E" w:rsidRPr="007C6D7E" w:rsidRDefault="007C6D7E" w:rsidP="007C6D7E">
            <w:pPr>
              <w:shd w:val="clear" w:color="auto" w:fill="FFFFFF"/>
              <w:jc w:val="both"/>
              <w:rPr>
                <w:rFonts w:ascii="Palatino Linotype" w:eastAsia="Calibri" w:hAnsi="Palatino Linotype" w:cs="Mangal"/>
                <w:sz w:val="20"/>
                <w:szCs w:val="20"/>
              </w:rPr>
            </w:pPr>
          </w:p>
          <w:p w14:paraId="5FEB8A89" w14:textId="77777777" w:rsidR="007C6D7E" w:rsidRPr="007C6D7E" w:rsidRDefault="007C6D7E" w:rsidP="007C6D7E">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Section 12A(a),(b),(c) of SEBI Act, 1992; and Regulation 3(a),(b),(c),(d) and Regulation 4(1), 4(2)(a) and (g) of PFUTP Regulations, 2003 </w:t>
            </w:r>
          </w:p>
          <w:p w14:paraId="6A2EA300" w14:textId="77777777" w:rsidR="007C6D7E" w:rsidRPr="007C6D7E" w:rsidRDefault="007C6D7E" w:rsidP="007C6D7E">
            <w:pPr>
              <w:shd w:val="clear" w:color="auto" w:fill="FFFFFF"/>
              <w:jc w:val="both"/>
              <w:rPr>
                <w:rFonts w:ascii="Palatino Linotype" w:eastAsia="Calibri" w:hAnsi="Palatino Linotype" w:cs="Mangal"/>
                <w:sz w:val="20"/>
                <w:szCs w:val="20"/>
              </w:rPr>
            </w:pPr>
          </w:p>
          <w:p w14:paraId="1A303329" w14:textId="77777777" w:rsidR="007C6D7E" w:rsidRPr="007C6D7E" w:rsidRDefault="007C6D7E" w:rsidP="007C6D7E">
            <w:pPr>
              <w:shd w:val="clear" w:color="auto" w:fill="FFFFFF"/>
              <w:jc w:val="both"/>
              <w:rPr>
                <w:rFonts w:ascii="Palatino Linotype" w:eastAsia="Calibri" w:hAnsi="Palatino Linotype" w:cs="Mangal"/>
                <w:sz w:val="20"/>
                <w:szCs w:val="20"/>
              </w:rPr>
            </w:pPr>
            <w:r w:rsidRPr="007C6D7E">
              <w:rPr>
                <w:rFonts w:ascii="Palatino Linotype" w:eastAsia="Calibri" w:hAnsi="Palatino Linotype" w:cs="Mangal"/>
                <w:sz w:val="20"/>
                <w:szCs w:val="20"/>
              </w:rPr>
              <w:t xml:space="preserve">Regulation 9(f) of Stock Broker Regulations, 1992 read with Clause A (1), (2), &amp; (3) of code of conduct for stock </w:t>
            </w:r>
            <w:r w:rsidRPr="007C6D7E">
              <w:rPr>
                <w:rFonts w:ascii="Palatino Linotype" w:eastAsia="Calibri" w:hAnsi="Palatino Linotype" w:cs="Mangal"/>
                <w:sz w:val="20"/>
                <w:szCs w:val="20"/>
              </w:rPr>
              <w:lastRenderedPageBreak/>
              <w:t>brokers specified under Schedule II of Stock  Brokers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6275E8C" w14:textId="77777777" w:rsidR="007C6D7E" w:rsidRPr="007C6D7E" w:rsidRDefault="007C6D7E" w:rsidP="007C6D7E">
            <w:pPr>
              <w:jc w:val="right"/>
              <w:rPr>
                <w:rFonts w:ascii="Palatino Linotype" w:eastAsia="Calibri" w:hAnsi="Palatino Linotype" w:cs="Mangal"/>
                <w:sz w:val="20"/>
                <w:szCs w:val="20"/>
              </w:rPr>
            </w:pPr>
            <w:r w:rsidRPr="007C6D7E">
              <w:rPr>
                <w:rFonts w:ascii="Palatino Linotype" w:eastAsia="Calibri" w:hAnsi="Palatino Linotype" w:cs="Mangal"/>
                <w:sz w:val="20"/>
                <w:szCs w:val="20"/>
              </w:rPr>
              <w:lastRenderedPageBreak/>
              <w:t>8,00,000</w:t>
            </w:r>
          </w:p>
        </w:tc>
      </w:tr>
      <w:tr w:rsidR="007C6D7E" w:rsidRPr="00B83873" w14:paraId="7497CD9E"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20204AB"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60</w:t>
            </w:r>
          </w:p>
        </w:tc>
        <w:tc>
          <w:tcPr>
            <w:tcW w:w="1276" w:type="dxa"/>
            <w:tcBorders>
              <w:top w:val="single" w:sz="4" w:space="0" w:color="auto"/>
              <w:bottom w:val="single" w:sz="4" w:space="0" w:color="auto"/>
              <w:right w:val="single" w:sz="4" w:space="0" w:color="auto"/>
            </w:tcBorders>
            <w:shd w:val="clear" w:color="auto" w:fill="auto"/>
            <w:noWrap/>
          </w:tcPr>
          <w:p w14:paraId="6279DE6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854E2F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Aadhaar Ventures India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B92F7C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037E74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Chandrakant B Shah, Ajay Ravindra Shah, Santosh Vasant Bhelekar, Saurabh Kumar Rasiklal, Kinita Real Estate Pvt Ltd, Gajpal Buildinfra Pvt Ltd,  Monaecum Properties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BB171BA"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3 (a),  (b),  (c), (d) and 4 (1), 4 (2) (a)  and (e) of SEBI   (Prohibition   of Fraudulent and Unfair Trade Practices) Regulations, 2003 (SEBI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164D6F8"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10,50,000</w:t>
            </w:r>
          </w:p>
        </w:tc>
      </w:tr>
      <w:tr w:rsidR="007C6D7E" w:rsidRPr="00B83873" w14:paraId="480106C7"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7EB82B51"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61</w:t>
            </w:r>
          </w:p>
        </w:tc>
        <w:tc>
          <w:tcPr>
            <w:tcW w:w="1276" w:type="dxa"/>
            <w:tcBorders>
              <w:top w:val="single" w:sz="4" w:space="0" w:color="auto"/>
              <w:bottom w:val="single" w:sz="4" w:space="0" w:color="auto"/>
              <w:right w:val="single" w:sz="4" w:space="0" w:color="auto"/>
            </w:tcBorders>
            <w:shd w:val="clear" w:color="auto" w:fill="auto"/>
            <w:noWrap/>
          </w:tcPr>
          <w:p w14:paraId="7A62CB9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B2A5CB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Inspection of Six debt schemes of Franklin Templeton Mutual Fund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333BD1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2EAB2D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Venkata Radhakrishna, Malathi Radhakrishnan</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0DBA984"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 A (e) of SEBI Act, 1992 and Regulation 4(1) of the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02E466"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50,00,000</w:t>
            </w:r>
          </w:p>
        </w:tc>
      </w:tr>
      <w:tr w:rsidR="007C6D7E" w:rsidRPr="00B83873" w14:paraId="47CEDFC9"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A6DE572"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62</w:t>
            </w:r>
          </w:p>
        </w:tc>
        <w:tc>
          <w:tcPr>
            <w:tcW w:w="1276" w:type="dxa"/>
            <w:tcBorders>
              <w:top w:val="single" w:sz="4" w:space="0" w:color="auto"/>
              <w:bottom w:val="single" w:sz="4" w:space="0" w:color="auto"/>
              <w:right w:val="single" w:sz="4" w:space="0" w:color="auto"/>
            </w:tcBorders>
            <w:shd w:val="clear" w:color="auto" w:fill="auto"/>
            <w:noWrap/>
          </w:tcPr>
          <w:p w14:paraId="1508288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506610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Dealings in Illiquid Stock Options at the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0C65CE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4E61B4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Nirmal Commodities Broker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AB0353A"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4F6B6C8"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649F4924"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66C06A5"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63</w:t>
            </w:r>
          </w:p>
        </w:tc>
        <w:tc>
          <w:tcPr>
            <w:tcW w:w="1276" w:type="dxa"/>
            <w:tcBorders>
              <w:top w:val="single" w:sz="4" w:space="0" w:color="auto"/>
              <w:bottom w:val="single" w:sz="4" w:space="0" w:color="auto"/>
              <w:right w:val="single" w:sz="4" w:space="0" w:color="auto"/>
            </w:tcBorders>
            <w:shd w:val="clear" w:color="auto" w:fill="auto"/>
            <w:noWrap/>
          </w:tcPr>
          <w:p w14:paraId="5947E5F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64E48D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Inspection of Six debt schemes of Franklin Templeton Mutual Fund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44E241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4CB967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Mywish Marketplaces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1575247"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12A(e) of SEBI Act and Regulations 4(1) of the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DFC56EB"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5,00,00,000</w:t>
            </w:r>
          </w:p>
        </w:tc>
      </w:tr>
      <w:tr w:rsidR="007C6D7E" w:rsidRPr="00B83873" w14:paraId="7F726FC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DC5C6C4"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64</w:t>
            </w:r>
          </w:p>
        </w:tc>
        <w:tc>
          <w:tcPr>
            <w:tcW w:w="1276" w:type="dxa"/>
            <w:tcBorders>
              <w:top w:val="single" w:sz="4" w:space="0" w:color="auto"/>
              <w:bottom w:val="single" w:sz="4" w:space="0" w:color="auto"/>
              <w:right w:val="single" w:sz="4" w:space="0" w:color="auto"/>
            </w:tcBorders>
            <w:shd w:val="clear" w:color="auto" w:fill="auto"/>
            <w:noWrap/>
          </w:tcPr>
          <w:p w14:paraId="37671B2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988973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Dealings in Illiquid Stock Options at the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81E8EE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75CC69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Motisons Commodities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D3AD802"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Regulations3(a),  (b),  (c),  (d),  4(1)  and  4(2)(a)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57DA010"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23,00,000</w:t>
            </w:r>
          </w:p>
        </w:tc>
      </w:tr>
      <w:tr w:rsidR="007C6D7E" w:rsidRPr="00B83873" w14:paraId="00D69325"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4365F88"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65</w:t>
            </w:r>
          </w:p>
        </w:tc>
        <w:tc>
          <w:tcPr>
            <w:tcW w:w="1276" w:type="dxa"/>
            <w:tcBorders>
              <w:top w:val="single" w:sz="4" w:space="0" w:color="auto"/>
              <w:bottom w:val="single" w:sz="4" w:space="0" w:color="auto"/>
              <w:right w:val="single" w:sz="4" w:space="0" w:color="auto"/>
            </w:tcBorders>
            <w:shd w:val="clear" w:color="auto" w:fill="auto"/>
            <w:noWrap/>
          </w:tcPr>
          <w:p w14:paraId="14FBE09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DE2CD5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Dealings in Illiquid Stock Options at the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0EBE14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42DA7B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Mehta Finstock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6874822"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Regulations3(a), (b), (c), (d), 4(1) and 4(2)(a)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EE70C7A"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786F9514"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2D7986E" w14:textId="77777777" w:rsidR="007C6D7E" w:rsidRPr="007C6D7E" w:rsidRDefault="007C6D7E" w:rsidP="007C6D7E">
            <w:pPr>
              <w:jc w:val="both"/>
              <w:rPr>
                <w:rFonts w:ascii="Palatino Linotype" w:hAnsi="Palatino Linotype"/>
                <w:color w:val="000000"/>
                <w:sz w:val="20"/>
                <w:szCs w:val="20"/>
                <w:lang w:val="en-IN" w:eastAsia="en-IN" w:bidi="hi-IN"/>
              </w:rPr>
            </w:pPr>
          </w:p>
        </w:tc>
        <w:tc>
          <w:tcPr>
            <w:tcW w:w="1276" w:type="dxa"/>
            <w:tcBorders>
              <w:top w:val="single" w:sz="4" w:space="0" w:color="auto"/>
              <w:bottom w:val="single" w:sz="4" w:space="0" w:color="auto"/>
              <w:right w:val="single" w:sz="4" w:space="0" w:color="auto"/>
            </w:tcBorders>
            <w:shd w:val="clear" w:color="auto" w:fill="auto"/>
            <w:noWrap/>
          </w:tcPr>
          <w:p w14:paraId="63FF915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E76E88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Dealings in Illiquid Stock Options at the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2C378E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0022B6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Manoj Choraria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E48076E"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Regulations3(a), (b), (c), (d), 4(1) and 4(2)(a)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C51C7E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7,00,000</w:t>
            </w:r>
          </w:p>
        </w:tc>
      </w:tr>
      <w:tr w:rsidR="007C6D7E" w:rsidRPr="00B83873" w14:paraId="60969FB7"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BB71321"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66</w:t>
            </w:r>
          </w:p>
        </w:tc>
        <w:tc>
          <w:tcPr>
            <w:tcW w:w="1276" w:type="dxa"/>
            <w:tcBorders>
              <w:top w:val="single" w:sz="4" w:space="0" w:color="auto"/>
              <w:bottom w:val="single" w:sz="4" w:space="0" w:color="auto"/>
              <w:right w:val="single" w:sz="4" w:space="0" w:color="auto"/>
            </w:tcBorders>
            <w:shd w:val="clear" w:color="auto" w:fill="auto"/>
            <w:noWrap/>
          </w:tcPr>
          <w:p w14:paraId="6965C45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02AE28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Inspection of Six debt schemes of Franklin Templeton Mutual Fund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840239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FA3131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Jayaram S Iyer</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E1FD4B3"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Section12A(e) of SEBI  Act  and  Regulations 4(1) of  the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62FBDF1"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25,00,000</w:t>
            </w:r>
          </w:p>
        </w:tc>
      </w:tr>
      <w:tr w:rsidR="007C6D7E" w:rsidRPr="00B83873" w14:paraId="49C5445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0D7A0F2B"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67</w:t>
            </w:r>
          </w:p>
        </w:tc>
        <w:tc>
          <w:tcPr>
            <w:tcW w:w="1276" w:type="dxa"/>
            <w:tcBorders>
              <w:top w:val="single" w:sz="4" w:space="0" w:color="auto"/>
              <w:bottom w:val="single" w:sz="4" w:space="0" w:color="auto"/>
              <w:right w:val="single" w:sz="4" w:space="0" w:color="auto"/>
            </w:tcBorders>
            <w:shd w:val="clear" w:color="auto" w:fill="auto"/>
            <w:noWrap/>
          </w:tcPr>
          <w:p w14:paraId="1EA4966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B29ABB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Franklin Templeton Mutual Fund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8ADEA0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2F7876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Franklin Templeton Trustee    Services    Pvt. Ltd and 8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D1330B3"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SEBI Circular no. SEBI/HO/IMD/DF3/CIR/P/2017/114 dated October 06, 2017 </w:t>
            </w:r>
          </w:p>
          <w:p w14:paraId="543FFD2C" w14:textId="77777777" w:rsidR="007C6D7E" w:rsidRPr="007C6D7E" w:rsidRDefault="007C6D7E" w:rsidP="007C6D7E">
            <w:pPr>
              <w:shd w:val="clear" w:color="auto" w:fill="FFFFFF"/>
              <w:jc w:val="both"/>
              <w:rPr>
                <w:rFonts w:ascii="Palatino Linotype" w:hAnsi="Palatino Linotype"/>
                <w:sz w:val="20"/>
                <w:szCs w:val="20"/>
              </w:rPr>
            </w:pPr>
          </w:p>
          <w:p w14:paraId="35E05907"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lastRenderedPageBreak/>
              <w:t>SEBI Circular no. SEBI/HO/IMD/DF3/CIR/P/2017/126 dated December 04, 2017</w:t>
            </w:r>
          </w:p>
          <w:p w14:paraId="7AC4256D" w14:textId="77777777" w:rsidR="007C6D7E" w:rsidRPr="007C6D7E" w:rsidRDefault="007C6D7E" w:rsidP="007C6D7E">
            <w:pPr>
              <w:shd w:val="clear" w:color="auto" w:fill="FFFFFF"/>
              <w:jc w:val="both"/>
              <w:rPr>
                <w:rFonts w:ascii="Palatino Linotype" w:hAnsi="Palatino Linotype"/>
                <w:sz w:val="20"/>
                <w:szCs w:val="20"/>
              </w:rPr>
            </w:pPr>
          </w:p>
          <w:p w14:paraId="51DCB62A"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SEBI Circular no. MFD/CIR/6/73/2000 dated July 27, 2000 </w:t>
            </w:r>
          </w:p>
          <w:p w14:paraId="1B4554EF" w14:textId="77777777" w:rsidR="007C6D7E" w:rsidRPr="007C6D7E" w:rsidRDefault="007C6D7E" w:rsidP="007C6D7E">
            <w:pPr>
              <w:shd w:val="clear" w:color="auto" w:fill="FFFFFF"/>
              <w:jc w:val="both"/>
              <w:rPr>
                <w:rFonts w:ascii="Palatino Linotype" w:hAnsi="Palatino Linotype"/>
                <w:sz w:val="20"/>
                <w:szCs w:val="20"/>
              </w:rPr>
            </w:pPr>
          </w:p>
          <w:p w14:paraId="4DD808F9"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25 (6A) of SEBI (Mutual Funds) Regulations, 1996</w:t>
            </w:r>
          </w:p>
          <w:p w14:paraId="73DD227A" w14:textId="77777777" w:rsidR="007C6D7E" w:rsidRPr="007C6D7E" w:rsidRDefault="007C6D7E" w:rsidP="007C6D7E">
            <w:pPr>
              <w:shd w:val="clear" w:color="auto" w:fill="FFFFFF"/>
              <w:jc w:val="both"/>
              <w:rPr>
                <w:rFonts w:ascii="Palatino Linotype" w:hAnsi="Palatino Linotype"/>
                <w:sz w:val="20"/>
                <w:szCs w:val="20"/>
              </w:rPr>
            </w:pPr>
          </w:p>
          <w:p w14:paraId="0580A35A"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Clause 9.1.1 of SEBI Circular no.  SEBI/HO/IMD/DF4/CIR/P/2019/102 dated September 24, 2019</w:t>
            </w:r>
          </w:p>
          <w:p w14:paraId="33075F14" w14:textId="77777777" w:rsidR="007C6D7E" w:rsidRPr="007C6D7E" w:rsidRDefault="007C6D7E" w:rsidP="007C6D7E">
            <w:pPr>
              <w:shd w:val="clear" w:color="auto" w:fill="FFFFFF"/>
              <w:jc w:val="both"/>
              <w:rPr>
                <w:rFonts w:ascii="Palatino Linotype" w:hAnsi="Palatino Linotype"/>
                <w:sz w:val="20"/>
                <w:szCs w:val="20"/>
              </w:rPr>
            </w:pPr>
          </w:p>
          <w:p w14:paraId="3CD762A0"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SEBI Circular no. </w:t>
            </w:r>
          </w:p>
          <w:p w14:paraId="2DEF5E3B"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CIR/IMD/DF/21/2012 </w:t>
            </w:r>
          </w:p>
          <w:p w14:paraId="52FEC98F"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dated September 13, 2012</w:t>
            </w:r>
          </w:p>
          <w:p w14:paraId="138761C5" w14:textId="77777777" w:rsidR="007C6D7E" w:rsidRPr="007C6D7E" w:rsidRDefault="007C6D7E" w:rsidP="007C6D7E">
            <w:pPr>
              <w:shd w:val="clear" w:color="auto" w:fill="FFFFFF"/>
              <w:jc w:val="both"/>
              <w:rPr>
                <w:rFonts w:ascii="Palatino Linotype" w:hAnsi="Palatino Linotype"/>
                <w:sz w:val="20"/>
                <w:szCs w:val="20"/>
              </w:rPr>
            </w:pPr>
          </w:p>
          <w:p w14:paraId="4BBE8ED8"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18 (7), 18 (8), 18 (9), 18 (22), 44 (3) and clause (2), (6), (8), (9)   of   the   Code   of   Conduct   as specified in the Fifth Schedule to the SEBI  (Mutual  Funds)  Regulations, 1996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87ACAD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lastRenderedPageBreak/>
              <w:t>15,00,00,000</w:t>
            </w:r>
          </w:p>
        </w:tc>
      </w:tr>
      <w:tr w:rsidR="007C6D7E" w:rsidRPr="00B83873" w14:paraId="64A762F3"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FDAD4EF"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68</w:t>
            </w:r>
          </w:p>
        </w:tc>
        <w:tc>
          <w:tcPr>
            <w:tcW w:w="1276" w:type="dxa"/>
            <w:tcBorders>
              <w:top w:val="single" w:sz="4" w:space="0" w:color="auto"/>
              <w:bottom w:val="single" w:sz="4" w:space="0" w:color="auto"/>
              <w:right w:val="single" w:sz="4" w:space="0" w:color="auto"/>
            </w:tcBorders>
            <w:shd w:val="clear" w:color="auto" w:fill="auto"/>
            <w:noWrap/>
          </w:tcPr>
          <w:p w14:paraId="792791D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15/06/2021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E11D33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IKM Investors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CE0F28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CC4B6C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Pramod Jain, Rahul Malik, Rochak Midha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1A5B230"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Section11 C(2) and Section 11C(3) read with Section 11(2)(i) of the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CB19B81"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w:t>
            </w:r>
          </w:p>
        </w:tc>
      </w:tr>
      <w:tr w:rsidR="007C6D7E" w:rsidRPr="00B83873" w14:paraId="13783CCE"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048C023C"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69</w:t>
            </w:r>
          </w:p>
        </w:tc>
        <w:tc>
          <w:tcPr>
            <w:tcW w:w="1276" w:type="dxa"/>
            <w:tcBorders>
              <w:top w:val="single" w:sz="4" w:space="0" w:color="auto"/>
              <w:bottom w:val="single" w:sz="4" w:space="0" w:color="auto"/>
              <w:right w:val="single" w:sz="4" w:space="0" w:color="auto"/>
            </w:tcBorders>
            <w:shd w:val="clear" w:color="auto" w:fill="auto"/>
            <w:noWrap/>
          </w:tcPr>
          <w:p w14:paraId="0A3E783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15/06/2021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99777B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IKM Investors Private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2D903E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A78370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IKM Investors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0E497AF"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Provisions of Point 2(a) of Chapter V of NSE  bye-laws  read  with  Clause  A(2)  and  Clause  A(5)  of  the  Code  of  Conduct  specified  under Schedule II read with regulation 9(f) of the SBSB Regulations and is thus liable for monetary penalty as  provided  in Regulations  26(xvi)  and  26(xx)  of  the SEBI </w:t>
            </w:r>
            <w:r w:rsidRPr="007C6D7E">
              <w:rPr>
                <w:rFonts w:ascii="Palatino Linotype" w:hAnsi="Palatino Linotype"/>
                <w:sz w:val="20"/>
                <w:szCs w:val="20"/>
              </w:rPr>
              <w:lastRenderedPageBreak/>
              <w:t>(Stock   Brokers   and   Sub-Broker)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C9BE3A0"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lastRenderedPageBreak/>
              <w:t>3,00,000</w:t>
            </w:r>
          </w:p>
        </w:tc>
      </w:tr>
      <w:tr w:rsidR="007C6D7E" w:rsidRPr="00B83873" w14:paraId="283BA9FA"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06C16FD9"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70</w:t>
            </w:r>
          </w:p>
        </w:tc>
        <w:tc>
          <w:tcPr>
            <w:tcW w:w="1276" w:type="dxa"/>
            <w:tcBorders>
              <w:top w:val="single" w:sz="4" w:space="0" w:color="auto"/>
              <w:bottom w:val="single" w:sz="4" w:space="0" w:color="auto"/>
              <w:right w:val="single" w:sz="4" w:space="0" w:color="auto"/>
            </w:tcBorders>
            <w:shd w:val="clear" w:color="auto" w:fill="auto"/>
            <w:noWrap/>
          </w:tcPr>
          <w:p w14:paraId="45EC967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15/06/2021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055741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Ashapura Intimates Fashion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953E29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2295A5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Bhoomi Mewada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77C2D2D"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9(3) of the Code of Conduct under the SEBI Prohibition of (Insider Trading)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1DDE234"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w:t>
            </w:r>
          </w:p>
        </w:tc>
      </w:tr>
      <w:tr w:rsidR="007C6D7E" w:rsidRPr="00B83873" w14:paraId="3C09DA08"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13F4A16F"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71</w:t>
            </w:r>
          </w:p>
        </w:tc>
        <w:tc>
          <w:tcPr>
            <w:tcW w:w="1276" w:type="dxa"/>
            <w:tcBorders>
              <w:top w:val="single" w:sz="4" w:space="0" w:color="auto"/>
              <w:bottom w:val="single" w:sz="4" w:space="0" w:color="auto"/>
              <w:right w:val="single" w:sz="4" w:space="0" w:color="auto"/>
            </w:tcBorders>
            <w:shd w:val="clear" w:color="auto" w:fill="auto"/>
            <w:noWrap/>
          </w:tcPr>
          <w:p w14:paraId="2AE1C8F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15/06/2021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2E8451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Birla Pacific Medspa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3AF392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430770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N P Enterprise, Laxmi Trading.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253ADBA"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and 4(1) of the PFUTP Regulations read with Section 12A(a), (b) &amp; (c) of the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F3C6C0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6690A06C"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0FE3E4B"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72</w:t>
            </w:r>
          </w:p>
        </w:tc>
        <w:tc>
          <w:tcPr>
            <w:tcW w:w="1276" w:type="dxa"/>
            <w:tcBorders>
              <w:top w:val="single" w:sz="4" w:space="0" w:color="auto"/>
              <w:bottom w:val="single" w:sz="4" w:space="0" w:color="auto"/>
              <w:right w:val="single" w:sz="4" w:space="0" w:color="auto"/>
            </w:tcBorders>
            <w:shd w:val="clear" w:color="auto" w:fill="auto"/>
            <w:noWrap/>
          </w:tcPr>
          <w:p w14:paraId="14A8B7D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18/06/2021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7A1587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RTS Power Corporation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3CCCC1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2BF556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Mukesh  G.  Konde and 7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13CBE77"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 (b) and (c)   of   SEBI   Act, 1992 read with  Regulation 3 (a), (c) &amp; (d) and 4 (2) (a) &amp; 4(2) (g) of PFUTP, 2003 and  Section 11 C (2), (3)and (5) of the SEBI Act,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263B7D8"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90,00,000</w:t>
            </w:r>
          </w:p>
        </w:tc>
      </w:tr>
      <w:tr w:rsidR="007C6D7E" w:rsidRPr="00B83873" w14:paraId="725AFC0D"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5674FF6"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73</w:t>
            </w:r>
          </w:p>
        </w:tc>
        <w:tc>
          <w:tcPr>
            <w:tcW w:w="1276" w:type="dxa"/>
            <w:tcBorders>
              <w:top w:val="single" w:sz="4" w:space="0" w:color="auto"/>
              <w:bottom w:val="single" w:sz="4" w:space="0" w:color="auto"/>
              <w:right w:val="single" w:sz="4" w:space="0" w:color="auto"/>
            </w:tcBorders>
            <w:shd w:val="clear" w:color="auto" w:fill="auto"/>
            <w:noWrap/>
          </w:tcPr>
          <w:p w14:paraId="77736C73"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214810C"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Nouveau Global Ventures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7A77A36"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F081CB8"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Kasturi Overseas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542940A" w14:textId="77777777" w:rsidR="007C6D7E" w:rsidRPr="007C6D7E" w:rsidRDefault="007C6D7E" w:rsidP="007C6D7E">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Regulation13(1), 13(3) read with Regulation 13(5), Regulation 13(4A) read with Regulation  13(5) of SEBI (Prohibition of Insider Trading) Regulations (PIT Regulations), 1992, Regulation 29(1) read with Regulation 29(3), Regulation 29(2) read with 29(3) of SEBI  (Substantial Acquisition  of  Shares  and  Takeovers)  Regulations, 2011 (SAST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360B43"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3,00,000</w:t>
            </w:r>
          </w:p>
        </w:tc>
      </w:tr>
      <w:tr w:rsidR="007C6D7E" w:rsidRPr="00B83873" w14:paraId="2486D96A"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7848273"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74</w:t>
            </w:r>
          </w:p>
        </w:tc>
        <w:tc>
          <w:tcPr>
            <w:tcW w:w="1276" w:type="dxa"/>
            <w:tcBorders>
              <w:top w:val="single" w:sz="4" w:space="0" w:color="auto"/>
              <w:bottom w:val="single" w:sz="4" w:space="0" w:color="auto"/>
              <w:right w:val="single" w:sz="4" w:space="0" w:color="auto"/>
            </w:tcBorders>
            <w:shd w:val="clear" w:color="auto" w:fill="auto"/>
            <w:noWrap/>
          </w:tcPr>
          <w:p w14:paraId="218D35D8"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1575E8F"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Nouveau Global Ventures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FD36B8A"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CD173EE"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Navyug Telefilms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A5979C2" w14:textId="77777777" w:rsidR="007C6D7E" w:rsidRPr="007C6D7E" w:rsidRDefault="007C6D7E" w:rsidP="007C6D7E">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Regulation 13(1), 13(3) read with Regulation 13(5), Regulation 13(4A) read with Regulation  13(5) of PIT Regulations, 1992, Regulation 29(1) read with Regulation 29(3), Regulation 29(2) read </w:t>
            </w:r>
            <w:r w:rsidRPr="007C6D7E">
              <w:rPr>
                <w:rFonts w:ascii="Palatino Linotype" w:eastAsia="Calibri" w:hAnsi="Palatino Linotype"/>
                <w:sz w:val="20"/>
                <w:szCs w:val="20"/>
                <w:lang w:val="en-IN"/>
              </w:rPr>
              <w:lastRenderedPageBreak/>
              <w:t>with 29(3) of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5A0CA8A"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lastRenderedPageBreak/>
              <w:t>3,00,000</w:t>
            </w:r>
          </w:p>
        </w:tc>
      </w:tr>
      <w:tr w:rsidR="007C6D7E" w:rsidRPr="00B83873" w14:paraId="32ACB7B5"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44F83B5"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75</w:t>
            </w:r>
          </w:p>
        </w:tc>
        <w:tc>
          <w:tcPr>
            <w:tcW w:w="1276" w:type="dxa"/>
            <w:tcBorders>
              <w:top w:val="single" w:sz="4" w:space="0" w:color="auto"/>
              <w:bottom w:val="single" w:sz="4" w:space="0" w:color="auto"/>
              <w:right w:val="single" w:sz="4" w:space="0" w:color="auto"/>
            </w:tcBorders>
            <w:shd w:val="clear" w:color="auto" w:fill="auto"/>
            <w:noWrap/>
          </w:tcPr>
          <w:p w14:paraId="597CAC8A"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EF418A8"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Nouveau Global Ventures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5629570"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20BAA34"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Pavan Roller Flour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48D4F6E" w14:textId="77777777" w:rsidR="007C6D7E" w:rsidRPr="007C6D7E" w:rsidRDefault="007C6D7E" w:rsidP="007C6D7E">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Regulation13(4A) read with  Regulation  13(5)  of  PIT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C2CEDD5"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2,00,000</w:t>
            </w:r>
          </w:p>
        </w:tc>
      </w:tr>
      <w:tr w:rsidR="007C6D7E" w:rsidRPr="00B83873" w14:paraId="4734618F"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7105E7E"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76</w:t>
            </w:r>
          </w:p>
        </w:tc>
        <w:tc>
          <w:tcPr>
            <w:tcW w:w="1276" w:type="dxa"/>
            <w:tcBorders>
              <w:top w:val="single" w:sz="4" w:space="0" w:color="auto"/>
              <w:bottom w:val="single" w:sz="4" w:space="0" w:color="auto"/>
              <w:right w:val="single" w:sz="4" w:space="0" w:color="auto"/>
            </w:tcBorders>
            <w:shd w:val="clear" w:color="auto" w:fill="auto"/>
            <w:noWrap/>
          </w:tcPr>
          <w:p w14:paraId="3A05C30B"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A184A7A"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Nouveau Global Ventures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0EDD6C0"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F5478F1"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Safal Investment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6B06C54" w14:textId="77777777" w:rsidR="007C6D7E" w:rsidRPr="007C6D7E" w:rsidRDefault="007C6D7E" w:rsidP="007C6D7E">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Regulation 13(4A) read with  Regulation  13(5)  of  PIT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9387D86"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2,00,000</w:t>
            </w:r>
          </w:p>
        </w:tc>
      </w:tr>
      <w:tr w:rsidR="007C6D7E" w:rsidRPr="00B83873" w14:paraId="0F8DA8E5"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3F8F89A9"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77</w:t>
            </w:r>
          </w:p>
        </w:tc>
        <w:tc>
          <w:tcPr>
            <w:tcW w:w="1276" w:type="dxa"/>
            <w:tcBorders>
              <w:top w:val="single" w:sz="4" w:space="0" w:color="auto"/>
              <w:bottom w:val="single" w:sz="4" w:space="0" w:color="auto"/>
              <w:right w:val="single" w:sz="4" w:space="0" w:color="auto"/>
            </w:tcBorders>
            <w:shd w:val="clear" w:color="auto" w:fill="auto"/>
            <w:noWrap/>
          </w:tcPr>
          <w:p w14:paraId="00A0E2A7"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21/06/2021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723D45F"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Nouveau Global Ventures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49700B9"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003B80F"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Rajat Commercial Enterprises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9B90539" w14:textId="77777777" w:rsidR="007C6D7E" w:rsidRPr="007C6D7E" w:rsidRDefault="007C6D7E" w:rsidP="007C6D7E">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Regulation 13(1), 13(3) read with Regulation 13(5), Regulation 13(4A) read with Regulation  13(5) of PIT Regulations, 1992, Regulation 29(1) read with Regulation 29(3), Regulation 29(2) read with 29(3) of SAST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A0A1328"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3,00,000</w:t>
            </w:r>
          </w:p>
        </w:tc>
      </w:tr>
      <w:tr w:rsidR="007C6D7E" w:rsidRPr="00B83873" w14:paraId="4BD1FBD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89517FB"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78</w:t>
            </w:r>
          </w:p>
        </w:tc>
        <w:tc>
          <w:tcPr>
            <w:tcW w:w="1276" w:type="dxa"/>
            <w:tcBorders>
              <w:top w:val="single" w:sz="4" w:space="0" w:color="auto"/>
              <w:bottom w:val="single" w:sz="4" w:space="0" w:color="auto"/>
              <w:right w:val="single" w:sz="4" w:space="0" w:color="auto"/>
            </w:tcBorders>
            <w:shd w:val="clear" w:color="auto" w:fill="auto"/>
            <w:noWrap/>
          </w:tcPr>
          <w:p w14:paraId="1AC5DA44"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22/06/2021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35333A0"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Himachal Fibres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9F0618F"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5DB7C06"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Rishi Jain and 6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031BA30" w14:textId="77777777" w:rsidR="007C6D7E" w:rsidRPr="007C6D7E" w:rsidRDefault="007C6D7E" w:rsidP="007C6D7E">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Section 12A(a), (b), (c) of the SEBI Act,  1992 and Regulations 3(a),  (b), (c), (d) and 4(1), 4(2)(a)  and (e) of SEBI (Prohibition of Fraudulent and Unfair Trade Practices) Regulations, 2003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EC08C44"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10,00,000</w:t>
            </w:r>
          </w:p>
        </w:tc>
      </w:tr>
      <w:tr w:rsidR="007C6D7E" w:rsidRPr="00B83873" w14:paraId="2B86C986"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1B68F70"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79</w:t>
            </w:r>
          </w:p>
        </w:tc>
        <w:tc>
          <w:tcPr>
            <w:tcW w:w="1276" w:type="dxa"/>
            <w:tcBorders>
              <w:top w:val="single" w:sz="4" w:space="0" w:color="auto"/>
              <w:bottom w:val="single" w:sz="4" w:space="0" w:color="auto"/>
              <w:right w:val="single" w:sz="4" w:space="0" w:color="auto"/>
            </w:tcBorders>
            <w:shd w:val="clear" w:color="auto" w:fill="auto"/>
            <w:noWrap/>
          </w:tcPr>
          <w:p w14:paraId="63A9A7F5"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24/06/2021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E9D4DE6"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Dealings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3C25FF8"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2E8B132"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Prime Gold International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3E287A2" w14:textId="77777777" w:rsidR="007C6D7E" w:rsidRPr="007C6D7E" w:rsidRDefault="007C6D7E" w:rsidP="007C6D7E">
            <w:pPr>
              <w:shd w:val="clear" w:color="auto" w:fill="FFFFFF"/>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 xml:space="preserve">Regulations 3(a), (b), (c), (d), 4(1) and  4(2)(a)  of  PFUTP  Regulations 2003.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47A1BBC"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t>6,40,000</w:t>
            </w:r>
          </w:p>
        </w:tc>
      </w:tr>
      <w:tr w:rsidR="007C6D7E" w:rsidRPr="00B83873" w14:paraId="2F8B935F"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CEDE56E"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80</w:t>
            </w:r>
          </w:p>
        </w:tc>
        <w:tc>
          <w:tcPr>
            <w:tcW w:w="1276" w:type="dxa"/>
            <w:tcBorders>
              <w:top w:val="single" w:sz="4" w:space="0" w:color="auto"/>
              <w:bottom w:val="single" w:sz="4" w:space="0" w:color="auto"/>
              <w:right w:val="single" w:sz="4" w:space="0" w:color="auto"/>
            </w:tcBorders>
            <w:shd w:val="clear" w:color="auto" w:fill="auto"/>
            <w:noWrap/>
          </w:tcPr>
          <w:p w14:paraId="7D879F4C"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22/06/2021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6F72E01" w14:textId="77777777" w:rsidR="007C6D7E" w:rsidRPr="007C6D7E" w:rsidRDefault="007C6D7E" w:rsidP="007C6D7E">
            <w:pPr>
              <w:spacing w:before="100" w:beforeAutospacing="1" w:after="100" w:afterAutospacing="1"/>
              <w:outlineLvl w:val="0"/>
              <w:rPr>
                <w:rFonts w:ascii="Palatino Linotype" w:eastAsia="Calibri" w:hAnsi="Palatino Linotype"/>
                <w:sz w:val="20"/>
                <w:szCs w:val="20"/>
                <w:lang w:val="en-IN"/>
              </w:rPr>
            </w:pPr>
            <w:r w:rsidRPr="007C6D7E">
              <w:rPr>
                <w:rFonts w:ascii="Palatino Linotype" w:eastAsia="Calibri" w:hAnsi="Palatino Linotype"/>
                <w:sz w:val="20"/>
                <w:szCs w:val="20"/>
                <w:lang w:val="en-IN"/>
              </w:rPr>
              <w:t>Camson Biotechnologies Ltd</w:t>
            </w:r>
          </w:p>
          <w:p w14:paraId="63ACBEE4" w14:textId="77777777" w:rsidR="007C6D7E" w:rsidRPr="007C6D7E" w:rsidRDefault="007C6D7E" w:rsidP="007C6D7E">
            <w:pPr>
              <w:jc w:val="both"/>
              <w:rPr>
                <w:rFonts w:ascii="Palatino Linotype" w:eastAsia="Calibri" w:hAnsi="Palatino Linotype"/>
                <w:sz w:val="20"/>
                <w:szCs w:val="20"/>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5242B8F" w14:textId="77777777" w:rsidR="007C6D7E" w:rsidRPr="007C6D7E" w:rsidRDefault="007C6D7E" w:rsidP="007C6D7E">
            <w:pPr>
              <w:jc w:val="both"/>
              <w:rPr>
                <w:rFonts w:ascii="Palatino Linotype" w:eastAsia="Calibri" w:hAnsi="Palatino Linotype"/>
                <w:sz w:val="20"/>
                <w:szCs w:val="20"/>
                <w:lang w:val="en-IN"/>
              </w:rPr>
            </w:pPr>
            <w:r w:rsidRPr="007C6D7E">
              <w:rPr>
                <w:rFonts w:ascii="Palatino Linotype" w:eastAsia="Calibri" w:hAnsi="Palatino Linotype"/>
                <w:sz w:val="20"/>
                <w:szCs w:val="20"/>
                <w:lang w:val="en-IN"/>
              </w:rPr>
              <w:t>SAST Regulations</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7A7FB06" w14:textId="77777777" w:rsidR="007C6D7E" w:rsidRPr="007C6D7E" w:rsidRDefault="007C6D7E" w:rsidP="007C6D7E">
            <w:pPr>
              <w:spacing w:before="100" w:beforeAutospacing="1" w:after="100" w:afterAutospacing="1"/>
              <w:outlineLvl w:val="0"/>
              <w:rPr>
                <w:rFonts w:ascii="Palatino Linotype" w:eastAsia="Calibri" w:hAnsi="Palatino Linotype"/>
                <w:sz w:val="20"/>
                <w:szCs w:val="20"/>
                <w:lang w:val="en-IN"/>
              </w:rPr>
            </w:pPr>
            <w:r w:rsidRPr="007C6D7E">
              <w:rPr>
                <w:rFonts w:ascii="Palatino Linotype" w:eastAsia="Calibri" w:hAnsi="Palatino Linotype"/>
                <w:sz w:val="20"/>
                <w:szCs w:val="20"/>
                <w:lang w:val="en-IN"/>
              </w:rPr>
              <w:t>Camson Biotechnologies Ltd. And 12 others</w:t>
            </w:r>
          </w:p>
          <w:p w14:paraId="5255C236" w14:textId="77777777" w:rsidR="007C6D7E" w:rsidRPr="007C6D7E" w:rsidRDefault="007C6D7E" w:rsidP="007C6D7E">
            <w:pPr>
              <w:jc w:val="both"/>
              <w:rPr>
                <w:rFonts w:ascii="Palatino Linotype" w:eastAsia="Calibri" w:hAnsi="Palatino Linotype"/>
                <w:sz w:val="20"/>
                <w:szCs w:val="20"/>
                <w:lang w:val="en-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F0871D3" w14:textId="77777777" w:rsidR="007C6D7E" w:rsidRPr="007C6D7E" w:rsidRDefault="007C6D7E" w:rsidP="007C6D7E">
            <w:pPr>
              <w:jc w:val="both"/>
              <w:rPr>
                <w:rFonts w:ascii="Palatino Linotype" w:hAnsi="Palatino Linotype"/>
                <w:sz w:val="20"/>
                <w:szCs w:val="20"/>
                <w:lang w:val="en-IN" w:eastAsia="en-IN" w:bidi="hi-IN"/>
              </w:rPr>
            </w:pPr>
            <w:r w:rsidRPr="007C6D7E">
              <w:rPr>
                <w:rFonts w:ascii="Palatino Linotype" w:hAnsi="Palatino Linotype"/>
                <w:sz w:val="20"/>
                <w:szCs w:val="20"/>
                <w:lang w:val="en-IN" w:eastAsia="en-IN" w:bidi="hi-IN"/>
              </w:rPr>
              <w:t xml:space="preserve">Violation of the Clause 13.1.2.3(b), </w:t>
            </w:r>
            <w:r w:rsidRPr="007C6D7E">
              <w:rPr>
                <w:rFonts w:ascii="Palatino Linotype" w:eastAsia="Calibri" w:hAnsi="Palatino Linotype"/>
                <w:sz w:val="20"/>
                <w:szCs w:val="20"/>
                <w:lang w:val="en-IN"/>
              </w:rPr>
              <w:t>Clause 13.1C</w:t>
            </w:r>
            <w:r w:rsidRPr="007C6D7E">
              <w:rPr>
                <w:rFonts w:ascii="Palatino Linotype" w:hAnsi="Palatino Linotype"/>
                <w:sz w:val="20"/>
                <w:szCs w:val="20"/>
                <w:lang w:val="en-IN" w:eastAsia="en-IN" w:bidi="hi-IN"/>
              </w:rPr>
              <w:t xml:space="preserve"> of the DIP Guidelines, 2000 read with Regulation 111 of the ICDR Regulations, 2009, Regulation 13(4) </w:t>
            </w:r>
          </w:p>
          <w:p w14:paraId="42038E2F" w14:textId="77777777" w:rsidR="007C6D7E" w:rsidRPr="007C6D7E" w:rsidRDefault="007C6D7E" w:rsidP="007C6D7E">
            <w:pPr>
              <w:jc w:val="both"/>
              <w:rPr>
                <w:rFonts w:ascii="Palatino Linotype" w:hAnsi="Palatino Linotype"/>
                <w:sz w:val="20"/>
                <w:szCs w:val="20"/>
                <w:lang w:val="en-IN" w:eastAsia="en-IN" w:bidi="hi-IN"/>
              </w:rPr>
            </w:pPr>
            <w:r w:rsidRPr="007C6D7E">
              <w:rPr>
                <w:rFonts w:ascii="Palatino Linotype" w:hAnsi="Palatino Linotype"/>
                <w:sz w:val="20"/>
                <w:szCs w:val="20"/>
                <w:lang w:val="en-IN" w:eastAsia="en-IN" w:bidi="hi-IN"/>
              </w:rPr>
              <w:t xml:space="preserve">read with Regulation 13(5) of the Insider Trading Regulations, 1992, Clause 4.2 of the Code of Conduct in Part A of Schedule I read with Regulation 12(1) of the Insider Trading Regulations, </w:t>
            </w:r>
            <w:r w:rsidRPr="007C6D7E">
              <w:rPr>
                <w:rFonts w:ascii="Palatino Linotype" w:hAnsi="Palatino Linotype"/>
                <w:sz w:val="20"/>
                <w:szCs w:val="20"/>
                <w:lang w:val="en-IN" w:eastAsia="en-IN" w:bidi="hi-IN"/>
              </w:rPr>
              <w:lastRenderedPageBreak/>
              <w:t xml:space="preserve">1992, Regulation 7(1) read with 7(2) of the Takeover Regulations, </w:t>
            </w:r>
          </w:p>
          <w:p w14:paraId="1D727572" w14:textId="77777777" w:rsidR="007C6D7E" w:rsidRPr="007C6D7E" w:rsidRDefault="007C6D7E" w:rsidP="007C6D7E">
            <w:pPr>
              <w:jc w:val="both"/>
              <w:rPr>
                <w:rFonts w:ascii="Palatino Linotype" w:hAnsi="Palatino Linotype"/>
                <w:sz w:val="20"/>
                <w:szCs w:val="20"/>
                <w:lang w:val="en-IN" w:eastAsia="en-IN" w:bidi="hi-IN"/>
              </w:rPr>
            </w:pPr>
            <w:r w:rsidRPr="007C6D7E">
              <w:rPr>
                <w:rFonts w:ascii="Palatino Linotype" w:hAnsi="Palatino Linotype"/>
                <w:sz w:val="20"/>
                <w:szCs w:val="20"/>
                <w:lang w:val="en-IN" w:eastAsia="en-IN" w:bidi="hi-IN"/>
              </w:rPr>
              <w:t>1997, Regulation 13(1) and Regulation 13(4) read with Regulation 13(5) of the Insider Trading Regulations, 1992</w:t>
            </w:r>
          </w:p>
          <w:p w14:paraId="4B105E1F" w14:textId="77777777" w:rsidR="007C6D7E" w:rsidRPr="007C6D7E" w:rsidRDefault="007C6D7E" w:rsidP="007C6D7E">
            <w:pPr>
              <w:jc w:val="both"/>
              <w:rPr>
                <w:rFonts w:ascii="Palatino Linotype" w:eastAsia="Calibri" w:hAnsi="Palatino Linotype"/>
                <w:sz w:val="20"/>
                <w:szCs w:val="20"/>
                <w:lang w:val="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DF79E95" w14:textId="77777777" w:rsidR="007C6D7E" w:rsidRPr="007C6D7E" w:rsidRDefault="007C6D7E" w:rsidP="007C6D7E">
            <w:pPr>
              <w:jc w:val="right"/>
              <w:rPr>
                <w:rFonts w:ascii="Palatino Linotype" w:eastAsia="Calibri" w:hAnsi="Palatino Linotype"/>
                <w:sz w:val="20"/>
                <w:szCs w:val="20"/>
                <w:lang w:val="en-IN"/>
              </w:rPr>
            </w:pPr>
            <w:r w:rsidRPr="007C6D7E">
              <w:rPr>
                <w:rFonts w:ascii="Palatino Linotype" w:eastAsia="Calibri" w:hAnsi="Palatino Linotype"/>
                <w:sz w:val="20"/>
                <w:szCs w:val="20"/>
                <w:lang w:val="en-IN"/>
              </w:rPr>
              <w:lastRenderedPageBreak/>
              <w:t>-</w:t>
            </w:r>
          </w:p>
        </w:tc>
      </w:tr>
      <w:tr w:rsidR="007C6D7E" w:rsidRPr="00B83873" w14:paraId="44811342"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18A163CE"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81</w:t>
            </w:r>
          </w:p>
        </w:tc>
        <w:tc>
          <w:tcPr>
            <w:tcW w:w="1276" w:type="dxa"/>
            <w:tcBorders>
              <w:top w:val="single" w:sz="4" w:space="0" w:color="auto"/>
              <w:bottom w:val="single" w:sz="4" w:space="0" w:color="auto"/>
              <w:right w:val="single" w:sz="4" w:space="0" w:color="auto"/>
            </w:tcBorders>
            <w:shd w:val="clear" w:color="auto" w:fill="auto"/>
            <w:noWrap/>
          </w:tcPr>
          <w:p w14:paraId="027E837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A865DD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Mystic Electronics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FCA293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99C115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Topwell Properties P Ltd, Shivkhori Construction P Ltd, Limestone Properties P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3527286"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and (e) of SEBI (Prohibition of Fraudulent and Unfair Trade Practices)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D006DC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4845B67B"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26CCB766"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82</w:t>
            </w:r>
          </w:p>
        </w:tc>
        <w:tc>
          <w:tcPr>
            <w:tcW w:w="1276" w:type="dxa"/>
            <w:tcBorders>
              <w:top w:val="single" w:sz="4" w:space="0" w:color="auto"/>
              <w:bottom w:val="single" w:sz="4" w:space="0" w:color="auto"/>
              <w:right w:val="single" w:sz="4" w:space="0" w:color="auto"/>
            </w:tcBorders>
            <w:shd w:val="clear" w:color="auto" w:fill="auto"/>
            <w:noWrap/>
          </w:tcPr>
          <w:p w14:paraId="16A4978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355D6D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Linkhouse Industries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F206DF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2A2797D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Linkhouse Industries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BF8D74A"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Clause 35 of the Listing Agreement with BSE read with Section 21 of SEBI Securities Contracts (Regulations)  (Procedure  for  Holding  Inquiry  and Imposing Penalties) Rules, 2005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46816F7"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3,00,000</w:t>
            </w:r>
          </w:p>
        </w:tc>
      </w:tr>
      <w:tr w:rsidR="007C6D7E" w:rsidRPr="00B83873" w14:paraId="3B5EB565"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357661BA"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83</w:t>
            </w:r>
          </w:p>
        </w:tc>
        <w:tc>
          <w:tcPr>
            <w:tcW w:w="1276" w:type="dxa"/>
            <w:tcBorders>
              <w:top w:val="single" w:sz="4" w:space="0" w:color="auto"/>
              <w:bottom w:val="single" w:sz="4" w:space="0" w:color="auto"/>
              <w:right w:val="single" w:sz="4" w:space="0" w:color="auto"/>
            </w:tcBorders>
            <w:shd w:val="clear" w:color="auto" w:fill="auto"/>
            <w:noWrap/>
          </w:tcPr>
          <w:p w14:paraId="198FFCA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43DB811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Scrip of Jyoti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F3DF3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4C8147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Hridaynath Consultancy Pvt. Ltd, Vanraj  Vinodchandra Shah, Vanraj  Vinodchandra Shah HUF.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AC68D0B"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16 of SC(R)A, 1956 read with SEBI Notification No. S.O. 184(E)  dated March   1,   2000&amp; SEBI Notification No. LAD-NRO/GN/2013-14/26/6667    dated October  03,  2013, Section     13    and Section 18 of SC(R)A, 1956 read with  Section  2(i)  of Regulation 29(1) read  with  29(3)  of the SAST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E1DE172"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8,00,000</w:t>
            </w:r>
          </w:p>
        </w:tc>
      </w:tr>
      <w:tr w:rsidR="007C6D7E" w:rsidRPr="00B83873" w14:paraId="03CD5483"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3B61BB82"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84</w:t>
            </w:r>
          </w:p>
        </w:tc>
        <w:tc>
          <w:tcPr>
            <w:tcW w:w="1276" w:type="dxa"/>
            <w:tcBorders>
              <w:top w:val="single" w:sz="4" w:space="0" w:color="auto"/>
              <w:bottom w:val="single" w:sz="4" w:space="0" w:color="auto"/>
              <w:right w:val="single" w:sz="4" w:space="0" w:color="auto"/>
            </w:tcBorders>
            <w:shd w:val="clear" w:color="auto" w:fill="auto"/>
            <w:noWrap/>
          </w:tcPr>
          <w:p w14:paraId="2F633F9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D8A999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Scrip of Jyoti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933B9C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706B0BC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Gandiv Investment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5AF3D70"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Section  16  of  SC(R)A, 1956  read  with SEBI  Notification  No.  S.O.  184(E)  dated March  1,  2000&amp;  SEBI  Notification  No. LAD-NRO/GN/2013-14/26/6667 dated October  03,  2013,  </w:t>
            </w:r>
            <w:r w:rsidRPr="007C6D7E">
              <w:rPr>
                <w:rFonts w:ascii="Palatino Linotype" w:hAnsi="Palatino Linotype"/>
                <w:sz w:val="20"/>
                <w:szCs w:val="20"/>
              </w:rPr>
              <w:lastRenderedPageBreak/>
              <w:t>Section  13 and  Section 18  of  SC(R)A,  1956  read  with  Section  2(i) of SC(R)A,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ED4C66F"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lastRenderedPageBreak/>
              <w:t>5,00,000</w:t>
            </w:r>
          </w:p>
        </w:tc>
      </w:tr>
      <w:tr w:rsidR="007C6D7E" w:rsidRPr="00B83873" w14:paraId="21888D45"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772FE44D"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85</w:t>
            </w:r>
          </w:p>
        </w:tc>
        <w:tc>
          <w:tcPr>
            <w:tcW w:w="1276" w:type="dxa"/>
            <w:tcBorders>
              <w:top w:val="single" w:sz="4" w:space="0" w:color="auto"/>
              <w:bottom w:val="single" w:sz="4" w:space="0" w:color="auto"/>
              <w:right w:val="single" w:sz="4" w:space="0" w:color="auto"/>
            </w:tcBorders>
            <w:shd w:val="clear" w:color="auto" w:fill="auto"/>
            <w:noWrap/>
          </w:tcPr>
          <w:p w14:paraId="03565F7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39893D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scrip of Jyoti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F6BBF5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3988DE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Bharat Jayantilal Patel and 6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E8999B6"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16 of SC(R)A, 1956, SEBI Notification No. S.O. 184(E) dated March 1, 2000&amp; SEBI Notification No. LAD-NRO/GN/2013-14/26/6667 dated October 03, 2013, Section 13 and Section 18 of SC(R)A, 1956 read with Section 2(i) of SC(R)A, 1956. Regulation 29(2) read with 29(3) of the SAST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FDAA214"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22,00,000</w:t>
            </w:r>
          </w:p>
        </w:tc>
      </w:tr>
      <w:tr w:rsidR="007C6D7E" w:rsidRPr="00B83873" w14:paraId="5643E080"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0EA045CB"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86</w:t>
            </w:r>
          </w:p>
        </w:tc>
        <w:tc>
          <w:tcPr>
            <w:tcW w:w="1276" w:type="dxa"/>
            <w:tcBorders>
              <w:top w:val="single" w:sz="4" w:space="0" w:color="auto"/>
              <w:bottom w:val="single" w:sz="4" w:space="0" w:color="auto"/>
              <w:right w:val="single" w:sz="4" w:space="0" w:color="auto"/>
            </w:tcBorders>
            <w:shd w:val="clear" w:color="auto" w:fill="auto"/>
            <w:noWrap/>
          </w:tcPr>
          <w:p w14:paraId="35A2394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B7C9CB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India Max Group</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6958B6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2119D4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DDP –ICICI  Bank  Limited, FPI –India  Max  Investment  Fund  Limited, FPI –Grovsnor  Investment  Fund  Limited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8CA67E2"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23(1)(a), 23(1)(b), 23(1)(g), 23(3), Clauses (1), (2), (5) and (6) of Third Schedule read with Regulation 24 of SEBI (Foreign Portfolio Investors), 2014 read with Regulation 45(2) of the FPI Regulations, 2019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8001575"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10,00,000</w:t>
            </w:r>
          </w:p>
        </w:tc>
      </w:tr>
      <w:tr w:rsidR="007C6D7E" w:rsidRPr="00B83873" w14:paraId="227DB6C8"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050874C8"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87</w:t>
            </w:r>
          </w:p>
        </w:tc>
        <w:tc>
          <w:tcPr>
            <w:tcW w:w="1276" w:type="dxa"/>
            <w:tcBorders>
              <w:top w:val="single" w:sz="4" w:space="0" w:color="auto"/>
              <w:bottom w:val="single" w:sz="4" w:space="0" w:color="auto"/>
              <w:right w:val="single" w:sz="4" w:space="0" w:color="auto"/>
            </w:tcBorders>
            <w:shd w:val="clear" w:color="auto" w:fill="auto"/>
            <w:noWrap/>
          </w:tcPr>
          <w:p w14:paraId="3074CDC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0C085E0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 in Illiquid Options on the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80C3EF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8D825F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Kewal Chand Jain</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735D405"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4(1), 4(2)(a)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7138261"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6,00,000</w:t>
            </w:r>
          </w:p>
        </w:tc>
      </w:tr>
      <w:tr w:rsidR="007C6D7E" w:rsidRPr="00B83873" w14:paraId="51EC7A4E"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BD9CD94"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88</w:t>
            </w:r>
          </w:p>
        </w:tc>
        <w:tc>
          <w:tcPr>
            <w:tcW w:w="1276" w:type="dxa"/>
            <w:tcBorders>
              <w:top w:val="single" w:sz="4" w:space="0" w:color="auto"/>
              <w:bottom w:val="single" w:sz="4" w:space="0" w:color="auto"/>
              <w:right w:val="single" w:sz="4" w:space="0" w:color="auto"/>
            </w:tcBorders>
            <w:shd w:val="clear" w:color="auto" w:fill="auto"/>
            <w:noWrap/>
          </w:tcPr>
          <w:p w14:paraId="7DB0861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29/06/2021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814628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Mystic Electronics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11527A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39F9560"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Function Financial  Consultants  P  Ltd.  and  Helpful  Investment  Advisory  P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C325DEF"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4(2) (a) and (e)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34AA6C4"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7,00,000</w:t>
            </w:r>
          </w:p>
        </w:tc>
      </w:tr>
      <w:tr w:rsidR="007C6D7E" w:rsidRPr="00B83873" w14:paraId="6845A39E"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781CD8A6"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89</w:t>
            </w:r>
          </w:p>
        </w:tc>
        <w:tc>
          <w:tcPr>
            <w:tcW w:w="1276" w:type="dxa"/>
            <w:tcBorders>
              <w:top w:val="single" w:sz="4" w:space="0" w:color="auto"/>
              <w:bottom w:val="single" w:sz="4" w:space="0" w:color="auto"/>
              <w:right w:val="single" w:sz="4" w:space="0" w:color="auto"/>
            </w:tcBorders>
            <w:shd w:val="clear" w:color="auto" w:fill="auto"/>
            <w:noWrap/>
          </w:tcPr>
          <w:p w14:paraId="05B0621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AB0346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Dealings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4D7D6D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575909F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York  Financial  Services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0DE0DE45"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6BBA8C1"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4883FF1B"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2A2C461"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90</w:t>
            </w:r>
          </w:p>
        </w:tc>
        <w:tc>
          <w:tcPr>
            <w:tcW w:w="1276" w:type="dxa"/>
            <w:tcBorders>
              <w:top w:val="single" w:sz="4" w:space="0" w:color="auto"/>
              <w:bottom w:val="single" w:sz="4" w:space="0" w:color="auto"/>
              <w:right w:val="single" w:sz="4" w:space="0" w:color="auto"/>
            </w:tcBorders>
            <w:shd w:val="clear" w:color="auto" w:fill="auto"/>
            <w:noWrap/>
          </w:tcPr>
          <w:p w14:paraId="4954B13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11FDEC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Tijaria Polypipes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EB34B6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F6125C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Grishma Securities Private Limited,   Chandrika   H Gandhi, Ketan C Shah, Chhabil C Shah, Mihir Ghelani.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CF24DCE"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 xml:space="preserve">Section   12A(a),   12A(b), 12A(c)  and  12A(d)  of  the SEBI   Act,   read   with Regulations 3(a), 3(b), 3(c), 4(1),  4(2)(a),  4(2)(d)  and 4(2)(p)   of   the   PFUTP Regulations, 2003. Section  23D  of  SCRA  and Regulations </w:t>
            </w:r>
            <w:r w:rsidRPr="007C6D7E">
              <w:rPr>
                <w:rFonts w:ascii="Palatino Linotype" w:hAnsi="Palatino Linotype"/>
                <w:sz w:val="20"/>
                <w:szCs w:val="20"/>
              </w:rPr>
              <w:lastRenderedPageBreak/>
              <w:t>26(xiii), 26(xvi), Regulation  7  of  the  Stock Brokers  Regulations  read with Clauses A(1), A(2), A(3) and  A(4)  of  the  Code  of Conduct for Stock Brokers of Schedule I</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69FB8DE"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lastRenderedPageBreak/>
              <w:t>70,00,000</w:t>
            </w:r>
          </w:p>
        </w:tc>
      </w:tr>
      <w:tr w:rsidR="007C6D7E" w:rsidRPr="00B83873" w14:paraId="27327BDD"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0ADE7C37"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91</w:t>
            </w:r>
          </w:p>
        </w:tc>
        <w:tc>
          <w:tcPr>
            <w:tcW w:w="1276" w:type="dxa"/>
            <w:tcBorders>
              <w:top w:val="single" w:sz="4" w:space="0" w:color="auto"/>
              <w:bottom w:val="single" w:sz="4" w:space="0" w:color="auto"/>
              <w:right w:val="single" w:sz="4" w:space="0" w:color="auto"/>
            </w:tcBorders>
            <w:shd w:val="clear" w:color="auto" w:fill="auto"/>
            <w:noWrap/>
          </w:tcPr>
          <w:p w14:paraId="144FEF7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9A1BB5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PMC Fincorp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C9D952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47100F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 xml:space="preserve">J M S Financial Services Ltd, Mindex Capital Market Private Limited, M K N Commodity Brokers Private Limited, S K Aggarwal HUF, MK Aggarwal HUF, K K Aggarwal HUF, Nitin Aggarwal HUF. </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E3EFC36"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12A(a),(b),(c)   of   SEBI   Act read   with   Regulation 3(a),(b),(c),(d) and Regulations 4(1), 4(2) (a), (e)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15EA6D2"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10,00,000</w:t>
            </w:r>
          </w:p>
        </w:tc>
      </w:tr>
      <w:tr w:rsidR="007C6D7E" w:rsidRPr="00B83873" w14:paraId="5B448465"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6C6A241"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92</w:t>
            </w:r>
          </w:p>
        </w:tc>
        <w:tc>
          <w:tcPr>
            <w:tcW w:w="1276" w:type="dxa"/>
            <w:tcBorders>
              <w:top w:val="single" w:sz="4" w:space="0" w:color="auto"/>
              <w:bottom w:val="single" w:sz="4" w:space="0" w:color="auto"/>
              <w:right w:val="single" w:sz="4" w:space="0" w:color="auto"/>
            </w:tcBorders>
            <w:shd w:val="clear" w:color="auto" w:fill="auto"/>
            <w:noWrap/>
          </w:tcPr>
          <w:p w14:paraId="1D4B7C3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3E8BE4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Dealings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42D9103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1C4F3CF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Radha Mohan Purshottam Das Jewels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26E35BD3"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Regulations 3(a), (b), (c), (d), 4(1) and  4(2)(a)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B46840B"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16,50,000</w:t>
            </w:r>
          </w:p>
        </w:tc>
      </w:tr>
      <w:tr w:rsidR="007C6D7E" w:rsidRPr="00B83873" w14:paraId="64D1B58C"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E97EDD5"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93</w:t>
            </w:r>
          </w:p>
        </w:tc>
        <w:tc>
          <w:tcPr>
            <w:tcW w:w="1276" w:type="dxa"/>
            <w:tcBorders>
              <w:top w:val="single" w:sz="4" w:space="0" w:color="auto"/>
              <w:bottom w:val="single" w:sz="4" w:space="0" w:color="auto"/>
              <w:right w:val="single" w:sz="4" w:space="0" w:color="auto"/>
            </w:tcBorders>
            <w:shd w:val="clear" w:color="auto" w:fill="auto"/>
            <w:noWrap/>
          </w:tcPr>
          <w:p w14:paraId="558BE7B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7345EBB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Dealings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C71A6B2"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F14F06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AHK Developers  Private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31567A6D"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3(a), 4(1) and 4(2)(a) of the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DA3827C"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6,00,000</w:t>
            </w:r>
          </w:p>
        </w:tc>
      </w:tr>
      <w:tr w:rsidR="007C6D7E" w:rsidRPr="00B83873" w14:paraId="075C033C"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5C2EA847"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94</w:t>
            </w:r>
          </w:p>
        </w:tc>
        <w:tc>
          <w:tcPr>
            <w:tcW w:w="1276" w:type="dxa"/>
            <w:tcBorders>
              <w:top w:val="single" w:sz="4" w:space="0" w:color="auto"/>
              <w:bottom w:val="single" w:sz="4" w:space="0" w:color="auto"/>
              <w:right w:val="single" w:sz="4" w:space="0" w:color="auto"/>
            </w:tcBorders>
            <w:shd w:val="clear" w:color="auto" w:fill="auto"/>
            <w:noWrap/>
          </w:tcPr>
          <w:p w14:paraId="04FAA5A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1EB0D24E"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Ram Minerals and Chemicals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080B263"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64482E5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Jai Ambe Foils Limited, currently known  as  Filtus  Infrastructure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4026D085"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3 (a), (b), (c), (d) and4(1)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C1A487F"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5,00,000</w:t>
            </w:r>
          </w:p>
        </w:tc>
      </w:tr>
      <w:tr w:rsidR="007C6D7E" w:rsidRPr="00B83873" w14:paraId="3071B295"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6FF4D921"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95</w:t>
            </w:r>
          </w:p>
        </w:tc>
        <w:tc>
          <w:tcPr>
            <w:tcW w:w="1276" w:type="dxa"/>
            <w:tcBorders>
              <w:top w:val="single" w:sz="4" w:space="0" w:color="auto"/>
              <w:bottom w:val="single" w:sz="4" w:space="0" w:color="auto"/>
              <w:right w:val="single" w:sz="4" w:space="0" w:color="auto"/>
            </w:tcBorders>
            <w:shd w:val="clear" w:color="auto" w:fill="auto"/>
            <w:noWrap/>
          </w:tcPr>
          <w:p w14:paraId="1F3ABA01"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AFE8B4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233327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0123ADC4"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Rajesh  Jani</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0CDE3F7"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 of the SEBI Act and Regulations 3(a), (b), (c) (d), 4(1), 4(2)(a), (b)and (e)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05AF4834"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0C58DDF6"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14DCC0BE"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96</w:t>
            </w:r>
          </w:p>
        </w:tc>
        <w:tc>
          <w:tcPr>
            <w:tcW w:w="1276" w:type="dxa"/>
            <w:tcBorders>
              <w:top w:val="single" w:sz="4" w:space="0" w:color="auto"/>
              <w:bottom w:val="single" w:sz="4" w:space="0" w:color="auto"/>
              <w:right w:val="single" w:sz="4" w:space="0" w:color="auto"/>
            </w:tcBorders>
            <w:shd w:val="clear" w:color="auto" w:fill="auto"/>
            <w:noWrap/>
          </w:tcPr>
          <w:p w14:paraId="73DAFEDB"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336FFC7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6A3614A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7C37BA6"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Nitin  Goradia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16B6A7E"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12Aof SEBI Act and Regulation 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0E13FC8"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2,00,000</w:t>
            </w:r>
          </w:p>
        </w:tc>
      </w:tr>
      <w:tr w:rsidR="007C6D7E" w:rsidRPr="00B83873" w14:paraId="3423790C"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847D50C"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t>97</w:t>
            </w:r>
          </w:p>
        </w:tc>
        <w:tc>
          <w:tcPr>
            <w:tcW w:w="1276" w:type="dxa"/>
            <w:tcBorders>
              <w:top w:val="single" w:sz="4" w:space="0" w:color="auto"/>
              <w:bottom w:val="single" w:sz="4" w:space="0" w:color="auto"/>
              <w:right w:val="single" w:sz="4" w:space="0" w:color="auto"/>
            </w:tcBorders>
            <w:shd w:val="clear" w:color="auto" w:fill="auto"/>
            <w:noWrap/>
          </w:tcPr>
          <w:p w14:paraId="06C50D6C"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50A09677"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3BB92FD8"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4A6D386D"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Nirmal Kotecha</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B1A87F6"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Regulation 7(1A) of SAST Regulations,   1997   and   Regulation   13(3)   read   with   13(5)   of   SEBI  (Prohibition  of  Insider  Trading)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23DEC475"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40,00,000</w:t>
            </w:r>
          </w:p>
        </w:tc>
      </w:tr>
      <w:tr w:rsidR="007C6D7E" w:rsidRPr="00B83873" w14:paraId="6A7FC510" w14:textId="77777777" w:rsidTr="007C6D7E">
        <w:trPr>
          <w:trHeight w:val="300"/>
        </w:trPr>
        <w:tc>
          <w:tcPr>
            <w:tcW w:w="567" w:type="dxa"/>
            <w:tcBorders>
              <w:top w:val="single" w:sz="4" w:space="0" w:color="auto"/>
              <w:left w:val="single" w:sz="4" w:space="0" w:color="auto"/>
              <w:bottom w:val="single" w:sz="4" w:space="0" w:color="auto"/>
              <w:right w:val="single" w:sz="4" w:space="0" w:color="auto"/>
            </w:tcBorders>
          </w:tcPr>
          <w:p w14:paraId="4FE79235" w14:textId="77777777" w:rsidR="007C6D7E" w:rsidRPr="007C6D7E" w:rsidRDefault="007C6D7E" w:rsidP="007C6D7E">
            <w:pPr>
              <w:jc w:val="both"/>
              <w:rPr>
                <w:rFonts w:ascii="Palatino Linotype" w:hAnsi="Palatino Linotype"/>
                <w:color w:val="000000"/>
                <w:sz w:val="20"/>
                <w:szCs w:val="20"/>
                <w:lang w:val="en-IN" w:eastAsia="en-IN" w:bidi="hi-IN"/>
              </w:rPr>
            </w:pPr>
            <w:r w:rsidRPr="007C6D7E">
              <w:rPr>
                <w:rFonts w:ascii="Palatino Linotype" w:hAnsi="Palatino Linotype"/>
                <w:color w:val="000000"/>
                <w:sz w:val="20"/>
                <w:szCs w:val="20"/>
                <w:lang w:val="en-IN" w:eastAsia="en-IN" w:bidi="hi-IN"/>
              </w:rPr>
              <w:lastRenderedPageBreak/>
              <w:t>98</w:t>
            </w:r>
          </w:p>
        </w:tc>
        <w:tc>
          <w:tcPr>
            <w:tcW w:w="1276" w:type="dxa"/>
            <w:tcBorders>
              <w:top w:val="single" w:sz="4" w:space="0" w:color="auto"/>
              <w:bottom w:val="single" w:sz="4" w:space="0" w:color="auto"/>
              <w:right w:val="single" w:sz="4" w:space="0" w:color="auto"/>
            </w:tcBorders>
            <w:shd w:val="clear" w:color="auto" w:fill="auto"/>
            <w:noWrap/>
          </w:tcPr>
          <w:p w14:paraId="01E0D4B9"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30/06/2021</w:t>
            </w:r>
          </w:p>
        </w:tc>
        <w:tc>
          <w:tcPr>
            <w:tcW w:w="2127" w:type="dxa"/>
            <w:tcBorders>
              <w:top w:val="single" w:sz="4" w:space="0" w:color="auto"/>
              <w:left w:val="single" w:sz="4" w:space="0" w:color="auto"/>
              <w:bottom w:val="single" w:sz="4" w:space="0" w:color="auto"/>
              <w:right w:val="single" w:sz="4" w:space="0" w:color="auto"/>
            </w:tcBorders>
            <w:shd w:val="clear" w:color="auto" w:fill="auto"/>
            <w:noWrap/>
          </w:tcPr>
          <w:p w14:paraId="294D6C0A"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Pyramid Saimira Theatre Limited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1A368345"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14:paraId="3856AB0F" w14:textId="77777777" w:rsidR="007C6D7E" w:rsidRPr="007C6D7E" w:rsidRDefault="007C6D7E" w:rsidP="007C6D7E">
            <w:pPr>
              <w:jc w:val="both"/>
              <w:rPr>
                <w:rFonts w:ascii="Palatino Linotype" w:hAnsi="Palatino Linotype"/>
                <w:sz w:val="20"/>
                <w:szCs w:val="20"/>
              </w:rPr>
            </w:pPr>
            <w:r w:rsidRPr="007C6D7E">
              <w:rPr>
                <w:rFonts w:ascii="Palatino Linotype" w:hAnsi="Palatino Linotype"/>
                <w:sz w:val="20"/>
                <w:szCs w:val="20"/>
              </w:rPr>
              <w:t>Nikhil Securities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6FED32BE" w14:textId="77777777" w:rsidR="007C6D7E" w:rsidRPr="007C6D7E" w:rsidRDefault="007C6D7E" w:rsidP="007C6D7E">
            <w:pPr>
              <w:shd w:val="clear" w:color="auto" w:fill="FFFFFF"/>
              <w:jc w:val="both"/>
              <w:rPr>
                <w:rFonts w:ascii="Palatino Linotype" w:hAnsi="Palatino Linotype"/>
                <w:sz w:val="20"/>
                <w:szCs w:val="20"/>
              </w:rPr>
            </w:pPr>
            <w:r w:rsidRPr="007C6D7E">
              <w:rPr>
                <w:rFonts w:ascii="Palatino Linotype" w:hAnsi="Palatino Linotype"/>
                <w:sz w:val="20"/>
                <w:szCs w:val="20"/>
              </w:rPr>
              <w:t>Section 12Aof SEBI Act and Regulation 3(a), 3(b), 3(c), 3(d),  4(1),  4(2)(a),  4(2)(b)and  4(2)(e)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79C08A1F" w14:textId="77777777" w:rsidR="007C6D7E" w:rsidRPr="007C6D7E" w:rsidRDefault="007C6D7E" w:rsidP="007C6D7E">
            <w:pPr>
              <w:jc w:val="right"/>
              <w:rPr>
                <w:rFonts w:ascii="Palatino Linotype" w:hAnsi="Palatino Linotype"/>
                <w:sz w:val="20"/>
                <w:szCs w:val="20"/>
              </w:rPr>
            </w:pPr>
            <w:r w:rsidRPr="007C6D7E">
              <w:rPr>
                <w:rFonts w:ascii="Palatino Linotype" w:hAnsi="Palatino Linotype"/>
                <w:sz w:val="20"/>
                <w:szCs w:val="20"/>
              </w:rPr>
              <w:t>3,00,000</w:t>
            </w:r>
          </w:p>
        </w:tc>
      </w:tr>
    </w:tbl>
    <w:p w14:paraId="42B7F61E" w14:textId="77777777" w:rsidR="00272724" w:rsidRDefault="00272724" w:rsidP="00272724">
      <w:pPr>
        <w:pStyle w:val="ListParagraph"/>
        <w:rPr>
          <w:rFonts w:ascii="Garamond" w:hAnsi="Garamond"/>
          <w:sz w:val="24"/>
          <w:szCs w:val="24"/>
        </w:rPr>
      </w:pPr>
    </w:p>
    <w:p w14:paraId="2669A7AE" w14:textId="77777777" w:rsidR="00272724" w:rsidRPr="00E71481" w:rsidRDefault="00272724" w:rsidP="00272724">
      <w:pPr>
        <w:spacing w:after="120"/>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14:paraId="3E527C54" w14:textId="77777777" w:rsidR="00272724" w:rsidRPr="006F32FA" w:rsidRDefault="00272724" w:rsidP="00272724">
      <w:pPr>
        <w:spacing w:after="120"/>
        <w:rPr>
          <w:rStyle w:val="Hyperlink"/>
          <w:rFonts w:ascii="Garamond" w:hAnsi="Garamond"/>
          <w:i/>
          <w:sz w:val="18"/>
        </w:rPr>
      </w:pPr>
    </w:p>
    <w:p w14:paraId="7D786C3E" w14:textId="77777777"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47"/>
      <w:headerReference w:type="default" r:id="rId48"/>
      <w:footerReference w:type="even" r:id="rId49"/>
      <w:footerReference w:type="default" r:id="rId50"/>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576445" w14:textId="77777777" w:rsidR="00EA65EF" w:rsidRDefault="00EA65EF" w:rsidP="00E07645">
      <w:r>
        <w:separator/>
      </w:r>
    </w:p>
  </w:endnote>
  <w:endnote w:type="continuationSeparator" w:id="0">
    <w:p w14:paraId="7313D6A0" w14:textId="77777777" w:rsidR="00EA65EF" w:rsidRDefault="00EA65EF"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Courier New"/>
    <w:panose1 w:val="02040503050203030202"/>
    <w:charset w:val="01"/>
    <w:family w:val="roman"/>
    <w:notTrueType/>
    <w:pitch w:val="variable"/>
    <w:sig w:usb0="00002000" w:usb1="00000000" w:usb2="00000000" w:usb3="00000000" w:csb0="00000000" w:csb1="00000000"/>
  </w:font>
  <w:font w:name="Rupee">
    <w:altName w:val="Times New Roman"/>
    <w:panose1 w:val="00000000000000000000"/>
    <w:charset w:val="00"/>
    <w:family w:val="roman"/>
    <w:notTrueType/>
    <w:pitch w:val="default"/>
  </w:font>
  <w:font w:name="Rupee Foradian">
    <w:panose1 w:val="020B0603030804020204"/>
    <w:charset w:val="00"/>
    <w:family w:val="swiss"/>
    <w:pitch w:val="variable"/>
    <w:sig w:usb0="800000AF" w:usb1="1000204A" w:usb2="00000000" w:usb3="00000000" w:csb0="00000001" w:csb1="00000000"/>
  </w:font>
  <w:font w:name="CIDFont+F3">
    <w:panose1 w:val="00000000000000000000"/>
    <w:charset w:val="00"/>
    <w:family w:val="auto"/>
    <w:notTrueType/>
    <w:pitch w:val="default"/>
    <w:sig w:usb0="00000003" w:usb1="00000000" w:usb2="00000000" w:usb3="00000000" w:csb0="00000001" w:csb1="00000000"/>
  </w:font>
  <w:font w:name="CIDFont+F5">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2BA87" w14:textId="77777777" w:rsidR="00E213CE" w:rsidRDefault="00E213CE">
    <w:pPr>
      <w:pStyle w:val="Footer"/>
    </w:pPr>
  </w:p>
  <w:p w14:paraId="7CEAB079" w14:textId="77777777" w:rsidR="00E213CE" w:rsidRDefault="00E213C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8BD8B2" w14:textId="381058B0" w:rsidR="00E213CE" w:rsidRDefault="00E213CE" w:rsidP="00E213CE">
    <w:pPr>
      <w:pStyle w:val="Footer"/>
      <w:pBdr>
        <w:top w:val="single" w:sz="4" w:space="1" w:color="D9D9D9"/>
      </w:pBdr>
      <w:jc w:val="right"/>
    </w:pPr>
    <w:r>
      <w:fldChar w:fldCharType="begin"/>
    </w:r>
    <w:r>
      <w:instrText xml:space="preserve"> PAGE   \* MERGEFORMAT </w:instrText>
    </w:r>
    <w:r>
      <w:fldChar w:fldCharType="separate"/>
    </w:r>
    <w:r w:rsidR="002D724A">
      <w:rPr>
        <w:noProof/>
      </w:rPr>
      <w:t>19</w:t>
    </w:r>
    <w:r>
      <w:rPr>
        <w:noProof/>
      </w:rPr>
      <w:fldChar w:fldCharType="end"/>
    </w:r>
    <w:r>
      <w:t xml:space="preserve"> | </w:t>
    </w:r>
    <w:r w:rsidRPr="00601592">
      <w:rPr>
        <w:color w:val="7F7F7F"/>
        <w:spacing w:val="60"/>
      </w:rPr>
      <w:t>Page</w:t>
    </w:r>
  </w:p>
  <w:p w14:paraId="22050446" w14:textId="77777777" w:rsidR="00E213CE" w:rsidRDefault="00E213CE">
    <w:pPr>
      <w:pStyle w:val="Footer"/>
    </w:pPr>
  </w:p>
  <w:p w14:paraId="3581C294" w14:textId="77777777" w:rsidR="00E213CE" w:rsidRDefault="00E213CE"/>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8B44C" w14:textId="77777777" w:rsidR="00E213CE" w:rsidRDefault="00E213CE">
    <w:pPr>
      <w:pStyle w:val="Footer"/>
    </w:pPr>
  </w:p>
  <w:p w14:paraId="6E799469" w14:textId="77777777" w:rsidR="00E213CE" w:rsidRDefault="00E213CE"/>
  <w:p w14:paraId="493F60F4" w14:textId="77777777" w:rsidR="00E213CE" w:rsidRDefault="00E213CE"/>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14:paraId="3C99B791" w14:textId="6650C540" w:rsidR="00E213CE" w:rsidRDefault="00E213CE">
        <w:pPr>
          <w:pStyle w:val="Footer"/>
          <w:pBdr>
            <w:top w:val="single" w:sz="4" w:space="1" w:color="D9D9D9" w:themeColor="background1" w:themeShade="D9"/>
          </w:pBdr>
          <w:jc w:val="right"/>
        </w:pPr>
        <w:r>
          <w:fldChar w:fldCharType="begin"/>
        </w:r>
        <w:r>
          <w:instrText xml:space="preserve"> PAGE   \* MERGEFORMAT </w:instrText>
        </w:r>
        <w:r>
          <w:fldChar w:fldCharType="separate"/>
        </w:r>
        <w:r w:rsidR="002D724A">
          <w:rPr>
            <w:noProof/>
          </w:rPr>
          <w:t>28</w:t>
        </w:r>
        <w:r>
          <w:rPr>
            <w:noProof/>
          </w:rPr>
          <w:fldChar w:fldCharType="end"/>
        </w:r>
        <w:r>
          <w:t xml:space="preserve"> | </w:t>
        </w:r>
        <w:r>
          <w:rPr>
            <w:color w:val="7F7F7F" w:themeColor="background1" w:themeShade="7F"/>
            <w:spacing w:val="60"/>
          </w:rPr>
          <w:t>Page</w:t>
        </w:r>
      </w:p>
    </w:sdtContent>
  </w:sdt>
  <w:p w14:paraId="70240060" w14:textId="77777777" w:rsidR="00E213CE" w:rsidRDefault="00E213CE">
    <w:pPr>
      <w:pStyle w:val="Footer"/>
    </w:pPr>
  </w:p>
  <w:p w14:paraId="302F66C0" w14:textId="77777777" w:rsidR="00E213CE" w:rsidRDefault="00E213CE"/>
  <w:p w14:paraId="2585A19A" w14:textId="77777777" w:rsidR="00E213CE" w:rsidRDefault="00E213C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68D5C7" w14:textId="77777777" w:rsidR="00EA65EF" w:rsidRDefault="00EA65EF" w:rsidP="00E07645">
      <w:r>
        <w:separator/>
      </w:r>
    </w:p>
  </w:footnote>
  <w:footnote w:type="continuationSeparator" w:id="0">
    <w:p w14:paraId="42D56A10" w14:textId="77777777" w:rsidR="00EA65EF" w:rsidRDefault="00EA65EF" w:rsidP="00E07645">
      <w:r>
        <w:continuationSeparator/>
      </w:r>
    </w:p>
  </w:footnote>
  <w:footnote w:id="1">
    <w:p w14:paraId="0D282CF0" w14:textId="77777777" w:rsidR="00E213CE" w:rsidRPr="005B5517" w:rsidRDefault="00E213CE" w:rsidP="00D33F7C">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14:paraId="5950BCC4" w14:textId="77777777" w:rsidR="00E213CE" w:rsidRDefault="00E213CE" w:rsidP="00D33F7C">
      <w:pPr>
        <w:pStyle w:val="FootnoteText"/>
        <w:jc w:val="both"/>
      </w:pPr>
      <w:r>
        <w:rPr>
          <w:rStyle w:val="FootnoteReference"/>
        </w:rPr>
        <w:footnoteRef/>
      </w:r>
      <w:r>
        <w:t xml:space="preserve"> Based on data available on World Federation of Exchanges as on 09 August 2021. BSE data from WFE has not been included as BSE is no longer providing data to WFE since June 2019.</w:t>
      </w:r>
    </w:p>
  </w:footnote>
  <w:footnote w:id="3">
    <w:p w14:paraId="09669348" w14:textId="77777777" w:rsidR="00E213CE" w:rsidRDefault="00E213CE" w:rsidP="00D33F7C">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4">
    <w:p w14:paraId="3F2CF019" w14:textId="77777777" w:rsidR="00E213CE" w:rsidRDefault="00E213CE" w:rsidP="00D33F7C">
      <w:pPr>
        <w:pStyle w:val="FootnoteText"/>
      </w:pPr>
      <w:r>
        <w:rPr>
          <w:rStyle w:val="FootnoteReference"/>
        </w:rPr>
        <w:footnoteRef/>
      </w:r>
      <w:r>
        <w:t xml:space="preserve"> Germany, Spain, USA, UK, Japan, India, China, Brazil and Russia.</w:t>
      </w:r>
    </w:p>
  </w:footnote>
  <w:footnote w:id="5">
    <w:p w14:paraId="3A03B8BD" w14:textId="77777777" w:rsidR="00E213CE" w:rsidRDefault="00E213CE" w:rsidP="00D33F7C">
      <w:pPr>
        <w:pStyle w:val="FootnoteText"/>
      </w:pPr>
      <w:r>
        <w:rPr>
          <w:rStyle w:val="FootnoteReference"/>
        </w:rPr>
        <w:footnoteRef/>
      </w:r>
      <w:r>
        <w:t xml:space="preserve"> Data available on as on 09 August 2021 on WFE as submitted by exchanges which are members of WFE,</w:t>
      </w:r>
    </w:p>
  </w:footnote>
  <w:footnote w:id="6">
    <w:p w14:paraId="3BD2F357" w14:textId="77777777" w:rsidR="00E213CE" w:rsidRDefault="00E213CE" w:rsidP="00D33F7C">
      <w:pPr>
        <w:pStyle w:val="FootnoteText"/>
      </w:pPr>
      <w:r>
        <w:rPr>
          <w:rStyle w:val="FootnoteReference"/>
        </w:rPr>
        <w:footnoteRef/>
      </w:r>
      <w:r>
        <w:t xml:space="preserve"> USA, UK, Germany, France, Japan, Singapore, Hong Kong, China, Russia, India, S. Korea and Australia.</w:t>
      </w:r>
    </w:p>
  </w:footnote>
  <w:footnote w:id="7">
    <w:p w14:paraId="26CE31CA" w14:textId="77777777" w:rsidR="00E213CE" w:rsidRDefault="00E213CE" w:rsidP="00D33F7C">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068202" w14:textId="77777777" w:rsidR="00E213CE" w:rsidRDefault="00E213CE">
    <w:pPr>
      <w:pStyle w:val="Header"/>
    </w:pPr>
  </w:p>
  <w:p w14:paraId="77B655EC" w14:textId="77777777" w:rsidR="00E213CE" w:rsidRDefault="00E213C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1AF40" w14:textId="77777777" w:rsidR="00E213CE" w:rsidRDefault="001A4E83">
    <w:pPr>
      <w:pStyle w:val="Header"/>
    </w:pPr>
    <w:r>
      <w:rPr>
        <w:noProof/>
      </w:rPr>
      <w:pict w14:anchorId="192A771C">
        <v:shapetype id="_x0000_t202" coordsize="21600,21600" o:spt="202" path="m,l,21600r21600,l21600,xe">
          <v:stroke joinstyle="miter"/>
          <v:path gradientshapeok="t" o:connecttype="rect"/>
        </v:shapetype>
        <v:shape id="expertsource_watermark" o:spid="_x0000_s2060" type="#_x0000_t202" style="position:absolute;margin-left:0;margin-top:0;width:406.1pt;height:270.7pt;rotation:-45;z-index:251659264;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" filled="f" stroked="f">
          <v:stroke joinstyle="round"/>
          <o:lock v:ext="edit" aspectratio="t" shapetype="t"/>
          <v:textbox style="mso-next-textbox:#expertsource_watermark;mso-fit-shape-to-text:t">
            <w:txbxContent>
              <w:p w14:paraId="1F0C93AB" w14:textId="77777777" w:rsidR="00E213CE" w:rsidRDefault="00E213CE" w:rsidP="00E213CE">
                <w:pPr>
                  <w:pStyle w:val="NormalWeb"/>
                  <w:spacing w:before="0" w:beforeAutospacing="0" w:after="0" w:afterAutospacing="0"/>
                  <w:jc w:val="center"/>
                </w:pPr>
                <w:r w:rsidRPr="00996EC6">
                  <w:rPr>
                    <w:color w:val="C0C0C0"/>
                    <w:sz w:val="2"/>
                    <w:szCs w:val="2"/>
                  </w:rPr>
                  <w:t xml:space="preserve">   </w:t>
                </w:r>
              </w:p>
            </w:txbxContent>
          </v:textbox>
          <w10:wrap anchorx="margin" anchory="margin"/>
        </v:shape>
      </w:pict>
    </w:r>
  </w:p>
  <w:p w14:paraId="375CE9A4" w14:textId="77777777" w:rsidR="00E213CE" w:rsidRDefault="00E213CE"/>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21BBC" w14:textId="77777777" w:rsidR="00E213CE" w:rsidRDefault="00E213CE">
    <w:pPr>
      <w:pStyle w:val="Header"/>
    </w:pPr>
  </w:p>
  <w:p w14:paraId="0FCEC46E" w14:textId="77777777" w:rsidR="00E213CE" w:rsidRDefault="00E213CE"/>
  <w:p w14:paraId="0A526E3B" w14:textId="77777777" w:rsidR="00E213CE" w:rsidRDefault="00E213CE"/>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9E012" w14:textId="77777777" w:rsidR="00E213CE" w:rsidRDefault="00E213CE">
    <w:pPr>
      <w:pStyle w:val="Header"/>
    </w:pPr>
  </w:p>
  <w:p w14:paraId="77B5C9FC" w14:textId="77777777" w:rsidR="00E213CE" w:rsidRDefault="00E213CE"/>
  <w:p w14:paraId="1412B246" w14:textId="77777777" w:rsidR="00E213CE" w:rsidRDefault="00E213C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C"/>
    <w:multiLevelType w:val="hybridMultilevel"/>
    <w:tmpl w:val="EEA0001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7939D9"/>
    <w:multiLevelType w:val="multilevel"/>
    <w:tmpl w:val="11E00E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7980DCB"/>
    <w:multiLevelType w:val="hybridMultilevel"/>
    <w:tmpl w:val="FF2E17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9F384B"/>
    <w:multiLevelType w:val="hybridMultilevel"/>
    <w:tmpl w:val="CD7CC59E"/>
    <w:lvl w:ilvl="0" w:tplc="09765F1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193A3E"/>
    <w:multiLevelType w:val="hybridMultilevel"/>
    <w:tmpl w:val="40AC5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F760C0"/>
    <w:multiLevelType w:val="multilevel"/>
    <w:tmpl w:val="C93809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2D7D95"/>
    <w:multiLevelType w:val="hybridMultilevel"/>
    <w:tmpl w:val="40FA3CD6"/>
    <w:lvl w:ilvl="0" w:tplc="1DBAE696">
      <w:start w:val="1"/>
      <w:numFmt w:val="decimal"/>
      <w:lvlText w:val="%1."/>
      <w:lvlJc w:val="left"/>
      <w:pPr>
        <w:ind w:left="644" w:hanging="360"/>
      </w:pPr>
      <w:rPr>
        <w:b w:val="0"/>
        <w:bCs/>
        <w:strike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2F010AE"/>
    <w:multiLevelType w:val="hybridMultilevel"/>
    <w:tmpl w:val="48F8C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FC48A6"/>
    <w:multiLevelType w:val="hybridMultilevel"/>
    <w:tmpl w:val="AACCC5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64439A5"/>
    <w:multiLevelType w:val="hybridMultilevel"/>
    <w:tmpl w:val="47CCC6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740796C"/>
    <w:multiLevelType w:val="hybridMultilevel"/>
    <w:tmpl w:val="F7F40D22"/>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2"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ACA4421"/>
    <w:multiLevelType w:val="multilevel"/>
    <w:tmpl w:val="DFCE8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C49255A"/>
    <w:multiLevelType w:val="hybridMultilevel"/>
    <w:tmpl w:val="E850E076"/>
    <w:lvl w:ilvl="0" w:tplc="5AC22932">
      <w:numFmt w:val="bullet"/>
      <w:lvlText w:val=""/>
      <w:lvlJc w:val="left"/>
      <w:pPr>
        <w:ind w:left="1080" w:hanging="360"/>
      </w:pPr>
      <w:rPr>
        <w:rFonts w:ascii="Symbol" w:eastAsia="Palatino Linotype" w:hAnsi="Symbol" w:cs="Palatino Linotype"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FFF7518"/>
    <w:multiLevelType w:val="hybridMultilevel"/>
    <w:tmpl w:val="B348728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31764998"/>
    <w:multiLevelType w:val="hybridMultilevel"/>
    <w:tmpl w:val="01964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0F54B8"/>
    <w:multiLevelType w:val="hybridMultilevel"/>
    <w:tmpl w:val="E1F4C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D91E62"/>
    <w:multiLevelType w:val="multilevel"/>
    <w:tmpl w:val="8174C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45C55C61"/>
    <w:multiLevelType w:val="hybridMultilevel"/>
    <w:tmpl w:val="93AEDE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99105C"/>
    <w:multiLevelType w:val="hybridMultilevel"/>
    <w:tmpl w:val="9926BFE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3" w15:restartNumberingAfterBreak="0">
    <w:nsid w:val="46A26950"/>
    <w:multiLevelType w:val="hybridMultilevel"/>
    <w:tmpl w:val="8B9C8214"/>
    <w:lvl w:ilvl="0" w:tplc="F5E02960">
      <w:start w:val="1"/>
      <w:numFmt w:val="decimal"/>
      <w:lvlText w:val="%1."/>
      <w:lvlJc w:val="left"/>
      <w:pPr>
        <w:ind w:left="720" w:hanging="360"/>
      </w:pPr>
      <w:rPr>
        <w:rFonts w:ascii="Garamond" w:hAnsi="Garamond"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117327E"/>
    <w:multiLevelType w:val="multilevel"/>
    <w:tmpl w:val="97A2AC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36" w15:restartNumberingAfterBreak="0">
    <w:nsid w:val="5A6A4B69"/>
    <w:multiLevelType w:val="multilevel"/>
    <w:tmpl w:val="9AD44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28E336F"/>
    <w:multiLevelType w:val="hybridMultilevel"/>
    <w:tmpl w:val="D8D293A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69C876C4"/>
    <w:multiLevelType w:val="hybridMultilevel"/>
    <w:tmpl w:val="31503516"/>
    <w:lvl w:ilvl="0" w:tplc="306E79D4">
      <w:numFmt w:val="bullet"/>
      <w:lvlText w:val="-"/>
      <w:lvlJc w:val="left"/>
      <w:pPr>
        <w:ind w:left="1080" w:hanging="360"/>
      </w:pPr>
      <w:rPr>
        <w:rFonts w:ascii="Palatino Linotype" w:eastAsiaTheme="minorHAnsi" w:hAnsi="Palatino Linotype"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1436DB5"/>
    <w:multiLevelType w:val="hybridMultilevel"/>
    <w:tmpl w:val="51523B6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7"/>
  </w:num>
  <w:num w:numId="2">
    <w:abstractNumId w:val="38"/>
  </w:num>
  <w:num w:numId="3">
    <w:abstractNumId w:val="8"/>
  </w:num>
  <w:num w:numId="4">
    <w:abstractNumId w:val="17"/>
  </w:num>
  <w:num w:numId="5">
    <w:abstractNumId w:val="3"/>
  </w:num>
  <w:num w:numId="6">
    <w:abstractNumId w:val="1"/>
  </w:num>
  <w:num w:numId="7">
    <w:abstractNumId w:val="2"/>
  </w:num>
  <w:num w:numId="8">
    <w:abstractNumId w:val="0"/>
  </w:num>
  <w:num w:numId="9">
    <w:abstractNumId w:val="13"/>
  </w:num>
  <w:num w:numId="10">
    <w:abstractNumId w:val="14"/>
  </w:num>
  <w:num w:numId="11">
    <w:abstractNumId w:val="28"/>
  </w:num>
  <w:num w:numId="12">
    <w:abstractNumId w:val="15"/>
  </w:num>
  <w:num w:numId="13">
    <w:abstractNumId w:val="37"/>
  </w:num>
  <w:num w:numId="14">
    <w:abstractNumId w:val="40"/>
  </w:num>
  <w:num w:numId="15">
    <w:abstractNumId w:val="16"/>
  </w:num>
  <w:num w:numId="16">
    <w:abstractNumId w:val="39"/>
  </w:num>
  <w:num w:numId="17">
    <w:abstractNumId w:val="21"/>
  </w:num>
  <w:num w:numId="18">
    <w:abstractNumId w:val="30"/>
  </w:num>
  <w:num w:numId="19">
    <w:abstractNumId w:val="5"/>
  </w:num>
  <w:num w:numId="20">
    <w:abstractNumId w:val="34"/>
  </w:num>
  <w:num w:numId="21">
    <w:abstractNumId w:val="36"/>
  </w:num>
  <w:num w:numId="22">
    <w:abstractNumId w:val="23"/>
  </w:num>
  <w:num w:numId="23">
    <w:abstractNumId w:val="12"/>
  </w:num>
  <w:num w:numId="24">
    <w:abstractNumId w:val="41"/>
  </w:num>
  <w:num w:numId="25">
    <w:abstractNumId w:val="4"/>
  </w:num>
  <w:num w:numId="26">
    <w:abstractNumId w:val="18"/>
  </w:num>
  <w:num w:numId="27">
    <w:abstractNumId w:val="19"/>
  </w:num>
  <w:num w:numId="28">
    <w:abstractNumId w:val="10"/>
  </w:num>
  <w:num w:numId="29">
    <w:abstractNumId w:val="25"/>
  </w:num>
  <w:num w:numId="30">
    <w:abstractNumId w:val="33"/>
  </w:num>
  <w:num w:numId="31">
    <w:abstractNumId w:val="26"/>
  </w:num>
  <w:num w:numId="32">
    <w:abstractNumId w:val="27"/>
  </w:num>
  <w:num w:numId="33">
    <w:abstractNumId w:val="22"/>
  </w:num>
  <w:num w:numId="34">
    <w:abstractNumId w:val="35"/>
  </w:num>
  <w:num w:numId="35">
    <w:abstractNumId w:val="29"/>
  </w:num>
  <w:num w:numId="36">
    <w:abstractNumId w:val="11"/>
  </w:num>
  <w:num w:numId="37">
    <w:abstractNumId w:val="24"/>
  </w:num>
  <w:num w:numId="38">
    <w:abstractNumId w:val="9"/>
  </w:num>
  <w:num w:numId="39">
    <w:abstractNumId w:val="20"/>
  </w:num>
  <w:num w:numId="40">
    <w:abstractNumId w:val="32"/>
  </w:num>
  <w:num w:numId="41">
    <w:abstractNumId w:val="6"/>
  </w:num>
  <w:num w:numId="42">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56EC"/>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1A2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09EA"/>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021B"/>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51C"/>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093A"/>
    <w:rsid w:val="001D0BCA"/>
    <w:rsid w:val="001D1729"/>
    <w:rsid w:val="001D2CA3"/>
    <w:rsid w:val="001D4399"/>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4741"/>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67E"/>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4E34"/>
    <w:rsid w:val="002852AB"/>
    <w:rsid w:val="002853A4"/>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136"/>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D724A"/>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984"/>
    <w:rsid w:val="002F2F21"/>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6D2"/>
    <w:rsid w:val="003B1DAD"/>
    <w:rsid w:val="003B1F08"/>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3C28"/>
    <w:rsid w:val="003D3F72"/>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4581"/>
    <w:rsid w:val="003F537A"/>
    <w:rsid w:val="003F5475"/>
    <w:rsid w:val="003F560E"/>
    <w:rsid w:val="003F5A24"/>
    <w:rsid w:val="003F5BB2"/>
    <w:rsid w:val="003F5EDA"/>
    <w:rsid w:val="003F62E0"/>
    <w:rsid w:val="003F643D"/>
    <w:rsid w:val="003F653C"/>
    <w:rsid w:val="003F6B61"/>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638C"/>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10FC"/>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508B"/>
    <w:rsid w:val="00515FF5"/>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E3D"/>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091"/>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02C"/>
    <w:rsid w:val="00606689"/>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0831"/>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206E"/>
    <w:rsid w:val="006639C3"/>
    <w:rsid w:val="00665D17"/>
    <w:rsid w:val="0066762D"/>
    <w:rsid w:val="006677F4"/>
    <w:rsid w:val="0067060D"/>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3267"/>
    <w:rsid w:val="00713E4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2EA"/>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12B4"/>
    <w:rsid w:val="0079221D"/>
    <w:rsid w:val="00795793"/>
    <w:rsid w:val="00795D12"/>
    <w:rsid w:val="007978DE"/>
    <w:rsid w:val="007A1490"/>
    <w:rsid w:val="007A291E"/>
    <w:rsid w:val="007A54BA"/>
    <w:rsid w:val="007A583C"/>
    <w:rsid w:val="007A5939"/>
    <w:rsid w:val="007A5C7F"/>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581"/>
    <w:rsid w:val="007C27EF"/>
    <w:rsid w:val="007C2931"/>
    <w:rsid w:val="007C2E4F"/>
    <w:rsid w:val="007C32C5"/>
    <w:rsid w:val="007C372B"/>
    <w:rsid w:val="007C52EA"/>
    <w:rsid w:val="007C5387"/>
    <w:rsid w:val="007C67D6"/>
    <w:rsid w:val="007C6D7E"/>
    <w:rsid w:val="007C7A52"/>
    <w:rsid w:val="007C7C20"/>
    <w:rsid w:val="007D0F24"/>
    <w:rsid w:val="007D1402"/>
    <w:rsid w:val="007D2ED4"/>
    <w:rsid w:val="007D32EC"/>
    <w:rsid w:val="007D475A"/>
    <w:rsid w:val="007D4F15"/>
    <w:rsid w:val="007D5106"/>
    <w:rsid w:val="007D5625"/>
    <w:rsid w:val="007D6375"/>
    <w:rsid w:val="007D685F"/>
    <w:rsid w:val="007D7450"/>
    <w:rsid w:val="007D7570"/>
    <w:rsid w:val="007D7650"/>
    <w:rsid w:val="007E14FB"/>
    <w:rsid w:val="007E1A4F"/>
    <w:rsid w:val="007E1E9F"/>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3E9B"/>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4DA"/>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681C"/>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514"/>
    <w:rsid w:val="00992888"/>
    <w:rsid w:val="00992AA9"/>
    <w:rsid w:val="009947F1"/>
    <w:rsid w:val="009949CE"/>
    <w:rsid w:val="00994F03"/>
    <w:rsid w:val="009972B4"/>
    <w:rsid w:val="009A01F1"/>
    <w:rsid w:val="009A045C"/>
    <w:rsid w:val="009A081F"/>
    <w:rsid w:val="009A0EB3"/>
    <w:rsid w:val="009A0F19"/>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C7CB5"/>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AA5"/>
    <w:rsid w:val="00A072C1"/>
    <w:rsid w:val="00A07B14"/>
    <w:rsid w:val="00A113B3"/>
    <w:rsid w:val="00A11694"/>
    <w:rsid w:val="00A12A17"/>
    <w:rsid w:val="00A12F12"/>
    <w:rsid w:val="00A134B2"/>
    <w:rsid w:val="00A139E6"/>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244F"/>
    <w:rsid w:val="00AC392D"/>
    <w:rsid w:val="00AC3C2E"/>
    <w:rsid w:val="00AC488B"/>
    <w:rsid w:val="00AC4CC9"/>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698"/>
    <w:rsid w:val="00B8272E"/>
    <w:rsid w:val="00B833BF"/>
    <w:rsid w:val="00B84302"/>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396C"/>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2613"/>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0C2F"/>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F98"/>
    <w:rsid w:val="00CE4665"/>
    <w:rsid w:val="00CE4A4A"/>
    <w:rsid w:val="00CE4B31"/>
    <w:rsid w:val="00CE57A6"/>
    <w:rsid w:val="00CE5886"/>
    <w:rsid w:val="00CE67FD"/>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3F7C"/>
    <w:rsid w:val="00D34976"/>
    <w:rsid w:val="00D35EDA"/>
    <w:rsid w:val="00D36D16"/>
    <w:rsid w:val="00D379DA"/>
    <w:rsid w:val="00D41955"/>
    <w:rsid w:val="00D41CEF"/>
    <w:rsid w:val="00D42A9B"/>
    <w:rsid w:val="00D436B0"/>
    <w:rsid w:val="00D43EC5"/>
    <w:rsid w:val="00D44378"/>
    <w:rsid w:val="00D44C7A"/>
    <w:rsid w:val="00D44E9F"/>
    <w:rsid w:val="00D46528"/>
    <w:rsid w:val="00D47ADA"/>
    <w:rsid w:val="00D47EDA"/>
    <w:rsid w:val="00D507E7"/>
    <w:rsid w:val="00D516BE"/>
    <w:rsid w:val="00D521CB"/>
    <w:rsid w:val="00D52596"/>
    <w:rsid w:val="00D53811"/>
    <w:rsid w:val="00D53DAE"/>
    <w:rsid w:val="00D543C1"/>
    <w:rsid w:val="00D54667"/>
    <w:rsid w:val="00D5516F"/>
    <w:rsid w:val="00D554B6"/>
    <w:rsid w:val="00D564A7"/>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0A78"/>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2C51"/>
    <w:rsid w:val="00DF4282"/>
    <w:rsid w:val="00DF4DB1"/>
    <w:rsid w:val="00DF4F75"/>
    <w:rsid w:val="00DF61AF"/>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3CE"/>
    <w:rsid w:val="00E21C48"/>
    <w:rsid w:val="00E23764"/>
    <w:rsid w:val="00E25497"/>
    <w:rsid w:val="00E25BD9"/>
    <w:rsid w:val="00E26147"/>
    <w:rsid w:val="00E263F0"/>
    <w:rsid w:val="00E2730C"/>
    <w:rsid w:val="00E3101C"/>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4C7F"/>
    <w:rsid w:val="00E75332"/>
    <w:rsid w:val="00E7624D"/>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744A"/>
    <w:rsid w:val="00E974CF"/>
    <w:rsid w:val="00E97AE2"/>
    <w:rsid w:val="00EA169B"/>
    <w:rsid w:val="00EA2012"/>
    <w:rsid w:val="00EA26A1"/>
    <w:rsid w:val="00EA32C3"/>
    <w:rsid w:val="00EA4711"/>
    <w:rsid w:val="00EA538F"/>
    <w:rsid w:val="00EA5938"/>
    <w:rsid w:val="00EA5A39"/>
    <w:rsid w:val="00EA5B35"/>
    <w:rsid w:val="00EA5BCF"/>
    <w:rsid w:val="00EA5E9F"/>
    <w:rsid w:val="00EA65EF"/>
    <w:rsid w:val="00EA6A83"/>
    <w:rsid w:val="00EA7E15"/>
    <w:rsid w:val="00EB1612"/>
    <w:rsid w:val="00EB1B35"/>
    <w:rsid w:val="00EB249E"/>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25AD"/>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3C2B"/>
    <w:rsid w:val="00F3519E"/>
    <w:rsid w:val="00F359B1"/>
    <w:rsid w:val="00F368EA"/>
    <w:rsid w:val="00F378C2"/>
    <w:rsid w:val="00F37BB4"/>
    <w:rsid w:val="00F40C36"/>
    <w:rsid w:val="00F418DA"/>
    <w:rsid w:val="00F42930"/>
    <w:rsid w:val="00F42B5D"/>
    <w:rsid w:val="00F42F9E"/>
    <w:rsid w:val="00F437A5"/>
    <w:rsid w:val="00F43DB2"/>
    <w:rsid w:val="00F45282"/>
    <w:rsid w:val="00F45A36"/>
    <w:rsid w:val="00F461C7"/>
    <w:rsid w:val="00F4639C"/>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4546"/>
    <w:rsid w:val="00FA4878"/>
    <w:rsid w:val="00FA504E"/>
    <w:rsid w:val="00FA5150"/>
    <w:rsid w:val="00FA6E64"/>
    <w:rsid w:val="00FB2E1D"/>
    <w:rsid w:val="00FB365C"/>
    <w:rsid w:val="00FB4843"/>
    <w:rsid w:val="00FB5B4E"/>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721E"/>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0656"/>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49D13F0C"/>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settings" Target="settings.xml"/><Relationship Id="rId18" Type="http://schemas.openxmlformats.org/officeDocument/2006/relationships/hyperlink" Target="mailto:bulletin@sebi.gov.in" TargetMode="External"/><Relationship Id="rId26" Type="http://schemas.openxmlformats.org/officeDocument/2006/relationships/chart" Target="charts/chart8.xml"/><Relationship Id="rId39" Type="http://schemas.openxmlformats.org/officeDocument/2006/relationships/image" Target="media/image4.png"/><Relationship Id="rId21" Type="http://schemas.openxmlformats.org/officeDocument/2006/relationships/chart" Target="charts/chart3.xml"/><Relationship Id="rId34" Type="http://schemas.openxmlformats.org/officeDocument/2006/relationships/chart" Target="charts/chart16.xml"/><Relationship Id="rId42" Type="http://schemas.openxmlformats.org/officeDocument/2006/relationships/header" Target="header1.xm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endnotes" Target="endnotes.xml"/><Relationship Id="rId29" Type="http://schemas.openxmlformats.org/officeDocument/2006/relationships/chart" Target="charts/chart11.xml"/><Relationship Id="rId11" Type="http://schemas.openxmlformats.org/officeDocument/2006/relationships/numbering" Target="numbering.xml"/><Relationship Id="rId24" Type="http://schemas.openxmlformats.org/officeDocument/2006/relationships/chart" Target="charts/chart6.xml"/><Relationship Id="rId32" Type="http://schemas.openxmlformats.org/officeDocument/2006/relationships/chart" Target="charts/chart14.xm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image" Target="media/image1.png"/><Relationship Id="rId49" Type="http://schemas.openxmlformats.org/officeDocument/2006/relationships/footer" Target="footer3.xml"/><Relationship Id="rId10" Type="http://schemas.openxmlformats.org/officeDocument/2006/relationships/customXml" Target="../customXml/item10.xml"/><Relationship Id="rId19" Type="http://schemas.openxmlformats.org/officeDocument/2006/relationships/chart" Target="charts/chart1.xml"/><Relationship Id="rId31" Type="http://schemas.openxmlformats.org/officeDocument/2006/relationships/chart" Target="charts/chart13.xml"/><Relationship Id="rId44"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chart" Target="charts/chart12.xml"/><Relationship Id="rId35" Type="http://schemas.openxmlformats.org/officeDocument/2006/relationships/chart" Target="charts/chart17.xml"/><Relationship Id="rId43" Type="http://schemas.openxmlformats.org/officeDocument/2006/relationships/header" Target="header2.xml"/><Relationship Id="rId48" Type="http://schemas.openxmlformats.org/officeDocument/2006/relationships/header" Target="header4.xml"/><Relationship Id="rId8" Type="http://schemas.openxmlformats.org/officeDocument/2006/relationships/customXml" Target="../customXml/item8.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styles" Target="styles.xml"/><Relationship Id="rId17" Type="http://schemas.openxmlformats.org/officeDocument/2006/relationships/hyperlink" Target="http://www.sebi.gov.in" TargetMode="External"/><Relationship Id="rId25" Type="http://schemas.openxmlformats.org/officeDocument/2006/relationships/chart" Target="charts/chart7.xml"/><Relationship Id="rId33" Type="http://schemas.openxmlformats.org/officeDocument/2006/relationships/chart" Target="charts/chart15.xml"/><Relationship Id="rId38" Type="http://schemas.openxmlformats.org/officeDocument/2006/relationships/image" Target="media/image3.png"/><Relationship Id="rId46" Type="http://schemas.openxmlformats.org/officeDocument/2006/relationships/hyperlink" Target="https://www.iosco.org/news/pdf/IOSCONEWS608.pdf" TargetMode="External"/><Relationship Id="rId20" Type="http://schemas.openxmlformats.org/officeDocument/2006/relationships/chart" Target="charts/chart2.xml"/><Relationship Id="rId41"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2015\Desktop\Bulletin\July%2021\CMR%20June%20202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2015\Desktop\Bulletin\July%2021\CMR%20June%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2015\Desktop\Bulletin\July%2021\CMR%20June%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2015\Desktop\Bulletin\July%2021\CMR%20June%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2015\Desktop\Bulletin\July%2021\CMR%20June%202021.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2015\Desktop\Bulletin\July%2021\CMR%20June%202021.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file:///C:\Users\2015\Desktop\Bulletin\July%2021\CMR%20June%202021.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2015\Desktop\Bulletin\July%2021\CMR%20June%202021.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015\Desktop\Bulletin\July%2021\CMR%20June%202021.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015\Desktop\Bulletin\July%2021\CMR%20June%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2015\Desktop\Bulletin\July%2021\CMR%20June%202021.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2015\Desktop\Bulletin\July%2021\CMR%20June%202021.xlsx" TargetMode="External"/></Relationships>
</file>

<file path=word/charts/_rels/chart13.xml.rels><?xml version="1.0" encoding="UTF-8" standalone="yes"?>
<Relationships xmlns="http://schemas.openxmlformats.org/package/2006/relationships"><Relationship Id="rId3" Type="http://schemas.openxmlformats.org/officeDocument/2006/relationships/oleObject" Target="file:///C:\Users\1649\AppData\Local\Microsoft\Windows\INetCache\Content.Outlook\K1KI9XUV\CMR%20June%202021.xlsx" TargetMode="External"/><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2002\Desktop\CRD%20Bulletin\202107\Graphs%20%20data%20for%20bulletin%20June,%20%202021%20_%20Rekha%20Maam.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2002\Desktop\CRD%20Bulletin\202107\Graphs%20%20data%20for%20bulletin%20June,%20%202021%20_%20Rekha%20Maam.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2002\Desktop\CRD%20Bulletin\202107\Graphs%20%20data%20for%20bulletin%20June,%20%202021%20_%20Rekha%20Maam.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2002\Desktop\CRD%20Bulletin\202107\Graphs%20%20data%20for%20bulletin%20June,%20%202021%20_%20Rekha%20Maam.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2"/>
          <c:order val="0"/>
          <c:tx>
            <c:strRef>
              <c:f>'F1'!$D$1</c:f>
              <c:strCache>
                <c:ptCount val="1"/>
                <c:pt idx="0">
                  <c:v>Nifty </c:v>
                </c:pt>
              </c:strCache>
            </c:strRef>
          </c:tx>
          <c:spPr>
            <a:ln w="28575" cap="rnd">
              <a:solidFill>
                <a:srgbClr val="00B050"/>
              </a:solidFill>
              <a:round/>
            </a:ln>
            <a:effectLst/>
          </c:spPr>
          <c:marker>
            <c:symbol val="none"/>
          </c:marker>
          <c:cat>
            <c:numRef>
              <c:f>'F1'!$A$2:$A$23</c:f>
              <c:numCache>
                <c:formatCode>[$-409]d\-mmm\-yy;@</c:formatCode>
                <c:ptCount val="22"/>
                <c:pt idx="0">
                  <c:v>44348</c:v>
                </c:pt>
                <c:pt idx="1">
                  <c:v>44349</c:v>
                </c:pt>
                <c:pt idx="2">
                  <c:v>44350</c:v>
                </c:pt>
                <c:pt idx="3">
                  <c:v>44351</c:v>
                </c:pt>
                <c:pt idx="4">
                  <c:v>44354</c:v>
                </c:pt>
                <c:pt idx="5">
                  <c:v>44355</c:v>
                </c:pt>
                <c:pt idx="6">
                  <c:v>44356</c:v>
                </c:pt>
                <c:pt idx="7">
                  <c:v>44357</c:v>
                </c:pt>
                <c:pt idx="8">
                  <c:v>44358</c:v>
                </c:pt>
                <c:pt idx="9">
                  <c:v>44361</c:v>
                </c:pt>
                <c:pt idx="10">
                  <c:v>44362</c:v>
                </c:pt>
                <c:pt idx="11">
                  <c:v>44363</c:v>
                </c:pt>
                <c:pt idx="12">
                  <c:v>44364</c:v>
                </c:pt>
                <c:pt idx="13">
                  <c:v>44365</c:v>
                </c:pt>
                <c:pt idx="14">
                  <c:v>44368</c:v>
                </c:pt>
                <c:pt idx="15">
                  <c:v>44369</c:v>
                </c:pt>
                <c:pt idx="16">
                  <c:v>44370</c:v>
                </c:pt>
                <c:pt idx="17">
                  <c:v>44371</c:v>
                </c:pt>
                <c:pt idx="18">
                  <c:v>44372</c:v>
                </c:pt>
                <c:pt idx="19">
                  <c:v>44375</c:v>
                </c:pt>
                <c:pt idx="20">
                  <c:v>44376</c:v>
                </c:pt>
                <c:pt idx="21" formatCode="[$-409]d\-mmm\-yy">
                  <c:v>44377</c:v>
                </c:pt>
              </c:numCache>
            </c:numRef>
          </c:cat>
          <c:val>
            <c:numRef>
              <c:f>'F1'!$D$2:$D$23</c:f>
              <c:numCache>
                <c:formatCode>0.0</c:formatCode>
                <c:ptCount val="22"/>
                <c:pt idx="0">
                  <c:v>100</c:v>
                </c:pt>
                <c:pt idx="1">
                  <c:v>100.00866782023583</c:v>
                </c:pt>
                <c:pt idx="2">
                  <c:v>100.74158017573203</c:v>
                </c:pt>
                <c:pt idx="3">
                  <c:v>100.6125259633319</c:v>
                </c:pt>
                <c:pt idx="4">
                  <c:v>101.13516342051446</c:v>
                </c:pt>
                <c:pt idx="5">
                  <c:v>101.06100540294126</c:v>
                </c:pt>
                <c:pt idx="6">
                  <c:v>100.38844675871675</c:v>
                </c:pt>
                <c:pt idx="7">
                  <c:v>101.04591697512333</c:v>
                </c:pt>
                <c:pt idx="8">
                  <c:v>101.44142640218041</c:v>
                </c:pt>
                <c:pt idx="9">
                  <c:v>101.5216839969566</c:v>
                </c:pt>
                <c:pt idx="10">
                  <c:v>101.89022687216887</c:v>
                </c:pt>
                <c:pt idx="11">
                  <c:v>101.23725108106976</c:v>
                </c:pt>
                <c:pt idx="12">
                  <c:v>100.74832181369318</c:v>
                </c:pt>
                <c:pt idx="13">
                  <c:v>100.69663592265732</c:v>
                </c:pt>
                <c:pt idx="14">
                  <c:v>101.10209729146665</c:v>
                </c:pt>
                <c:pt idx="15">
                  <c:v>101.27063824049665</c:v>
                </c:pt>
                <c:pt idx="16">
                  <c:v>100.71975010995287</c:v>
                </c:pt>
                <c:pt idx="17">
                  <c:v>101.38428299469975</c:v>
                </c:pt>
                <c:pt idx="18">
                  <c:v>101.83308346468822</c:v>
                </c:pt>
                <c:pt idx="19">
                  <c:v>101.53998272856556</c:v>
                </c:pt>
                <c:pt idx="20">
                  <c:v>101.11461747625174</c:v>
                </c:pt>
                <c:pt idx="21">
                  <c:v>100.94158210191426</c:v>
                </c:pt>
              </c:numCache>
            </c:numRef>
          </c:val>
          <c:smooth val="0"/>
          <c:extLst>
            <c:ext xmlns:c16="http://schemas.microsoft.com/office/drawing/2014/chart" uri="{C3380CC4-5D6E-409C-BE32-E72D297353CC}">
              <c16:uniqueId val="{00000000-5E6E-4F2E-A2AF-5D79C38991E5}"/>
            </c:ext>
          </c:extLst>
        </c:ser>
        <c:ser>
          <c:idx val="3"/>
          <c:order val="1"/>
          <c:tx>
            <c:strRef>
              <c:f>'F1'!$E$1</c:f>
              <c:strCache>
                <c:ptCount val="1"/>
                <c:pt idx="0">
                  <c:v>Sensex </c:v>
                </c:pt>
              </c:strCache>
            </c:strRef>
          </c:tx>
          <c:spPr>
            <a:ln w="28575" cap="rnd">
              <a:solidFill>
                <a:srgbClr val="FF0000"/>
              </a:solidFill>
              <a:round/>
            </a:ln>
            <a:effectLst/>
          </c:spPr>
          <c:marker>
            <c:symbol val="none"/>
          </c:marker>
          <c:cat>
            <c:numRef>
              <c:f>'F1'!$A$2:$A$23</c:f>
              <c:numCache>
                <c:formatCode>[$-409]d\-mmm\-yy;@</c:formatCode>
                <c:ptCount val="22"/>
                <c:pt idx="0">
                  <c:v>44348</c:v>
                </c:pt>
                <c:pt idx="1">
                  <c:v>44349</c:v>
                </c:pt>
                <c:pt idx="2">
                  <c:v>44350</c:v>
                </c:pt>
                <c:pt idx="3">
                  <c:v>44351</c:v>
                </c:pt>
                <c:pt idx="4">
                  <c:v>44354</c:v>
                </c:pt>
                <c:pt idx="5">
                  <c:v>44355</c:v>
                </c:pt>
                <c:pt idx="6">
                  <c:v>44356</c:v>
                </c:pt>
                <c:pt idx="7">
                  <c:v>44357</c:v>
                </c:pt>
                <c:pt idx="8">
                  <c:v>44358</c:v>
                </c:pt>
                <c:pt idx="9">
                  <c:v>44361</c:v>
                </c:pt>
                <c:pt idx="10">
                  <c:v>44362</c:v>
                </c:pt>
                <c:pt idx="11">
                  <c:v>44363</c:v>
                </c:pt>
                <c:pt idx="12">
                  <c:v>44364</c:v>
                </c:pt>
                <c:pt idx="13">
                  <c:v>44365</c:v>
                </c:pt>
                <c:pt idx="14">
                  <c:v>44368</c:v>
                </c:pt>
                <c:pt idx="15">
                  <c:v>44369</c:v>
                </c:pt>
                <c:pt idx="16">
                  <c:v>44370</c:v>
                </c:pt>
                <c:pt idx="17">
                  <c:v>44371</c:v>
                </c:pt>
                <c:pt idx="18">
                  <c:v>44372</c:v>
                </c:pt>
                <c:pt idx="19">
                  <c:v>44375</c:v>
                </c:pt>
                <c:pt idx="20">
                  <c:v>44376</c:v>
                </c:pt>
                <c:pt idx="21" formatCode="[$-409]d\-mmm\-yy">
                  <c:v>44377</c:v>
                </c:pt>
              </c:numCache>
            </c:numRef>
          </c:cat>
          <c:val>
            <c:numRef>
              <c:f>'F1'!$E$2:$E$23</c:f>
              <c:numCache>
                <c:formatCode>0.0</c:formatCode>
                <c:ptCount val="22"/>
                <c:pt idx="0" formatCode="0">
                  <c:v>100</c:v>
                </c:pt>
                <c:pt idx="1">
                  <c:v>99.835563305431734</c:v>
                </c:pt>
                <c:pt idx="2">
                  <c:v>100.5729290218828</c:v>
                </c:pt>
                <c:pt idx="3">
                  <c:v>100.31803289041972</c:v>
                </c:pt>
                <c:pt idx="4">
                  <c:v>100.75792993071325</c:v>
                </c:pt>
                <c:pt idx="5">
                  <c:v>100.65599458398673</c:v>
                </c:pt>
                <c:pt idx="6">
                  <c:v>100.01301630041314</c:v>
                </c:pt>
                <c:pt idx="7">
                  <c:v>100.70393924083392</c:v>
                </c:pt>
                <c:pt idx="8">
                  <c:v>101.03953258388198</c:v>
                </c:pt>
                <c:pt idx="9">
                  <c:v>101.187352315053</c:v>
                </c:pt>
                <c:pt idx="10">
                  <c:v>101.61388646705261</c:v>
                </c:pt>
                <c:pt idx="11">
                  <c:v>101.09194437341534</c:v>
                </c:pt>
                <c:pt idx="12">
                  <c:v>100.74795590169845</c:v>
                </c:pt>
                <c:pt idx="13">
                  <c:v>100.78862221304836</c:v>
                </c:pt>
                <c:pt idx="14">
                  <c:v>101.23150376009343</c:v>
                </c:pt>
                <c:pt idx="15">
                  <c:v>101.25894196732527</c:v>
                </c:pt>
                <c:pt idx="16">
                  <c:v>100.71474122978627</c:v>
                </c:pt>
                <c:pt idx="17">
                  <c:v>101.47130406385848</c:v>
                </c:pt>
                <c:pt idx="18">
                  <c:v>101.90654142264319</c:v>
                </c:pt>
                <c:pt idx="19">
                  <c:v>101.54175767807691</c:v>
                </c:pt>
                <c:pt idx="20">
                  <c:v>101.18375165206896</c:v>
                </c:pt>
                <c:pt idx="21">
                  <c:v>101.05484021528504</c:v>
                </c:pt>
              </c:numCache>
            </c:numRef>
          </c:val>
          <c:smooth val="0"/>
          <c:extLst>
            <c:ext xmlns:c16="http://schemas.microsoft.com/office/drawing/2014/chart" uri="{C3380CC4-5D6E-409C-BE32-E72D297353CC}">
              <c16:uniqueId val="{00000001-5E6E-4F2E-A2AF-5D79C38991E5}"/>
            </c:ext>
          </c:extLst>
        </c:ser>
        <c:dLbls>
          <c:showLegendKey val="0"/>
          <c:showVal val="0"/>
          <c:showCatName val="0"/>
          <c:showSerName val="0"/>
          <c:showPercent val="0"/>
          <c:showBubbleSize val="0"/>
        </c:dLbls>
        <c:smooth val="0"/>
        <c:axId val="756621664"/>
        <c:axId val="756622056"/>
      </c:lineChart>
      <c:dateAx>
        <c:axId val="756621664"/>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56622056"/>
        <c:crosses val="autoZero"/>
        <c:auto val="1"/>
        <c:lblOffset val="100"/>
        <c:baseTimeUnit val="days"/>
        <c:majorUnit val="1"/>
        <c:majorTimeUnit val="days"/>
        <c:minorUnit val="1"/>
        <c:minorTimeUnit val="days"/>
      </c:dateAx>
      <c:valAx>
        <c:axId val="756622056"/>
        <c:scaling>
          <c:orientation val="minMax"/>
          <c:max val="107"/>
          <c:min val="96"/>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56621664"/>
        <c:crosses val="autoZero"/>
        <c:crossBetween val="between"/>
        <c:majorUnit val="2"/>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'F2&amp;F3'!$D$4</c:f>
              <c:strCache>
                <c:ptCount val="1"/>
                <c:pt idx="0">
                  <c:v>ADT at NSE (LHS)</c:v>
                </c:pt>
              </c:strCache>
            </c:strRef>
          </c:tx>
          <c:spPr>
            <a:solidFill>
              <a:srgbClr val="00B050"/>
            </a:solidFill>
            <a:ln>
              <a:noFill/>
            </a:ln>
            <a:effectLst/>
          </c:spPr>
          <c:invertIfNegative val="0"/>
          <c:cat>
            <c:numRef>
              <c:f>'F2&amp;F3'!$A$5:$A$16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'F2&amp;F3'!$D$5:$D$16</c:f>
              <c:numCache>
                <c:formatCode>[&gt;=10000000]#\,##\,##\,##0;[&gt;=100000]#\,##\,##0;##,##0</c:formatCode>
                <c:ptCount val="12"/>
                <c:pt idx="0">
                  <c:v>58631.347159999998</c:v>
                </c:pt>
                <c:pt idx="1">
                  <c:v>61074.12</c:v>
                </c:pt>
                <c:pt idx="2">
                  <c:v>55605.851524328958</c:v>
                </c:pt>
                <c:pt idx="3">
                  <c:v>52327.798311617102</c:v>
                </c:pt>
                <c:pt idx="4">
                  <c:v>66863.595756470837</c:v>
                </c:pt>
                <c:pt idx="5">
                  <c:v>62479.615040464567</c:v>
                </c:pt>
                <c:pt idx="6">
                  <c:v>72472.244728850172</c:v>
                </c:pt>
                <c:pt idx="7" formatCode="#,##0;\-#,##0;0">
                  <c:v>81373.180989999993</c:v>
                </c:pt>
                <c:pt idx="8" formatCode="#,##0;\-#,##0;0">
                  <c:v>66616.515109999993</c:v>
                </c:pt>
                <c:pt idx="9" formatCode="#,##0;\-#,##0;0">
                  <c:v>70036.149999999994</c:v>
                </c:pt>
                <c:pt idx="10" formatCode="#,##0;\-#,##0;0">
                  <c:v>78395.767018697938</c:v>
                </c:pt>
                <c:pt idx="11" formatCode="#,##0;\-#,##0;0">
                  <c:v>70667.895154310216</c:v>
                </c:pt>
              </c:numCache>
            </c:numRef>
          </c:val>
          <c:extLst>
            <c:ext xmlns:c16="http://schemas.microsoft.com/office/drawing/2014/chart" uri="{C3380CC4-5D6E-409C-BE32-E72D297353CC}">
              <c16:uniqueId val="{00000000-AD67-4396-A323-73F15E98D87D}"/>
            </c:ext>
          </c:extLst>
        </c:ser>
        <c:dLbls>
          <c:showLegendKey val="0"/>
          <c:showVal val="0"/>
          <c:showCatName val="0"/>
          <c:showSerName val="0"/>
          <c:showPercent val="0"/>
          <c:showBubbleSize val="0"/>
        </c:dLbls>
        <c:gapWidth val="219"/>
        <c:overlap val="-27"/>
        <c:axId val="756619312"/>
        <c:axId val="660152512"/>
      </c:barChart>
      <c:lineChart>
        <c:grouping val="standard"/>
        <c:varyColors val="0"/>
        <c:ser>
          <c:idx val="3"/>
          <c:order val="1"/>
          <c:tx>
            <c:strRef>
              <c:f>'F2&amp;F3'!$E$4</c:f>
              <c:strCache>
                <c:ptCount val="1"/>
                <c:pt idx="0">
                  <c:v>ADV of Nifty 50 (RHS)</c:v>
                </c:pt>
              </c:strCache>
            </c:strRef>
          </c:tx>
          <c:spPr>
            <a:ln w="28575" cap="rnd">
              <a:solidFill>
                <a:srgbClr val="FF0000"/>
              </a:solidFill>
              <a:round/>
            </a:ln>
            <a:effectLst/>
          </c:spPr>
          <c:marker>
            <c:symbol val="none"/>
          </c:marker>
          <c:cat>
            <c:numRef>
              <c:f>'F2&amp;F3'!$A$5:$A$16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'F2&amp;F3'!$E$5:$E$16</c:f>
              <c:numCache>
                <c:formatCode>[&gt;=10000000]#\,##\,##\,##0;[&gt;=100000]#\,##\,##0;##,##0</c:formatCode>
                <c:ptCount val="12"/>
                <c:pt idx="0" formatCode="#,##0">
                  <c:v>10897.695652173914</c:v>
                </c:pt>
                <c:pt idx="1">
                  <c:v>11318.57</c:v>
                </c:pt>
                <c:pt idx="2">
                  <c:v>11336.702272727271</c:v>
                </c:pt>
                <c:pt idx="3">
                  <c:v>11789.709523809524</c:v>
                </c:pt>
                <c:pt idx="4">
                  <c:v>12602.3225</c:v>
                </c:pt>
                <c:pt idx="5">
                  <c:v>13550.44090909091</c:v>
                </c:pt>
                <c:pt idx="6">
                  <c:v>14284.602499999999</c:v>
                </c:pt>
                <c:pt idx="7">
                  <c:v>14956.842499999999</c:v>
                </c:pt>
                <c:pt idx="8">
                  <c:v>14835.099999999999</c:v>
                </c:pt>
                <c:pt idx="9">
                  <c:v>14613.852631578948</c:v>
                </c:pt>
                <c:pt idx="10">
                  <c:v>15121.611538461539</c:v>
                </c:pt>
                <c:pt idx="11">
                  <c:v>15733.677272727275</c:v>
                </c:pt>
              </c:numCache>
            </c:numRef>
          </c:val>
          <c:smooth val="0"/>
          <c:extLst>
            <c:ext xmlns:c16="http://schemas.microsoft.com/office/drawing/2014/chart" uri="{C3380CC4-5D6E-409C-BE32-E72D297353CC}">
              <c16:uniqueId val="{00000001-AD67-4396-A323-73F15E98D87D}"/>
            </c:ext>
          </c:extLst>
        </c:ser>
        <c:dLbls>
          <c:showLegendKey val="0"/>
          <c:showVal val="0"/>
          <c:showCatName val="0"/>
          <c:showSerName val="0"/>
          <c:showPercent val="0"/>
          <c:showBubbleSize val="0"/>
        </c:dLbls>
        <c:marker val="1"/>
        <c:smooth val="0"/>
        <c:axId val="660153296"/>
        <c:axId val="660152904"/>
      </c:lineChart>
      <c:dateAx>
        <c:axId val="75661931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60152512"/>
        <c:crosses val="autoZero"/>
        <c:auto val="1"/>
        <c:lblOffset val="100"/>
        <c:baseTimeUnit val="months"/>
      </c:dateAx>
      <c:valAx>
        <c:axId val="660152512"/>
        <c:scaling>
          <c:orientation val="minMax"/>
          <c:min val="35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56619312"/>
        <c:crosses val="autoZero"/>
        <c:crossBetween val="between"/>
        <c:majorUnit val="5000.01"/>
      </c:valAx>
      <c:valAx>
        <c:axId val="660152904"/>
        <c:scaling>
          <c:orientation val="minMax"/>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660153296"/>
        <c:crosses val="max"/>
        <c:crossBetween val="between"/>
      </c:valAx>
      <c:dateAx>
        <c:axId val="660153296"/>
        <c:scaling>
          <c:orientation val="minMax"/>
        </c:scaling>
        <c:delete val="1"/>
        <c:axPos val="b"/>
        <c:numFmt formatCode="[$-409]mmm\-yy" sourceLinked="1"/>
        <c:majorTickMark val="out"/>
        <c:minorTickMark val="none"/>
        <c:tickLblPos val="nextTo"/>
        <c:crossAx val="660152904"/>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'F2&amp;F3'!$B$4</c:f>
              <c:strCache>
                <c:ptCount val="1"/>
                <c:pt idx="0">
                  <c:v>ADT at BSE (LHS)</c:v>
                </c:pt>
              </c:strCache>
            </c:strRef>
          </c:tx>
          <c:spPr>
            <a:solidFill>
              <a:srgbClr val="00B050"/>
            </a:solidFill>
            <a:ln>
              <a:noFill/>
            </a:ln>
            <a:effectLst/>
          </c:spPr>
          <c:invertIfNegative val="0"/>
          <c:cat>
            <c:numRef>
              <c:f>'F2&amp;F3'!$A$5:$A$16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'F2&amp;F3'!$B$5:$B$16</c:f>
              <c:numCache>
                <c:formatCode>[&gt;=10000000]#\,##\,##\,##0;[&gt;=100000]#\,##\,##0;##,##0</c:formatCode>
                <c:ptCount val="12"/>
                <c:pt idx="0">
                  <c:v>3482.2930434782606</c:v>
                </c:pt>
                <c:pt idx="1">
                  <c:v>4432.38</c:v>
                </c:pt>
                <c:pt idx="2">
                  <c:v>3182.9668181818183</c:v>
                </c:pt>
                <c:pt idx="3">
                  <c:v>2755.5385714285712</c:v>
                </c:pt>
                <c:pt idx="4">
                  <c:v>3533.7944999999991</c:v>
                </c:pt>
                <c:pt idx="5">
                  <c:v>4518.8545454545456</c:v>
                </c:pt>
                <c:pt idx="6">
                  <c:v>5203.16</c:v>
                </c:pt>
                <c:pt idx="7" formatCode="#,##0;\-#,##0;0">
                  <c:v>7247.7254999999996</c:v>
                </c:pt>
                <c:pt idx="8" formatCode="#,##0;\-#,##0;0">
                  <c:v>5010.8952380950004</c:v>
                </c:pt>
                <c:pt idx="9" formatCode="#,##0;\-#,##0;0">
                  <c:v>4362.0763157900001</c:v>
                </c:pt>
                <c:pt idx="10" formatCode="#,##0;\-#,##0;0">
                  <c:v>5625.0295000000006</c:v>
                </c:pt>
                <c:pt idx="11" formatCode="#,##0;\-#,##0;0">
                  <c:v>6815.7186363636347</c:v>
                </c:pt>
              </c:numCache>
            </c:numRef>
          </c:val>
          <c:extLst>
            <c:ext xmlns:c16="http://schemas.microsoft.com/office/drawing/2014/chart" uri="{C3380CC4-5D6E-409C-BE32-E72D297353CC}">
              <c16:uniqueId val="{00000000-1AC8-428F-B423-EEDB774752E0}"/>
            </c:ext>
          </c:extLst>
        </c:ser>
        <c:dLbls>
          <c:showLegendKey val="0"/>
          <c:showVal val="0"/>
          <c:showCatName val="0"/>
          <c:showSerName val="0"/>
          <c:showPercent val="0"/>
          <c:showBubbleSize val="0"/>
        </c:dLbls>
        <c:gapWidth val="219"/>
        <c:overlap val="-27"/>
        <c:axId val="990062168"/>
        <c:axId val="990063344"/>
      </c:barChart>
      <c:lineChart>
        <c:grouping val="standard"/>
        <c:varyColors val="0"/>
        <c:ser>
          <c:idx val="1"/>
          <c:order val="1"/>
          <c:tx>
            <c:strRef>
              <c:f>'F2&amp;F3'!$C$4</c:f>
              <c:strCache>
                <c:ptCount val="1"/>
                <c:pt idx="0">
                  <c:v>ADV of Sensex (RHS)</c:v>
                </c:pt>
              </c:strCache>
            </c:strRef>
          </c:tx>
          <c:spPr>
            <a:ln w="28575" cap="rnd">
              <a:solidFill>
                <a:srgbClr val="FF0000"/>
              </a:solidFill>
              <a:round/>
            </a:ln>
            <a:effectLst/>
          </c:spPr>
          <c:marker>
            <c:symbol val="none"/>
          </c:marker>
          <c:cat>
            <c:numRef>
              <c:f>'F2&amp;F3'!$A$5:$A$16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'F2&amp;F3'!$C$5:$C$16</c:f>
              <c:numCache>
                <c:formatCode>[&gt;=10000000]#\,##\,##\,##0;[&gt;=100000]#\,##\,##0;##,##0</c:formatCode>
                <c:ptCount val="12"/>
                <c:pt idx="0" formatCode="0">
                  <c:v>37030.641739130428</c:v>
                </c:pt>
                <c:pt idx="1">
                  <c:v>38347</c:v>
                </c:pt>
                <c:pt idx="2">
                  <c:v>38378.977272727272</c:v>
                </c:pt>
                <c:pt idx="3">
                  <c:v>40115.386666666658</c:v>
                </c:pt>
                <c:pt idx="4">
                  <c:v>43011.3845</c:v>
                </c:pt>
                <c:pt idx="5">
                  <c:v>46211.837272727265</c:v>
                </c:pt>
                <c:pt idx="6">
                  <c:v>48580.33</c:v>
                </c:pt>
                <c:pt idx="7" formatCode="#,##0;\-#,##0;0">
                  <c:v>50782.818000000007</c:v>
                </c:pt>
                <c:pt idx="8" formatCode="#,##0;\-#,##0;0">
                  <c:v>50782.818000000007</c:v>
                </c:pt>
                <c:pt idx="9" formatCode="#,##0;\-#,##0;0">
                  <c:v>48877.900526315789</c:v>
                </c:pt>
                <c:pt idx="10" formatCode="#,##0;\-#,##0;0">
                  <c:v>49822.895499999999</c:v>
                </c:pt>
                <c:pt idx="11" formatCode="#,##0;\-#,##0;0">
                  <c:v>52399.699090909089</c:v>
                </c:pt>
              </c:numCache>
            </c:numRef>
          </c:val>
          <c:smooth val="0"/>
          <c:extLst>
            <c:ext xmlns:c16="http://schemas.microsoft.com/office/drawing/2014/chart" uri="{C3380CC4-5D6E-409C-BE32-E72D297353CC}">
              <c16:uniqueId val="{00000001-1AC8-428F-B423-EEDB774752E0}"/>
            </c:ext>
          </c:extLst>
        </c:ser>
        <c:dLbls>
          <c:showLegendKey val="0"/>
          <c:showVal val="0"/>
          <c:showCatName val="0"/>
          <c:showSerName val="0"/>
          <c:showPercent val="0"/>
          <c:showBubbleSize val="0"/>
        </c:dLbls>
        <c:marker val="1"/>
        <c:smooth val="0"/>
        <c:axId val="990060992"/>
        <c:axId val="990063736"/>
      </c:lineChart>
      <c:dateAx>
        <c:axId val="990062168"/>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990063344"/>
        <c:crosses val="autoZero"/>
        <c:auto val="1"/>
        <c:lblOffset val="100"/>
        <c:baseTimeUnit val="months"/>
      </c:dateAx>
      <c:valAx>
        <c:axId val="990063344"/>
        <c:scaling>
          <c:orientation val="minMax"/>
          <c:min val="2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990062168"/>
        <c:crosses val="autoZero"/>
        <c:crossBetween val="between"/>
      </c:valAx>
      <c:valAx>
        <c:axId val="990063736"/>
        <c:scaling>
          <c:orientation val="minMax"/>
          <c:min val="30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990060992"/>
        <c:crosses val="max"/>
        <c:crossBetween val="between"/>
        <c:majorUnit val="5000"/>
      </c:valAx>
      <c:dateAx>
        <c:axId val="990060992"/>
        <c:scaling>
          <c:orientation val="minMax"/>
        </c:scaling>
        <c:delete val="1"/>
        <c:axPos val="b"/>
        <c:numFmt formatCode="[$-409]mmm\-yy" sourceLinked="1"/>
        <c:majorTickMark val="out"/>
        <c:minorTickMark val="none"/>
        <c:tickLblPos val="nextTo"/>
        <c:crossAx val="990063736"/>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BSETECK</c:v>
                </c:pt>
                <c:pt idx="1">
                  <c:v>BSECD</c:v>
                </c:pt>
                <c:pt idx="2">
                  <c:v>BSEREAL</c:v>
                </c:pt>
                <c:pt idx="3">
                  <c:v>BSEPSU</c:v>
                </c:pt>
                <c:pt idx="4">
                  <c:v>BSECG</c:v>
                </c:pt>
                <c:pt idx="5">
                  <c:v>BSEAUTO</c:v>
                </c:pt>
                <c:pt idx="6">
                  <c:v>BSEMET</c:v>
                </c:pt>
                <c:pt idx="7">
                  <c:v>BSEOIL</c:v>
                </c:pt>
                <c:pt idx="8">
                  <c:v>BSEPOWER</c:v>
                </c:pt>
                <c:pt idx="9">
                  <c:v>BSEBANK</c:v>
                </c:pt>
              </c:strCache>
            </c:strRef>
          </c:cat>
          <c:val>
            <c:numRef>
              <c:f>'F4&amp;5 '!$E$5:$E$14</c:f>
              <c:numCache>
                <c:formatCode>0.0</c:formatCode>
                <c:ptCount val="10"/>
                <c:pt idx="0">
                  <c:v>7.8937238411827648</c:v>
                </c:pt>
                <c:pt idx="1">
                  <c:v>6.5474926525797228</c:v>
                </c:pt>
                <c:pt idx="2">
                  <c:v>2.2637975231435625</c:v>
                </c:pt>
                <c:pt idx="3">
                  <c:v>2.2413618560916282</c:v>
                </c:pt>
                <c:pt idx="4">
                  <c:v>2.0033095878038587</c:v>
                </c:pt>
                <c:pt idx="5">
                  <c:v>0.97973248511540323</c:v>
                </c:pt>
                <c:pt idx="6">
                  <c:v>-1.126112644108046</c:v>
                </c:pt>
                <c:pt idx="7">
                  <c:v>-1.8018116463325518</c:v>
                </c:pt>
                <c:pt idx="8">
                  <c:v>-2.1644345343767357</c:v>
                </c:pt>
                <c:pt idx="9">
                  <c:v>-2.4655047456070944</c:v>
                </c:pt>
              </c:numCache>
            </c:numRef>
          </c:val>
          <c:extLst>
            <c:ext xmlns:c16="http://schemas.microsoft.com/office/drawing/2014/chart" uri="{C3380CC4-5D6E-409C-BE32-E72D297353CC}">
              <c16:uniqueId val="{00000000-D603-42B5-A2BA-DD1876993503}"/>
            </c:ext>
          </c:extLst>
        </c:ser>
        <c:dLbls>
          <c:showLegendKey val="0"/>
          <c:showVal val="0"/>
          <c:showCatName val="0"/>
          <c:showSerName val="0"/>
          <c:showPercent val="0"/>
          <c:showBubbleSize val="0"/>
        </c:dLbls>
        <c:gapWidth val="219"/>
        <c:overlap val="-27"/>
        <c:axId val="990064128"/>
        <c:axId val="990061384"/>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BSETECK</c:v>
                </c:pt>
                <c:pt idx="1">
                  <c:v>BSECD</c:v>
                </c:pt>
                <c:pt idx="2">
                  <c:v>BSEREAL</c:v>
                </c:pt>
                <c:pt idx="3">
                  <c:v>BSEPSU</c:v>
                </c:pt>
                <c:pt idx="4">
                  <c:v>BSECG</c:v>
                </c:pt>
                <c:pt idx="5">
                  <c:v>BSEAUTO</c:v>
                </c:pt>
                <c:pt idx="6">
                  <c:v>BSEMET</c:v>
                </c:pt>
                <c:pt idx="7">
                  <c:v>BSEOIL</c:v>
                </c:pt>
                <c:pt idx="8">
                  <c:v>BSEPOWER</c:v>
                </c:pt>
                <c:pt idx="9">
                  <c:v>BSEBANK</c:v>
                </c:pt>
              </c:strCache>
            </c:strRef>
          </c:cat>
          <c:val>
            <c:numRef>
              <c:f>'F4&amp;5 '!$F$5:$F$14</c:f>
              <c:numCache>
                <c:formatCode>0.0</c:formatCode>
                <c:ptCount val="10"/>
                <c:pt idx="0">
                  <c:v>0.75793250803292567</c:v>
                </c:pt>
                <c:pt idx="1">
                  <c:v>1.0403023304698449</c:v>
                </c:pt>
                <c:pt idx="2">
                  <c:v>1.5447764854834793</c:v>
                </c:pt>
                <c:pt idx="3">
                  <c:v>0.89331771679209759</c:v>
                </c:pt>
                <c:pt idx="4">
                  <c:v>0.89896029598839877</c:v>
                </c:pt>
                <c:pt idx="5">
                  <c:v>0.79591133297184491</c:v>
                </c:pt>
                <c:pt idx="6">
                  <c:v>1.5119938525939582</c:v>
                </c:pt>
                <c:pt idx="7">
                  <c:v>1.0094473054541475</c:v>
                </c:pt>
                <c:pt idx="8">
                  <c:v>1.4172757583391469</c:v>
                </c:pt>
                <c:pt idx="9">
                  <c:v>0.78421194295713925</c:v>
                </c:pt>
              </c:numCache>
            </c:numRef>
          </c:val>
          <c:smooth val="0"/>
          <c:extLst>
            <c:ext xmlns:c16="http://schemas.microsoft.com/office/drawing/2014/chart" uri="{C3380CC4-5D6E-409C-BE32-E72D297353CC}">
              <c16:uniqueId val="{00000001-D603-42B5-A2BA-DD1876993503}"/>
            </c:ext>
          </c:extLst>
        </c:ser>
        <c:dLbls>
          <c:showLegendKey val="0"/>
          <c:showVal val="0"/>
          <c:showCatName val="0"/>
          <c:showSerName val="0"/>
          <c:showPercent val="0"/>
          <c:showBubbleSize val="0"/>
        </c:dLbls>
        <c:marker val="1"/>
        <c:smooth val="0"/>
        <c:axId val="990062952"/>
        <c:axId val="990062560"/>
      </c:lineChart>
      <c:catAx>
        <c:axId val="99006412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990061384"/>
        <c:crosses val="autoZero"/>
        <c:auto val="1"/>
        <c:lblAlgn val="ctr"/>
        <c:lblOffset val="100"/>
        <c:noMultiLvlLbl val="0"/>
      </c:catAx>
      <c:valAx>
        <c:axId val="990061384"/>
        <c:scaling>
          <c:orientation val="minMax"/>
          <c:min val="-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990064128"/>
        <c:crosses val="autoZero"/>
        <c:crossBetween val="between"/>
      </c:valAx>
      <c:valAx>
        <c:axId val="990062560"/>
        <c:scaling>
          <c:orientation val="minMax"/>
          <c:min val="0.60000000000000009"/>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990062952"/>
        <c:crosses val="max"/>
        <c:crossBetween val="between"/>
        <c:majorUnit val="0.5"/>
      </c:valAx>
      <c:catAx>
        <c:axId val="990062952"/>
        <c:scaling>
          <c:orientation val="minMax"/>
        </c:scaling>
        <c:delete val="1"/>
        <c:axPos val="b"/>
        <c:numFmt formatCode="General" sourceLinked="1"/>
        <c:majorTickMark val="out"/>
        <c:minorTickMark val="none"/>
        <c:tickLblPos val="nextTo"/>
        <c:crossAx val="990062560"/>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NIFTYIT</c:v>
                </c:pt>
                <c:pt idx="1">
                  <c:v>NIFTYPSU</c:v>
                </c:pt>
                <c:pt idx="2">
                  <c:v>NIFTYPSE</c:v>
                </c:pt>
                <c:pt idx="3">
                  <c:v>NIFTYFMCG</c:v>
                </c:pt>
                <c:pt idx="4">
                  <c:v>NIFTYREAL</c:v>
                </c:pt>
                <c:pt idx="5">
                  <c:v>NIPHARM</c:v>
                </c:pt>
                <c:pt idx="6">
                  <c:v>NIFTYSER</c:v>
                </c:pt>
                <c:pt idx="7">
                  <c:v>NIFTYINFR</c:v>
                </c:pt>
                <c:pt idx="8">
                  <c:v>NIFTYENR</c:v>
                </c:pt>
                <c:pt idx="9">
                  <c:v>NSEBANK</c:v>
                </c:pt>
              </c:strCache>
            </c:strRef>
          </c:cat>
          <c:val>
            <c:numRef>
              <c:f>'F4&amp;5 '!$B$5:$B$14</c:f>
              <c:numCache>
                <c:formatCode>0.0</c:formatCode>
                <c:ptCount val="10"/>
                <c:pt idx="0">
                  <c:v>7.5712565530950515</c:v>
                </c:pt>
                <c:pt idx="1">
                  <c:v>3.8123892346370924</c:v>
                </c:pt>
                <c:pt idx="2">
                  <c:v>2.6359564939219426</c:v>
                </c:pt>
                <c:pt idx="3">
                  <c:v>2.4121033620765342</c:v>
                </c:pt>
                <c:pt idx="4">
                  <c:v>2.320392681838479</c:v>
                </c:pt>
                <c:pt idx="5">
                  <c:v>1.8300211717401815</c:v>
                </c:pt>
                <c:pt idx="6">
                  <c:v>1.2811822596279665</c:v>
                </c:pt>
                <c:pt idx="7">
                  <c:v>0.26225190045980895</c:v>
                </c:pt>
                <c:pt idx="8">
                  <c:v>-0.434729104247078</c:v>
                </c:pt>
                <c:pt idx="9">
                  <c:v>-2.1236170593061932</c:v>
                </c:pt>
              </c:numCache>
            </c:numRef>
          </c:val>
          <c:extLst>
            <c:ext xmlns:c16="http://schemas.microsoft.com/office/drawing/2014/chart" uri="{C3380CC4-5D6E-409C-BE32-E72D297353CC}">
              <c16:uniqueId val="{00000000-2B0E-436A-BEC8-723E223CDFAF}"/>
            </c:ext>
          </c:extLst>
        </c:ser>
        <c:dLbls>
          <c:showLegendKey val="0"/>
          <c:showVal val="0"/>
          <c:showCatName val="0"/>
          <c:showSerName val="0"/>
          <c:showPercent val="0"/>
          <c:showBubbleSize val="0"/>
        </c:dLbls>
        <c:gapWidth val="219"/>
        <c:overlap val="-27"/>
        <c:axId val="204297000"/>
        <c:axId val="204295040"/>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NIFTYIT</c:v>
                </c:pt>
                <c:pt idx="1">
                  <c:v>NIFTYPSU</c:v>
                </c:pt>
                <c:pt idx="2">
                  <c:v>NIFTYPSE</c:v>
                </c:pt>
                <c:pt idx="3">
                  <c:v>NIFTYFMCG</c:v>
                </c:pt>
                <c:pt idx="4">
                  <c:v>NIFTYREAL</c:v>
                </c:pt>
                <c:pt idx="5">
                  <c:v>NIPHARM</c:v>
                </c:pt>
                <c:pt idx="6">
                  <c:v>NIFTYSER</c:v>
                </c:pt>
                <c:pt idx="7">
                  <c:v>NIFTYINFR</c:v>
                </c:pt>
                <c:pt idx="8">
                  <c:v>NIFTYENR</c:v>
                </c:pt>
                <c:pt idx="9">
                  <c:v>NSEBANK</c:v>
                </c:pt>
              </c:strCache>
            </c:strRef>
          </c:cat>
          <c:val>
            <c:numRef>
              <c:f>'F4&amp;5 '!$C$5:$C$14</c:f>
              <c:numCache>
                <c:formatCode>0.0</c:formatCode>
                <c:ptCount val="10"/>
                <c:pt idx="0">
                  <c:v>0.83971229089738475</c:v>
                </c:pt>
                <c:pt idx="1">
                  <c:v>1.6731120677371227</c:v>
                </c:pt>
                <c:pt idx="2">
                  <c:v>0.90864430184565603</c:v>
                </c:pt>
                <c:pt idx="3">
                  <c:v>0.43444173349816984</c:v>
                </c:pt>
                <c:pt idx="4">
                  <c:v>1.5067133980674365</c:v>
                </c:pt>
                <c:pt idx="5">
                  <c:v>0.68302238720442199</c:v>
                </c:pt>
                <c:pt idx="6">
                  <c:v>0.55526107248842449</c:v>
                </c:pt>
                <c:pt idx="7">
                  <c:v>0.68685914356269251</c:v>
                </c:pt>
                <c:pt idx="8">
                  <c:v>0.87154523756726476</c:v>
                </c:pt>
                <c:pt idx="9">
                  <c:v>0.77640221008104127</c:v>
                </c:pt>
              </c:numCache>
            </c:numRef>
          </c:val>
          <c:smooth val="0"/>
          <c:extLst>
            <c:ext xmlns:c16="http://schemas.microsoft.com/office/drawing/2014/chart" uri="{C3380CC4-5D6E-409C-BE32-E72D297353CC}">
              <c16:uniqueId val="{00000001-2B0E-436A-BEC8-723E223CDFAF}"/>
            </c:ext>
          </c:extLst>
        </c:ser>
        <c:dLbls>
          <c:showLegendKey val="0"/>
          <c:showVal val="0"/>
          <c:showCatName val="0"/>
          <c:showSerName val="0"/>
          <c:showPercent val="0"/>
          <c:showBubbleSize val="0"/>
        </c:dLbls>
        <c:marker val="1"/>
        <c:smooth val="0"/>
        <c:axId val="204296608"/>
        <c:axId val="204293472"/>
      </c:lineChart>
      <c:catAx>
        <c:axId val="20429700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04295040"/>
        <c:crosses val="autoZero"/>
        <c:auto val="1"/>
        <c:lblAlgn val="ctr"/>
        <c:lblOffset val="100"/>
        <c:noMultiLvlLbl val="0"/>
      </c:catAx>
      <c:valAx>
        <c:axId val="204295040"/>
        <c:scaling>
          <c:orientation val="minMax"/>
          <c:max val="8"/>
          <c:min val="-3"/>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04297000"/>
        <c:crosses val="autoZero"/>
        <c:crossBetween val="between"/>
      </c:valAx>
      <c:valAx>
        <c:axId val="204293472"/>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04296608"/>
        <c:crosses val="max"/>
        <c:crossBetween val="between"/>
        <c:majorUnit val="0.5"/>
      </c:valAx>
      <c:catAx>
        <c:axId val="204296608"/>
        <c:scaling>
          <c:orientation val="minMax"/>
        </c:scaling>
        <c:delete val="1"/>
        <c:axPos val="b"/>
        <c:numFmt formatCode="General" sourceLinked="1"/>
        <c:majorTickMark val="out"/>
        <c:minorTickMark val="none"/>
        <c:tickLblPos val="nextTo"/>
        <c:crossAx val="204293472"/>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NSE (RHS)</c:v>
                </c:pt>
              </c:strCache>
            </c:strRef>
          </c:tx>
          <c:spPr>
            <a:solidFill>
              <a:srgbClr val="00B050"/>
            </a:solidFill>
            <a:ln>
              <a:noFill/>
            </a:ln>
            <a:effectLst/>
          </c:spPr>
          <c:invertIfNegative val="0"/>
          <c:cat>
            <c:numRef>
              <c:f>'F4 '!$A$2:$A$13</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'F4 '!$E$2:$E$13</c:f>
              <c:numCache>
                <c:formatCode>[&gt;=10000000]#\,##\,##\,##0;[&gt;=100000]#\,##\,##0;##,##0</c:formatCode>
                <c:ptCount val="12"/>
                <c:pt idx="0">
                  <c:v>1910248.1950051249</c:v>
                </c:pt>
                <c:pt idx="1">
                  <c:v>1877589.023486543</c:v>
                </c:pt>
                <c:pt idx="2">
                  <c:v>2157023.5625705258</c:v>
                </c:pt>
                <c:pt idx="3">
                  <c:v>2632458.2987257265</c:v>
                </c:pt>
                <c:pt idx="4">
                  <c:v>2844478.2670458574</c:v>
                </c:pt>
                <c:pt idx="5">
                  <c:v>3057374.9092755187</c:v>
                </c:pt>
                <c:pt idx="6">
                  <c:v>3595657.0081937932</c:v>
                </c:pt>
                <c:pt idx="7">
                  <c:v>4301098.4515000004</c:v>
                </c:pt>
                <c:pt idx="8">
                  <c:v>4438327.3871428566</c:v>
                </c:pt>
                <c:pt idx="9">
                  <c:v>4665024.3789473688</c:v>
                </c:pt>
                <c:pt idx="10">
                  <c:v>4332641.5880000005</c:v>
                </c:pt>
                <c:pt idx="11">
                  <c:v>4608723.0909090908</c:v>
                </c:pt>
              </c:numCache>
            </c:numRef>
          </c:val>
          <c:extLst>
            <c:ext xmlns:c16="http://schemas.microsoft.com/office/drawing/2014/chart" uri="{C3380CC4-5D6E-409C-BE32-E72D297353CC}">
              <c16:uniqueId val="{00000000-CB58-467A-82E7-6EBDEE85DC57}"/>
            </c:ext>
          </c:extLst>
        </c:ser>
        <c:dLbls>
          <c:showLegendKey val="0"/>
          <c:showVal val="0"/>
          <c:showCatName val="0"/>
          <c:showSerName val="0"/>
          <c:showPercent val="0"/>
          <c:showBubbleSize val="0"/>
        </c:dLbls>
        <c:gapWidth val="219"/>
        <c:overlap val="-27"/>
        <c:axId val="204294648"/>
        <c:axId val="204294256"/>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'!$A$2:$A$13</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'F4 '!$D$2:$D$13</c:f>
              <c:numCache>
                <c:formatCode>#,##0</c:formatCode>
                <c:ptCount val="12"/>
                <c:pt idx="0">
                  <c:v>26196.207826086957</c:v>
                </c:pt>
                <c:pt idx="1">
                  <c:v>88005.567619047622</c:v>
                </c:pt>
                <c:pt idx="2">
                  <c:v>123934.84768617614</c:v>
                </c:pt>
                <c:pt idx="3">
                  <c:v>161548.20265396428</c:v>
                </c:pt>
                <c:pt idx="4">
                  <c:v>218924.7232084875</c:v>
                </c:pt>
                <c:pt idx="5">
                  <c:v>222827.48463496024</c:v>
                </c:pt>
                <c:pt idx="6">
                  <c:v>246651.46454715001</c:v>
                </c:pt>
                <c:pt idx="7">
                  <c:v>291858.57797283505</c:v>
                </c:pt>
                <c:pt idx="8">
                  <c:v>295833.62791219522</c:v>
                </c:pt>
                <c:pt idx="9">
                  <c:v>317790.11645149474</c:v>
                </c:pt>
                <c:pt idx="10">
                  <c:v>323982.19198160624</c:v>
                </c:pt>
                <c:pt idx="11">
                  <c:v>303244.85652462277</c:v>
                </c:pt>
              </c:numCache>
            </c:numRef>
          </c:val>
          <c:smooth val="0"/>
          <c:extLst>
            <c:ext xmlns:c16="http://schemas.microsoft.com/office/drawing/2014/chart" uri="{C3380CC4-5D6E-409C-BE32-E72D297353CC}">
              <c16:uniqueId val="{00000001-CB58-467A-82E7-6EBDEE85DC57}"/>
            </c:ext>
          </c:extLst>
        </c:ser>
        <c:dLbls>
          <c:showLegendKey val="0"/>
          <c:showVal val="0"/>
          <c:showCatName val="0"/>
          <c:showSerName val="0"/>
          <c:showPercent val="0"/>
          <c:showBubbleSize val="0"/>
        </c:dLbls>
        <c:marker val="1"/>
        <c:smooth val="0"/>
        <c:axId val="204295432"/>
        <c:axId val="204296216"/>
      </c:lineChart>
      <c:dateAx>
        <c:axId val="20429543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04296216"/>
        <c:crosses val="autoZero"/>
        <c:auto val="1"/>
        <c:lblOffset val="100"/>
        <c:baseTimeUnit val="months"/>
      </c:dateAx>
      <c:valAx>
        <c:axId val="204296216"/>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BSE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04295432"/>
        <c:crosses val="autoZero"/>
        <c:crossBetween val="between"/>
      </c:valAx>
      <c:valAx>
        <c:axId val="204294256"/>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04294648"/>
        <c:crosses val="max"/>
        <c:crossBetween val="between"/>
      </c:valAx>
      <c:dateAx>
        <c:axId val="204294648"/>
        <c:scaling>
          <c:orientation val="minMax"/>
        </c:scaling>
        <c:delete val="1"/>
        <c:axPos val="b"/>
        <c:numFmt formatCode="[$-409]mmm\-yy" sourceLinked="1"/>
        <c:majorTickMark val="out"/>
        <c:minorTickMark val="none"/>
        <c:tickLblPos val="nextTo"/>
        <c:crossAx val="204294256"/>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1"/>
        <c:ser>
          <c:idx val="0"/>
          <c:order val="0"/>
          <c:tx>
            <c:strRef>
              <c:f>'F15'!$E$15</c:f>
              <c:strCache>
                <c:ptCount val="1"/>
                <c:pt idx="0">
                  <c:v>May-21</c:v>
                </c:pt>
              </c:strCache>
            </c:strRef>
          </c:tx>
          <c:spPr>
            <a:solidFill>
              <a:srgbClr val="FF000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'F15'!$F$14:$H$14</c:f>
              <c:strCache>
                <c:ptCount val="3"/>
                <c:pt idx="0">
                  <c:v>Weekly</c:v>
                </c:pt>
                <c:pt idx="1">
                  <c:v>1 Month</c:v>
                </c:pt>
                <c:pt idx="2">
                  <c:v>&gt; 1 Month</c:v>
                </c:pt>
              </c:strCache>
            </c:strRef>
          </c:cat>
          <c:val>
            <c:numRef>
              <c:f>'F15'!$F$15:$H$15</c:f>
              <c:numCache>
                <c:formatCode>#,##0.0</c:formatCode>
                <c:ptCount val="3"/>
                <c:pt idx="0">
                  <c:v>73.475896918201016</c:v>
                </c:pt>
                <c:pt idx="1">
                  <c:v>26.006164496903171</c:v>
                </c:pt>
                <c:pt idx="2">
                  <c:v>0.51793858489582589</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5BD2-41A6-8A65-989EBB5D7771}"/>
            </c:ext>
          </c:extLst>
        </c:ser>
        <c:ser>
          <c:idx val="1"/>
          <c:order val="1"/>
          <c:tx>
            <c:strRef>
              <c:f>'F15'!$E$16</c:f>
              <c:strCache>
                <c:ptCount val="1"/>
                <c:pt idx="0">
                  <c:v>Jun-21</c:v>
                </c:pt>
              </c:strCache>
            </c:strRef>
          </c:tx>
          <c:spPr>
            <a:solidFill>
              <a:srgbClr val="00B05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'F15'!$F$14:$H$14</c:f>
              <c:strCache>
                <c:ptCount val="3"/>
                <c:pt idx="0">
                  <c:v>Weekly</c:v>
                </c:pt>
                <c:pt idx="1">
                  <c:v>1 Month</c:v>
                </c:pt>
                <c:pt idx="2">
                  <c:v>&gt; 1 Month</c:v>
                </c:pt>
              </c:strCache>
            </c:strRef>
          </c:cat>
          <c:val>
            <c:numRef>
              <c:f>'F15'!$F$16:$H$16</c:f>
              <c:numCache>
                <c:formatCode>#,##0.0</c:formatCode>
                <c:ptCount val="3"/>
                <c:pt idx="0">
                  <c:v>74.98749462446051</c:v>
                </c:pt>
                <c:pt idx="1">
                  <c:v>24.554992330810183</c:v>
                </c:pt>
                <c:pt idx="2">
                  <c:v>0.45751304472931237</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5BD2-41A6-8A65-989EBB5D7771}"/>
            </c:ext>
          </c:extLst>
        </c:ser>
        <c:dLbls>
          <c:showLegendKey val="0"/>
          <c:showVal val="0"/>
          <c:showCatName val="0"/>
          <c:showSerName val="0"/>
          <c:showPercent val="0"/>
          <c:showBubbleSize val="0"/>
        </c:dLbls>
        <c:gapWidth val="150"/>
        <c:axId val="567673224"/>
        <c:axId val="567674400"/>
      </c:barChart>
      <c:catAx>
        <c:axId val="567673224"/>
        <c:scaling>
          <c:orientation val="minMax"/>
        </c:scaling>
        <c:delete val="0"/>
        <c:axPos val="l"/>
        <c:numFmt formatCode="General" sourceLinked="1"/>
        <c:majorTickMark val="out"/>
        <c:minorTickMark val="cross"/>
        <c:tickLblPos val="nextTo"/>
        <c:crossAx val="567674400"/>
        <c:crosses val="autoZero"/>
        <c:auto val="1"/>
        <c:lblAlgn val="ctr"/>
        <c:lblOffset val="100"/>
        <c:noMultiLvlLbl val="1"/>
      </c:catAx>
      <c:valAx>
        <c:axId val="567674400"/>
        <c:scaling>
          <c:orientation val="minMax"/>
        </c:scaling>
        <c:delete val="1"/>
        <c:axPos val="t"/>
        <c:numFmt formatCode="#,##0.0" sourceLinked="1"/>
        <c:majorTickMark val="out"/>
        <c:minorTickMark val="cross"/>
        <c:tickLblPos val="nextTo"/>
        <c:crossAx val="567673224"/>
        <c:crosses val="max"/>
        <c:crossBetween val="between"/>
      </c:valAx>
    </c:plotArea>
    <c:legend>
      <c:legendPos val="b"/>
      <c:layout/>
      <c:overlay val="0"/>
    </c:legend>
    <c:plotVisOnly val="1"/>
    <c:dispBlanksAs val="zero"/>
    <c:showDLblsOverMax val="1"/>
  </c:chart>
  <c:spPr>
    <a:solidFill>
      <a:srgbClr val="FFFFFF"/>
    </a:solidFill>
  </c:spPr>
  <c:txPr>
    <a:bodyPr/>
    <a:lstStyle/>
    <a:p>
      <a:pPr>
        <a:defRPr sz="10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'F6'!$C$2</c:f>
              <c:strCache>
                <c:ptCount val="1"/>
                <c:pt idx="0">
                  <c:v>NSE (LHS)</c:v>
                </c:pt>
              </c:strCache>
            </c:strRef>
          </c:tx>
          <c:spPr>
            <a:ln w="28575" cap="rnd">
              <a:solidFill>
                <a:schemeClr val="accent1"/>
              </a:solidFill>
              <a:round/>
            </a:ln>
            <a:effectLst/>
          </c:spPr>
          <c:marker>
            <c:symbol val="none"/>
          </c:marker>
          <c:cat>
            <c:numRef>
              <c:f>'F6'!$A$3:$A$14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'F6'!$C$3:$C$14</c:f>
              <c:numCache>
                <c:formatCode>0\,00\,000;\-0\,00\,000;0</c:formatCode>
                <c:ptCount val="12"/>
                <c:pt idx="0">
                  <c:v>943395.67188321159</c:v>
                </c:pt>
                <c:pt idx="1">
                  <c:v>976864.32951144269</c:v>
                </c:pt>
                <c:pt idx="2">
                  <c:v>1120073.5900000001</c:v>
                </c:pt>
                <c:pt idx="3">
                  <c:v>977668.28209999995</c:v>
                </c:pt>
                <c:pt idx="4">
                  <c:v>1024112.012</c:v>
                </c:pt>
                <c:pt idx="5">
                  <c:v>1160618.8376070948</c:v>
                </c:pt>
                <c:pt idx="6">
                  <c:v>1001205.5174880214</c:v>
                </c:pt>
                <c:pt idx="7">
                  <c:v>1082488.916</c:v>
                </c:pt>
                <c:pt idx="8">
                  <c:v>1444570.959</c:v>
                </c:pt>
                <c:pt idx="9">
                  <c:v>1490637.77</c:v>
                </c:pt>
                <c:pt idx="10">
                  <c:v>1105377.56</c:v>
                </c:pt>
                <c:pt idx="11">
                  <c:v>1378693.62</c:v>
                </c:pt>
              </c:numCache>
            </c:numRef>
          </c:val>
          <c:smooth val="0"/>
          <c:extLst>
            <c:ext xmlns:c16="http://schemas.microsoft.com/office/drawing/2014/chart" uri="{C3380CC4-5D6E-409C-BE32-E72D297353CC}">
              <c16:uniqueId val="{00000000-C74F-428E-8E7A-B453E7BC672C}"/>
            </c:ext>
          </c:extLst>
        </c:ser>
        <c:ser>
          <c:idx val="3"/>
          <c:order val="2"/>
          <c:tx>
            <c:strRef>
              <c:f>'F6'!$B$2</c:f>
              <c:strCache>
                <c:ptCount val="1"/>
                <c:pt idx="0">
                  <c:v>BSE  (LHS)</c:v>
                </c:pt>
              </c:strCache>
            </c:strRef>
          </c:tx>
          <c:spPr>
            <a:ln w="28575" cap="rnd">
              <a:solidFill>
                <a:schemeClr val="accent4"/>
              </a:solidFill>
              <a:round/>
            </a:ln>
            <a:effectLst/>
          </c:spPr>
          <c:marker>
            <c:symbol val="none"/>
          </c:marker>
          <c:cat>
            <c:numRef>
              <c:f>'F6'!$A$3:$A$14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'F6'!$B$3:$B$14</c:f>
              <c:numCache>
                <c:formatCode>0\,00\,000;\-0\,00\,000;0</c:formatCode>
                <c:ptCount val="12"/>
                <c:pt idx="0">
                  <c:v>437166.34</c:v>
                </c:pt>
                <c:pt idx="1">
                  <c:v>451790.26</c:v>
                </c:pt>
                <c:pt idx="2">
                  <c:v>429477.39090000006</c:v>
                </c:pt>
                <c:pt idx="3">
                  <c:v>408890.7488</c:v>
                </c:pt>
                <c:pt idx="4">
                  <c:v>402246.89210000006</c:v>
                </c:pt>
                <c:pt idx="5">
                  <c:v>496940.56949999998</c:v>
                </c:pt>
                <c:pt idx="6" formatCode="#,##0">
                  <c:v>440262.21429999999</c:v>
                </c:pt>
                <c:pt idx="7">
                  <c:v>449170.83260000002</c:v>
                </c:pt>
                <c:pt idx="8">
                  <c:v>563283.70030000003</c:v>
                </c:pt>
                <c:pt idx="9">
                  <c:v>448635.7488</c:v>
                </c:pt>
                <c:pt idx="10">
                  <c:v>417945.56279999996</c:v>
                </c:pt>
                <c:pt idx="11">
                  <c:v>503265.83970000001</c:v>
                </c:pt>
              </c:numCache>
            </c:numRef>
          </c:val>
          <c:smooth val="0"/>
          <c:extLst>
            <c:ext xmlns:c16="http://schemas.microsoft.com/office/drawing/2014/chart" uri="{C3380CC4-5D6E-409C-BE32-E72D297353CC}">
              <c16:uniqueId val="{00000001-C74F-428E-8E7A-B453E7BC672C}"/>
            </c:ext>
          </c:extLst>
        </c:ser>
        <c:dLbls>
          <c:showLegendKey val="0"/>
          <c:showVal val="0"/>
          <c:showCatName val="0"/>
          <c:showSerName val="0"/>
          <c:showPercent val="0"/>
          <c:showBubbleSize val="0"/>
        </c:dLbls>
        <c:marker val="1"/>
        <c:smooth val="0"/>
        <c:axId val="567674792"/>
        <c:axId val="567675184"/>
      </c:lineChart>
      <c:lineChart>
        <c:grouping val="standard"/>
        <c:varyColors val="0"/>
        <c:ser>
          <c:idx val="1"/>
          <c:order val="1"/>
          <c:tx>
            <c:strRef>
              <c:f>'F6'!$D$2</c:f>
              <c:strCache>
                <c:ptCount val="1"/>
                <c:pt idx="0">
                  <c:v>MSEI (RHS)</c:v>
                </c:pt>
              </c:strCache>
            </c:strRef>
          </c:tx>
          <c:spPr>
            <a:ln w="28575" cap="rnd">
              <a:solidFill>
                <a:schemeClr val="accent2"/>
              </a:solidFill>
              <a:round/>
            </a:ln>
            <a:effectLst/>
          </c:spPr>
          <c:marker>
            <c:symbol val="none"/>
          </c:marker>
          <c:cat>
            <c:numRef>
              <c:f>'F6'!$A$3:$A$14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'F6'!$D$3:$D$14</c:f>
              <c:numCache>
                <c:formatCode>#,##0;\-#,##0;0</c:formatCode>
                <c:ptCount val="12"/>
                <c:pt idx="0">
                  <c:v>4064.4222235000007</c:v>
                </c:pt>
                <c:pt idx="1">
                  <c:v>5291.3987129999996</c:v>
                </c:pt>
                <c:pt idx="2">
                  <c:v>6888.6162975000007</c:v>
                </c:pt>
                <c:pt idx="3">
                  <c:v>9075.2012660000019</c:v>
                </c:pt>
                <c:pt idx="4">
                  <c:v>12344.712834499998</c:v>
                </c:pt>
                <c:pt idx="5">
                  <c:v>14310.276320249999</c:v>
                </c:pt>
                <c:pt idx="6">
                  <c:v>13562.270864749999</c:v>
                </c:pt>
                <c:pt idx="7">
                  <c:v>12191.89372125</c:v>
                </c:pt>
                <c:pt idx="8">
                  <c:v>14323.94781</c:v>
                </c:pt>
                <c:pt idx="9">
                  <c:v>9625.6356357500008</c:v>
                </c:pt>
                <c:pt idx="10">
                  <c:v>12607.516215999998</c:v>
                </c:pt>
                <c:pt idx="11">
                  <c:v>14464.578571</c:v>
                </c:pt>
              </c:numCache>
            </c:numRef>
          </c:val>
          <c:smooth val="0"/>
          <c:extLst>
            <c:ext xmlns:c16="http://schemas.microsoft.com/office/drawing/2014/chart" uri="{C3380CC4-5D6E-409C-BE32-E72D297353CC}">
              <c16:uniqueId val="{00000002-C74F-428E-8E7A-B453E7BC672C}"/>
            </c:ext>
          </c:extLst>
        </c:ser>
        <c:dLbls>
          <c:showLegendKey val="0"/>
          <c:showVal val="0"/>
          <c:showCatName val="0"/>
          <c:showSerName val="0"/>
          <c:showPercent val="0"/>
          <c:showBubbleSize val="0"/>
        </c:dLbls>
        <c:marker val="1"/>
        <c:smooth val="0"/>
        <c:axId val="567675968"/>
        <c:axId val="567675576"/>
      </c:lineChart>
      <c:dateAx>
        <c:axId val="56767479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67675184"/>
        <c:crosses val="autoZero"/>
        <c:auto val="1"/>
        <c:lblOffset val="100"/>
        <c:baseTimeUnit val="months"/>
      </c:dateAx>
      <c:valAx>
        <c:axId val="567675184"/>
        <c:scaling>
          <c:orientation val="minMax"/>
        </c:scaling>
        <c:delete val="0"/>
        <c:axPos val="l"/>
        <c:numFmt formatCode="0\,00\,000;\-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67674792"/>
        <c:crosses val="autoZero"/>
        <c:crossBetween val="between"/>
      </c:valAx>
      <c:valAx>
        <c:axId val="567675576"/>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67675968"/>
        <c:crosses val="max"/>
        <c:crossBetween val="between"/>
      </c:valAx>
      <c:dateAx>
        <c:axId val="567675968"/>
        <c:scaling>
          <c:orientation val="minMax"/>
        </c:scaling>
        <c:delete val="1"/>
        <c:axPos val="b"/>
        <c:numFmt formatCode="[$-409]mmm\-yy" sourceLinked="1"/>
        <c:majorTickMark val="out"/>
        <c:minorTickMark val="none"/>
        <c:tickLblPos val="nextTo"/>
        <c:crossAx val="567675576"/>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'F7'!$B$3:$B$14</c:f>
              <c:numCache>
                <c:formatCode>#,##0;\-#,##0;0</c:formatCode>
                <c:ptCount val="12"/>
                <c:pt idx="0">
                  <c:v>4082.3089</c:v>
                </c:pt>
                <c:pt idx="1">
                  <c:v>1339.4258</c:v>
                </c:pt>
                <c:pt idx="2">
                  <c:v>618.83699999999999</c:v>
                </c:pt>
                <c:pt idx="3">
                  <c:v>1949.4366000000005</c:v>
                </c:pt>
                <c:pt idx="4">
                  <c:v>3284.3459999999995</c:v>
                </c:pt>
                <c:pt idx="5">
                  <c:v>1087.3935000000001</c:v>
                </c:pt>
                <c:pt idx="6">
                  <c:v>1100.9360999999999</c:v>
                </c:pt>
                <c:pt idx="7">
                  <c:v>5520.3626999999997</c:v>
                </c:pt>
                <c:pt idx="8">
                  <c:v>14649.4748</c:v>
                </c:pt>
                <c:pt idx="9">
                  <c:v>155.46360000000001</c:v>
                </c:pt>
                <c:pt idx="10">
                  <c:v>2276.2072000000003</c:v>
                </c:pt>
                <c:pt idx="11">
                  <c:v>3124.1062999999999</c:v>
                </c:pt>
              </c:numCache>
            </c:numRef>
          </c:val>
          <c:smooth val="0"/>
          <c:extLst>
            <c:ext xmlns:c16="http://schemas.microsoft.com/office/drawing/2014/chart" uri="{C3380CC4-5D6E-409C-BE32-E72D297353CC}">
              <c16:uniqueId val="{00000000-3423-479C-BC26-156F907DA5A4}"/>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'F7'!$C$3:$C$14</c:f>
              <c:numCache>
                <c:formatCode>#,##0;\-#,##0;0</c:formatCode>
                <c:ptCount val="12"/>
                <c:pt idx="0">
                  <c:v>11477.779758999999</c:v>
                </c:pt>
                <c:pt idx="1">
                  <c:v>8836.0223354999998</c:v>
                </c:pt>
                <c:pt idx="2">
                  <c:v>7968.2005550000003</c:v>
                </c:pt>
                <c:pt idx="3">
                  <c:v>5969.361613</c:v>
                </c:pt>
                <c:pt idx="4">
                  <c:v>3735.2176584999997</c:v>
                </c:pt>
                <c:pt idx="5">
                  <c:v>5464.1321635000004</c:v>
                </c:pt>
                <c:pt idx="6">
                  <c:v>4093.5442204999999</c:v>
                </c:pt>
                <c:pt idx="7">
                  <c:v>6734.7814850000004</c:v>
                </c:pt>
                <c:pt idx="8">
                  <c:v>4389.8273959999997</c:v>
                </c:pt>
                <c:pt idx="9">
                  <c:v>2364.85</c:v>
                </c:pt>
                <c:pt idx="10">
                  <c:v>2810.9</c:v>
                </c:pt>
                <c:pt idx="11">
                  <c:v>1965.78</c:v>
                </c:pt>
              </c:numCache>
            </c:numRef>
          </c:val>
          <c:smooth val="0"/>
          <c:extLst>
            <c:ext xmlns:c16="http://schemas.microsoft.com/office/drawing/2014/chart" uri="{C3380CC4-5D6E-409C-BE32-E72D297353CC}">
              <c16:uniqueId val="{00000001-3423-479C-BC26-156F907DA5A4}"/>
            </c:ext>
          </c:extLst>
        </c:ser>
        <c:dLbls>
          <c:showLegendKey val="0"/>
          <c:showVal val="0"/>
          <c:showCatName val="0"/>
          <c:showSerName val="0"/>
          <c:showPercent val="0"/>
          <c:showBubbleSize val="0"/>
        </c:dLbls>
        <c:smooth val="0"/>
        <c:axId val="567673616"/>
        <c:axId val="880116968"/>
      </c:lineChart>
      <c:dateAx>
        <c:axId val="56767361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80116968"/>
        <c:crosses val="autoZero"/>
        <c:auto val="1"/>
        <c:lblOffset val="100"/>
        <c:baseTimeUnit val="months"/>
      </c:dateAx>
      <c:valAx>
        <c:axId val="88011696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6767361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44326</c:v>
                </c:pt>
                <c:pt idx="11">
                  <c:v>44357</c:v>
                </c:pt>
              </c:numCache>
            </c:numRef>
          </c:cat>
          <c:val>
            <c:numRef>
              <c:f>'F11'!$C$5:$C$16</c:f>
              <c:numCache>
                <c:formatCode>#,##0;\-#,##0;0</c:formatCode>
                <c:ptCount val="12"/>
                <c:pt idx="0">
                  <c:v>80074.63</c:v>
                </c:pt>
                <c:pt idx="1">
                  <c:v>53915.519999999997</c:v>
                </c:pt>
                <c:pt idx="2">
                  <c:v>50693.919999999998</c:v>
                </c:pt>
                <c:pt idx="3">
                  <c:v>42448.36</c:v>
                </c:pt>
                <c:pt idx="4">
                  <c:v>35255.333224302012</c:v>
                </c:pt>
                <c:pt idx="5">
                  <c:v>34626.160000000003</c:v>
                </c:pt>
                <c:pt idx="6">
                  <c:v>48384.845524290002</c:v>
                </c:pt>
                <c:pt idx="7">
                  <c:v>43534.32</c:v>
                </c:pt>
                <c:pt idx="8">
                  <c:v>64043.87</c:v>
                </c:pt>
                <c:pt idx="9">
                  <c:v>60888.553099999997</c:v>
                </c:pt>
                <c:pt idx="10">
                  <c:v>54135.76</c:v>
                </c:pt>
                <c:pt idx="11">
                  <c:v>61390.57</c:v>
                </c:pt>
              </c:numCache>
            </c:numRef>
          </c:val>
          <c:extLst>
            <c:ext xmlns:c16="http://schemas.microsoft.com/office/drawing/2014/chart" uri="{C3380CC4-5D6E-409C-BE32-E72D297353CC}">
              <c16:uniqueId val="{00000000-DFE8-41D0-B354-4C2DF71AA9B2}"/>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44326</c:v>
                </c:pt>
                <c:pt idx="11">
                  <c:v>44357</c:v>
                </c:pt>
              </c:numCache>
            </c:numRef>
          </c:cat>
          <c:val>
            <c:numRef>
              <c:f>'F11'!$E$5:$E$16</c:f>
              <c:numCache>
                <c:formatCode>0\,00\,000;\-0\,00\,000;0</c:formatCode>
                <c:ptCount val="12"/>
                <c:pt idx="0">
                  <c:v>121730.01</c:v>
                </c:pt>
                <c:pt idx="1">
                  <c:v>89136.44</c:v>
                </c:pt>
                <c:pt idx="2" formatCode="#,##0">
                  <c:v>90782.64</c:v>
                </c:pt>
                <c:pt idx="3" formatCode="#,##0">
                  <c:v>88404.000000000015</c:v>
                </c:pt>
                <c:pt idx="4" formatCode="#,##0">
                  <c:v>79665.3</c:v>
                </c:pt>
                <c:pt idx="5" formatCode="#,##0">
                  <c:v>76874.000000000015</c:v>
                </c:pt>
                <c:pt idx="6" formatCode="#,##0">
                  <c:v>83618.37999999999</c:v>
                </c:pt>
                <c:pt idx="7" formatCode="#,##0">
                  <c:v>75565.039999999994</c:v>
                </c:pt>
                <c:pt idx="8" formatCode="#,##0">
                  <c:v>95400.379999999976</c:v>
                </c:pt>
                <c:pt idx="9" formatCode="#,##0">
                  <c:v>90992.76</c:v>
                </c:pt>
                <c:pt idx="10" formatCode="#,##0">
                  <c:v>79923.94</c:v>
                </c:pt>
                <c:pt idx="11" formatCode="#,##0">
                  <c:v>91924.45</c:v>
                </c:pt>
              </c:numCache>
            </c:numRef>
          </c:val>
          <c:extLst>
            <c:ext xmlns:c16="http://schemas.microsoft.com/office/drawing/2014/chart" uri="{C3380CC4-5D6E-409C-BE32-E72D297353CC}">
              <c16:uniqueId val="{00000001-DFE8-41D0-B354-4C2DF71AA9B2}"/>
            </c:ext>
          </c:extLst>
        </c:ser>
        <c:dLbls>
          <c:showLegendKey val="0"/>
          <c:showVal val="0"/>
          <c:showCatName val="0"/>
          <c:showSerName val="0"/>
          <c:showPercent val="0"/>
          <c:showBubbleSize val="0"/>
        </c:dLbls>
        <c:gapWidth val="219"/>
        <c:overlap val="-27"/>
        <c:axId val="880118536"/>
        <c:axId val="880120496"/>
      </c:barChart>
      <c:dateAx>
        <c:axId val="88011853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80120496"/>
        <c:crosses val="autoZero"/>
        <c:auto val="1"/>
        <c:lblOffset val="100"/>
        <c:baseTimeUnit val="months"/>
      </c:dateAx>
      <c:valAx>
        <c:axId val="880120496"/>
        <c:scaling>
          <c:orientation val="minMax"/>
          <c:min val="30000"/>
        </c:scaling>
        <c:delete val="1"/>
        <c:axPos val="l"/>
        <c:numFmt formatCode="#,##0;\-#,##0;0" sourceLinked="1"/>
        <c:majorTickMark val="none"/>
        <c:minorTickMark val="none"/>
        <c:tickLblPos val="nextTo"/>
        <c:crossAx val="88011853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44326</c:v>
                </c:pt>
                <c:pt idx="11">
                  <c:v>44357</c:v>
                </c:pt>
              </c:numCache>
            </c:numRef>
          </c:cat>
          <c:val>
            <c:numRef>
              <c:f>'F12'!$B$3:$B$14</c:f>
              <c:numCache>
                <c:formatCode>#,##0;\-#,##0;0</c:formatCode>
                <c:ptCount val="12"/>
                <c:pt idx="0">
                  <c:v>-9195.0400000000009</c:v>
                </c:pt>
                <c:pt idx="1">
                  <c:v>-9213.44</c:v>
                </c:pt>
                <c:pt idx="2">
                  <c:v>-4134.37</c:v>
                </c:pt>
                <c:pt idx="3">
                  <c:v>-14491.79</c:v>
                </c:pt>
                <c:pt idx="4">
                  <c:v>-30760.07</c:v>
                </c:pt>
                <c:pt idx="5">
                  <c:v>-26427.83</c:v>
                </c:pt>
                <c:pt idx="6">
                  <c:v>-13031.78</c:v>
                </c:pt>
                <c:pt idx="7">
                  <c:v>-16306</c:v>
                </c:pt>
                <c:pt idx="8">
                  <c:v>4772.83</c:v>
                </c:pt>
                <c:pt idx="9">
                  <c:v>5526.36</c:v>
                </c:pt>
                <c:pt idx="10" formatCode="[&gt;9999999]##\,##\,##\,##0;[&gt;99999]##\,##\,##0;##,##0">
                  <c:v>475.75</c:v>
                </c:pt>
                <c:pt idx="11" formatCode="[&gt;9999999]##\,##\,##\,##0;[&gt;99999]##\,##\,##0;##,##0">
                  <c:v>6437.08</c:v>
                </c:pt>
              </c:numCache>
            </c:numRef>
          </c:val>
          <c:extLst>
            <c:ext xmlns:c16="http://schemas.microsoft.com/office/drawing/2014/chart" uri="{C3380CC4-5D6E-409C-BE32-E72D297353CC}">
              <c16:uniqueId val="{00000000-9F67-4169-86B8-8E6756EBC163}"/>
            </c:ext>
          </c:extLst>
        </c:ser>
        <c:ser>
          <c:idx val="1"/>
          <c:order val="1"/>
          <c:tx>
            <c:strRef>
              <c:f>'F12'!$C$2</c:f>
              <c:strCache>
                <c:ptCount val="1"/>
                <c:pt idx="0">
                  <c:v>Debt</c:v>
                </c:pt>
              </c:strCache>
            </c:strRef>
          </c:tx>
          <c:spPr>
            <a:solidFill>
              <a:schemeClr val="accent2"/>
            </a:solidFill>
            <a:ln>
              <a:noFill/>
            </a:ln>
            <a:effectLst/>
          </c:spPr>
          <c:invertIfNegative val="0"/>
          <c:cat>
            <c:numRef>
              <c:f>'F12'!$A$3:$A$14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44326</c:v>
                </c:pt>
                <c:pt idx="11">
                  <c:v>44357</c:v>
                </c:pt>
              </c:numCache>
            </c:numRef>
          </c:cat>
          <c:val>
            <c:numRef>
              <c:f>'F12'!$C$3:$C$14</c:f>
              <c:numCache>
                <c:formatCode>#,##0;\-#,##0;0</c:formatCode>
                <c:ptCount val="12"/>
                <c:pt idx="0">
                  <c:v>31897.85</c:v>
                </c:pt>
                <c:pt idx="1">
                  <c:v>25780.28</c:v>
                </c:pt>
                <c:pt idx="2">
                  <c:v>17004.97</c:v>
                </c:pt>
                <c:pt idx="3">
                  <c:v>31975.11</c:v>
                </c:pt>
                <c:pt idx="4">
                  <c:v>20349.349999999999</c:v>
                </c:pt>
                <c:pt idx="5">
                  <c:v>23368.42</c:v>
                </c:pt>
                <c:pt idx="6">
                  <c:v>11831.74</c:v>
                </c:pt>
                <c:pt idx="7">
                  <c:v>8161.78</c:v>
                </c:pt>
                <c:pt idx="8">
                  <c:v>15661.48</c:v>
                </c:pt>
                <c:pt idx="9">
                  <c:v>21588.400000000001</c:v>
                </c:pt>
                <c:pt idx="10" formatCode="[&gt;9999999]##\,##\,##\,##0;[&gt;99999]##\,##\,##0;##,##0">
                  <c:v>4238.12</c:v>
                </c:pt>
                <c:pt idx="11" formatCode="[&gt;9999999]##\,##\,##\,##0;[&gt;99999]##\,##\,##0;##,##0">
                  <c:v>6449.01</c:v>
                </c:pt>
              </c:numCache>
            </c:numRef>
          </c:val>
          <c:extLst>
            <c:ext xmlns:c16="http://schemas.microsoft.com/office/drawing/2014/chart" uri="{C3380CC4-5D6E-409C-BE32-E72D297353CC}">
              <c16:uniqueId val="{00000001-9F67-4169-86B8-8E6756EBC163}"/>
            </c:ext>
          </c:extLst>
        </c:ser>
        <c:dLbls>
          <c:showLegendKey val="0"/>
          <c:showVal val="0"/>
          <c:showCatName val="0"/>
          <c:showSerName val="0"/>
          <c:showPercent val="0"/>
          <c:showBubbleSize val="0"/>
        </c:dLbls>
        <c:gapWidth val="219"/>
        <c:overlap val="-27"/>
        <c:axId val="880119320"/>
        <c:axId val="880120104"/>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'F12'!$A$3:$A$14</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44326</c:v>
                </c:pt>
                <c:pt idx="11">
                  <c:v>44357</c:v>
                </c:pt>
              </c:numCache>
            </c:numRef>
          </c:cat>
          <c:val>
            <c:numRef>
              <c:f>'F12'!$D$3:$D$14</c:f>
              <c:numCache>
                <c:formatCode>[&gt;9999999]##\,##\,##\,##0;[&gt;99999]##\,##\,##0;##,##0</c:formatCode>
                <c:ptCount val="12"/>
                <c:pt idx="0">
                  <c:v>22702.809999999998</c:v>
                </c:pt>
                <c:pt idx="1">
                  <c:v>16566.839999999997</c:v>
                </c:pt>
                <c:pt idx="2">
                  <c:v>12870.600000000002</c:v>
                </c:pt>
                <c:pt idx="3">
                  <c:v>17483.32</c:v>
                </c:pt>
                <c:pt idx="4">
                  <c:v>-10410.720000000001</c:v>
                </c:pt>
                <c:pt idx="5">
                  <c:v>-3059.4100000000035</c:v>
                </c:pt>
                <c:pt idx="6">
                  <c:v>-1200.0400000000009</c:v>
                </c:pt>
                <c:pt idx="7">
                  <c:v>-8144.22</c:v>
                </c:pt>
                <c:pt idx="8">
                  <c:v>20434.309999999998</c:v>
                </c:pt>
                <c:pt idx="9">
                  <c:v>27114.760000000002</c:v>
                </c:pt>
                <c:pt idx="10">
                  <c:v>4713.87</c:v>
                </c:pt>
                <c:pt idx="11">
                  <c:v>12886.09</c:v>
                </c:pt>
              </c:numCache>
            </c:numRef>
          </c:val>
          <c:smooth val="0"/>
          <c:extLst>
            <c:ext xmlns:c16="http://schemas.microsoft.com/office/drawing/2014/chart" uri="{C3380CC4-5D6E-409C-BE32-E72D297353CC}">
              <c16:uniqueId val="{00000002-9F67-4169-86B8-8E6756EBC163}"/>
            </c:ext>
          </c:extLst>
        </c:ser>
        <c:dLbls>
          <c:showLegendKey val="0"/>
          <c:showVal val="0"/>
          <c:showCatName val="0"/>
          <c:showSerName val="0"/>
          <c:showPercent val="0"/>
          <c:showBubbleSize val="0"/>
        </c:dLbls>
        <c:marker val="1"/>
        <c:smooth val="0"/>
        <c:axId val="880119320"/>
        <c:axId val="880120104"/>
      </c:lineChart>
      <c:dateAx>
        <c:axId val="880119320"/>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80120104"/>
        <c:crosses val="autoZero"/>
        <c:auto val="1"/>
        <c:lblOffset val="100"/>
        <c:baseTimeUnit val="months"/>
      </c:dateAx>
      <c:valAx>
        <c:axId val="88012010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8011932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 13'!$B$5:$B$16</c:f>
              <c:numCache>
                <c:formatCode>#,##0</c:formatCode>
                <c:ptCount val="12"/>
                <c:pt idx="0">
                  <c:v>7563</c:v>
                </c:pt>
                <c:pt idx="1">
                  <c:v>47080</c:v>
                </c:pt>
                <c:pt idx="2">
                  <c:v>-7783</c:v>
                </c:pt>
                <c:pt idx="3">
                  <c:v>19541</c:v>
                </c:pt>
                <c:pt idx="4">
                  <c:v>60358</c:v>
                </c:pt>
                <c:pt idx="5">
                  <c:v>62016</c:v>
                </c:pt>
                <c:pt idx="6">
                  <c:v>19473</c:v>
                </c:pt>
                <c:pt idx="7">
                  <c:v>25787</c:v>
                </c:pt>
                <c:pt idx="8">
                  <c:v>10482</c:v>
                </c:pt>
                <c:pt idx="9">
                  <c:v>-9659</c:v>
                </c:pt>
                <c:pt idx="10">
                  <c:v>-2954</c:v>
                </c:pt>
                <c:pt idx="11">
                  <c:v>17215</c:v>
                </c:pt>
              </c:numCache>
            </c:numRef>
          </c:val>
          <c:extLst>
            <c:ext xmlns:c16="http://schemas.microsoft.com/office/drawing/2014/chart" uri="{C3380CC4-5D6E-409C-BE32-E72D297353CC}">
              <c16:uniqueId val="{00000000-D6B0-43B4-8354-C523DE2AE61A}"/>
            </c:ext>
          </c:extLst>
        </c:ser>
        <c:ser>
          <c:idx val="1"/>
          <c:order val="1"/>
          <c:tx>
            <c:strRef>
              <c:f>'F 13'!$C$3</c:f>
              <c:strCache>
                <c:ptCount val="1"/>
                <c:pt idx="0">
                  <c:v>Debt (LHS)</c:v>
                </c:pt>
              </c:strCache>
            </c:strRef>
          </c:tx>
          <c:spPr>
            <a:solidFill>
              <a:schemeClr val="accent2"/>
            </a:solidFill>
            <a:ln>
              <a:noFill/>
            </a:ln>
            <a:effectLst/>
          </c:spPr>
          <c:invertIfNegative val="0"/>
          <c:cat>
            <c:numRef>
              <c:f>'F 13'!$A$5:$A$16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 13'!$C$5:$C$16</c:f>
              <c:numCache>
                <c:formatCode>#,##0</c:formatCode>
                <c:ptCount val="12"/>
                <c:pt idx="0">
                  <c:v>-2476</c:v>
                </c:pt>
                <c:pt idx="1">
                  <c:v>-3310</c:v>
                </c:pt>
                <c:pt idx="2">
                  <c:v>3958</c:v>
                </c:pt>
                <c:pt idx="3">
                  <c:v>1641</c:v>
                </c:pt>
                <c:pt idx="4">
                  <c:v>-1806</c:v>
                </c:pt>
                <c:pt idx="5">
                  <c:v>4079</c:v>
                </c:pt>
                <c:pt idx="6">
                  <c:v>-2518</c:v>
                </c:pt>
                <c:pt idx="7">
                  <c:v>-6488</c:v>
                </c:pt>
                <c:pt idx="8">
                  <c:v>-6492</c:v>
                </c:pt>
                <c:pt idx="9">
                  <c:v>-118</c:v>
                </c:pt>
                <c:pt idx="10">
                  <c:v>-1706</c:v>
                </c:pt>
                <c:pt idx="11">
                  <c:v>-4829</c:v>
                </c:pt>
              </c:numCache>
            </c:numRef>
          </c:val>
          <c:extLst>
            <c:ext xmlns:c16="http://schemas.microsoft.com/office/drawing/2014/chart" uri="{C3380CC4-5D6E-409C-BE32-E72D297353CC}">
              <c16:uniqueId val="{00000001-D6B0-43B4-8354-C523DE2AE61A}"/>
            </c:ext>
          </c:extLst>
        </c:ser>
        <c:dLbls>
          <c:showLegendKey val="0"/>
          <c:showVal val="0"/>
          <c:showCatName val="0"/>
          <c:showSerName val="0"/>
          <c:showPercent val="0"/>
          <c:showBubbleSize val="0"/>
        </c:dLbls>
        <c:gapWidth val="219"/>
        <c:overlap val="-27"/>
        <c:axId val="880119712"/>
        <c:axId val="880117752"/>
      </c:barChart>
      <c:barChart>
        <c:barDir val="col"/>
        <c:grouping val="clustered"/>
        <c:varyColors val="0"/>
        <c:ser>
          <c:idx val="2"/>
          <c:order val="2"/>
          <c:tx>
            <c:strRef>
              <c:f>'F 13'!$D$3</c:f>
              <c:strCache>
                <c:ptCount val="1"/>
                <c:pt idx="0">
                  <c:v>Debt-VRR (RHS)</c:v>
                </c:pt>
              </c:strCache>
            </c:strRef>
          </c:tx>
          <c:spPr>
            <a:solidFill>
              <a:schemeClr val="accent3"/>
            </a:solidFill>
            <a:ln>
              <a:noFill/>
            </a:ln>
            <a:effectLst/>
          </c:spPr>
          <c:invertIfNegative val="0"/>
          <c:cat>
            <c:numRef>
              <c:f>'F 13'!$A$5:$A$16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 13'!$D$5:$D$16</c:f>
              <c:numCache>
                <c:formatCode>#,##0</c:formatCode>
                <c:ptCount val="12"/>
                <c:pt idx="0">
                  <c:v>-1786</c:v>
                </c:pt>
                <c:pt idx="1">
                  <c:v>2762</c:v>
                </c:pt>
                <c:pt idx="2">
                  <c:v>406</c:v>
                </c:pt>
                <c:pt idx="3">
                  <c:v>851</c:v>
                </c:pt>
                <c:pt idx="4">
                  <c:v>4399</c:v>
                </c:pt>
                <c:pt idx="5">
                  <c:v>2463</c:v>
                </c:pt>
                <c:pt idx="6">
                  <c:v>-2306</c:v>
                </c:pt>
                <c:pt idx="7">
                  <c:v>4364</c:v>
                </c:pt>
                <c:pt idx="8">
                  <c:v>13314</c:v>
                </c:pt>
                <c:pt idx="9">
                  <c:v>342</c:v>
                </c:pt>
                <c:pt idx="10">
                  <c:v>1994</c:v>
                </c:pt>
                <c:pt idx="11">
                  <c:v>883</c:v>
                </c:pt>
              </c:numCache>
            </c:numRef>
          </c:val>
          <c:extLst>
            <c:ext xmlns:c16="http://schemas.microsoft.com/office/drawing/2014/chart" uri="{C3380CC4-5D6E-409C-BE32-E72D297353CC}">
              <c16:uniqueId val="{00000002-D6B0-43B4-8354-C523DE2AE61A}"/>
            </c:ext>
          </c:extLst>
        </c:ser>
        <c:ser>
          <c:idx val="3"/>
          <c:order val="3"/>
          <c:tx>
            <c:strRef>
              <c:f>'F 13'!$E$3</c:f>
              <c:strCache>
                <c:ptCount val="1"/>
                <c:pt idx="0">
                  <c:v>Hybrid  (RHS)</c:v>
                </c:pt>
              </c:strCache>
            </c:strRef>
          </c:tx>
          <c:spPr>
            <a:solidFill>
              <a:schemeClr val="accent4"/>
            </a:solidFill>
            <a:ln>
              <a:noFill/>
            </a:ln>
            <a:effectLst/>
          </c:spPr>
          <c:invertIfNegative val="0"/>
          <c:cat>
            <c:numRef>
              <c:f>'F 13'!$A$5:$A$16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 13'!$E$5:$E$16</c:f>
              <c:numCache>
                <c:formatCode>#,##0</c:formatCode>
                <c:ptCount val="12"/>
                <c:pt idx="0">
                  <c:v>1</c:v>
                </c:pt>
                <c:pt idx="1">
                  <c:v>3347</c:v>
                </c:pt>
                <c:pt idx="2">
                  <c:v>2222</c:v>
                </c:pt>
                <c:pt idx="3">
                  <c:v>-207</c:v>
                </c:pt>
                <c:pt idx="4">
                  <c:v>-169</c:v>
                </c:pt>
                <c:pt idx="5">
                  <c:v>2489</c:v>
                </c:pt>
                <c:pt idx="6">
                  <c:v>-17</c:v>
                </c:pt>
                <c:pt idx="7">
                  <c:v>350</c:v>
                </c:pt>
                <c:pt idx="8">
                  <c:v>-281</c:v>
                </c:pt>
                <c:pt idx="9">
                  <c:v>599</c:v>
                </c:pt>
                <c:pt idx="10">
                  <c:v>709</c:v>
                </c:pt>
                <c:pt idx="11">
                  <c:v>-295</c:v>
                </c:pt>
              </c:numCache>
            </c:numRef>
          </c:val>
          <c:extLst>
            <c:ext xmlns:c16="http://schemas.microsoft.com/office/drawing/2014/chart" uri="{C3380CC4-5D6E-409C-BE32-E72D297353CC}">
              <c16:uniqueId val="{00000003-D6B0-43B4-8354-C523DE2AE61A}"/>
            </c:ext>
          </c:extLst>
        </c:ser>
        <c:dLbls>
          <c:showLegendKey val="0"/>
          <c:showVal val="0"/>
          <c:showCatName val="0"/>
          <c:showSerName val="0"/>
          <c:showPercent val="0"/>
          <c:showBubbleSize val="0"/>
        </c:dLbls>
        <c:gapWidth val="219"/>
        <c:overlap val="-27"/>
        <c:axId val="840695968"/>
        <c:axId val="840692440"/>
      </c:barChart>
      <c:lineChart>
        <c:grouping val="standard"/>
        <c:varyColors val="0"/>
        <c:ser>
          <c:idx val="4"/>
          <c:order val="4"/>
          <c:tx>
            <c:strRef>
              <c:f>'F 13'!$F$3</c:f>
              <c:strCache>
                <c:ptCount val="1"/>
                <c:pt idx="0">
                  <c:v>Total (LHS)</c:v>
                </c:pt>
              </c:strCache>
            </c:strRef>
          </c:tx>
          <c:spPr>
            <a:ln w="28575" cap="rnd">
              <a:solidFill>
                <a:schemeClr val="accent5"/>
              </a:solidFill>
              <a:round/>
            </a:ln>
            <a:effectLst/>
          </c:spPr>
          <c:marker>
            <c:symbol val="none"/>
          </c:marker>
          <c:cat>
            <c:numRef>
              <c:f>'F 13'!$A$5:$A$16</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44317</c:v>
                </c:pt>
                <c:pt idx="11">
                  <c:v>44348</c:v>
                </c:pt>
              </c:numCache>
            </c:numRef>
          </c:cat>
          <c:val>
            <c:numRef>
              <c:f>'F 13'!$F$5:$F$16</c:f>
              <c:numCache>
                <c:formatCode>#,##0</c:formatCode>
                <c:ptCount val="12"/>
                <c:pt idx="0">
                  <c:v>3301</c:v>
                </c:pt>
                <c:pt idx="1">
                  <c:v>49879</c:v>
                </c:pt>
                <c:pt idx="2">
                  <c:v>-1196</c:v>
                </c:pt>
                <c:pt idx="3">
                  <c:v>21826</c:v>
                </c:pt>
                <c:pt idx="4">
                  <c:v>62782</c:v>
                </c:pt>
                <c:pt idx="5">
                  <c:v>71046</c:v>
                </c:pt>
                <c:pt idx="6">
                  <c:v>14631</c:v>
                </c:pt>
                <c:pt idx="7">
                  <c:v>24013</c:v>
                </c:pt>
                <c:pt idx="8">
                  <c:v>17023</c:v>
                </c:pt>
                <c:pt idx="9">
                  <c:v>-8836</c:v>
                </c:pt>
                <c:pt idx="10">
                  <c:v>-1958</c:v>
                </c:pt>
                <c:pt idx="11">
                  <c:v>12974</c:v>
                </c:pt>
              </c:numCache>
            </c:numRef>
          </c:val>
          <c:smooth val="0"/>
          <c:extLst>
            <c:ext xmlns:c16="http://schemas.microsoft.com/office/drawing/2014/chart" uri="{C3380CC4-5D6E-409C-BE32-E72D297353CC}">
              <c16:uniqueId val="{00000004-D6B0-43B4-8354-C523DE2AE61A}"/>
            </c:ext>
          </c:extLst>
        </c:ser>
        <c:dLbls>
          <c:showLegendKey val="0"/>
          <c:showVal val="0"/>
          <c:showCatName val="0"/>
          <c:showSerName val="0"/>
          <c:showPercent val="0"/>
          <c:showBubbleSize val="0"/>
        </c:dLbls>
        <c:marker val="1"/>
        <c:smooth val="0"/>
        <c:axId val="880119712"/>
        <c:axId val="880117752"/>
      </c:lineChart>
      <c:dateAx>
        <c:axId val="880119712"/>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80117752"/>
        <c:crosses val="autoZero"/>
        <c:auto val="1"/>
        <c:lblOffset val="100"/>
        <c:baseTimeUnit val="months"/>
      </c:dateAx>
      <c:valAx>
        <c:axId val="880117752"/>
        <c:scaling>
          <c:orientation val="minMax"/>
          <c:max val="8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80119712"/>
        <c:crosses val="autoZero"/>
        <c:crossBetween val="between"/>
      </c:valAx>
      <c:valAx>
        <c:axId val="840692440"/>
        <c:scaling>
          <c:orientation val="minMax"/>
          <c:max val="8000"/>
          <c:min val="-4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40695968"/>
        <c:crosses val="max"/>
        <c:crossBetween val="between"/>
      </c:valAx>
      <c:dateAx>
        <c:axId val="840695968"/>
        <c:scaling>
          <c:orientation val="minMax"/>
        </c:scaling>
        <c:delete val="1"/>
        <c:axPos val="b"/>
        <c:numFmt formatCode="[$-409]mmm\-yy" sourceLinked="1"/>
        <c:majorTickMark val="out"/>
        <c:minorTickMark val="none"/>
        <c:tickLblPos val="nextTo"/>
        <c:crossAx val="840692440"/>
        <c:crosses val="autoZero"/>
        <c:auto val="1"/>
        <c:lblOffset val="100"/>
        <c:baseTimeUnit val="day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'F14'!$A$6:$A$17</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44326</c:v>
                </c:pt>
                <c:pt idx="11">
                  <c:v>44357</c:v>
                </c:pt>
              </c:numCache>
            </c:numRef>
          </c:cat>
          <c:val>
            <c:numRef>
              <c:f>'F14'!$I$6:$I$17</c:f>
              <c:numCache>
                <c:formatCode>#,##0;\-#,##0;0.0</c:formatCode>
                <c:ptCount val="12"/>
                <c:pt idx="0">
                  <c:v>528.16</c:v>
                </c:pt>
                <c:pt idx="1">
                  <c:v>3861.67</c:v>
                </c:pt>
                <c:pt idx="2">
                  <c:v>3010.3900000000003</c:v>
                </c:pt>
                <c:pt idx="3">
                  <c:v>480.5</c:v>
                </c:pt>
                <c:pt idx="4">
                  <c:v>0</c:v>
                </c:pt>
                <c:pt idx="5">
                  <c:v>47.49</c:v>
                </c:pt>
                <c:pt idx="6">
                  <c:v>140.80000000000001</c:v>
                </c:pt>
                <c:pt idx="7">
                  <c:v>211.18</c:v>
                </c:pt>
                <c:pt idx="8">
                  <c:v>440.03000000000003</c:v>
                </c:pt>
                <c:pt idx="9">
                  <c:v>5974.8600000000006</c:v>
                </c:pt>
                <c:pt idx="10">
                  <c:v>1400.44</c:v>
                </c:pt>
                <c:pt idx="11">
                  <c:v>81.680000000000007</c:v>
                </c:pt>
              </c:numCache>
            </c:numRef>
          </c:val>
          <c:extLst>
            <c:ext xmlns:c16="http://schemas.microsoft.com/office/drawing/2014/chart" uri="{C3380CC4-5D6E-409C-BE32-E72D297353CC}">
              <c16:uniqueId val="{00000000-0C8B-41AE-A27F-04976005D917}"/>
            </c:ext>
          </c:extLst>
        </c:ser>
        <c:dLbls>
          <c:showLegendKey val="0"/>
          <c:showVal val="0"/>
          <c:showCatName val="0"/>
          <c:showSerName val="0"/>
          <c:showPercent val="0"/>
          <c:showBubbleSize val="0"/>
        </c:dLbls>
        <c:gapWidth val="219"/>
        <c:axId val="592540232"/>
        <c:axId val="593176056"/>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'F14'!$A$6:$A$17</c:f>
              <c:numCache>
                <c:formatCode>[$-409]mmm\-yy</c:formatCode>
                <c:ptCount val="12"/>
                <c:pt idx="0">
                  <c:v>44022</c:v>
                </c:pt>
                <c:pt idx="1">
                  <c:v>44053</c:v>
                </c:pt>
                <c:pt idx="2">
                  <c:v>44084</c:v>
                </c:pt>
                <c:pt idx="3">
                  <c:v>44114</c:v>
                </c:pt>
                <c:pt idx="4">
                  <c:v>44145</c:v>
                </c:pt>
                <c:pt idx="5">
                  <c:v>44175</c:v>
                </c:pt>
                <c:pt idx="6">
                  <c:v>44206</c:v>
                </c:pt>
                <c:pt idx="7">
                  <c:v>44237</c:v>
                </c:pt>
                <c:pt idx="8">
                  <c:v>44265</c:v>
                </c:pt>
                <c:pt idx="9">
                  <c:v>44296</c:v>
                </c:pt>
                <c:pt idx="10">
                  <c:v>44326</c:v>
                </c:pt>
                <c:pt idx="11">
                  <c:v>44357</c:v>
                </c:pt>
              </c:numCache>
            </c:numRef>
          </c:cat>
          <c:val>
            <c:numRef>
              <c:f>'F14'!$H$6:$H$17</c:f>
              <c:numCache>
                <c:formatCode>General</c:formatCode>
                <c:ptCount val="12"/>
                <c:pt idx="0">
                  <c:v>2</c:v>
                </c:pt>
                <c:pt idx="1">
                  <c:v>9</c:v>
                </c:pt>
                <c:pt idx="2">
                  <c:v>6</c:v>
                </c:pt>
                <c:pt idx="3">
                  <c:v>6</c:v>
                </c:pt>
                <c:pt idx="4">
                  <c:v>0</c:v>
                </c:pt>
                <c:pt idx="5">
                  <c:v>4</c:v>
                </c:pt>
                <c:pt idx="6">
                  <c:v>3</c:v>
                </c:pt>
                <c:pt idx="7">
                  <c:v>5</c:v>
                </c:pt>
                <c:pt idx="8">
                  <c:v>3</c:v>
                </c:pt>
                <c:pt idx="9">
                  <c:v>6</c:v>
                </c:pt>
                <c:pt idx="10">
                  <c:v>4</c:v>
                </c:pt>
                <c:pt idx="11">
                  <c:v>6</c:v>
                </c:pt>
              </c:numCache>
            </c:numRef>
          </c:val>
          <c:smooth val="0"/>
          <c:extLst>
            <c:ext xmlns:c16="http://schemas.microsoft.com/office/drawing/2014/chart" uri="{C3380CC4-5D6E-409C-BE32-E72D297353CC}">
              <c16:uniqueId val="{00000001-0C8B-41AE-A27F-04976005D917}"/>
            </c:ext>
          </c:extLst>
        </c:ser>
        <c:dLbls>
          <c:showLegendKey val="0"/>
          <c:showVal val="0"/>
          <c:showCatName val="0"/>
          <c:showSerName val="0"/>
          <c:showPercent val="0"/>
          <c:showBubbleSize val="0"/>
        </c:dLbls>
        <c:marker val="1"/>
        <c:smooth val="0"/>
        <c:axId val="593169784"/>
        <c:axId val="593174488"/>
      </c:lineChart>
      <c:dateAx>
        <c:axId val="59316978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74488"/>
        <c:crosses val="autoZero"/>
        <c:auto val="1"/>
        <c:lblOffset val="100"/>
        <c:baseTimeUnit val="months"/>
      </c:dateAx>
      <c:valAx>
        <c:axId val="593174488"/>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3169784"/>
        <c:crosses val="autoZero"/>
        <c:crossBetween val="between"/>
        <c:majorUnit val="2"/>
      </c:valAx>
      <c:valAx>
        <c:axId val="593176056"/>
        <c:scaling>
          <c:orientation val="minMax"/>
          <c:max val="4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a:latin typeface="Rupee Foradian" panose="020B0603030804020204" pitchFamily="34" charset="0"/>
                  </a:rPr>
                  <a:t>`</a:t>
                </a:r>
                <a:r>
                  <a:rPr lang="en-IN"/>
                  <a:t> Crore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592540232"/>
        <c:crosses val="max"/>
        <c:crossBetween val="between"/>
      </c:valAx>
      <c:dateAx>
        <c:axId val="592540232"/>
        <c:scaling>
          <c:orientation val="minMax"/>
        </c:scaling>
        <c:delete val="1"/>
        <c:axPos val="b"/>
        <c:numFmt formatCode="[$-409]mmm\-yy" sourceLinked="1"/>
        <c:majorTickMark val="out"/>
        <c:minorTickMark val="none"/>
        <c:tickLblPos val="nextTo"/>
        <c:crossAx val="593176056"/>
        <c:crosses val="autoZero"/>
        <c:auto val="1"/>
        <c:lblOffset val="100"/>
        <c:baseTimeUnit val="months"/>
        <c:majorUnit val="1"/>
        <c:minorUnit val="1"/>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000" b="1" i="0" u="none" strike="noStrike" kern="1200" spc="0" baseline="0">
                <a:solidFill>
                  <a:srgbClr val="0070C0"/>
                </a:solidFill>
                <a:latin typeface="+mn-lt"/>
                <a:ea typeface="+mn-ea"/>
                <a:cs typeface="+mn-cs"/>
              </a:defRPr>
            </a:pPr>
            <a:r>
              <a:rPr lang="en-IN" sz="1000" b="1">
                <a:solidFill>
                  <a:srgbClr val="0070C0"/>
                </a:solidFill>
              </a:rPr>
              <a:t>Movement of Commodity Derivative Domestic Indices</a:t>
            </a:r>
          </a:p>
        </c:rich>
      </c:tx>
      <c:layout>
        <c:manualLayout>
          <c:xMode val="edge"/>
          <c:yMode val="edge"/>
          <c:x val="0.14982220846508645"/>
          <c:y val="1.7017303974727709E-2"/>
        </c:manualLayout>
      </c:layout>
      <c:overlay val="0"/>
      <c:spPr>
        <a:noFill/>
        <a:ln>
          <a:noFill/>
        </a:ln>
        <a:effectLst/>
      </c:spPr>
      <c:txPr>
        <a:bodyPr rot="0" spcFirstLastPara="1" vertOverflow="ellipsis" vert="horz" wrap="square" anchor="ctr" anchorCtr="1"/>
        <a:lstStyle/>
        <a:p>
          <a:pPr algn="ctr">
            <a:defRPr sz="1000" b="1" i="0" u="none" strike="noStrike" kern="1200" spc="0" baseline="0">
              <a:solidFill>
                <a:srgbClr val="0070C0"/>
              </a:solidFill>
              <a:latin typeface="+mn-lt"/>
              <a:ea typeface="+mn-ea"/>
              <a:cs typeface="+mn-cs"/>
            </a:defRPr>
          </a:pPr>
          <a:endParaRPr lang="en-US"/>
        </a:p>
      </c:txPr>
    </c:title>
    <c:autoTitleDeleted val="0"/>
    <c:plotArea>
      <c:layout>
        <c:manualLayout>
          <c:layoutTarget val="inner"/>
          <c:xMode val="edge"/>
          <c:yMode val="edge"/>
          <c:x val="3.0445248133130945E-2"/>
          <c:y val="9.5263813252921672E-2"/>
          <c:w val="0.93910950373373814"/>
          <c:h val="0.61406543896862764"/>
        </c:manualLayout>
      </c:layout>
      <c:lineChart>
        <c:grouping val="standard"/>
        <c:varyColors val="0"/>
        <c:ser>
          <c:idx val="0"/>
          <c:order val="0"/>
          <c:tx>
            <c:v>MCX iCOMDEX composite index</c:v>
          </c:tx>
          <c:spPr>
            <a:ln w="28575" cap="rnd">
              <a:solidFill>
                <a:schemeClr val="accent1"/>
              </a:solidFill>
              <a:round/>
            </a:ln>
            <a:effectLst/>
          </c:spPr>
          <c:marker>
            <c:symbol val="none"/>
          </c:marker>
          <c:cat>
            <c:numRef>
              <c:f>Graph!$D$300:$D$322</c:f>
              <c:numCache>
                <c:formatCode>d\-mmm\-yy</c:formatCode>
                <c:ptCount val="23"/>
                <c:pt idx="0">
                  <c:v>44347</c:v>
                </c:pt>
                <c:pt idx="1">
                  <c:v>44348</c:v>
                </c:pt>
                <c:pt idx="2">
                  <c:v>44349</c:v>
                </c:pt>
                <c:pt idx="3">
                  <c:v>44350</c:v>
                </c:pt>
                <c:pt idx="4">
                  <c:v>44351</c:v>
                </c:pt>
                <c:pt idx="5">
                  <c:v>44354</c:v>
                </c:pt>
                <c:pt idx="6">
                  <c:v>44355</c:v>
                </c:pt>
                <c:pt idx="7">
                  <c:v>44356</c:v>
                </c:pt>
                <c:pt idx="8">
                  <c:v>44357</c:v>
                </c:pt>
                <c:pt idx="9">
                  <c:v>44358</c:v>
                </c:pt>
                <c:pt idx="10">
                  <c:v>44361</c:v>
                </c:pt>
                <c:pt idx="11">
                  <c:v>44362</c:v>
                </c:pt>
                <c:pt idx="12">
                  <c:v>44363</c:v>
                </c:pt>
                <c:pt idx="13">
                  <c:v>44364</c:v>
                </c:pt>
                <c:pt idx="14">
                  <c:v>44365</c:v>
                </c:pt>
                <c:pt idx="15">
                  <c:v>44368</c:v>
                </c:pt>
                <c:pt idx="16">
                  <c:v>44369</c:v>
                </c:pt>
                <c:pt idx="17">
                  <c:v>44370</c:v>
                </c:pt>
                <c:pt idx="18">
                  <c:v>44371</c:v>
                </c:pt>
                <c:pt idx="19">
                  <c:v>44372</c:v>
                </c:pt>
                <c:pt idx="20">
                  <c:v>44375</c:v>
                </c:pt>
                <c:pt idx="21">
                  <c:v>44376</c:v>
                </c:pt>
                <c:pt idx="22">
                  <c:v>44377</c:v>
                </c:pt>
              </c:numCache>
            </c:numRef>
          </c:cat>
          <c:val>
            <c:numRef>
              <c:f>Graph!$E$300:$E$322</c:f>
              <c:numCache>
                <c:formatCode>_(* #,##0.00_);_(* \(#,##0.00\);_(* "-"??_);_(@_)</c:formatCode>
                <c:ptCount val="23"/>
                <c:pt idx="0">
                  <c:v>100</c:v>
                </c:pt>
                <c:pt idx="1">
                  <c:v>100.49751591178082</c:v>
                </c:pt>
                <c:pt idx="2">
                  <c:v>100.92860908516423</c:v>
                </c:pt>
                <c:pt idx="3">
                  <c:v>99.109970218872078</c:v>
                </c:pt>
                <c:pt idx="4">
                  <c:v>99.924936195766378</c:v>
                </c:pt>
                <c:pt idx="5">
                  <c:v>100.04678395240605</c:v>
                </c:pt>
                <c:pt idx="6">
                  <c:v>100.12385527698542</c:v>
                </c:pt>
                <c:pt idx="7">
                  <c:v>100.11896740136089</c:v>
                </c:pt>
                <c:pt idx="8">
                  <c:v>100.19856994724583</c:v>
                </c:pt>
                <c:pt idx="9">
                  <c:v>100.30435754111923</c:v>
                </c:pt>
                <c:pt idx="10">
                  <c:v>99.932093442216541</c:v>
                </c:pt>
                <c:pt idx="11">
                  <c:v>99.044856732874067</c:v>
                </c:pt>
                <c:pt idx="12">
                  <c:v>99.242728412173562</c:v>
                </c:pt>
                <c:pt idx="13">
                  <c:v>96.594285375126958</c:v>
                </c:pt>
                <c:pt idx="14">
                  <c:v>96.48832321426697</c:v>
                </c:pt>
                <c:pt idx="15">
                  <c:v>97.409687769487732</c:v>
                </c:pt>
                <c:pt idx="16">
                  <c:v>97.722075391990131</c:v>
                </c:pt>
                <c:pt idx="17">
                  <c:v>98.286974160594596</c:v>
                </c:pt>
                <c:pt idx="18">
                  <c:v>98.331837876148157</c:v>
                </c:pt>
                <c:pt idx="19">
                  <c:v>98.606519029547158</c:v>
                </c:pt>
                <c:pt idx="20">
                  <c:v>98.544111331841322</c:v>
                </c:pt>
                <c:pt idx="21">
                  <c:v>98.239055522775701</c:v>
                </c:pt>
                <c:pt idx="22">
                  <c:v>98.741022892714568</c:v>
                </c:pt>
              </c:numCache>
            </c:numRef>
          </c:val>
          <c:smooth val="0"/>
          <c:extLst>
            <c:ext xmlns:c16="http://schemas.microsoft.com/office/drawing/2014/chart" uri="{C3380CC4-5D6E-409C-BE32-E72D297353CC}">
              <c16:uniqueId val="{00000000-E80C-4DF2-9745-7B7EEEF88C1B}"/>
            </c:ext>
          </c:extLst>
        </c:ser>
        <c:ser>
          <c:idx val="1"/>
          <c:order val="1"/>
          <c:tx>
            <c:v>NCDEX Nkrishi index</c:v>
          </c:tx>
          <c:spPr>
            <a:ln w="28575" cap="rnd">
              <a:solidFill>
                <a:schemeClr val="accent2"/>
              </a:solidFill>
              <a:round/>
            </a:ln>
            <a:effectLst/>
          </c:spPr>
          <c:marker>
            <c:symbol val="none"/>
          </c:marker>
          <c:cat>
            <c:numRef>
              <c:f>Graph!$D$300:$D$322</c:f>
              <c:numCache>
                <c:formatCode>d\-mmm\-yy</c:formatCode>
                <c:ptCount val="23"/>
                <c:pt idx="0">
                  <c:v>44347</c:v>
                </c:pt>
                <c:pt idx="1">
                  <c:v>44348</c:v>
                </c:pt>
                <c:pt idx="2">
                  <c:v>44349</c:v>
                </c:pt>
                <c:pt idx="3">
                  <c:v>44350</c:v>
                </c:pt>
                <c:pt idx="4">
                  <c:v>44351</c:v>
                </c:pt>
                <c:pt idx="5">
                  <c:v>44354</c:v>
                </c:pt>
                <c:pt idx="6">
                  <c:v>44355</c:v>
                </c:pt>
                <c:pt idx="7">
                  <c:v>44356</c:v>
                </c:pt>
                <c:pt idx="8">
                  <c:v>44357</c:v>
                </c:pt>
                <c:pt idx="9">
                  <c:v>44358</c:v>
                </c:pt>
                <c:pt idx="10">
                  <c:v>44361</c:v>
                </c:pt>
                <c:pt idx="11">
                  <c:v>44362</c:v>
                </c:pt>
                <c:pt idx="12">
                  <c:v>44363</c:v>
                </c:pt>
                <c:pt idx="13">
                  <c:v>44364</c:v>
                </c:pt>
                <c:pt idx="14">
                  <c:v>44365</c:v>
                </c:pt>
                <c:pt idx="15">
                  <c:v>44368</c:v>
                </c:pt>
                <c:pt idx="16">
                  <c:v>44369</c:v>
                </c:pt>
                <c:pt idx="17">
                  <c:v>44370</c:v>
                </c:pt>
                <c:pt idx="18">
                  <c:v>44371</c:v>
                </c:pt>
                <c:pt idx="19">
                  <c:v>44372</c:v>
                </c:pt>
                <c:pt idx="20">
                  <c:v>44375</c:v>
                </c:pt>
                <c:pt idx="21">
                  <c:v>44376</c:v>
                </c:pt>
                <c:pt idx="22">
                  <c:v>44377</c:v>
                </c:pt>
              </c:numCache>
            </c:numRef>
          </c:cat>
          <c:val>
            <c:numRef>
              <c:f>Graph!$F$300:$F$322</c:f>
              <c:numCache>
                <c:formatCode>_(* #,##0.00_);_(* \(#,##0.00\);_(* "-"??_);_(@_)</c:formatCode>
                <c:ptCount val="23"/>
                <c:pt idx="0">
                  <c:v>100</c:v>
                </c:pt>
                <c:pt idx="1">
                  <c:v>100.15292293738595</c:v>
                </c:pt>
                <c:pt idx="2">
                  <c:v>101.25080416372245</c:v>
                </c:pt>
                <c:pt idx="3">
                  <c:v>101.09577194444149</c:v>
                </c:pt>
                <c:pt idx="4">
                  <c:v>99.999999999999986</c:v>
                </c:pt>
                <c:pt idx="5">
                  <c:v>102.09029835792403</c:v>
                </c:pt>
                <c:pt idx="6">
                  <c:v>101.56825108891677</c:v>
                </c:pt>
                <c:pt idx="7">
                  <c:v>100.65282274649593</c:v>
                </c:pt>
                <c:pt idx="8">
                  <c:v>99.216401776015346</c:v>
                </c:pt>
                <c:pt idx="9">
                  <c:v>97.719866271527849</c:v>
                </c:pt>
                <c:pt idx="10">
                  <c:v>96.570307638764376</c:v>
                </c:pt>
                <c:pt idx="11">
                  <c:v>97.711429143947925</c:v>
                </c:pt>
                <c:pt idx="12">
                  <c:v>97.699828093525539</c:v>
                </c:pt>
                <c:pt idx="13">
                  <c:v>96.978453685442773</c:v>
                </c:pt>
                <c:pt idx="14">
                  <c:v>96.327740220841804</c:v>
                </c:pt>
                <c:pt idx="15">
                  <c:v>99.187926470433126</c:v>
                </c:pt>
                <c:pt idx="16">
                  <c:v>100.41658317425831</c:v>
                </c:pt>
                <c:pt idx="17">
                  <c:v>99.843913139771558</c:v>
                </c:pt>
                <c:pt idx="18">
                  <c:v>99.337685484976632</c:v>
                </c:pt>
                <c:pt idx="19">
                  <c:v>99.500100190890009</c:v>
                </c:pt>
                <c:pt idx="20">
                  <c:v>99.030784969257212</c:v>
                </c:pt>
                <c:pt idx="21">
                  <c:v>100.08015271200918</c:v>
                </c:pt>
                <c:pt idx="22">
                  <c:v>99.829148166506698</c:v>
                </c:pt>
              </c:numCache>
            </c:numRef>
          </c:val>
          <c:smooth val="0"/>
          <c:extLst>
            <c:ext xmlns:c16="http://schemas.microsoft.com/office/drawing/2014/chart" uri="{C3380CC4-5D6E-409C-BE32-E72D297353CC}">
              <c16:uniqueId val="{00000001-E80C-4DF2-9745-7B7EEEF88C1B}"/>
            </c:ext>
          </c:extLst>
        </c:ser>
        <c:dLbls>
          <c:showLegendKey val="0"/>
          <c:showVal val="0"/>
          <c:showCatName val="0"/>
          <c:showSerName val="0"/>
          <c:showPercent val="0"/>
          <c:showBubbleSize val="0"/>
        </c:dLbls>
        <c:smooth val="0"/>
        <c:axId val="840695184"/>
        <c:axId val="840695576"/>
      </c:lineChart>
      <c:dateAx>
        <c:axId val="84069518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40695576"/>
        <c:crosses val="autoZero"/>
        <c:auto val="1"/>
        <c:lblOffset val="100"/>
        <c:baseTimeUnit val="days"/>
        <c:majorUnit val="2"/>
        <c:majorTimeUnit val="days"/>
      </c:dateAx>
      <c:valAx>
        <c:axId val="840695576"/>
        <c:scaling>
          <c:orientation val="minMax"/>
          <c:max val="104"/>
          <c:min val="94"/>
        </c:scaling>
        <c:delete val="0"/>
        <c:axPos val="l"/>
        <c:majorGridlines>
          <c:spPr>
            <a:ln w="9525" cap="flat" cmpd="sng" algn="ctr">
              <a:solidFill>
                <a:schemeClr val="tx2">
                  <a:lumMod val="20000"/>
                  <a:lumOff val="80000"/>
                </a:schemeClr>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40695184"/>
        <c:crosses val="autoZero"/>
        <c:crossBetween val="between"/>
        <c:majorUnit val="2"/>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a:defRPr sz="1000" b="1" i="0" u="none" strike="noStrike" kern="1200" baseline="0">
              <a:solidFill>
                <a:srgbClr val="0070C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027752615371433"/>
          <c:y val="2.3414388003439247E-2"/>
          <c:w val="0.78749864010268145"/>
          <c:h val="0.6404271248767360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charts'!$A$46:$A$58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extLst/>
            </c:numRef>
          </c:cat>
          <c:val>
            <c:numRef>
              <c:f>'Turnover charts'!$B$46:$B$58</c:f>
              <c:numCache>
                <c:formatCode>#,##0</c:formatCode>
                <c:ptCount val="12"/>
                <c:pt idx="0">
                  <c:v>7277.3962512000026</c:v>
                </c:pt>
                <c:pt idx="1">
                  <c:v>5824.4504842000024</c:v>
                </c:pt>
                <c:pt idx="2">
                  <c:v>6838.5318600000001</c:v>
                </c:pt>
                <c:pt idx="3">
                  <c:v>7096.0901250000006</c:v>
                </c:pt>
                <c:pt idx="4">
                  <c:v>10138.218927400003</c:v>
                </c:pt>
                <c:pt idx="5">
                  <c:v>10747.937155000003</c:v>
                </c:pt>
                <c:pt idx="6">
                  <c:v>12653.105590599998</c:v>
                </c:pt>
                <c:pt idx="7">
                  <c:v>12289.256776399998</c:v>
                </c:pt>
                <c:pt idx="8">
                  <c:v>13909.001715000002</c:v>
                </c:pt>
                <c:pt idx="9">
                  <c:v>12916.562410199997</c:v>
                </c:pt>
                <c:pt idx="10">
                  <c:v>11052.727486600001</c:v>
                </c:pt>
                <c:pt idx="11">
                  <c:v>14355.171816799999</c:v>
                </c:pt>
              </c:numCache>
              <c:extLst/>
            </c:numRef>
          </c:val>
          <c:extLst>
            <c:ext xmlns:c16="http://schemas.microsoft.com/office/drawing/2014/chart" uri="{C3380CC4-5D6E-409C-BE32-E72D297353CC}">
              <c16:uniqueId val="{00000000-4B31-48DA-8334-9ED469CEA129}"/>
            </c:ext>
          </c:extLst>
        </c:ser>
        <c:ser>
          <c:idx val="1"/>
          <c:order val="1"/>
          <c:tx>
            <c:strRef>
              <c:f>'Turnover charts'!$C$3</c:f>
              <c:strCache>
                <c:ptCount val="1"/>
                <c:pt idx="0">
                  <c:v>NCDEX Agri Futures &amp; Options (LHS)</c:v>
                </c:pt>
              </c:strCache>
            </c:strRef>
          </c:tx>
          <c:spPr>
            <a:solidFill>
              <a:srgbClr val="00B050"/>
            </a:solidFill>
            <a:ln>
              <a:solidFill>
                <a:schemeClr val="accent3">
                  <a:lumMod val="75000"/>
                </a:schemeClr>
              </a:solidFill>
            </a:ln>
            <a:effectLst/>
          </c:spPr>
          <c:invertIfNegative val="0"/>
          <c:cat>
            <c:numRef>
              <c:f>'Turnover charts'!$A$46:$A$58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extLst/>
            </c:numRef>
          </c:cat>
          <c:val>
            <c:numRef>
              <c:f>'Turnover charts'!$C$46:$C$58</c:f>
              <c:numCache>
                <c:formatCode>#,##0</c:formatCode>
                <c:ptCount val="12"/>
                <c:pt idx="0">
                  <c:v>18054.253055000005</c:v>
                </c:pt>
                <c:pt idx="1">
                  <c:v>23929.732684999995</c:v>
                </c:pt>
                <c:pt idx="2">
                  <c:v>28599.374342499999</c:v>
                </c:pt>
                <c:pt idx="3">
                  <c:v>32560.999704999991</c:v>
                </c:pt>
                <c:pt idx="4">
                  <c:v>31297.897227500001</c:v>
                </c:pt>
                <c:pt idx="5">
                  <c:v>34267.000512499995</c:v>
                </c:pt>
                <c:pt idx="6">
                  <c:v>32707.133774999988</c:v>
                </c:pt>
                <c:pt idx="7">
                  <c:v>30761.034117499996</c:v>
                </c:pt>
                <c:pt idx="8">
                  <c:v>43894.883412500007</c:v>
                </c:pt>
                <c:pt idx="9">
                  <c:v>55219.791669999999</c:v>
                </c:pt>
                <c:pt idx="10">
                  <c:v>42904.619504999995</c:v>
                </c:pt>
                <c:pt idx="11">
                  <c:v>42758.980299999996</c:v>
                </c:pt>
              </c:numCache>
              <c:extLst/>
            </c:numRef>
          </c:val>
          <c:extLst>
            <c:ext xmlns:c16="http://schemas.microsoft.com/office/drawing/2014/chart" uri="{C3380CC4-5D6E-409C-BE32-E72D297353CC}">
              <c16:uniqueId val="{00000001-4B31-48DA-8334-9ED469CEA129}"/>
            </c:ext>
          </c:extLst>
        </c:ser>
        <c:dLbls>
          <c:showLegendKey val="0"/>
          <c:showVal val="0"/>
          <c:showCatName val="0"/>
          <c:showSerName val="0"/>
          <c:showPercent val="0"/>
          <c:showBubbleSize val="0"/>
        </c:dLbls>
        <c:gapWidth val="219"/>
        <c:axId val="877618064"/>
        <c:axId val="877617280"/>
      </c:barChart>
      <c:lineChart>
        <c:grouping val="standard"/>
        <c:varyColors val="0"/>
        <c:ser>
          <c:idx val="2"/>
          <c:order val="2"/>
          <c:tx>
            <c:strRef>
              <c:f>'Turnover charts'!$D$3</c:f>
              <c:strCache>
                <c:ptCount val="1"/>
                <c:pt idx="0">
                  <c:v>ICEX Agri Futures (RHS)</c:v>
                </c:pt>
              </c:strCache>
            </c:strRef>
          </c:tx>
          <c:spPr>
            <a:ln w="28575" cap="rnd">
              <a:solidFill>
                <a:schemeClr val="accent6"/>
              </a:solidFill>
              <a:round/>
            </a:ln>
            <a:effectLst/>
          </c:spPr>
          <c:marker>
            <c:symbol val="x"/>
            <c:size val="10"/>
            <c:spPr>
              <a:noFill/>
              <a:ln w="9525">
                <a:solidFill>
                  <a:srgbClr val="C00000"/>
                </a:solidFill>
              </a:ln>
              <a:effectLst/>
            </c:spPr>
          </c:marker>
          <c:cat>
            <c:numRef>
              <c:f>'Turnover charts'!$A$46:$A$58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extLst/>
            </c:numRef>
          </c:cat>
          <c:val>
            <c:numRef>
              <c:f>'Turnover charts'!$D$46:$D$58</c:f>
              <c:numCache>
                <c:formatCode>#,##0</c:formatCode>
                <c:ptCount val="12"/>
                <c:pt idx="0">
                  <c:v>22.481598000000002</c:v>
                </c:pt>
                <c:pt idx="1">
                  <c:v>2.2767149999999998</c:v>
                </c:pt>
                <c:pt idx="2" formatCode="#,##0.0">
                  <c:v>4.0599999999999997E-2</c:v>
                </c:pt>
                <c:pt idx="3" formatCode="#,##0.0">
                  <c:v>0</c:v>
                </c:pt>
                <c:pt idx="4" formatCode="#,##0.0">
                  <c:v>0</c:v>
                </c:pt>
                <c:pt idx="5" formatCode="#,##0.0">
                  <c:v>0.89</c:v>
                </c:pt>
                <c:pt idx="6" formatCode="#,##0.0">
                  <c:v>2.819</c:v>
                </c:pt>
                <c:pt idx="7" formatCode="#,##0.0">
                  <c:v>2.5779999999999998</c:v>
                </c:pt>
                <c:pt idx="8" formatCode="#,##0.0">
                  <c:v>3.4738000000000002</c:v>
                </c:pt>
                <c:pt idx="9" formatCode="#,##0.0">
                  <c:v>2.9133100000000001</c:v>
                </c:pt>
                <c:pt idx="10" formatCode="#,##0.0">
                  <c:v>3.66</c:v>
                </c:pt>
                <c:pt idx="11" formatCode="#,##0.0">
                  <c:v>3.86</c:v>
                </c:pt>
              </c:numCache>
              <c:extLst/>
            </c:numRef>
          </c:val>
          <c:smooth val="0"/>
          <c:extLst>
            <c:ext xmlns:c16="http://schemas.microsoft.com/office/drawing/2014/chart" uri="{C3380CC4-5D6E-409C-BE32-E72D297353CC}">
              <c16:uniqueId val="{00000002-4B31-48DA-8334-9ED469CEA129}"/>
            </c:ext>
          </c:extLst>
        </c:ser>
        <c:ser>
          <c:idx val="3"/>
          <c:order val="3"/>
          <c:tx>
            <c:strRef>
              <c:f>'Turnover charts'!$E$3</c:f>
              <c:strCache>
                <c:ptCount val="1"/>
                <c:pt idx="0">
                  <c:v>BSE Agri Futures (RHS)</c:v>
                </c:pt>
              </c:strCache>
            </c:strRef>
          </c:tx>
          <c:spPr>
            <a:ln w="28575" cap="rnd">
              <a:solidFill>
                <a:schemeClr val="tx1"/>
              </a:solidFill>
              <a:round/>
            </a:ln>
            <a:effectLst/>
          </c:spPr>
          <c:marker>
            <c:symbol val="triangle"/>
            <c:size val="9"/>
            <c:spPr>
              <a:solidFill>
                <a:schemeClr val="accent4"/>
              </a:solidFill>
              <a:ln w="9525">
                <a:solidFill>
                  <a:schemeClr val="tx1"/>
                </a:solidFill>
              </a:ln>
              <a:effectLst/>
            </c:spPr>
          </c:marker>
          <c:cat>
            <c:numRef>
              <c:f>'Turnover charts'!$A$46:$A$58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extLst/>
            </c:numRef>
          </c:cat>
          <c:val>
            <c:numRef>
              <c:f>'Turnover charts'!$E$46:$E$58</c:f>
              <c:numCache>
                <c:formatCode>#,##0</c:formatCode>
                <c:ptCount val="12"/>
                <c:pt idx="0">
                  <c:v>323.74</c:v>
                </c:pt>
                <c:pt idx="1">
                  <c:v>153.78</c:v>
                </c:pt>
                <c:pt idx="2">
                  <c:v>181.2</c:v>
                </c:pt>
                <c:pt idx="3">
                  <c:v>236.58</c:v>
                </c:pt>
                <c:pt idx="4">
                  <c:v>165.86</c:v>
                </c:pt>
                <c:pt idx="5">
                  <c:v>110.01</c:v>
                </c:pt>
                <c:pt idx="6">
                  <c:v>86.66</c:v>
                </c:pt>
                <c:pt idx="7">
                  <c:v>83.13</c:v>
                </c:pt>
                <c:pt idx="8">
                  <c:v>115.46</c:v>
                </c:pt>
                <c:pt idx="9">
                  <c:v>174.66</c:v>
                </c:pt>
                <c:pt idx="10">
                  <c:v>184.73</c:v>
                </c:pt>
                <c:pt idx="11">
                  <c:v>227.91</c:v>
                </c:pt>
              </c:numCache>
              <c:extLst/>
            </c:numRef>
          </c:val>
          <c:smooth val="0"/>
          <c:extLst>
            <c:ext xmlns:c16="http://schemas.microsoft.com/office/drawing/2014/chart" uri="{C3380CC4-5D6E-409C-BE32-E72D297353CC}">
              <c16:uniqueId val="{00000003-4B31-48DA-8334-9ED469CEA129}"/>
            </c:ext>
          </c:extLst>
        </c:ser>
        <c:ser>
          <c:idx val="4"/>
          <c:order val="4"/>
          <c:tx>
            <c:strRef>
              <c:f>'Turnover charts'!$F$3</c:f>
              <c:strCache>
                <c:ptCount val="1"/>
                <c:pt idx="0">
                  <c:v>NSE Agri. Futures(RHS)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'Turnover charts'!$A$46:$A$58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extLst/>
            </c:numRef>
          </c:cat>
          <c:val>
            <c:numRef>
              <c:f>'Turnover charts'!$F$46:$F$58</c:f>
              <c:numCache>
                <c:formatCode>General</c:formatCode>
                <c:ptCount val="12"/>
                <c:pt idx="5" formatCode="#,##0">
                  <c:v>1433.9238400000006</c:v>
                </c:pt>
                <c:pt idx="6" formatCode="#,##0">
                  <c:v>826.19159999999999</c:v>
                </c:pt>
                <c:pt idx="7" formatCode="#,##0">
                  <c:v>920.27394000000004</c:v>
                </c:pt>
                <c:pt idx="8" formatCode="#,##0">
                  <c:v>1672.8383199999998</c:v>
                </c:pt>
                <c:pt idx="9" formatCode="#,##0">
                  <c:v>592.6947399999998</c:v>
                </c:pt>
                <c:pt idx="10" formatCode="#,##0">
                  <c:v>307.17788999999988</c:v>
                </c:pt>
                <c:pt idx="11" formatCode="#,##0">
                  <c:v>415.41961000000009</c:v>
                </c:pt>
              </c:numCache>
              <c:extLst/>
            </c:numRef>
          </c:val>
          <c:smooth val="0"/>
          <c:extLst>
            <c:ext xmlns:c16="http://schemas.microsoft.com/office/drawing/2014/chart" uri="{C3380CC4-5D6E-409C-BE32-E72D297353CC}">
              <c16:uniqueId val="{00000004-4B31-48DA-8334-9ED469CEA129}"/>
            </c:ext>
          </c:extLst>
        </c:ser>
        <c:dLbls>
          <c:showLegendKey val="0"/>
          <c:showVal val="0"/>
          <c:showCatName val="0"/>
          <c:showSerName val="0"/>
          <c:showPercent val="0"/>
          <c:showBubbleSize val="0"/>
        </c:dLbls>
        <c:marker val="1"/>
        <c:smooth val="0"/>
        <c:axId val="877618456"/>
        <c:axId val="877617672"/>
      </c:lineChart>
      <c:dateAx>
        <c:axId val="877618064"/>
        <c:scaling>
          <c:orientation val="minMax"/>
          <c:max val="44348"/>
          <c:min val="44013"/>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77617280"/>
        <c:crosses val="autoZero"/>
        <c:auto val="0"/>
        <c:lblOffset val="100"/>
        <c:baseTimeUnit val="months"/>
        <c:majorUnit val="1"/>
        <c:majorTimeUnit val="months"/>
      </c:dateAx>
      <c:valAx>
        <c:axId val="87761728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1.6062712945958148E-2"/>
              <c:y val="0.28741147368959113"/>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77618064"/>
        <c:crosses val="autoZero"/>
        <c:crossBetween val="between"/>
      </c:valAx>
      <c:valAx>
        <c:axId val="877617672"/>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77618456"/>
        <c:crosses val="max"/>
        <c:crossBetween val="between"/>
        <c:majorUnit val="1000"/>
      </c:valAx>
      <c:dateAx>
        <c:axId val="877618456"/>
        <c:scaling>
          <c:orientation val="minMax"/>
        </c:scaling>
        <c:delete val="1"/>
        <c:axPos val="b"/>
        <c:numFmt formatCode="mmm\-yy" sourceLinked="1"/>
        <c:majorTickMark val="out"/>
        <c:minorTickMark val="none"/>
        <c:tickLblPos val="nextTo"/>
        <c:crossAx val="877617672"/>
        <c:crosses val="autoZero"/>
        <c:auto val="0"/>
        <c:lblOffset val="100"/>
        <c:baseTimeUnit val="months"/>
      </c:dateAx>
      <c:spPr>
        <a:noFill/>
        <a:ln>
          <a:noFill/>
        </a:ln>
        <a:effectLst/>
      </c:spPr>
    </c:plotArea>
    <c:legend>
      <c:legendPos val="b"/>
      <c:layout>
        <c:manualLayout>
          <c:xMode val="edge"/>
          <c:yMode val="edge"/>
          <c:x val="0.10164675814571447"/>
          <c:y val="0.81530778480276167"/>
          <c:w val="0.82665128174197633"/>
          <c:h val="0.184692245034357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5631089595"/>
          <c:y val="2.8574616789475059E-2"/>
          <c:w val="0.79733110443956479"/>
          <c:h val="0.72457814568050793"/>
        </c:manualLayout>
      </c:layout>
      <c:barChart>
        <c:barDir val="col"/>
        <c:grouping val="stacked"/>
        <c:varyColors val="0"/>
        <c:ser>
          <c:idx val="0"/>
          <c:order val="0"/>
          <c:tx>
            <c:strRef>
              <c:f>'Turnover charts'!$K$3</c:f>
              <c:strCache>
                <c:ptCount val="1"/>
                <c:pt idx="0">
                  <c:v>MCX Futures (LHS)</c:v>
                </c:pt>
              </c:strCache>
            </c:strRef>
          </c:tx>
          <c:spPr>
            <a:solidFill>
              <a:srgbClr val="92D050"/>
            </a:solidFill>
            <a:ln>
              <a:solidFill>
                <a:sysClr val="windowText" lastClr="000000"/>
              </a:solidFill>
            </a:ln>
            <a:effectLst/>
          </c:spPr>
          <c:invertIfNegative val="0"/>
          <c:cat>
            <c:numRef>
              <c:f>'Turnover charts'!$J$47:$J$58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f>'Turnover charts'!$K$47:$K$58</c:f>
              <c:numCache>
                <c:formatCode>_(* #,##0_);_(* \(#,##0\);_(* "-"??_);_(@_)</c:formatCode>
                <c:ptCount val="12"/>
                <c:pt idx="0">
                  <c:v>846844.32924410037</c:v>
                </c:pt>
                <c:pt idx="1">
                  <c:v>904796.19616849977</c:v>
                </c:pt>
                <c:pt idx="2">
                  <c:v>745965.04735440004</c:v>
                </c:pt>
                <c:pt idx="3">
                  <c:v>691669.15749930032</c:v>
                </c:pt>
                <c:pt idx="4">
                  <c:v>722827.83065649983</c:v>
                </c:pt>
                <c:pt idx="5">
                  <c:v>649285.71545270004</c:v>
                </c:pt>
                <c:pt idx="6">
                  <c:v>631081.49217339978</c:v>
                </c:pt>
                <c:pt idx="7">
                  <c:v>732338.52416479995</c:v>
                </c:pt>
                <c:pt idx="8">
                  <c:v>602584.41504829994</c:v>
                </c:pt>
                <c:pt idx="9">
                  <c:v>525273.25289939984</c:v>
                </c:pt>
                <c:pt idx="10">
                  <c:v>657112.92129150021</c:v>
                </c:pt>
                <c:pt idx="11">
                  <c:v>573244.30666690005</c:v>
                </c:pt>
              </c:numCache>
            </c:numRef>
          </c:val>
          <c:extLst xmlns:c15="http://schemas.microsoft.com/office/drawing/2012/chart">
            <c:ext xmlns:c16="http://schemas.microsoft.com/office/drawing/2014/chart" uri="{C3380CC4-5D6E-409C-BE32-E72D297353CC}">
              <c16:uniqueId val="{00000000-F1F2-45E1-9544-431AF5481D5C}"/>
            </c:ext>
          </c:extLst>
        </c:ser>
        <c:dLbls>
          <c:showLegendKey val="0"/>
          <c:showVal val="0"/>
          <c:showCatName val="0"/>
          <c:showSerName val="0"/>
          <c:showPercent val="0"/>
          <c:showBubbleSize val="0"/>
        </c:dLbls>
        <c:gapWidth val="219"/>
        <c:overlap val="100"/>
        <c:axId val="877619240"/>
        <c:axId val="877619632"/>
        <c:extLst>
          <c:ext xmlns:c15="http://schemas.microsoft.com/office/drawing/2012/chart" uri="{02D57815-91ED-43cb-92C2-25804820EDAC}">
            <c15:filteredBarSeries>
              <c15:ser>
                <c:idx val="1"/>
                <c:order val="1"/>
                <c:tx>
                  <c:strRef>
                    <c:extLst>
                      <c:ext uri="{02D57815-91ED-43cb-92C2-25804820EDAC}">
                        <c15:formulaRef>
                          <c15:sqref>'[2]Turnover charts'!$L$3</c15:sqref>
                        </c15:formulaRef>
                      </c:ext>
                    </c:extLst>
                    <c:strCache>
                      <c:ptCount val="1"/>
                      <c:pt idx="0">
                        <c:v>MCX Options (RHS)</c:v>
                      </c:pt>
                    </c:strCache>
                  </c:strRef>
                </c:tx>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charts'!$J$47:$J$58</c15:sqref>
                        </c15:formulaRef>
                      </c:ext>
                    </c:extLst>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extLst>
                      <c:ext uri="{02D57815-91ED-43cb-92C2-25804820EDAC}">
                        <c15:formulaRef>
                          <c15:sqref>'[2]Turnover charts'!$L$4:$L$55</c15:sqref>
                        </c15:formulaRef>
                      </c:ext>
                    </c:extLst>
                    <c:numCache>
                      <c:formatCode>_(* #,##0_);_(* \(#,##0\);_(* "-"??_);_(@_)</c:formatCode>
                      <c:ptCount val="13"/>
                      <c:pt idx="0">
                        <c:v>46819.111044999998</c:v>
                      </c:pt>
                      <c:pt idx="1">
                        <c:v>8497.2066059999997</c:v>
                      </c:pt>
                      <c:pt idx="2">
                        <c:v>16049.714781499999</c:v>
                      </c:pt>
                      <c:pt idx="3">
                        <c:v>15138.664696</c:v>
                      </c:pt>
                      <c:pt idx="4">
                        <c:v>21064.531812000001</c:v>
                      </c:pt>
                      <c:pt idx="5">
                        <c:v>28998.239947999999</c:v>
                      </c:pt>
                      <c:pt idx="6">
                        <c:v>26027.212639000005</c:v>
                      </c:pt>
                      <c:pt idx="7">
                        <c:v>9915.5255409999991</c:v>
                      </c:pt>
                      <c:pt idx="8">
                        <c:v>26564.103460999999</c:v>
                      </c:pt>
                      <c:pt idx="9">
                        <c:v>15258.518517999999</c:v>
                      </c:pt>
                      <c:pt idx="10">
                        <c:v>25959.086283000004</c:v>
                      </c:pt>
                      <c:pt idx="11">
                        <c:v>17156.310860000001</c:v>
                      </c:pt>
                      <c:pt idx="12">
                        <c:v>28949.873640999998</c:v>
                      </c:pt>
                    </c:numCache>
                  </c:numRef>
                </c:val>
                <c:extLst>
                  <c:ext xmlns:c16="http://schemas.microsoft.com/office/drawing/2014/chart" uri="{C3380CC4-5D6E-409C-BE32-E72D297353CC}">
                    <c16:uniqueId val="{00000005-F1F2-45E1-9544-431AF5481D5C}"/>
                  </c:ext>
                </c:extLst>
              </c15:ser>
            </c15:filteredBarSeries>
          </c:ext>
        </c:extLst>
      </c:barChart>
      <c:lineChart>
        <c:grouping val="standard"/>
        <c:varyColors val="0"/>
        <c:ser>
          <c:idx val="4"/>
          <c:order val="4"/>
          <c:tx>
            <c:strRef>
              <c:f>'Turnover charts'!$O$3</c:f>
              <c:strCache>
                <c:ptCount val="1"/>
                <c:pt idx="0">
                  <c:v>NSE Futures (RHS)</c:v>
                </c:pt>
              </c:strCache>
            </c:strRef>
          </c:tx>
          <c:spPr>
            <a:ln w="19050" cap="rnd">
              <a:solidFill>
                <a:sysClr val="windowText" lastClr="000000"/>
              </a:solidFill>
              <a:prstDash val="sysDash"/>
              <a:round/>
            </a:ln>
            <a:effectLst/>
          </c:spPr>
          <c:marker>
            <c:symbol val="none"/>
          </c:marker>
          <c:cat>
            <c:numRef>
              <c:f>'Turnover charts'!$J$47:$J$58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f>'Turnover charts'!$O$47:$O$58</c:f>
              <c:numCache>
                <c:formatCode>_(* #,##0_);_(* \(#,##0\);_(* "-"??_);_(@_)</c:formatCode>
                <c:ptCount val="12"/>
                <c:pt idx="0">
                  <c:v>45.493170000000013</c:v>
                </c:pt>
                <c:pt idx="1">
                  <c:v>92.012484999999998</c:v>
                </c:pt>
                <c:pt idx="2">
                  <c:v>65.526607000000013</c:v>
                </c:pt>
                <c:pt idx="3">
                  <c:v>14.122890999999999</c:v>
                </c:pt>
                <c:pt idx="4">
                  <c:v>18.669679000000002</c:v>
                </c:pt>
                <c:pt idx="5">
                  <c:v>15.143264000000002</c:v>
                </c:pt>
                <c:pt idx="6">
                  <c:v>11.035423000000002</c:v>
                </c:pt>
                <c:pt idx="7">
                  <c:v>14.295155499999996</c:v>
                </c:pt>
                <c:pt idx="8">
                  <c:v>11.136143500000001</c:v>
                </c:pt>
                <c:pt idx="9">
                  <c:v>6.284978999999999</c:v>
                </c:pt>
                <c:pt idx="10">
                  <c:v>6.4907739999999965</c:v>
                </c:pt>
                <c:pt idx="11">
                  <c:v>7.6833960999999995</c:v>
                </c:pt>
              </c:numCache>
            </c:numRef>
          </c:val>
          <c:smooth val="0"/>
          <c:extLst>
            <c:ext xmlns:c16="http://schemas.microsoft.com/office/drawing/2014/chart" uri="{C3380CC4-5D6E-409C-BE32-E72D297353CC}">
              <c16:uniqueId val="{00000001-F1F2-45E1-9544-431AF5481D5C}"/>
            </c:ext>
          </c:extLst>
        </c:ser>
        <c:ser>
          <c:idx val="2"/>
          <c:order val="2"/>
          <c:tx>
            <c:strRef>
              <c:f>'Turnover charts'!$M$3</c:f>
              <c:strCache>
                <c:ptCount val="1"/>
                <c:pt idx="0">
                  <c:v>BSE Futures (RHS)</c:v>
                </c:pt>
              </c:strCache>
            </c:strRef>
          </c:tx>
          <c:spPr>
            <a:ln w="19050" cap="rnd">
              <a:solidFill>
                <a:srgbClr val="0070C0"/>
              </a:solidFill>
              <a:prstDash val="dash"/>
              <a:round/>
            </a:ln>
            <a:effectLst/>
          </c:spPr>
          <c:marker>
            <c:symbol val="diamond"/>
            <c:size val="5"/>
            <c:spPr>
              <a:solidFill>
                <a:srgbClr val="7030A0"/>
              </a:solidFill>
              <a:ln w="19050">
                <a:solidFill>
                  <a:srgbClr val="0070C0"/>
                </a:solidFill>
                <a:prstDash val="dash"/>
              </a:ln>
              <a:effectLst/>
            </c:spPr>
          </c:marker>
          <c:cat>
            <c:numRef>
              <c:f>'Turnover charts'!$J$47:$J$58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f>'Turnover charts'!$M$47:$M$58</c:f>
              <c:numCache>
                <c:formatCode>0.00</c:formatCode>
                <c:ptCount val="12"/>
                <c:pt idx="0">
                  <c:v>0</c:v>
                </c:pt>
                <c:pt idx="1">
                  <c:v>0</c:v>
                </c:pt>
                <c:pt idx="2" formatCode="_(* #,##0_);_(* \(#,##0\);_(* &quot;-&quot;??_);_(@_)">
                  <c:v>4.01</c:v>
                </c:pt>
                <c:pt idx="3" formatCode="_(* #,##0_);_(* \(#,##0\);_(* &quot;-&quot;??_);_(@_)">
                  <c:v>11.15</c:v>
                </c:pt>
                <c:pt idx="4" formatCode="_(* #,##0_);_(* \(#,##0\);_(* &quot;-&quot;??_);_(@_)">
                  <c:v>10.53</c:v>
                </c:pt>
                <c:pt idx="5" formatCode="_(* #,##0_);_(* \(#,##0\);_(* &quot;-&quot;??_);_(@_)">
                  <c:v>11.42</c:v>
                </c:pt>
                <c:pt idx="6" formatCode="_(* #,##0_);_(* \(#,##0\);_(* &quot;-&quot;??_);_(@_)">
                  <c:v>10.02</c:v>
                </c:pt>
                <c:pt idx="7" formatCode="_(* #,##0_);_(* \(#,##0\);_(* &quot;-&quot;??_);_(@_)">
                  <c:v>9.8699999999999992</c:v>
                </c:pt>
                <c:pt idx="8" formatCode="_(* #,##0_);_(* \(#,##0\);_(* &quot;-&quot;??_);_(@_)">
                  <c:v>11.647484</c:v>
                </c:pt>
                <c:pt idx="9" formatCode="_(* #,##0_);_(* \(#,##0\);_(* &quot;-&quot;??_);_(@_)">
                  <c:v>10.74</c:v>
                </c:pt>
                <c:pt idx="10" formatCode="_(* #,##0_);_(* \(#,##0\);_(* &quot;-&quot;??_);_(@_)">
                  <c:v>10.59</c:v>
                </c:pt>
                <c:pt idx="11" formatCode="_(* #,##0_);_(* \(#,##0\);_(* &quot;-&quot;??_);_(@_)">
                  <c:v>11</c:v>
                </c:pt>
              </c:numCache>
            </c:numRef>
          </c:val>
          <c:smooth val="0"/>
          <c:extLst>
            <c:ext xmlns:c16="http://schemas.microsoft.com/office/drawing/2014/chart" uri="{C3380CC4-5D6E-409C-BE32-E72D297353CC}">
              <c16:uniqueId val="{00000002-F1F2-45E1-9544-431AF5481D5C}"/>
            </c:ext>
          </c:extLst>
        </c:ser>
        <c:ser>
          <c:idx val="6"/>
          <c:order val="6"/>
          <c:tx>
            <c:strRef>
              <c:f>'Turnover charts'!$Q$3</c:f>
              <c:strCache>
                <c:ptCount val="1"/>
                <c:pt idx="0">
                  <c:v>NCDEX futures (RHS)</c:v>
                </c:pt>
              </c:strCache>
            </c:strRef>
          </c:tx>
          <c:spPr>
            <a:ln w="19050" cap="rnd">
              <a:solidFill>
                <a:srgbClr val="FF0000"/>
              </a:solidFill>
              <a:round/>
            </a:ln>
            <a:effectLst/>
          </c:spPr>
          <c:marker>
            <c:symbol val="circle"/>
            <c:size val="5"/>
            <c:spPr>
              <a:solidFill>
                <a:schemeClr val="accent1">
                  <a:lumMod val="60000"/>
                </a:schemeClr>
              </a:solidFill>
              <a:ln w="9525">
                <a:solidFill>
                  <a:srgbClr val="FF0000"/>
                </a:solidFill>
              </a:ln>
              <a:effectLst/>
            </c:spPr>
          </c:marker>
          <c:cat>
            <c:numRef>
              <c:f>'Turnover charts'!$J$47:$J$58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f>'Turnover charts'!$Q$47:$Q$58</c:f>
              <c:numCache>
                <c:formatCode>General</c:formatCode>
                <c:ptCount val="12"/>
                <c:pt idx="6" formatCode="_ * #,##0_ ;_ * \-#,##0_ ;_ * &quot;-&quot;??_ ;_ @_ ">
                  <c:v>24.235309999999998</c:v>
                </c:pt>
                <c:pt idx="7" formatCode="_ * #,##0_ ;_ * \-#,##0_ ;_ * &quot;-&quot;??_ ;_ @_ ">
                  <c:v>38.773069999999997</c:v>
                </c:pt>
                <c:pt idx="8" formatCode="_ * #,##0_ ;_ * \-#,##0_ ;_ * &quot;-&quot;??_ ;_ @_ ">
                  <c:v>25.14254</c:v>
                </c:pt>
                <c:pt idx="9" formatCode="_ * #,##0_ ;_ * \-#,##0_ ;_ * &quot;-&quot;??_ ;_ @_ ">
                  <c:v>11.57</c:v>
                </c:pt>
                <c:pt idx="10" formatCode="_ * #,##0_ ;_ * \-#,##0_ ;_ * &quot;-&quot;??_ ;_ @_ ">
                  <c:v>15.86</c:v>
                </c:pt>
                <c:pt idx="11" formatCode="_ * #,##0_ ;_ * \-#,##0_ ;_ * &quot;-&quot;??_ ;_ @_ ">
                  <c:v>17.549300000000002</c:v>
                </c:pt>
              </c:numCache>
            </c:numRef>
          </c:val>
          <c:smooth val="0"/>
          <c:extLst>
            <c:ext xmlns:c16="http://schemas.microsoft.com/office/drawing/2014/chart" uri="{C3380CC4-5D6E-409C-BE32-E72D297353CC}">
              <c16:uniqueId val="{00000003-F1F2-45E1-9544-431AF5481D5C}"/>
            </c:ext>
          </c:extLst>
        </c:ser>
        <c:ser>
          <c:idx val="7"/>
          <c:order val="7"/>
          <c:tx>
            <c:strRef>
              <c:f>'Turnover charts'!$R$3</c:f>
              <c:strCache>
                <c:ptCount val="1"/>
                <c:pt idx="0">
                  <c:v>ICEX Futures (RHS)</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'Turnover charts'!$J$47:$J$58</c:f>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f>'Turnover charts'!$R$47:$R$58</c:f>
              <c:numCache>
                <c:formatCode>_ * #,##0.000_ ;_ * \-#,##0.000_ ;_ * "-"??_ ;_ @_ </c:formatCode>
                <c:ptCount val="12"/>
                <c:pt idx="0" formatCode="_ * #,##0_ ;_ * \-#,##0_ ;_ * &quot;-&quot;??_ ;_ @_ ">
                  <c:v>4.3270248599999999</c:v>
                </c:pt>
                <c:pt idx="1">
                  <c:v>1.6379999999999999E-3</c:v>
                </c:pt>
                <c:pt idx="2" formatCode="_ * #,##0.0_ ;_ * \-#,##0.0_ ;_ * &quot;-&quot;??_ ;_ @_ ">
                  <c:v>0.1153</c:v>
                </c:pt>
                <c:pt idx="3" formatCode="_ * #,##0.0_ ;_ * \-#,##0.0_ ;_ * &quot;-&quot;??_ ;_ @_ ">
                  <c:v>0.1066</c:v>
                </c:pt>
                <c:pt idx="4" formatCode="_(* #,##0.00_);_(* \(#,##0.00\);_(* &quot;-&quot;??_);_(@_)">
                  <c:v>2.7824999999999999E-2</c:v>
                </c:pt>
                <c:pt idx="5" formatCode="_(* #,##0_);_(* \(#,##0\);_(* &quot;-&quot;??_);_(@_)">
                  <c:v>1.8845000000000001</c:v>
                </c:pt>
                <c:pt idx="6" formatCode="_(* #,##0_);_(* \(#,##0\);_(* &quot;-&quot;??_);_(@_)">
                  <c:v>10.392370000000001</c:v>
                </c:pt>
                <c:pt idx="7" formatCode="_(* #,##0_);_(* \(#,##0\);_(* &quot;-&quot;??_);_(@_)">
                  <c:v>16.025917</c:v>
                </c:pt>
                <c:pt idx="8" formatCode="_(* #,##0_);_(* \(#,##0\);_(* &quot;-&quot;??_);_(@_)">
                  <c:v>19.011840000000003</c:v>
                </c:pt>
                <c:pt idx="9" formatCode="_(* #,##0_);_(* \(#,##0\);_(* &quot;-&quot;??_);_(@_)">
                  <c:v>16.042120000000001</c:v>
                </c:pt>
                <c:pt idx="10" formatCode="_(* #,##0_);_(* \(#,##0\);_(* &quot;-&quot;??_);_(@_)">
                  <c:v>18.87</c:v>
                </c:pt>
                <c:pt idx="11" formatCode="_(* #,##0_);_(* \(#,##0\);_(* &quot;-&quot;??_);_(@_)">
                  <c:v>22.58</c:v>
                </c:pt>
              </c:numCache>
            </c:numRef>
          </c:val>
          <c:smooth val="0"/>
          <c:extLst>
            <c:ext xmlns:c16="http://schemas.microsoft.com/office/drawing/2014/chart" uri="{C3380CC4-5D6E-409C-BE32-E72D297353CC}">
              <c16:uniqueId val="{00000004-F1F2-45E1-9544-431AF5481D5C}"/>
            </c:ext>
          </c:extLst>
        </c:ser>
        <c:dLbls>
          <c:showLegendKey val="0"/>
          <c:showVal val="0"/>
          <c:showCatName val="0"/>
          <c:showSerName val="0"/>
          <c:showPercent val="0"/>
          <c:showBubbleSize val="0"/>
        </c:dLbls>
        <c:marker val="1"/>
        <c:smooth val="0"/>
        <c:axId val="877620808"/>
        <c:axId val="877620416"/>
        <c:extLst>
          <c:ext xmlns:c15="http://schemas.microsoft.com/office/drawing/2012/chart" uri="{02D57815-91ED-43cb-92C2-25804820EDAC}">
            <c15:filteredLineSeries>
              <c15:ser>
                <c:idx val="3"/>
                <c:order val="3"/>
                <c:tx>
                  <c:strRef>
                    <c:extLst>
                      <c:ext uri="{02D57815-91ED-43cb-92C2-25804820EDAC}">
                        <c15:formulaRef>
                          <c15:sqref>'[2]Turnover charts'!$N$3</c15:sqref>
                        </c15:formulaRef>
                      </c:ext>
                    </c:extLst>
                    <c:strCache>
                      <c:ptCount val="1"/>
                      <c:pt idx="0">
                        <c:v>BSE Options (LHS)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charts'!$J$47:$J$58</c15:sqref>
                        </c15:formulaRef>
                      </c:ext>
                    </c:extLst>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extLst>
                      <c:ext uri="{02D57815-91ED-43cb-92C2-25804820EDAC}">
                        <c15:formulaRef>
                          <c15:sqref>'[2]Turnover charts'!$N$4:$N$55</c15:sqref>
                        </c15:formulaRef>
                      </c:ext>
                    </c:extLst>
                    <c:numCache>
                      <c:formatCode>General</c:formatCode>
                      <c:ptCount val="13"/>
                      <c:pt idx="3" formatCode="_ * #,##0_ ;_ * \-#,##0_ ;_ * &quot;-&quot;??_ ;_ @_ ">
                        <c:v>26816.769999999997</c:v>
                      </c:pt>
                      <c:pt idx="4" formatCode="_ * #,##0_ ;_ * \-#,##0_ ;_ * &quot;-&quot;??_ ;_ @_ ">
                        <c:v>72242.989999999991</c:v>
                      </c:pt>
                      <c:pt idx="5" formatCode="_ * #,##0_ ;_ * \-#,##0_ ;_ * &quot;-&quot;??_ ;_ @_ ">
                        <c:v>71670.850000000006</c:v>
                      </c:pt>
                      <c:pt idx="6" formatCode="_ * #,##0_ ;_ * \-#,##0_ ;_ * &quot;-&quot;??_ ;_ @_ ">
                        <c:v>58331.41</c:v>
                      </c:pt>
                      <c:pt idx="7" formatCode="_ * #,##0_ ;_ * \-#,##0_ ;_ * &quot;-&quot;??_ ;_ @_ ">
                        <c:v>56137.399999999994</c:v>
                      </c:pt>
                      <c:pt idx="8" formatCode="_ * #,##0_ ;_ * \-#,##0_ ;_ * &quot;-&quot;??_ ;_ @_ ">
                        <c:v>53954.21</c:v>
                      </c:pt>
                      <c:pt idx="9" formatCode="_ * #,##0_ ;_ * \-#,##0_ ;_ * &quot;-&quot;??_ ;_ @_ ">
                        <c:v>66801.039999999994</c:v>
                      </c:pt>
                      <c:pt idx="10" formatCode="_ * #,##0_ ;_ * \-#,##0_ ;_ * &quot;-&quot;??_ ;_ @_ ">
                        <c:v>62440.93</c:v>
                      </c:pt>
                      <c:pt idx="11" formatCode="_ * #,##0_ ;_ * \-#,##0_ ;_ * &quot;-&quot;??_ ;_ @_ ">
                        <c:v>65087.26</c:v>
                      </c:pt>
                      <c:pt idx="12" formatCode="_ * #,##0_ ;_ * \-#,##0_ ;_ * &quot;-&quot;??_ ;_ @_ ">
                        <c:v>71581.36</c:v>
                      </c:pt>
                    </c:numCache>
                  </c:numRef>
                </c:val>
                <c:smooth val="0"/>
                <c:extLst>
                  <c:ext xmlns:c16="http://schemas.microsoft.com/office/drawing/2014/chart" uri="{C3380CC4-5D6E-409C-BE32-E72D297353CC}">
                    <c16:uniqueId val="{00000006-F1F2-45E1-9544-431AF5481D5C}"/>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'[2]Turnover charts'!$P$3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charts'!$J$47:$J$58</c15:sqref>
                        </c15:formulaRef>
                      </c:ext>
                    </c:extLst>
                    <c:numCache>
                      <c:formatCode>mmm\-yy</c:formatCode>
                      <c:ptCount val="12"/>
                      <c:pt idx="0">
                        <c:v>44013</c:v>
                      </c:pt>
                      <c:pt idx="1">
                        <c:v>44044</c:v>
                      </c:pt>
                      <c:pt idx="2">
                        <c:v>44075</c:v>
                      </c:pt>
                      <c:pt idx="3">
                        <c:v>44105</c:v>
                      </c:pt>
                      <c:pt idx="4">
                        <c:v>44136</c:v>
                      </c:pt>
                      <c:pt idx="5">
                        <c:v>44166</c:v>
                      </c:pt>
                      <c:pt idx="6">
                        <c:v>44197</c:v>
                      </c:pt>
                      <c:pt idx="7">
                        <c:v>44228</c:v>
                      </c:pt>
                      <c:pt idx="8">
                        <c:v>44256</c:v>
                      </c:pt>
                      <c:pt idx="9">
                        <c:v>44287</c:v>
                      </c:pt>
                      <c:pt idx="10">
                        <c:v>44317</c:v>
                      </c:pt>
                      <c:pt idx="11">
                        <c:v>44348</c:v>
                      </c:pt>
                    </c:numCache>
                  </c:numRef>
                </c:cat>
                <c:val>
                  <c:numRef>
                    <c:extLst xmlns:c15="http://schemas.microsoft.com/office/drawing/2012/chart">
                      <c:ext xmlns:c15="http://schemas.microsoft.com/office/drawing/2012/chart" uri="{02D57815-91ED-43cb-92C2-25804820EDAC}">
                        <c15:formulaRef>
                          <c15:sqref>'[2]Turnover charts'!$P$4:$P$55</c15:sqref>
                        </c15:formulaRef>
                      </c:ext>
                    </c:extLst>
                    <c:numCache>
                      <c:formatCode>General</c:formatCode>
                      <c:ptCount val="13"/>
                      <c:pt idx="3" formatCode="_ * #,##0_ ;_ * \-#,##0_ ;_ * &quot;-&quot;??_ ;_ @_ ">
                        <c:v>1751.8752035000002</c:v>
                      </c:pt>
                      <c:pt idx="4" formatCode="_ * #,##0_ ;_ * \-#,##0_ ;_ * &quot;-&quot;??_ ;_ @_ ">
                        <c:v>6235.7549739999995</c:v>
                      </c:pt>
                      <c:pt idx="5" formatCode="_ * #,##0_ ;_ * \-#,##0_ ;_ * &quot;-&quot;??_ ;_ @_ ">
                        <c:v>2381.9200970000002</c:v>
                      </c:pt>
                      <c:pt idx="6" formatCode="_ * #,##0_ ;_ * \-#,##0_ ;_ * &quot;-&quot;??_ ;_ @_ ">
                        <c:v>1734.4075534999997</c:v>
                      </c:pt>
                      <c:pt idx="7" formatCode="_ * #,##0_ ;_ * \-#,##0_ ;_ * &quot;-&quot;??_ ;_ @_ ">
                        <c:v>1856.5995699999994</c:v>
                      </c:pt>
                      <c:pt idx="8" formatCode="_ * #,##0_ ;_ * \-#,##0_ ;_ * &quot;-&quot;??_ ;_ @_ ">
                        <c:v>2633.3125410000002</c:v>
                      </c:pt>
                      <c:pt idx="9" formatCode="_ * #,##0_ ;_ * \-#,##0_ ;_ * &quot;-&quot;??_ ;_ @_ ">
                        <c:v>1537.8181204999996</c:v>
                      </c:pt>
                      <c:pt idx="10" formatCode="_ * #,##0_ ;_ * \-#,##0_ ;_ * &quot;-&quot;??_ ;_ @_ ">
                        <c:v>1913.7781235000002</c:v>
                      </c:pt>
                      <c:pt idx="11" formatCode="_ * #,##0_ ;_ * \-#,##0_ ;_ * &quot;-&quot;??_ ;_ @_ ">
                        <c:v>1103.8054694999996</c:v>
                      </c:pt>
                      <c:pt idx="12" formatCode="_ * #,##0_ ;_ * \-#,##0_ ;_ * &quot;-&quot;??_ ;_ @_ ">
                        <c:v>1206.0163299999995</c:v>
                      </c:pt>
                    </c:numCache>
                  </c:numRef>
                </c:val>
                <c:smooth val="0"/>
                <c:extLst xmlns:c15="http://schemas.microsoft.com/office/drawing/2012/chart">
                  <c:ext xmlns:c16="http://schemas.microsoft.com/office/drawing/2014/chart" uri="{C3380CC4-5D6E-409C-BE32-E72D297353CC}">
                    <c16:uniqueId val="{00000007-F1F2-45E1-9544-431AF5481D5C}"/>
                  </c:ext>
                </c:extLst>
              </c15:ser>
            </c15:filteredLineSeries>
          </c:ext>
        </c:extLst>
      </c:lineChart>
      <c:dateAx>
        <c:axId val="877619240"/>
        <c:scaling>
          <c:orientation val="minMax"/>
          <c:min val="44013"/>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77619632"/>
        <c:crosses val="autoZero"/>
        <c:auto val="1"/>
        <c:lblOffset val="100"/>
        <c:baseTimeUnit val="months"/>
      </c:dateAx>
      <c:valAx>
        <c:axId val="8776196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77619240"/>
        <c:crosses val="autoZero"/>
        <c:crossBetween val="between"/>
        <c:dispUnits>
          <c:builtInUnit val="thousands"/>
          <c:dispUnitsLbl>
            <c:layout/>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valAx>
        <c:axId val="877620416"/>
        <c:scaling>
          <c:orientation val="minMax"/>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layout>
            <c:manualLayout>
              <c:xMode val="edge"/>
              <c:yMode val="edge"/>
              <c:x val="0.95815518500568275"/>
              <c:y val="0.34085390604819366"/>
            </c:manualLayout>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877620808"/>
        <c:crosses val="max"/>
        <c:crossBetween val="between"/>
      </c:valAx>
      <c:dateAx>
        <c:axId val="877620808"/>
        <c:scaling>
          <c:orientation val="minMax"/>
        </c:scaling>
        <c:delete val="1"/>
        <c:axPos val="b"/>
        <c:numFmt formatCode="mmm\-yy" sourceLinked="1"/>
        <c:majorTickMark val="out"/>
        <c:minorTickMark val="none"/>
        <c:tickLblPos val="nextTo"/>
        <c:crossAx val="877620416"/>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73554005798164013"/>
          <c:h val="0.1044547531214697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9.651967030781583E-2"/>
          <c:w val="0.88482163359362909"/>
          <c:h val="0.67292797006548177"/>
        </c:manualLayout>
      </c:layout>
      <c:lineChart>
        <c:grouping val="standard"/>
        <c:varyColors val="0"/>
        <c:ser>
          <c:idx val="3"/>
          <c:order val="0"/>
          <c:tx>
            <c:strRef>
              <c:f>'Turnover charts'!$N$3</c:f>
              <c:strCache>
                <c:ptCount val="1"/>
                <c:pt idx="0">
                  <c:v>BSE Options</c:v>
                </c:pt>
              </c:strCache>
            </c:strRef>
          </c:tx>
          <c:spPr>
            <a:ln w="22225" cap="rnd">
              <a:solidFill>
                <a:srgbClr val="0070C0"/>
              </a:solidFill>
              <a:round/>
            </a:ln>
            <a:effectLst/>
          </c:spPr>
          <c:marker>
            <c:symbol val="circle"/>
            <c:size val="5"/>
            <c:spPr>
              <a:solidFill>
                <a:srgbClr val="0070C0"/>
              </a:solidFill>
              <a:ln w="9525">
                <a:solidFill>
                  <a:srgbClr val="0070C0"/>
                </a:solidFill>
              </a:ln>
              <a:effectLst/>
            </c:spPr>
          </c:marker>
          <c:cat>
            <c:numRef>
              <c:f>'Turnover charts'!$J$4:$J$58</c:f>
              <c:numCache>
                <c:formatCode>mmm\-yy</c:formatCode>
                <c:ptCount val="4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pt idx="37">
                  <c:v>44287</c:v>
                </c:pt>
                <c:pt idx="38">
                  <c:v>44317</c:v>
                </c:pt>
                <c:pt idx="39">
                  <c:v>44348</c:v>
                </c:pt>
              </c:numCache>
            </c:numRef>
          </c:cat>
          <c:val>
            <c:numRef>
              <c:f>'Turnover charts'!$N$4:$N$58</c:f>
              <c:numCache>
                <c:formatCode>General</c:formatCode>
                <c:ptCount val="4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pt idx="35" formatCode="_ * #,##0_ ;_ * \-#,##0_ ;_ * &quot;-&quot;??_ ;_ @_ ">
                  <c:v>65087.26</c:v>
                </c:pt>
                <c:pt idx="36" formatCode="_ * #,##0_ ;_ * \-#,##0_ ;_ * &quot;-&quot;??_ ;_ @_ ">
                  <c:v>71581.36</c:v>
                </c:pt>
                <c:pt idx="37" formatCode="_ * #,##0_ ;_ * \-#,##0_ ;_ * &quot;-&quot;??_ ;_ @_ ">
                  <c:v>66089.42</c:v>
                </c:pt>
                <c:pt idx="38" formatCode="_ * #,##0_ ;_ * \-#,##0_ ;_ * &quot;-&quot;??_ ;_ @_ ">
                  <c:v>67971.709999999992</c:v>
                </c:pt>
                <c:pt idx="39" formatCode="_ * #,##0_ ;_ * \-#,##0_ ;_ * &quot;-&quot;??_ ;_ @_ ">
                  <c:v>71633.320000000007</c:v>
                </c:pt>
              </c:numCache>
            </c:numRef>
          </c:val>
          <c:smooth val="0"/>
          <c:extLst>
            <c:ext xmlns:c16="http://schemas.microsoft.com/office/drawing/2014/chart" uri="{C3380CC4-5D6E-409C-BE32-E72D297353CC}">
              <c16:uniqueId val="{00000000-EB58-4482-AE83-D26964028D5A}"/>
            </c:ext>
          </c:extLst>
        </c:ser>
        <c:ser>
          <c:idx val="1"/>
          <c:order val="1"/>
          <c:tx>
            <c:v>MCX Options</c:v>
          </c:tx>
          <c:spPr>
            <a:ln w="22225" cap="rnd">
              <a:solidFill>
                <a:sysClr val="windowText" lastClr="000000">
                  <a:lumMod val="75000"/>
                  <a:lumOff val="25000"/>
                </a:sysClr>
              </a:solidFill>
              <a:round/>
            </a:ln>
            <a:effectLst/>
          </c:spPr>
          <c:marker>
            <c:symbol val="circle"/>
            <c:size val="5"/>
            <c:spPr>
              <a:solidFill>
                <a:schemeClr val="accent2"/>
              </a:solidFill>
              <a:ln w="9525">
                <a:solidFill>
                  <a:schemeClr val="accent2"/>
                </a:solidFill>
              </a:ln>
              <a:effectLst/>
            </c:spPr>
          </c:marker>
          <c:cat>
            <c:numRef>
              <c:f>'Turnover charts'!$J$4:$J$58</c:f>
              <c:numCache>
                <c:formatCode>mmm\-yy</c:formatCode>
                <c:ptCount val="4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pt idx="37">
                  <c:v>44287</c:v>
                </c:pt>
                <c:pt idx="38">
                  <c:v>44317</c:v>
                </c:pt>
                <c:pt idx="39">
                  <c:v>44348</c:v>
                </c:pt>
              </c:numCache>
            </c:numRef>
          </c:cat>
          <c:val>
            <c:numRef>
              <c:f>'Turnover charts'!$L$4:$L$58</c:f>
              <c:numCache>
                <c:formatCode>_(* #,##0_);_(* \(#,##0\);_(* "-"??_);_(@_)</c:formatCode>
                <c:ptCount val="40"/>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pt idx="35">
                  <c:v>17156.310860000001</c:v>
                </c:pt>
                <c:pt idx="36">
                  <c:v>28949.873640999998</c:v>
                </c:pt>
                <c:pt idx="37">
                  <c:v>29746.30315299999</c:v>
                </c:pt>
                <c:pt idx="38">
                  <c:v>41737.770531000002</c:v>
                </c:pt>
                <c:pt idx="39">
                  <c:v>50098.683639000003</c:v>
                </c:pt>
              </c:numCache>
            </c:numRef>
          </c:val>
          <c:smooth val="0"/>
          <c:extLst>
            <c:ext xmlns:c16="http://schemas.microsoft.com/office/drawing/2014/chart" uri="{C3380CC4-5D6E-409C-BE32-E72D297353CC}">
              <c16:uniqueId val="{00000001-EB58-4482-AE83-D26964028D5A}"/>
            </c:ext>
          </c:extLst>
        </c:ser>
        <c:ser>
          <c:idx val="5"/>
          <c:order val="2"/>
          <c:tx>
            <c:v>NSE Options</c:v>
          </c:tx>
          <c:spPr>
            <a:ln w="28575" cap="rnd">
              <a:solidFill>
                <a:schemeClr val="accent6"/>
              </a:solidFill>
              <a:round/>
            </a:ln>
            <a:effectLst/>
          </c:spPr>
          <c:marker>
            <c:symbol val="circle"/>
            <c:size val="5"/>
            <c:spPr>
              <a:solidFill>
                <a:srgbClr val="C00000"/>
              </a:solidFill>
              <a:ln w="9525">
                <a:solidFill>
                  <a:schemeClr val="accent6"/>
                </a:solidFill>
              </a:ln>
              <a:effectLst/>
            </c:spPr>
          </c:marker>
          <c:cat>
            <c:numRef>
              <c:f>'Turnover charts'!$J$4:$J$58</c:f>
              <c:numCache>
                <c:formatCode>mmm\-yy</c:formatCode>
                <c:ptCount val="4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pt idx="36">
                  <c:v>44256</c:v>
                </c:pt>
                <c:pt idx="37">
                  <c:v>44287</c:v>
                </c:pt>
                <c:pt idx="38">
                  <c:v>44317</c:v>
                </c:pt>
                <c:pt idx="39">
                  <c:v>44348</c:v>
                </c:pt>
              </c:numCache>
            </c:numRef>
          </c:cat>
          <c:val>
            <c:numRef>
              <c:f>'Turnover charts'!$P$4:$P$58</c:f>
              <c:numCache>
                <c:formatCode>General</c:formatCode>
                <c:ptCount val="40"/>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pt idx="35" formatCode="_ * #,##0_ ;_ * \-#,##0_ ;_ * &quot;-&quot;??_ ;_ @_ ">
                  <c:v>1103.8054694999996</c:v>
                </c:pt>
                <c:pt idx="36" formatCode="_ * #,##0_ ;_ * \-#,##0_ ;_ * &quot;-&quot;??_ ;_ @_ ">
                  <c:v>1206.0163299999995</c:v>
                </c:pt>
                <c:pt idx="37" formatCode="_ * #,##0_ ;_ * \-#,##0_ ;_ * &quot;-&quot;??_ ;_ @_ ">
                  <c:v>950.66633899999977</c:v>
                </c:pt>
                <c:pt idx="38" formatCode="_ * #,##0_ ;_ * \-#,##0_ ;_ * &quot;-&quot;??_ ;_ @_ ">
                  <c:v>846.21426750000001</c:v>
                </c:pt>
                <c:pt idx="39" formatCode="_ * #,##0_ ;_ * \-#,##0_ ;_ * &quot;-&quot;??_ ;_ @_ ">
                  <c:v>699.2709150000004</c:v>
                </c:pt>
              </c:numCache>
            </c:numRef>
          </c:val>
          <c:smooth val="0"/>
          <c:extLst>
            <c:ext xmlns:c16="http://schemas.microsoft.com/office/drawing/2014/chart" uri="{C3380CC4-5D6E-409C-BE32-E72D297353CC}">
              <c16:uniqueId val="{00000002-EB58-4482-AE83-D26964028D5A}"/>
            </c:ext>
          </c:extLst>
        </c:ser>
        <c:dLbls>
          <c:showLegendKey val="0"/>
          <c:showVal val="0"/>
          <c:showCatName val="0"/>
          <c:showSerName val="0"/>
          <c:showPercent val="0"/>
          <c:showBubbleSize val="0"/>
        </c:dLbls>
        <c:marker val="1"/>
        <c:smooth val="0"/>
        <c:axId val="653602064"/>
        <c:axId val="653602848"/>
      </c:lineChart>
      <c:dateAx>
        <c:axId val="653602064"/>
        <c:scaling>
          <c:orientation val="minMax"/>
          <c:min val="43983"/>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53602848"/>
        <c:crosses val="autoZero"/>
        <c:auto val="1"/>
        <c:lblOffset val="100"/>
        <c:baseTimeUnit val="months"/>
      </c:dateAx>
      <c:valAx>
        <c:axId val="653602848"/>
        <c:scaling>
          <c:orientation val="minMax"/>
          <c:max val="8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653602064"/>
        <c:crosses val="autoZero"/>
        <c:crossBetween val="between"/>
        <c:majorUnit val="10000"/>
        <c:minorUnit val="5000"/>
        <c:dispUnits>
          <c:builtInUnit val="thousands"/>
          <c:dispUnitsLbl>
            <c:layout/>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dispUnitsLbl>
        </c:dispUnits>
      </c:val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
</file>

<file path=customXml/item4.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5.xml>
</file>

<file path=customXml/item6.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7.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8.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9.xml>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43C77-5EBC-46F2-AC21-5D702358D3EF}">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8A5DE7B4-0207-485C-AD2D-76752FDBC33F}"/>
</file>

<file path=customXml/itemProps4.xml><?xml version="1.0" encoding="utf-8"?>
<ds:datastoreItem xmlns:ds="http://schemas.openxmlformats.org/officeDocument/2006/customXml" ds:itemID="{AC874CF5-52D4-4685-80EC-6F1B86646A89}">
  <ds:schemaRefs/>
</ds:datastoreItem>
</file>

<file path=customXml/itemProps5.xml><?xml version="1.0" encoding="utf-8"?>
<ds:datastoreItem xmlns:ds="http://schemas.openxmlformats.org/officeDocument/2006/customXml" ds:itemID="{F1A90E88-F8CE-47CC-B1F2-2802B9D4F2FE}"/>
</file>

<file path=customXml/itemProps6.xml><?xml version="1.0" encoding="utf-8"?>
<ds:datastoreItem xmlns:ds="http://schemas.openxmlformats.org/officeDocument/2006/customXml" ds:itemID="{D7543C77-5EBC-46F2-AC21-5D702358D3EF}">
  <ds:schemaRefs/>
</ds:datastoreItem>
</file>

<file path=customXml/itemProps7.xml><?xml version="1.0" encoding="utf-8"?>
<ds:datastoreItem xmlns:ds="http://schemas.openxmlformats.org/officeDocument/2006/customXml" ds:itemID="{2C38164C-8094-471D-AC2C-77D018C8E0F2}">
  <ds:schemaRefs/>
</ds:datastoreItem>
</file>

<file path=customXml/itemProps8.xml><?xml version="1.0" encoding="utf-8"?>
<ds:datastoreItem xmlns:ds="http://schemas.openxmlformats.org/officeDocument/2006/customXml" ds:itemID="{D7543C77-5EBC-46F2-AC21-5D702358D3EF}">
  <ds:schemaRefs/>
</ds:datastoreItem>
</file>

<file path=customXml/itemProps9.xml><?xml version="1.0" encoding="utf-8"?>
<ds:datastoreItem xmlns:ds="http://schemas.openxmlformats.org/officeDocument/2006/customXml" ds:itemID="{FFFCDC47-2152-406C-A3E3-98A02192763B}"/>
</file>

<file path=customXml/itemProps10.xml><?xml version="1.0" encoding="utf-8"?>
<ds:datastoreItem xmlns:ds="http://schemas.openxmlformats.org/officeDocument/2006/customXml" ds:itemID="{E4AEE62F-3986-4F6D-AE39-A0CA740DA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13735</Words>
  <Characters>78294</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2</cp:revision>
  <cp:lastPrinted>2021-08-30T04:31:00Z</cp:lastPrinted>
  <dcterms:created xsi:type="dcterms:W3CDTF">2021-08-30T07:14:00Z</dcterms:created>
  <dcterms:modified xsi:type="dcterms:W3CDTF">2021-08-30T07:14:00Z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