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9.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0.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1.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2.xml" ContentType="application/vnd.openxmlformats-officedocument.themeOverrid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theme/themeOverride13.xml" ContentType="application/vnd.openxmlformats-officedocument.themeOverrid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14.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EB3" w:rsidRDefault="009A0EB3" w:rsidP="00816E4C">
      <w:pPr>
        <w:pStyle w:val="Heading4"/>
      </w:pPr>
      <w:bookmarkStart w:id="0" w:name="_GoBack"/>
      <w:bookmarkEnd w:id="0"/>
    </w:p>
    <w:p w:rsidR="003E1929" w:rsidRDefault="003E1929" w:rsidP="003E1929">
      <w:pPr>
        <w:rPr>
          <w:lang w:val="en-IN" w:eastAsia="en-IN"/>
        </w:rPr>
      </w:pPr>
    </w:p>
    <w:p w:rsidR="003E1929" w:rsidRDefault="003E1929" w:rsidP="003E1929">
      <w:pPr>
        <w:rPr>
          <w:lang w:val="en-IN" w:eastAsia="en-IN"/>
        </w:rPr>
      </w:pPr>
    </w:p>
    <w:p w:rsidR="003E1929" w:rsidRDefault="003E1929" w:rsidP="003E1929">
      <w:pPr>
        <w:rPr>
          <w:lang w:val="en-IN" w:eastAsia="en-IN"/>
        </w:rPr>
      </w:pPr>
    </w:p>
    <w:p w:rsidR="003E1929" w:rsidRPr="003E1929" w:rsidRDefault="003E1929" w:rsidP="003E1929">
      <w:pPr>
        <w:rPr>
          <w:lang w:val="en-IN" w:eastAsia="en-IN"/>
        </w:rPr>
      </w:pPr>
    </w:p>
    <w:p w:rsidR="009A0EB3" w:rsidRPr="002726A8" w:rsidRDefault="009A0EB3" w:rsidP="009A0EB3">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SEBI</w:t>
      </w:r>
    </w:p>
    <w:p w:rsidR="009A0EB3" w:rsidRPr="002726A8" w:rsidRDefault="009A0EB3" w:rsidP="009A0EB3">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773A76" w:rsidP="002C3645">
      <w:pPr>
        <w:spacing w:line="20" w:lineRule="atLeast"/>
        <w:jc w:val="center"/>
        <w:rPr>
          <w:rFonts w:ascii="Palatino Linotype" w:hAnsi="Palatino Linotype"/>
          <w:b/>
          <w:color w:val="FF0000"/>
          <w:sz w:val="22"/>
          <w:szCs w:val="22"/>
        </w:rPr>
      </w:pPr>
      <w:r>
        <w:rPr>
          <w:rFonts w:ascii="Palatino Linotype" w:hAnsi="Palatino Linotype"/>
          <w:b/>
          <w:color w:val="000080"/>
          <w:sz w:val="22"/>
          <w:szCs w:val="22"/>
        </w:rPr>
        <w:t>SEPTEMBER</w:t>
      </w:r>
      <w:r w:rsidR="008D1E7F">
        <w:rPr>
          <w:rFonts w:ascii="Palatino Linotype" w:hAnsi="Palatino Linotype"/>
          <w:b/>
          <w:color w:val="000080"/>
          <w:sz w:val="22"/>
          <w:szCs w:val="22"/>
        </w:rPr>
        <w:t xml:space="preserve"> </w:t>
      </w:r>
      <w:r w:rsidR="00074803">
        <w:rPr>
          <w:rFonts w:ascii="Palatino Linotype" w:hAnsi="Palatino Linotype"/>
          <w:b/>
          <w:color w:val="000080"/>
          <w:sz w:val="22"/>
          <w:szCs w:val="22"/>
        </w:rPr>
        <w:t>2</w:t>
      </w:r>
      <w:r w:rsidR="009B7E61">
        <w:rPr>
          <w:rFonts w:ascii="Palatino Linotype" w:hAnsi="Palatino Linotype"/>
          <w:b/>
          <w:color w:val="000080"/>
          <w:sz w:val="22"/>
          <w:szCs w:val="22"/>
        </w:rPr>
        <w:t>02</w:t>
      </w:r>
      <w:r w:rsidR="002361F1">
        <w:rPr>
          <w:rFonts w:ascii="Palatino Linotype" w:hAnsi="Palatino Linotype"/>
          <w:b/>
          <w:color w:val="000080"/>
          <w:sz w:val="22"/>
          <w:szCs w:val="22"/>
        </w:rPr>
        <w:t>1</w:t>
      </w:r>
      <w:r w:rsidR="008E4467">
        <w:rPr>
          <w:rFonts w:ascii="Palatino Linotype" w:hAnsi="Palatino Linotype"/>
          <w:b/>
          <w:color w:val="000080"/>
          <w:sz w:val="22"/>
          <w:szCs w:val="22"/>
        </w:rPr>
        <w:t xml:space="preserve">   VOL. 1</w:t>
      </w:r>
      <w:r w:rsidR="002361F1">
        <w:rPr>
          <w:rFonts w:ascii="Palatino Linotype" w:hAnsi="Palatino Linotype"/>
          <w:b/>
          <w:color w:val="000080"/>
          <w:sz w:val="22"/>
          <w:szCs w:val="22"/>
        </w:rPr>
        <w:t>9</w:t>
      </w:r>
      <w:r w:rsidR="008E4467">
        <w:rPr>
          <w:rFonts w:ascii="Palatino Linotype" w:hAnsi="Palatino Linotype"/>
          <w:b/>
          <w:color w:val="000080"/>
          <w:sz w:val="22"/>
          <w:szCs w:val="22"/>
        </w:rPr>
        <w:t xml:space="preserve">              </w:t>
      </w:r>
      <w:r w:rsidR="002C3645" w:rsidRPr="009A0EB3">
        <w:rPr>
          <w:rFonts w:ascii="Palatino Linotype" w:hAnsi="Palatino Linotype"/>
          <w:b/>
          <w:color w:val="000080"/>
          <w:sz w:val="22"/>
          <w:szCs w:val="22"/>
        </w:rPr>
        <w:t xml:space="preserve"> </w:t>
      </w:r>
      <w:r w:rsidR="00B20597">
        <w:rPr>
          <w:rFonts w:ascii="Palatino Linotype" w:hAnsi="Palatino Linotype"/>
          <w:b/>
          <w:color w:val="FF0000"/>
          <w:sz w:val="22"/>
          <w:szCs w:val="22"/>
        </w:rPr>
        <w:t xml:space="preserve">NUMBER </w:t>
      </w:r>
      <w:r w:rsidR="002361F1">
        <w:rPr>
          <w:rFonts w:ascii="Palatino Linotype" w:hAnsi="Palatino Linotype"/>
          <w:b/>
          <w:color w:val="FF0000"/>
          <w:sz w:val="22"/>
          <w:szCs w:val="22"/>
        </w:rPr>
        <w:t>0</w:t>
      </w:r>
      <w:r>
        <w:rPr>
          <w:rFonts w:ascii="Palatino Linotype" w:hAnsi="Palatino Linotype"/>
          <w:b/>
          <w:color w:val="FF0000"/>
          <w:sz w:val="22"/>
          <w:szCs w:val="22"/>
        </w:rPr>
        <w:t>9</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(LOGO)</w:t>
      </w:r>
    </w:p>
    <w:p w:rsidR="0018049A" w:rsidRPr="009A0EB3" w:rsidRDefault="0018049A"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Pr="009A0EB3" w:rsidRDefault="002E18B1"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434487" w:rsidRPr="009A0EB3" w:rsidRDefault="0043448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8E4467" w:rsidRPr="009A0EB3" w:rsidRDefault="008E446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SECURITIES AND EXCHANGE BOARD OF INDIA</w:t>
      </w:r>
    </w:p>
    <w:p w:rsidR="002C3645" w:rsidRPr="009A0EB3" w:rsidRDefault="002C3645" w:rsidP="002C3645">
      <w:pPr>
        <w:spacing w:line="20" w:lineRule="atLeast"/>
        <w:jc w:val="both"/>
        <w:rPr>
          <w:rFonts w:ascii="Palatino Linotype" w:hAnsi="Palatino Linotype"/>
          <w:color w:val="FF0000"/>
          <w:sz w:val="22"/>
          <w:szCs w:val="22"/>
        </w:rPr>
      </w:pPr>
    </w:p>
    <w:p w:rsidR="009A0EB3" w:rsidRPr="009A0EB3" w:rsidRDefault="009A0EB3" w:rsidP="002C3645">
      <w:pPr>
        <w:spacing w:line="20" w:lineRule="atLeast"/>
        <w:rPr>
          <w:rFonts w:ascii="Palatino Linotype" w:hAnsi="Palatino Linotype"/>
          <w:b/>
          <w:sz w:val="22"/>
          <w:szCs w:val="22"/>
        </w:rPr>
      </w:pPr>
    </w:p>
    <w:p w:rsidR="002C3645" w:rsidRPr="009A0EB3" w:rsidRDefault="002C3645" w:rsidP="002C3645">
      <w:pPr>
        <w:spacing w:line="20" w:lineRule="atLeast"/>
        <w:rPr>
          <w:rFonts w:ascii="Palatino Linotype" w:hAnsi="Palatino Linotype"/>
          <w:b/>
          <w:sz w:val="22"/>
          <w:szCs w:val="22"/>
        </w:rPr>
      </w:pPr>
      <w:r w:rsidRPr="009A0EB3">
        <w:rPr>
          <w:rFonts w:ascii="Palatino Linotype" w:hAnsi="Palatino Linotype"/>
          <w:b/>
          <w:sz w:val="22"/>
          <w:szCs w:val="22"/>
        </w:rPr>
        <w:t xml:space="preserve">EDITORIAL COMMITTEE </w:t>
      </w:r>
      <w:r w:rsidR="009A0EB3" w:rsidRPr="009A0EB3">
        <w:rPr>
          <w:rFonts w:ascii="Palatino Linotype" w:hAnsi="Palatino Linotype"/>
          <w:b/>
          <w:sz w:val="22"/>
          <w:szCs w:val="22"/>
        </w:rPr>
        <w:br/>
      </w:r>
    </w:p>
    <w:p w:rsidR="00E4439E" w:rsidRDefault="00E4439E" w:rsidP="002C3645">
      <w:pPr>
        <w:spacing w:line="20" w:lineRule="atLeast"/>
        <w:jc w:val="both"/>
        <w:outlineLvl w:val="0"/>
        <w:rPr>
          <w:rFonts w:ascii="Palatino Linotype" w:hAnsi="Palatino Linotype"/>
          <w:b/>
          <w:sz w:val="22"/>
          <w:szCs w:val="22"/>
        </w:rPr>
      </w:pPr>
      <w:r w:rsidRPr="009E322F">
        <w:rPr>
          <w:rFonts w:ascii="Palatino Linotype" w:eastAsia="Times New Roman" w:hAnsi="Palatino Linotype"/>
          <w:b/>
          <w:sz w:val="22"/>
          <w:szCs w:val="22"/>
        </w:rPr>
        <w:t xml:space="preserve">Shri </w:t>
      </w:r>
      <w:r w:rsidRPr="00FE77E0">
        <w:rPr>
          <w:rFonts w:ascii="Palatino Linotype" w:eastAsia="Times New Roman" w:hAnsi="Palatino Linotype"/>
          <w:b/>
          <w:sz w:val="22"/>
          <w:szCs w:val="22"/>
        </w:rPr>
        <w:t>Amarjeet Singh</w:t>
      </w:r>
      <w:r w:rsidRPr="009A0EB3">
        <w:rPr>
          <w:rFonts w:ascii="Palatino Linotype" w:hAnsi="Palatino Linotype"/>
          <w:b/>
          <w:sz w:val="22"/>
          <w:szCs w:val="22"/>
        </w:rPr>
        <w:t xml:space="preserve"> </w:t>
      </w:r>
    </w:p>
    <w:p w:rsidR="002C3645"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 xml:space="preserve">Dr. </w:t>
      </w:r>
      <w:r w:rsidR="004A4D62">
        <w:rPr>
          <w:rFonts w:ascii="Palatino Linotype" w:hAnsi="Palatino Linotype"/>
          <w:b/>
          <w:sz w:val="22"/>
          <w:szCs w:val="22"/>
        </w:rPr>
        <w:t xml:space="preserve"> </w:t>
      </w:r>
      <w:r w:rsidRPr="009A0EB3">
        <w:rPr>
          <w:rFonts w:ascii="Palatino Linotype" w:hAnsi="Palatino Linotype"/>
          <w:b/>
          <w:sz w:val="22"/>
          <w:szCs w:val="22"/>
        </w:rPr>
        <w:t>Prabhakar R. Patil</w:t>
      </w:r>
    </w:p>
    <w:p w:rsidR="00E71481"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 Prabhas Rath</w:t>
      </w:r>
    </w:p>
    <w:p w:rsidR="00012FAA" w:rsidRPr="009A0EB3" w:rsidRDefault="00012FAA"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Sangeeta Rathod</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Deepthi L.S.</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Dr.</w:t>
      </w:r>
      <w:r w:rsidR="002C3645" w:rsidRPr="009A0EB3">
        <w:rPr>
          <w:rFonts w:ascii="Palatino Linotype" w:hAnsi="Palatino Linotype"/>
          <w:b/>
          <w:sz w:val="22"/>
          <w:szCs w:val="22"/>
        </w:rPr>
        <w:t xml:space="preserve"> </w:t>
      </w:r>
      <w:r>
        <w:rPr>
          <w:rFonts w:ascii="Palatino Linotype" w:hAnsi="Palatino Linotype"/>
          <w:b/>
          <w:sz w:val="22"/>
          <w:szCs w:val="22"/>
        </w:rPr>
        <w:t xml:space="preserve"> Deepali Dixit</w:t>
      </w:r>
    </w:p>
    <w:p w:rsidR="002C3645" w:rsidRPr="009A0EB3"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w:t>
      </w:r>
      <w:r w:rsidR="002C3645" w:rsidRPr="009A0EB3">
        <w:rPr>
          <w:rFonts w:ascii="Palatino Linotype" w:hAnsi="Palatino Linotype"/>
          <w:b/>
          <w:sz w:val="22"/>
          <w:szCs w:val="22"/>
        </w:rPr>
        <w:t xml:space="preserve"> </w:t>
      </w:r>
      <w:r w:rsidR="00FD1851">
        <w:rPr>
          <w:rFonts w:ascii="Palatino Linotype" w:hAnsi="Palatino Linotype"/>
          <w:b/>
          <w:sz w:val="22"/>
          <w:szCs w:val="22"/>
        </w:rPr>
        <w:t>Jitendra Kumar</w:t>
      </w:r>
    </w:p>
    <w:p w:rsidR="002C3645" w:rsidRPr="009A0EB3" w:rsidRDefault="002C3645" w:rsidP="002C3645">
      <w:pPr>
        <w:spacing w:line="20" w:lineRule="atLeast"/>
        <w:jc w:val="both"/>
        <w:outlineLvl w:val="0"/>
        <w:rPr>
          <w:rFonts w:ascii="Palatino Linotype" w:hAnsi="Palatino Linotype"/>
          <w:b/>
          <w:sz w:val="22"/>
          <w:szCs w:val="22"/>
        </w:rPr>
      </w:pPr>
    </w:p>
    <w:p w:rsidR="002C3645" w:rsidRPr="009A0EB3" w:rsidRDefault="002C3645" w:rsidP="002C3645">
      <w:pPr>
        <w:spacing w:line="20" w:lineRule="atLeast"/>
        <w:jc w:val="both"/>
        <w:rPr>
          <w:rFonts w:ascii="Palatino Linotype" w:hAnsi="Palatino Linotype"/>
          <w:sz w:val="22"/>
          <w:szCs w:val="22"/>
        </w:rPr>
      </w:pPr>
    </w:p>
    <w:p w:rsidR="002C3645" w:rsidRPr="009A0EB3" w:rsidRDefault="002C3645" w:rsidP="002C3645">
      <w:pPr>
        <w:spacing w:line="20" w:lineRule="atLeast"/>
        <w:jc w:val="both"/>
        <w:rPr>
          <w:rFonts w:ascii="Palatino Linotype" w:hAnsi="Palatino Linotype"/>
          <w:sz w:val="22"/>
          <w:szCs w:val="22"/>
        </w:rPr>
      </w:pPr>
      <w:r w:rsidRPr="009A0EB3">
        <w:rPr>
          <w:rFonts w:ascii="Palatino Linotype" w:hAnsi="Palatino Linotype"/>
          <w:sz w:val="22"/>
          <w:szCs w:val="22"/>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w:t>
      </w:r>
      <w:r w:rsidRPr="009A0EB3">
        <w:rPr>
          <w:rFonts w:ascii="Palatino Linotype" w:hAnsi="Palatino Linotype"/>
          <w:bCs/>
          <w:sz w:val="22"/>
          <w:szCs w:val="22"/>
        </w:rPr>
        <w:t xml:space="preserve">A readable version of SEBI Bulletin is available at </w:t>
      </w:r>
      <w:hyperlink r:id="rId17" w:history="1">
        <w:r w:rsidRPr="009A0EB3">
          <w:rPr>
            <w:rFonts w:ascii="Palatino Linotype" w:hAnsi="Palatino Linotype"/>
            <w:bCs/>
            <w:sz w:val="22"/>
            <w:szCs w:val="22"/>
          </w:rPr>
          <w:t>http://www.sebi.gov.in</w:t>
        </w:r>
      </w:hyperlink>
      <w:r w:rsidRPr="009A0EB3">
        <w:rPr>
          <w:rFonts w:ascii="Palatino Linotype" w:hAnsi="Palatino Linotype"/>
          <w:bCs/>
          <w:sz w:val="22"/>
          <w:szCs w:val="22"/>
        </w:rPr>
        <w:t xml:space="preserve">. </w:t>
      </w:r>
      <w:r w:rsidR="00E71481">
        <w:rPr>
          <w:rFonts w:ascii="Palatino Linotype" w:hAnsi="Palatino Linotype"/>
          <w:bCs/>
          <w:sz w:val="22"/>
          <w:szCs w:val="22"/>
        </w:rPr>
        <w:t xml:space="preserve"> </w:t>
      </w:r>
      <w:r w:rsidR="00E71481" w:rsidRPr="00E71481">
        <w:rPr>
          <w:rFonts w:ascii="Palatino Linotype" w:hAnsi="Palatino Linotype"/>
          <w:bCs/>
          <w:sz w:val="22"/>
          <w:szCs w:val="22"/>
        </w:rPr>
        <w:t xml:space="preserve">Further,  soft copy of SEBI Bulletin is available free of cost to the subscribers/readers, who register at bulletin@sebi.gov.in along with their complete address. </w:t>
      </w:r>
      <w:r w:rsidRPr="009A0EB3">
        <w:rPr>
          <w:rFonts w:ascii="Palatino Linotype" w:hAnsi="Palatino Linotype"/>
          <w:bCs/>
          <w:sz w:val="22"/>
          <w:szCs w:val="22"/>
        </w:rPr>
        <w:t xml:space="preserve">Any comments and suggestions on any of the features/sections may be sent to </w:t>
      </w:r>
      <w:hyperlink r:id="rId18" w:history="1">
        <w:r w:rsidRPr="009A0EB3">
          <w:rPr>
            <w:rFonts w:ascii="Palatino Linotype" w:hAnsi="Palatino Linotype"/>
            <w:bCs/>
            <w:sz w:val="22"/>
            <w:szCs w:val="22"/>
          </w:rPr>
          <w:t>bulletin@sebi.gov.in</w:t>
        </w:r>
      </w:hyperlink>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EB52C5" w:rsidRDefault="00EB52C5" w:rsidP="00B84DDC">
      <w:pPr>
        <w:outlineLvl w:val="0"/>
        <w:rPr>
          <w:rFonts w:ascii="Palatino Linotype" w:hAnsi="Palatino Linotype" w:cs="Helvetica"/>
          <w:b/>
          <w:color w:val="000099"/>
          <w:sz w:val="22"/>
          <w:szCs w:val="22"/>
        </w:rPr>
      </w:pPr>
    </w:p>
    <w:p w:rsidR="00B84DDC" w:rsidRPr="009A0EB3" w:rsidRDefault="00B84DDC" w:rsidP="00B84DDC">
      <w:pP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632423"/>
          <w:sz w:val="22"/>
          <w:szCs w:val="22"/>
        </w:rPr>
      </w:pPr>
      <w:r w:rsidRPr="009A0EB3">
        <w:rPr>
          <w:rFonts w:ascii="Palatino Linotype" w:hAnsi="Palatino Linotype"/>
          <w:b/>
          <w:color w:val="632423"/>
          <w:sz w:val="22"/>
          <w:szCs w:val="22"/>
        </w:rPr>
        <w:lastRenderedPageBreak/>
        <w:t>CONTENTS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p>
    <w:p w:rsidR="002C1136" w:rsidRDefault="00D73337" w:rsidP="00A36146">
      <w:pPr>
        <w:spacing w:line="20" w:lineRule="atLeast"/>
        <w:jc w:val="both"/>
        <w:rPr>
          <w:rFonts w:ascii="Palatino Linotype" w:hAnsi="Palatino Linotype"/>
          <w:b/>
          <w:color w:val="0000FF"/>
          <w:sz w:val="22"/>
          <w:szCs w:val="22"/>
        </w:rPr>
      </w:pPr>
      <w:r>
        <w:rPr>
          <w:rFonts w:ascii="Palatino Linotype" w:hAnsi="Palatino Linotype"/>
          <w:b/>
          <w:color w:val="0000FF"/>
          <w:sz w:val="22"/>
          <w:szCs w:val="22"/>
        </w:rPr>
        <w:t>CHAIRMAN’S SPEECH</w:t>
      </w:r>
    </w:p>
    <w:p w:rsidR="00D73337" w:rsidRDefault="00D73337" w:rsidP="00F81232">
      <w:pPr>
        <w:spacing w:line="20" w:lineRule="atLeast"/>
        <w:jc w:val="both"/>
        <w:rPr>
          <w:rFonts w:ascii="Palatino Linotype" w:hAnsi="Palatino Linotype"/>
          <w:b/>
          <w:color w:val="0000FF"/>
          <w:sz w:val="22"/>
          <w:szCs w:val="22"/>
        </w:rPr>
      </w:pPr>
    </w:p>
    <w:p w:rsidR="002C3645" w:rsidRPr="009A0EB3" w:rsidRDefault="002C3645" w:rsidP="00F81232">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CAPITAL MARKET REVIEW</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REVIEW OF GLOBAL FINANCIAL MARKETS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HIGHLIGHTS OF DEVELOPMENTS IN INTERNATIONAL SECURITIES MARKET</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POLICY DEVELOPMENTS </w:t>
      </w:r>
      <w:r w:rsidR="00E71481">
        <w:rPr>
          <w:rFonts w:ascii="Palatino Linotype" w:hAnsi="Palatino Linotype"/>
          <w:b/>
          <w:color w:val="0000FF"/>
          <w:sz w:val="22"/>
          <w:szCs w:val="22"/>
        </w:rPr>
        <w:t>AT SEBI</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REGULATORY ACTIONS TAKEN BY SEBI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TABLES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PUBLICATIONS</w:t>
      </w:r>
    </w:p>
    <w:p w:rsidR="002C3645" w:rsidRDefault="002C3645"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1A7518" w:rsidRDefault="001A7518" w:rsidP="00B43812">
      <w:pPr>
        <w:jc w:val="both"/>
        <w:outlineLvl w:val="0"/>
        <w:rPr>
          <w:rFonts w:ascii="Palatino Linotype" w:hAnsi="Palatino Linotype" w:cs="Helvetica"/>
          <w:b/>
          <w:color w:val="000099"/>
          <w:sz w:val="28"/>
          <w:szCs w:val="28"/>
        </w:rPr>
      </w:pPr>
    </w:p>
    <w:p w:rsidR="001A7518" w:rsidRDefault="001A7518" w:rsidP="00B43812">
      <w:pPr>
        <w:jc w:val="both"/>
        <w:outlineLvl w:val="0"/>
        <w:rPr>
          <w:rFonts w:ascii="Palatino Linotype" w:hAnsi="Palatino Linotype" w:cs="Helvetica"/>
          <w:b/>
          <w:color w:val="000099"/>
          <w:sz w:val="28"/>
          <w:szCs w:val="28"/>
        </w:rPr>
      </w:pPr>
    </w:p>
    <w:p w:rsidR="00E51198" w:rsidRPr="00E51198" w:rsidRDefault="00D84CCA" w:rsidP="00E51198">
      <w:pPr>
        <w:jc w:val="center"/>
        <w:rPr>
          <w:rFonts w:ascii="Palatino Linotype" w:hAnsi="Palatino Linotype" w:cs="Arial"/>
          <w:b/>
          <w:lang w:val="en-IN"/>
        </w:rPr>
      </w:pPr>
      <w:r>
        <w:rPr>
          <w:rFonts w:ascii="Palatino Linotype" w:hAnsi="Palatino Linotype" w:cs="Arial"/>
          <w:b/>
          <w:lang w:val="en-IN"/>
        </w:rPr>
        <w:t xml:space="preserve">SPEECH BY </w:t>
      </w:r>
      <w:r w:rsidR="00E51198" w:rsidRPr="00E51198">
        <w:rPr>
          <w:rFonts w:ascii="Palatino Linotype" w:hAnsi="Palatino Linotype" w:cs="Arial"/>
          <w:b/>
          <w:lang w:val="en-IN"/>
        </w:rPr>
        <w:t>CHAIRMAN, SEBI</w:t>
      </w:r>
    </w:p>
    <w:p w:rsidR="00D84CCA" w:rsidRDefault="00D84CCA" w:rsidP="00E51198">
      <w:pPr>
        <w:jc w:val="center"/>
        <w:rPr>
          <w:rFonts w:ascii="Palatino Linotype" w:hAnsi="Palatino Linotype" w:cs="Arial"/>
          <w:b/>
          <w:lang w:val="en-IN"/>
        </w:rPr>
      </w:pPr>
      <w:r w:rsidRPr="00D84CCA">
        <w:rPr>
          <w:rFonts w:ascii="Palatino Linotype" w:hAnsi="Palatino Linotype" w:cs="Arial"/>
          <w:b/>
          <w:lang w:val="en-IN"/>
        </w:rPr>
        <w:t>I</w:t>
      </w:r>
      <w:r>
        <w:rPr>
          <w:rFonts w:ascii="Palatino Linotype" w:hAnsi="Palatino Linotype" w:cs="Arial"/>
          <w:b/>
          <w:lang w:val="en-IN"/>
        </w:rPr>
        <w:t xml:space="preserve">NAUGURAL </w:t>
      </w:r>
      <w:r w:rsidRPr="00D84CCA">
        <w:rPr>
          <w:rFonts w:ascii="Palatino Linotype" w:hAnsi="Palatino Linotype" w:cs="Arial"/>
          <w:b/>
          <w:lang w:val="en-IN"/>
        </w:rPr>
        <w:t>P</w:t>
      </w:r>
      <w:r>
        <w:rPr>
          <w:rFonts w:ascii="Palatino Linotype" w:hAnsi="Palatino Linotype" w:cs="Arial"/>
          <w:b/>
          <w:lang w:val="en-IN"/>
        </w:rPr>
        <w:t>ROGRAM</w:t>
      </w:r>
      <w:r w:rsidRPr="00D84CCA">
        <w:rPr>
          <w:rFonts w:ascii="Palatino Linotype" w:hAnsi="Palatino Linotype" w:cs="Arial"/>
          <w:b/>
          <w:lang w:val="en-IN"/>
        </w:rPr>
        <w:t xml:space="preserve"> - L.L.M </w:t>
      </w:r>
      <w:r>
        <w:rPr>
          <w:rFonts w:ascii="Palatino Linotype" w:hAnsi="Palatino Linotype" w:cs="Arial"/>
          <w:b/>
          <w:lang w:val="en-IN"/>
        </w:rPr>
        <w:t>IN</w:t>
      </w:r>
      <w:r w:rsidRPr="00D84CCA">
        <w:rPr>
          <w:rFonts w:ascii="Palatino Linotype" w:hAnsi="Palatino Linotype" w:cs="Arial"/>
          <w:b/>
          <w:lang w:val="en-IN"/>
        </w:rPr>
        <w:t xml:space="preserve"> I</w:t>
      </w:r>
      <w:r>
        <w:rPr>
          <w:rFonts w:ascii="Palatino Linotype" w:hAnsi="Palatino Linotype" w:cs="Arial"/>
          <w:b/>
          <w:lang w:val="en-IN"/>
        </w:rPr>
        <w:t xml:space="preserve">NVESTMENT AND </w:t>
      </w:r>
      <w:r w:rsidRPr="00D84CCA">
        <w:rPr>
          <w:rFonts w:ascii="Palatino Linotype" w:hAnsi="Palatino Linotype" w:cs="Arial"/>
          <w:b/>
          <w:lang w:val="en-IN"/>
        </w:rPr>
        <w:t>S</w:t>
      </w:r>
      <w:r>
        <w:rPr>
          <w:rFonts w:ascii="Palatino Linotype" w:hAnsi="Palatino Linotype" w:cs="Arial"/>
          <w:b/>
          <w:lang w:val="en-IN"/>
        </w:rPr>
        <w:t>ECURITIES LAW</w:t>
      </w:r>
      <w:r w:rsidRPr="00D84CCA">
        <w:rPr>
          <w:rFonts w:ascii="Palatino Linotype" w:hAnsi="Palatino Linotype" w:cs="Arial"/>
          <w:b/>
          <w:lang w:val="en-IN"/>
        </w:rPr>
        <w:t xml:space="preserve"> </w:t>
      </w:r>
    </w:p>
    <w:p w:rsidR="00E51198" w:rsidRPr="00E51198" w:rsidRDefault="00E51198" w:rsidP="00E51198">
      <w:pPr>
        <w:jc w:val="center"/>
        <w:rPr>
          <w:rFonts w:ascii="Palatino Linotype" w:hAnsi="Palatino Linotype" w:cs="Arial"/>
          <w:b/>
          <w:lang w:val="en-IN"/>
        </w:rPr>
      </w:pPr>
      <w:r w:rsidRPr="00E51198">
        <w:rPr>
          <w:rFonts w:ascii="Palatino Linotype" w:hAnsi="Palatino Linotype" w:cs="Arial"/>
          <w:b/>
          <w:lang w:val="en-IN"/>
        </w:rPr>
        <w:t xml:space="preserve">ON </w:t>
      </w:r>
      <w:r w:rsidR="00D84CCA">
        <w:rPr>
          <w:rFonts w:ascii="Palatino Linotype" w:hAnsi="Palatino Linotype" w:cs="Arial"/>
          <w:b/>
          <w:lang w:val="en-IN"/>
        </w:rPr>
        <w:t>AUGUST</w:t>
      </w:r>
      <w:r w:rsidRPr="00E51198">
        <w:rPr>
          <w:rFonts w:ascii="Palatino Linotype" w:hAnsi="Palatino Linotype" w:cs="Arial"/>
          <w:b/>
          <w:lang w:val="en-IN"/>
        </w:rPr>
        <w:t xml:space="preserve"> </w:t>
      </w:r>
      <w:r w:rsidR="00D84CCA">
        <w:rPr>
          <w:rFonts w:ascii="Palatino Linotype" w:hAnsi="Palatino Linotype" w:cs="Arial"/>
          <w:b/>
          <w:lang w:val="en-IN"/>
        </w:rPr>
        <w:t>13</w:t>
      </w:r>
      <w:r w:rsidRPr="00E51198">
        <w:rPr>
          <w:rFonts w:ascii="Palatino Linotype" w:hAnsi="Palatino Linotype" w:cs="Arial"/>
          <w:b/>
          <w:lang w:val="en-IN"/>
        </w:rPr>
        <w:t>, 2021</w:t>
      </w:r>
    </w:p>
    <w:p w:rsidR="00E51198" w:rsidRPr="00E51198" w:rsidRDefault="00E51198" w:rsidP="00E51198">
      <w:pPr>
        <w:jc w:val="center"/>
        <w:rPr>
          <w:rFonts w:ascii="Palatino Linotype" w:hAnsi="Palatino Linotype" w:cs="Arial"/>
          <w:b/>
          <w:lang w:val="en-IN"/>
        </w:rPr>
      </w:pPr>
    </w:p>
    <w:p w:rsidR="00D84CCA" w:rsidRDefault="00D84CCA" w:rsidP="00B84DDC">
      <w:pPr>
        <w:numPr>
          <w:ilvl w:val="0"/>
          <w:numId w:val="14"/>
        </w:numPr>
        <w:tabs>
          <w:tab w:val="left" w:pos="8931"/>
        </w:tabs>
        <w:ind w:hanging="358"/>
        <w:jc w:val="both"/>
        <w:rPr>
          <w:rFonts w:ascii="Palatino Linotype" w:eastAsia="Times New Roman" w:hAnsi="Palatino Linotype"/>
          <w:color w:val="000000"/>
          <w:lang w:val="en-US" w:bidi="hi-IN"/>
        </w:rPr>
      </w:pPr>
      <w:r w:rsidRPr="00D84CCA">
        <w:rPr>
          <w:rFonts w:ascii="Palatino Linotype" w:eastAsia="Times New Roman" w:hAnsi="Palatino Linotype"/>
          <w:color w:val="000000"/>
          <w:lang w:val="en-US" w:bidi="hi-IN"/>
        </w:rPr>
        <w:t xml:space="preserve">Hon’ble Chief Justice of the Bombay High Court - Shri Dipankar Datta, Vice Chancellor of Maharashtra National Law University (MNLU)- Dr. Dilip Ukey, Whole Time Member Shri S K Mohanty, Director, NISM, faculty members, Registrars and Officers of Maharashtra National Law University and NISM, students and parents, it gives me immense pleasure to address all of you today on this inaugural function.  </w:t>
      </w:r>
    </w:p>
    <w:p w:rsidR="00D84CCA" w:rsidRPr="00D84CCA" w:rsidRDefault="00D84CCA" w:rsidP="00B84DDC">
      <w:pPr>
        <w:tabs>
          <w:tab w:val="left" w:pos="8931"/>
        </w:tabs>
        <w:ind w:left="358"/>
        <w:jc w:val="both"/>
        <w:rPr>
          <w:rFonts w:ascii="Palatino Linotype" w:eastAsia="Times New Roman" w:hAnsi="Palatino Linotype"/>
          <w:color w:val="000000"/>
          <w:lang w:val="en-US" w:bidi="hi-IN"/>
        </w:rPr>
      </w:pPr>
    </w:p>
    <w:p w:rsidR="00D84CCA" w:rsidRDefault="00D84CCA" w:rsidP="00B84DDC">
      <w:pPr>
        <w:numPr>
          <w:ilvl w:val="0"/>
          <w:numId w:val="14"/>
        </w:numPr>
        <w:tabs>
          <w:tab w:val="left" w:pos="8931"/>
        </w:tabs>
        <w:ind w:hanging="358"/>
        <w:jc w:val="both"/>
        <w:rPr>
          <w:rFonts w:ascii="Palatino Linotype" w:eastAsia="Times New Roman" w:hAnsi="Palatino Linotype"/>
          <w:color w:val="000000"/>
          <w:lang w:val="en-US" w:bidi="hi-IN"/>
        </w:rPr>
      </w:pPr>
      <w:r w:rsidRPr="00D84CCA">
        <w:rPr>
          <w:rFonts w:ascii="Palatino Linotype" w:eastAsia="Times New Roman" w:hAnsi="Palatino Linotype"/>
          <w:color w:val="000000"/>
          <w:lang w:val="en-US" w:bidi="hi-IN"/>
        </w:rPr>
        <w:t>I am happy to note that NISM jointly with MNLU introduced LLM in Investment and Securities Law last year and the first batch of the students is about to complete the program. This course is an ideal blend of academic studies and practice with MNLU contributing the strong conceptual and academic inputs and NISM contributing the practical and professional dimension.  You are the second batch of this program and I wish all of you the very best for pursuing this extremely relevant and important course in today’s times.</w:t>
      </w:r>
    </w:p>
    <w:p w:rsidR="00D84CCA" w:rsidRPr="00D84CCA" w:rsidRDefault="00D84CCA" w:rsidP="00B84DDC">
      <w:pPr>
        <w:tabs>
          <w:tab w:val="left" w:pos="8931"/>
        </w:tabs>
        <w:jc w:val="both"/>
        <w:rPr>
          <w:rFonts w:ascii="Palatino Linotype" w:eastAsia="Times New Roman" w:hAnsi="Palatino Linotype"/>
          <w:color w:val="000000"/>
          <w:lang w:val="en-US" w:bidi="hi-IN"/>
        </w:rPr>
      </w:pPr>
      <w:r w:rsidRPr="00D84CCA">
        <w:rPr>
          <w:rFonts w:ascii="Palatino Linotype" w:eastAsia="Times New Roman" w:hAnsi="Palatino Linotype"/>
          <w:color w:val="000000"/>
          <w:lang w:val="en-US" w:bidi="hi-IN"/>
        </w:rPr>
        <w:t xml:space="preserve">  </w:t>
      </w:r>
    </w:p>
    <w:p w:rsidR="00D84CCA" w:rsidRDefault="00D84CCA" w:rsidP="00B84DDC">
      <w:pPr>
        <w:numPr>
          <w:ilvl w:val="0"/>
          <w:numId w:val="14"/>
        </w:numPr>
        <w:tabs>
          <w:tab w:val="left" w:pos="8931"/>
        </w:tabs>
        <w:ind w:hanging="358"/>
        <w:jc w:val="both"/>
        <w:rPr>
          <w:rFonts w:ascii="Palatino Linotype" w:eastAsia="Times New Roman" w:hAnsi="Palatino Linotype"/>
          <w:color w:val="000000"/>
          <w:lang w:val="en-US" w:bidi="hi-IN"/>
        </w:rPr>
      </w:pPr>
      <w:r w:rsidRPr="00D84CCA">
        <w:rPr>
          <w:rFonts w:ascii="Palatino Linotype" w:eastAsia="Times New Roman" w:hAnsi="Palatino Linotype"/>
          <w:color w:val="000000"/>
          <w:lang w:val="en-US" w:bidi="hi-IN"/>
        </w:rPr>
        <w:t xml:space="preserve">Finance is a dynamic field. Securities market within finance is equally and sometimes, even more dynamic. What existed in securities market a decade or two back is vastly different from the securities market that exists today. Electronic trading replaced physical trading, new products and services emerged, strategies using artificial intelligence and machine learning came into play, the type of companies coming into the public markets kept varying, and so on and so forth. With COVID, we saw even more changes. We are witnessing an influx of retail investors into the market, mobile and electronic trading has ramped up and interactions have gone practically virtual almost everywhere. These changes over the years have ensured that securities market laws are one of the most dynamic set of laws that exist in India today.  </w:t>
      </w:r>
    </w:p>
    <w:p w:rsidR="00D84CCA" w:rsidRPr="00D84CCA" w:rsidRDefault="00D84CCA" w:rsidP="00B84DDC">
      <w:pPr>
        <w:tabs>
          <w:tab w:val="left" w:pos="8931"/>
        </w:tabs>
        <w:jc w:val="both"/>
        <w:rPr>
          <w:rFonts w:ascii="Palatino Linotype" w:eastAsia="Times New Roman" w:hAnsi="Palatino Linotype"/>
          <w:color w:val="000000"/>
          <w:lang w:val="en-US" w:bidi="hi-IN"/>
        </w:rPr>
      </w:pPr>
    </w:p>
    <w:p w:rsidR="00D84CCA" w:rsidRDefault="00D84CCA" w:rsidP="00B84DDC">
      <w:pPr>
        <w:numPr>
          <w:ilvl w:val="0"/>
          <w:numId w:val="14"/>
        </w:numPr>
        <w:tabs>
          <w:tab w:val="left" w:pos="8931"/>
        </w:tabs>
        <w:ind w:hanging="358"/>
        <w:jc w:val="both"/>
        <w:rPr>
          <w:rFonts w:ascii="Palatino Linotype" w:eastAsia="Times New Roman" w:hAnsi="Palatino Linotype"/>
          <w:color w:val="000000"/>
          <w:lang w:val="en-US" w:bidi="hi-IN"/>
        </w:rPr>
      </w:pPr>
      <w:r w:rsidRPr="00D84CCA">
        <w:rPr>
          <w:rFonts w:ascii="Palatino Linotype" w:eastAsia="Times New Roman" w:hAnsi="Palatino Linotype"/>
          <w:color w:val="000000"/>
          <w:lang w:val="en-US" w:bidi="hi-IN"/>
        </w:rPr>
        <w:t xml:space="preserve">Securities Market has not only transformed over time but also has expanded and branched out into different areas. You would be learning about AIFs, REITs, InvITs, accredited investors, etc., laws on which did not exist a decade ago in India. Where bank finance used to be predominant, over time, companies are now relying more and more on securities markets to fund their corporate needs. This is happening both globally and in India. Learning securities market laws has never therefore been more relevant as it is today.  </w:t>
      </w:r>
    </w:p>
    <w:p w:rsidR="00D84CCA" w:rsidRPr="00D84CCA" w:rsidRDefault="00D84CCA" w:rsidP="00B84DDC">
      <w:pPr>
        <w:tabs>
          <w:tab w:val="left" w:pos="8931"/>
        </w:tabs>
        <w:jc w:val="both"/>
        <w:rPr>
          <w:rFonts w:ascii="Palatino Linotype" w:eastAsia="Times New Roman" w:hAnsi="Palatino Linotype"/>
          <w:color w:val="000000"/>
          <w:lang w:val="en-US" w:bidi="hi-IN"/>
        </w:rPr>
      </w:pPr>
    </w:p>
    <w:p w:rsidR="00D84CCA" w:rsidRDefault="00D84CCA" w:rsidP="00B84DDC">
      <w:pPr>
        <w:numPr>
          <w:ilvl w:val="0"/>
          <w:numId w:val="14"/>
        </w:numPr>
        <w:tabs>
          <w:tab w:val="left" w:pos="8931"/>
        </w:tabs>
        <w:ind w:hanging="358"/>
        <w:jc w:val="both"/>
        <w:rPr>
          <w:rFonts w:ascii="Palatino Linotype" w:eastAsia="Times New Roman" w:hAnsi="Palatino Linotype"/>
          <w:color w:val="000000"/>
          <w:lang w:val="en-US" w:bidi="hi-IN"/>
        </w:rPr>
      </w:pPr>
      <w:r w:rsidRPr="00D84CCA">
        <w:rPr>
          <w:rFonts w:ascii="Palatino Linotype" w:eastAsia="Times New Roman" w:hAnsi="Palatino Linotype"/>
          <w:color w:val="000000"/>
          <w:lang w:val="en-US" w:bidi="hi-IN"/>
        </w:rPr>
        <w:t xml:space="preserve">Let me make use of this opportunity to address the students of this course and share some of my thoughts: </w:t>
      </w:r>
    </w:p>
    <w:p w:rsidR="00D84CCA" w:rsidRPr="00D84CCA" w:rsidRDefault="00D84CCA" w:rsidP="00B84DDC">
      <w:pPr>
        <w:tabs>
          <w:tab w:val="left" w:pos="8931"/>
        </w:tabs>
        <w:jc w:val="both"/>
        <w:rPr>
          <w:rFonts w:ascii="Palatino Linotype" w:eastAsia="Times New Roman" w:hAnsi="Palatino Linotype"/>
          <w:color w:val="000000"/>
          <w:lang w:val="en-US" w:bidi="hi-IN"/>
        </w:rPr>
      </w:pPr>
    </w:p>
    <w:p w:rsidR="00D84CCA" w:rsidRDefault="00D84CCA" w:rsidP="00B84DDC">
      <w:pPr>
        <w:numPr>
          <w:ilvl w:val="1"/>
          <w:numId w:val="14"/>
        </w:numPr>
        <w:tabs>
          <w:tab w:val="left" w:pos="8931"/>
        </w:tabs>
        <w:ind w:hanging="358"/>
        <w:jc w:val="both"/>
        <w:rPr>
          <w:rFonts w:ascii="Palatino Linotype" w:eastAsia="Times New Roman" w:hAnsi="Palatino Linotype"/>
          <w:color w:val="000000"/>
          <w:lang w:val="en-US" w:bidi="hi-IN"/>
        </w:rPr>
      </w:pPr>
      <w:r w:rsidRPr="00D84CCA">
        <w:rPr>
          <w:rFonts w:ascii="Palatino Linotype" w:eastAsia="Times New Roman" w:hAnsi="Palatino Linotype"/>
          <w:color w:val="000000"/>
          <w:u w:val="single" w:color="000000"/>
          <w:lang w:val="en-US" w:bidi="hi-IN"/>
        </w:rPr>
        <w:t>Diversity</w:t>
      </w:r>
      <w:r w:rsidRPr="00D84CCA">
        <w:rPr>
          <w:rFonts w:ascii="Palatino Linotype" w:eastAsia="Times New Roman" w:hAnsi="Palatino Linotype"/>
          <w:color w:val="000000"/>
          <w:lang w:val="en-US" w:bidi="hi-IN"/>
        </w:rPr>
        <w:t xml:space="preserve">- Securities law, as a branch of the larger financial sector laws, is a vast subject covering a variety of interesting areas. In the course of understanding this subject, you will learn laws relating to fund-raising, securities market trading and settlement, various intermediaries associated with the securities market such as brokers, merchant bankers, etc., enforcement laws such as insider trading and many more. You will also learn about laws at three different levels- Acts of Parliament such as SEBI Act, Companies Act, etc., Regulations issued by SEBI covering different areas and circulars issued by SEBI covering the detailed &amp; procedural aspects. Each law is different and each Act/ Regulation/ circular has its own nuances. The sheer variety will ensure that you are always learning something new every time.  </w:t>
      </w:r>
    </w:p>
    <w:p w:rsidR="00D84CCA" w:rsidRPr="00D84CCA" w:rsidRDefault="00D84CCA" w:rsidP="00B84DDC">
      <w:pPr>
        <w:tabs>
          <w:tab w:val="left" w:pos="8931"/>
        </w:tabs>
        <w:ind w:left="720"/>
        <w:jc w:val="both"/>
        <w:rPr>
          <w:rFonts w:ascii="Palatino Linotype" w:eastAsia="Times New Roman" w:hAnsi="Palatino Linotype"/>
          <w:color w:val="000000"/>
          <w:lang w:val="en-US" w:bidi="hi-IN"/>
        </w:rPr>
      </w:pPr>
    </w:p>
    <w:p w:rsidR="00D84CCA" w:rsidRDefault="00D84CCA" w:rsidP="00B84DDC">
      <w:pPr>
        <w:numPr>
          <w:ilvl w:val="1"/>
          <w:numId w:val="14"/>
        </w:numPr>
        <w:tabs>
          <w:tab w:val="left" w:pos="8931"/>
        </w:tabs>
        <w:ind w:hanging="358"/>
        <w:jc w:val="both"/>
        <w:rPr>
          <w:rFonts w:ascii="Palatino Linotype" w:eastAsia="Times New Roman" w:hAnsi="Palatino Linotype"/>
          <w:color w:val="000000"/>
          <w:lang w:val="en-US" w:bidi="hi-IN"/>
        </w:rPr>
      </w:pPr>
      <w:r w:rsidRPr="00D84CCA">
        <w:rPr>
          <w:rFonts w:ascii="Palatino Linotype" w:eastAsia="Times New Roman" w:hAnsi="Palatino Linotype"/>
          <w:color w:val="000000"/>
          <w:u w:val="single" w:color="000000"/>
          <w:lang w:val="en-US" w:bidi="hi-IN"/>
        </w:rPr>
        <w:t>Dynamism</w:t>
      </w:r>
      <w:r w:rsidRPr="00D84CCA">
        <w:rPr>
          <w:rFonts w:ascii="Palatino Linotype" w:eastAsia="Times New Roman" w:hAnsi="Palatino Linotype"/>
          <w:color w:val="000000"/>
          <w:lang w:val="en-US" w:bidi="hi-IN"/>
        </w:rPr>
        <w:t xml:space="preserve">- As I said before, securities market is very dynamic and naturally, the laws covering the securities market also follow the same pattern. In this domain, you have to be on your toes all the time since the market not just evolves over time, but it evolves at a rapid pace. Even during the course of your study, the law is likely to have undergone many changes. For instance, the government has recently proposed a major revamp of securities market laws with four different Acts proposed to be consolidated into a single Securities Market Code. Therefore, as students, while you should definitely be well versed with the laws mentioned in your syllabus, I would also advise you to keep yourselves updated on the latest developments through news, case laws, regulator websites, etc. This is a very good time to be studying securities market laws and I am sure with all the latest developments, you will find the course very interesting and exciting.  </w:t>
      </w:r>
    </w:p>
    <w:p w:rsidR="00D84CCA" w:rsidRPr="00D84CCA" w:rsidRDefault="00D84CCA" w:rsidP="00B84DDC">
      <w:pPr>
        <w:tabs>
          <w:tab w:val="left" w:pos="8931"/>
        </w:tabs>
        <w:jc w:val="both"/>
        <w:rPr>
          <w:rFonts w:ascii="Palatino Linotype" w:eastAsia="Times New Roman" w:hAnsi="Palatino Linotype"/>
          <w:color w:val="000000"/>
          <w:lang w:val="en-US" w:bidi="hi-IN"/>
        </w:rPr>
      </w:pPr>
    </w:p>
    <w:p w:rsidR="00D84CCA" w:rsidRDefault="00D84CCA" w:rsidP="00B84DDC">
      <w:pPr>
        <w:numPr>
          <w:ilvl w:val="1"/>
          <w:numId w:val="14"/>
        </w:numPr>
        <w:tabs>
          <w:tab w:val="left" w:pos="8931"/>
        </w:tabs>
        <w:ind w:hanging="358"/>
        <w:jc w:val="both"/>
        <w:rPr>
          <w:rFonts w:ascii="Palatino Linotype" w:eastAsia="Times New Roman" w:hAnsi="Palatino Linotype"/>
          <w:color w:val="000000"/>
          <w:lang w:val="en-US" w:bidi="hi-IN"/>
        </w:rPr>
      </w:pPr>
      <w:r w:rsidRPr="00D84CCA">
        <w:rPr>
          <w:rFonts w:ascii="Palatino Linotype" w:eastAsia="Times New Roman" w:hAnsi="Palatino Linotype"/>
          <w:color w:val="000000"/>
          <w:u w:val="single" w:color="000000"/>
          <w:lang w:val="en-US" w:bidi="hi-IN"/>
        </w:rPr>
        <w:t>Consultative process</w:t>
      </w:r>
      <w:r w:rsidRPr="00D84CCA">
        <w:rPr>
          <w:rFonts w:ascii="Palatino Linotype" w:eastAsia="Times New Roman" w:hAnsi="Palatino Linotype"/>
          <w:color w:val="000000"/>
          <w:lang w:val="en-US" w:bidi="hi-IN"/>
        </w:rPr>
        <w:t xml:space="preserve">- Often when one tries to read and understand a particular law, a background into why the law was introduced is very useful. SEBI uses a consultation approach in its policy making process. You will find on SEBI’s website many detailed consultation papers issued by SEBI which will give you a fair idea of why a particular Regulation or circular was issued and its various technical aspects. I would therefore strongly advise that you, as students, whenever you read a particular law on a subject, read various consultation papers that have been issued by SEBI on that topic and then read the relevant laws so that you get a better grasp on the subject. You will also find on SEBI website detailed Board agenda and minutes which will give you more details on the approval process with the rationale for a particular law. When you start getting wellversed in the subject, you will often find arguments on principle based laws v/s rule based laws, compliance in letter v/s spirit, etc. When you understand the background on a particular law, you will be able to appreciate the spirit and principle behind it much better.  </w:t>
      </w:r>
    </w:p>
    <w:p w:rsidR="00D84CCA" w:rsidRPr="00D84CCA" w:rsidRDefault="00D84CCA" w:rsidP="00B84DDC">
      <w:pPr>
        <w:tabs>
          <w:tab w:val="left" w:pos="8931"/>
        </w:tabs>
        <w:ind w:left="1078"/>
        <w:jc w:val="both"/>
        <w:rPr>
          <w:rFonts w:ascii="Palatino Linotype" w:eastAsia="Times New Roman" w:hAnsi="Palatino Linotype"/>
          <w:color w:val="000000"/>
          <w:lang w:val="en-US" w:bidi="hi-IN"/>
        </w:rPr>
      </w:pPr>
    </w:p>
    <w:p w:rsidR="00D84CCA" w:rsidRDefault="00D84CCA" w:rsidP="00B84DDC">
      <w:pPr>
        <w:numPr>
          <w:ilvl w:val="1"/>
          <w:numId w:val="14"/>
        </w:numPr>
        <w:tabs>
          <w:tab w:val="left" w:pos="8931"/>
        </w:tabs>
        <w:ind w:hanging="358"/>
        <w:jc w:val="both"/>
        <w:rPr>
          <w:rFonts w:ascii="Palatino Linotype" w:eastAsia="Times New Roman" w:hAnsi="Palatino Linotype"/>
          <w:color w:val="000000"/>
          <w:lang w:val="en-US" w:bidi="hi-IN"/>
        </w:rPr>
      </w:pPr>
      <w:r w:rsidRPr="00D84CCA">
        <w:rPr>
          <w:rFonts w:ascii="Palatino Linotype" w:eastAsia="Times New Roman" w:hAnsi="Palatino Linotype"/>
          <w:color w:val="000000"/>
          <w:u w:val="single" w:color="000000"/>
          <w:lang w:val="en-US" w:bidi="hi-IN"/>
        </w:rPr>
        <w:t>Demand for securities law professionals</w:t>
      </w:r>
      <w:r w:rsidRPr="00D84CCA">
        <w:rPr>
          <w:rFonts w:ascii="Palatino Linotype" w:eastAsia="Times New Roman" w:hAnsi="Palatino Linotype"/>
          <w:color w:val="000000"/>
          <w:lang w:val="en-US" w:bidi="hi-IN"/>
        </w:rPr>
        <w:t xml:space="preserve">- As securities market expands, the demand for lawyers well-versed with this field is also expanding. Lawyers specialized in securities market laws are sought after in different fields including enforcement matters in SAT and various Courts, providing advice as consultants on various securities market transactions, advising for mergers, acquisitions and takeovers, advising entities on application for registration, etc. There are also law firms which specialize in securities markets. We also have several lawyers and law firms on various SEBI Committees advising SEBI in its policy making process in different areas. Therefore, the gamut of opportunities that await when you complete your course is definitely vast.  </w:t>
      </w:r>
    </w:p>
    <w:p w:rsidR="00D84CCA" w:rsidRPr="00D84CCA" w:rsidRDefault="00D84CCA" w:rsidP="00B84DDC">
      <w:pPr>
        <w:tabs>
          <w:tab w:val="left" w:pos="8931"/>
        </w:tabs>
        <w:jc w:val="both"/>
        <w:rPr>
          <w:rFonts w:ascii="Palatino Linotype" w:eastAsia="Times New Roman" w:hAnsi="Palatino Linotype"/>
          <w:color w:val="000000"/>
          <w:lang w:val="en-US" w:bidi="hi-IN"/>
        </w:rPr>
      </w:pPr>
    </w:p>
    <w:p w:rsidR="00D84CCA" w:rsidRDefault="00D84CCA" w:rsidP="00B84DDC">
      <w:pPr>
        <w:numPr>
          <w:ilvl w:val="1"/>
          <w:numId w:val="14"/>
        </w:numPr>
        <w:tabs>
          <w:tab w:val="left" w:pos="8931"/>
        </w:tabs>
        <w:ind w:hanging="358"/>
        <w:jc w:val="both"/>
        <w:rPr>
          <w:rFonts w:ascii="Palatino Linotype" w:eastAsia="Times New Roman" w:hAnsi="Palatino Linotype"/>
          <w:color w:val="000000"/>
          <w:lang w:val="en-US" w:bidi="hi-IN"/>
        </w:rPr>
      </w:pPr>
      <w:r w:rsidRPr="00D84CCA">
        <w:rPr>
          <w:rFonts w:ascii="Palatino Linotype" w:eastAsia="Times New Roman" w:hAnsi="Palatino Linotype"/>
          <w:color w:val="000000"/>
          <w:u w:val="single" w:color="000000"/>
          <w:lang w:val="en-US" w:bidi="hi-IN"/>
        </w:rPr>
        <w:t>Niche area</w:t>
      </w:r>
      <w:r w:rsidRPr="00D84CCA">
        <w:rPr>
          <w:rFonts w:ascii="Palatino Linotype" w:eastAsia="Times New Roman" w:hAnsi="Palatino Linotype"/>
          <w:color w:val="000000"/>
          <w:lang w:val="en-US" w:bidi="hi-IN"/>
        </w:rPr>
        <w:t xml:space="preserve">- A particular feature of securities market laws is that it is different and unique compared to other laws, even in the finance area. The vast array of specific topics covered under securities law makes it a very specialized and niche subject. Therefore, while practicing on the field, a specialized course like this one is a big advantage since it gives the practitioner a strong conceptual and practical advantage over students of other law courses.  </w:t>
      </w:r>
    </w:p>
    <w:p w:rsidR="00D84CCA" w:rsidRPr="00D84CCA" w:rsidRDefault="00D84CCA" w:rsidP="00B84DDC">
      <w:pPr>
        <w:tabs>
          <w:tab w:val="left" w:pos="8931"/>
        </w:tabs>
        <w:jc w:val="both"/>
        <w:rPr>
          <w:rFonts w:ascii="Palatino Linotype" w:eastAsia="Times New Roman" w:hAnsi="Palatino Linotype"/>
          <w:color w:val="000000"/>
          <w:lang w:val="en-US" w:bidi="hi-IN"/>
        </w:rPr>
      </w:pPr>
    </w:p>
    <w:p w:rsidR="00D84CCA" w:rsidRDefault="00D84CCA" w:rsidP="00B84DDC">
      <w:pPr>
        <w:numPr>
          <w:ilvl w:val="1"/>
          <w:numId w:val="14"/>
        </w:numPr>
        <w:tabs>
          <w:tab w:val="left" w:pos="8931"/>
        </w:tabs>
        <w:ind w:hanging="358"/>
        <w:jc w:val="both"/>
        <w:rPr>
          <w:rFonts w:ascii="Palatino Linotype" w:eastAsia="Times New Roman" w:hAnsi="Palatino Linotype"/>
          <w:color w:val="000000"/>
          <w:lang w:val="en-US" w:bidi="hi-IN"/>
        </w:rPr>
      </w:pPr>
      <w:r w:rsidRPr="00D84CCA">
        <w:rPr>
          <w:rFonts w:ascii="Palatino Linotype" w:eastAsia="Times New Roman" w:hAnsi="Palatino Linotype"/>
          <w:color w:val="000000"/>
          <w:u w:val="single" w:color="000000"/>
          <w:lang w:val="en-US" w:bidi="hi-IN"/>
        </w:rPr>
        <w:t>Research</w:t>
      </w:r>
      <w:r w:rsidRPr="00D84CCA">
        <w:rPr>
          <w:rFonts w:ascii="Palatino Linotype" w:eastAsia="Times New Roman" w:hAnsi="Palatino Linotype"/>
          <w:color w:val="000000"/>
          <w:lang w:val="en-US" w:bidi="hi-IN"/>
        </w:rPr>
        <w:t xml:space="preserve">- Securities market is one area where is no shortage of topics for good research. In fact, I must say that we, in India, are currently lacking when it comes to good quality research on securities market, even more so on the legal aspects. I would strongly urge every student to take up at least one research topic on any of the subjects on securities market law which interests you and conducts a detailed research. I am sure both the institutes have strong faculty to support the students on such research. I hope to see at least a couple of good research papers on securities market laws in the next few years.  </w:t>
      </w:r>
    </w:p>
    <w:p w:rsidR="00D84CCA" w:rsidRPr="00D84CCA" w:rsidRDefault="00D84CCA" w:rsidP="00B84DDC">
      <w:pPr>
        <w:tabs>
          <w:tab w:val="left" w:pos="8931"/>
        </w:tabs>
        <w:jc w:val="both"/>
        <w:rPr>
          <w:rFonts w:ascii="Palatino Linotype" w:eastAsia="Times New Roman" w:hAnsi="Palatino Linotype"/>
          <w:color w:val="000000"/>
          <w:lang w:val="en-US" w:bidi="hi-IN"/>
        </w:rPr>
      </w:pPr>
    </w:p>
    <w:p w:rsidR="00D84CCA" w:rsidRDefault="00D84CCA" w:rsidP="00B84DDC">
      <w:pPr>
        <w:numPr>
          <w:ilvl w:val="0"/>
          <w:numId w:val="14"/>
        </w:numPr>
        <w:tabs>
          <w:tab w:val="left" w:pos="8931"/>
        </w:tabs>
        <w:ind w:hanging="358"/>
        <w:jc w:val="both"/>
        <w:rPr>
          <w:rFonts w:ascii="Palatino Linotype" w:eastAsia="Times New Roman" w:hAnsi="Palatino Linotype"/>
          <w:color w:val="000000"/>
          <w:lang w:val="en-US" w:bidi="hi-IN"/>
        </w:rPr>
      </w:pPr>
      <w:r w:rsidRPr="00D84CCA">
        <w:rPr>
          <w:rFonts w:ascii="Palatino Linotype" w:eastAsia="Times New Roman" w:hAnsi="Palatino Linotype"/>
          <w:color w:val="000000"/>
          <w:lang w:val="en-US" w:bidi="hi-IN"/>
        </w:rPr>
        <w:t xml:space="preserve">In addition to students, this course also creates an opportunity for professionals in the legal field to specialize in this area by improving upon their knowledge base and skill sets. Let me also take this opportunity to mention that apart from this course, NISM also provides capacity building and advanced training programs for professionals from various backgrounds including securities market participants, regulators of India and abroad, trainee and experienced Government officers on a routine basis. These allow professionals to stay abreast of the latest securities market legal framework, products, processes and technologies.  </w:t>
      </w:r>
    </w:p>
    <w:p w:rsidR="00D84CCA" w:rsidRPr="00D84CCA" w:rsidRDefault="00D84CCA" w:rsidP="00B84DDC">
      <w:pPr>
        <w:tabs>
          <w:tab w:val="left" w:pos="8931"/>
        </w:tabs>
        <w:ind w:left="358"/>
        <w:jc w:val="both"/>
        <w:rPr>
          <w:rFonts w:ascii="Palatino Linotype" w:eastAsia="Times New Roman" w:hAnsi="Palatino Linotype"/>
          <w:color w:val="000000"/>
          <w:lang w:val="en-US" w:bidi="hi-IN"/>
        </w:rPr>
      </w:pPr>
    </w:p>
    <w:p w:rsidR="00D84CCA" w:rsidRDefault="00D84CCA" w:rsidP="00B84DDC">
      <w:pPr>
        <w:numPr>
          <w:ilvl w:val="0"/>
          <w:numId w:val="14"/>
        </w:numPr>
        <w:tabs>
          <w:tab w:val="left" w:pos="8931"/>
        </w:tabs>
        <w:ind w:hanging="358"/>
        <w:jc w:val="both"/>
        <w:rPr>
          <w:rFonts w:ascii="Palatino Linotype" w:eastAsia="Times New Roman" w:hAnsi="Palatino Linotype"/>
          <w:color w:val="000000"/>
          <w:lang w:val="en-US" w:bidi="hi-IN"/>
        </w:rPr>
      </w:pPr>
      <w:r w:rsidRPr="00D84CCA">
        <w:rPr>
          <w:rFonts w:ascii="Palatino Linotype" w:eastAsia="Times New Roman" w:hAnsi="Palatino Linotype"/>
          <w:color w:val="000000"/>
          <w:lang w:val="en-US" w:bidi="hi-IN"/>
        </w:rPr>
        <w:t xml:space="preserve">Let me conclude by congratulating MNLU and NISM for successful launch of another year of this exciting course. My good wishes to MNLU and NISM for future success of this course and to the students for a bright career ahead of them.  </w:t>
      </w:r>
    </w:p>
    <w:p w:rsidR="00D84CCA" w:rsidRPr="00D84CCA" w:rsidRDefault="00D84CCA" w:rsidP="00B84DDC">
      <w:pPr>
        <w:tabs>
          <w:tab w:val="left" w:pos="8931"/>
        </w:tabs>
        <w:jc w:val="both"/>
        <w:rPr>
          <w:rFonts w:ascii="Palatino Linotype" w:eastAsia="Times New Roman" w:hAnsi="Palatino Linotype"/>
          <w:color w:val="000000"/>
          <w:lang w:val="en-US" w:bidi="hi-IN"/>
        </w:rPr>
      </w:pPr>
    </w:p>
    <w:p w:rsidR="00D84CCA" w:rsidRPr="00D84CCA" w:rsidRDefault="00D84CCA" w:rsidP="00B84DDC">
      <w:pPr>
        <w:tabs>
          <w:tab w:val="left" w:pos="8931"/>
        </w:tabs>
        <w:ind w:left="-15"/>
        <w:jc w:val="both"/>
        <w:rPr>
          <w:rFonts w:ascii="Palatino Linotype" w:eastAsia="Times New Roman" w:hAnsi="Palatino Linotype"/>
          <w:color w:val="000000"/>
          <w:lang w:val="en-US" w:bidi="hi-IN"/>
        </w:rPr>
      </w:pPr>
      <w:r w:rsidRPr="00D84CCA">
        <w:rPr>
          <w:rFonts w:ascii="Palatino Linotype" w:eastAsia="Times New Roman" w:hAnsi="Palatino Linotype"/>
          <w:color w:val="000000"/>
          <w:lang w:val="en-US" w:bidi="hi-IN"/>
        </w:rPr>
        <w:t>Thank you.</w:t>
      </w:r>
    </w:p>
    <w:p w:rsidR="00E51198" w:rsidRDefault="00E51198" w:rsidP="00B84DDC">
      <w:pPr>
        <w:rPr>
          <w:rFonts w:ascii="Palatino Linotype" w:hAnsi="Palatino Linotype" w:cs="Arial"/>
          <w:b/>
          <w:lang w:val="en-IN"/>
        </w:rPr>
      </w:pPr>
      <w:r w:rsidRPr="00D84CCA">
        <w:rPr>
          <w:rFonts w:ascii="Palatino Linotype" w:hAnsi="Palatino Linotype" w:cs="Arial"/>
          <w:b/>
          <w:lang w:val="en-IN"/>
        </w:rPr>
        <w:br w:type="page"/>
      </w:r>
    </w:p>
    <w:p w:rsidR="007547DA" w:rsidRPr="009A0EB3" w:rsidRDefault="007547DA" w:rsidP="007547DA">
      <w:pPr>
        <w:jc w:val="center"/>
        <w:outlineLvl w:val="0"/>
        <w:rPr>
          <w:rFonts w:ascii="Palatino Linotype" w:hAnsi="Palatino Linotype" w:cs="Helvetica"/>
          <w:b/>
          <w:color w:val="000099"/>
          <w:sz w:val="28"/>
          <w:szCs w:val="28"/>
        </w:rPr>
      </w:pPr>
      <w:r w:rsidRPr="009A0EB3">
        <w:rPr>
          <w:rFonts w:ascii="Palatino Linotype" w:hAnsi="Palatino Linotype" w:cs="Helvetica"/>
          <w:b/>
          <w:color w:val="000099"/>
          <w:sz w:val="28"/>
          <w:szCs w:val="28"/>
        </w:rPr>
        <w:t>CAPITAL MARKET REVIEW</w:t>
      </w:r>
    </w:p>
    <w:p w:rsidR="007547DA" w:rsidRPr="009A0EB3" w:rsidRDefault="007547DA" w:rsidP="007547DA">
      <w:pPr>
        <w:jc w:val="center"/>
        <w:outlineLvl w:val="0"/>
        <w:rPr>
          <w:rFonts w:ascii="Palatino Linotype" w:hAnsi="Palatino Linotype" w:cs="Helvetica"/>
          <w:b/>
          <w:color w:val="000099"/>
          <w:sz w:val="22"/>
          <w:szCs w:val="22"/>
        </w:rPr>
      </w:pPr>
    </w:p>
    <w:p w:rsidR="003B1F08" w:rsidRDefault="003B1F08" w:rsidP="003F4581">
      <w:pPr>
        <w:widowControl w:val="0"/>
        <w:ind w:left="-284"/>
        <w:jc w:val="both"/>
        <w:rPr>
          <w:rFonts w:ascii="Palatino Linotype" w:hAnsi="Palatino Linotype"/>
          <w:b/>
          <w:color w:val="0F0684"/>
        </w:rPr>
      </w:pPr>
    </w:p>
    <w:p w:rsidR="00D33F7C" w:rsidRDefault="00D33F7C" w:rsidP="00D33F7C">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t xml:space="preserve">Trends in Resource Mobilisation by Corporates  </w:t>
      </w:r>
    </w:p>
    <w:p w:rsidR="00B84DDC" w:rsidRPr="00D33F7C" w:rsidRDefault="00B84DDC" w:rsidP="00B84DDC">
      <w:pPr>
        <w:widowControl w:val="0"/>
        <w:spacing w:line="276" w:lineRule="auto"/>
        <w:ind w:left="454"/>
        <w:rPr>
          <w:rFonts w:ascii="Palatino Linotype" w:eastAsia="Palatino Linotype" w:hAnsi="Palatino Linotype" w:cs="Palatino Linotype"/>
          <w:b/>
          <w:sz w:val="22"/>
          <w:szCs w:val="22"/>
        </w:rPr>
      </w:pPr>
    </w:p>
    <w:p w:rsidR="00B84DDC" w:rsidRDefault="00B84DDC" w:rsidP="00A82EC3">
      <w:pPr>
        <w:numPr>
          <w:ilvl w:val="0"/>
          <w:numId w:val="1"/>
        </w:numPr>
        <w:pBdr>
          <w:top w:val="nil"/>
          <w:left w:val="nil"/>
          <w:bottom w:val="nil"/>
          <w:right w:val="nil"/>
          <w:between w:val="nil"/>
        </w:pBdr>
        <w:ind w:left="714" w:hanging="357"/>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 xml:space="preserve">During </w:t>
      </w:r>
      <w:r>
        <w:rPr>
          <w:rFonts w:ascii="Palatino Linotype" w:eastAsia="Palatino Linotype" w:hAnsi="Palatino Linotype" w:cs="Palatino Linotype"/>
          <w:sz w:val="22"/>
          <w:szCs w:val="22"/>
        </w:rPr>
        <w:t>August</w:t>
      </w:r>
      <w:r w:rsidRPr="00DB7D3F">
        <w:rPr>
          <w:rFonts w:ascii="Palatino Linotype" w:eastAsia="Palatino Linotype" w:hAnsi="Palatino Linotype" w:cs="Palatino Linotype"/>
          <w:sz w:val="22"/>
          <w:szCs w:val="22"/>
        </w:rPr>
        <w:t xml:space="preserve"> 2021, </w:t>
      </w:r>
      <w:r>
        <w:rPr>
          <w:rFonts w:ascii="Palatino Linotype" w:eastAsia="Palatino Linotype" w:hAnsi="Palatino Linotype" w:cs="Palatino Linotype"/>
          <w:sz w:val="22"/>
          <w:szCs w:val="22"/>
        </w:rPr>
        <w:t>10</w:t>
      </w:r>
      <w:r w:rsidRPr="00DB7D3F">
        <w:rPr>
          <w:rFonts w:ascii="Palatino Linotype" w:eastAsia="Palatino Linotype" w:hAnsi="Palatino Linotype" w:cs="Palatino Linotype"/>
          <w:sz w:val="22"/>
          <w:szCs w:val="22"/>
        </w:rPr>
        <w:t xml:space="preserve"> main board IPO issues </w:t>
      </w:r>
      <w:r>
        <w:rPr>
          <w:rFonts w:ascii="Palatino Linotype" w:eastAsia="Palatino Linotype" w:hAnsi="Palatino Linotype" w:cs="Palatino Linotype"/>
          <w:sz w:val="22"/>
          <w:szCs w:val="22"/>
        </w:rPr>
        <w:t>and four</w:t>
      </w:r>
      <w:r w:rsidRPr="00DB7D3F">
        <w:rPr>
          <w:rFonts w:ascii="Palatino Linotype" w:eastAsia="Palatino Linotype" w:hAnsi="Palatino Linotype" w:cs="Palatino Linotype"/>
          <w:sz w:val="22"/>
          <w:szCs w:val="22"/>
        </w:rPr>
        <w:t xml:space="preserve"> SME IPO issues </w:t>
      </w:r>
      <w:r>
        <w:rPr>
          <w:rFonts w:ascii="Palatino Linotype" w:eastAsia="Palatino Linotype" w:hAnsi="Palatino Linotype" w:cs="Palatino Linotype"/>
          <w:sz w:val="22"/>
          <w:szCs w:val="22"/>
        </w:rPr>
        <w:t xml:space="preserve">were listed. While main board IPO issues garnered </w:t>
      </w:r>
      <w:r w:rsidRPr="00B84DDC">
        <w:rPr>
          <w:rFonts w:ascii="Times New Roman" w:eastAsia="Palatino Linotype" w:hAnsi="Times New Roman"/>
          <w:sz w:val="22"/>
          <w:szCs w:val="22"/>
        </w:rPr>
        <w:t>₹</w:t>
      </w:r>
      <w:r>
        <w:rPr>
          <w:rFonts w:ascii="Palatino Linotype" w:eastAsia="Palatino Linotype" w:hAnsi="Palatino Linotype" w:cs="Palatino Linotype"/>
          <w:sz w:val="22"/>
          <w:szCs w:val="22"/>
        </w:rPr>
        <w:t xml:space="preserve">20,517 </w:t>
      </w:r>
      <w:r w:rsidR="00A82EC3">
        <w:rPr>
          <w:rFonts w:ascii="Palatino Linotype" w:eastAsia="Palatino Linotype" w:hAnsi="Palatino Linotype" w:cs="Palatino Linotype"/>
          <w:sz w:val="22"/>
          <w:szCs w:val="22"/>
        </w:rPr>
        <w:t>crore,</w:t>
      </w:r>
      <w:r>
        <w:rPr>
          <w:rFonts w:ascii="Palatino Linotype" w:eastAsia="Palatino Linotype" w:hAnsi="Palatino Linotype" w:cs="Palatino Linotype"/>
          <w:sz w:val="22"/>
          <w:szCs w:val="22"/>
        </w:rPr>
        <w:t xml:space="preserve"> SME IPOs </w:t>
      </w:r>
      <w:r w:rsidRPr="00DB7D3F">
        <w:rPr>
          <w:rFonts w:ascii="Palatino Linotype" w:eastAsia="Palatino Linotype" w:hAnsi="Palatino Linotype" w:cs="Palatino Linotype"/>
          <w:sz w:val="22"/>
          <w:szCs w:val="22"/>
        </w:rPr>
        <w:t>mobilis</w:t>
      </w:r>
      <w:r>
        <w:rPr>
          <w:rFonts w:ascii="Palatino Linotype" w:eastAsia="Palatino Linotype" w:hAnsi="Palatino Linotype" w:cs="Palatino Linotype"/>
          <w:sz w:val="22"/>
          <w:szCs w:val="22"/>
        </w:rPr>
        <w:t>ed</w:t>
      </w:r>
      <w:r w:rsidRPr="00DB7D3F">
        <w:rPr>
          <w:rFonts w:ascii="Palatino Linotype" w:eastAsia="Palatino Linotype" w:hAnsi="Palatino Linotype" w:cs="Palatino Linotype"/>
          <w:sz w:val="22"/>
          <w:szCs w:val="22"/>
        </w:rPr>
        <w:t xml:space="preserve"> </w:t>
      </w:r>
      <w:r w:rsidRPr="00B84DDC">
        <w:rPr>
          <w:rFonts w:ascii="Times New Roman" w:eastAsia="Palatino Linotype" w:hAnsi="Times New Roman"/>
          <w:sz w:val="22"/>
          <w:szCs w:val="22"/>
        </w:rPr>
        <w:t>₹</w:t>
      </w:r>
      <w:r w:rsidRPr="00B84DDC">
        <w:rPr>
          <w:rFonts w:ascii="Palatino Linotype" w:eastAsia="Palatino Linotype" w:hAnsi="Palatino Linotype" w:cs="Palatino Linotype"/>
          <w:sz w:val="22"/>
          <w:szCs w:val="22"/>
        </w:rPr>
        <w:t xml:space="preserve">29.54 </w:t>
      </w:r>
      <w:r w:rsidRPr="00DB7D3F">
        <w:rPr>
          <w:rFonts w:ascii="Palatino Linotype" w:eastAsia="Palatino Linotype" w:hAnsi="Palatino Linotype" w:cs="Palatino Linotype"/>
          <w:sz w:val="22"/>
          <w:szCs w:val="22"/>
        </w:rPr>
        <w:t>crore</w:t>
      </w:r>
      <w:r>
        <w:rPr>
          <w:rFonts w:ascii="Palatino Linotype" w:eastAsia="Palatino Linotype" w:hAnsi="Palatino Linotype" w:cs="Palatino Linotype"/>
          <w:sz w:val="22"/>
          <w:szCs w:val="22"/>
        </w:rPr>
        <w:t>.</w:t>
      </w:r>
      <w:r w:rsidRPr="00DB7D3F">
        <w:rPr>
          <w:rFonts w:ascii="Palatino Linotype" w:eastAsia="Palatino Linotype" w:hAnsi="Palatino Linotype" w:cs="Palatino Linotype"/>
          <w:sz w:val="22"/>
          <w:szCs w:val="22"/>
        </w:rPr>
        <w:t xml:space="preserve"> </w:t>
      </w:r>
      <w:r w:rsidR="00A82EC3">
        <w:rPr>
          <w:rFonts w:ascii="Palatino Linotype" w:eastAsia="Palatino Linotype" w:hAnsi="Palatino Linotype" w:cs="Palatino Linotype"/>
          <w:sz w:val="22"/>
          <w:szCs w:val="22"/>
        </w:rPr>
        <w:t xml:space="preserve">In July 2021, eight main board IPOs and three SME IPOs were listed mobilising </w:t>
      </w:r>
      <w:r w:rsidR="00D41F15" w:rsidRPr="00B84DDC">
        <w:rPr>
          <w:rFonts w:ascii="Times New Roman" w:eastAsia="Palatino Linotype" w:hAnsi="Times New Roman"/>
          <w:sz w:val="22"/>
          <w:szCs w:val="22"/>
        </w:rPr>
        <w:t>₹</w:t>
      </w:r>
      <w:r w:rsidR="00A82EC3">
        <w:rPr>
          <w:rFonts w:ascii="Palatino Linotype" w:eastAsia="Palatino Linotype" w:hAnsi="Palatino Linotype" w:cs="Palatino Linotype"/>
          <w:sz w:val="22"/>
          <w:szCs w:val="22"/>
        </w:rPr>
        <w:t>13</w:t>
      </w:r>
      <w:r w:rsidR="00D41F15">
        <w:rPr>
          <w:rFonts w:ascii="Palatino Linotype" w:eastAsia="Palatino Linotype" w:hAnsi="Palatino Linotype" w:cs="Palatino Linotype"/>
          <w:sz w:val="22"/>
          <w:szCs w:val="22"/>
        </w:rPr>
        <w:t>,</w:t>
      </w:r>
      <w:r w:rsidR="00A82EC3">
        <w:rPr>
          <w:rFonts w:ascii="Palatino Linotype" w:eastAsia="Palatino Linotype" w:hAnsi="Palatino Linotype" w:cs="Palatino Linotype"/>
          <w:sz w:val="22"/>
          <w:szCs w:val="22"/>
        </w:rPr>
        <w:t xml:space="preserve">198 crore and </w:t>
      </w:r>
      <w:r w:rsidR="00D41F15" w:rsidRPr="00B84DDC">
        <w:rPr>
          <w:rFonts w:ascii="Times New Roman" w:eastAsia="Palatino Linotype" w:hAnsi="Times New Roman"/>
          <w:sz w:val="22"/>
          <w:szCs w:val="22"/>
        </w:rPr>
        <w:t>₹</w:t>
      </w:r>
      <w:r w:rsidR="00A82EC3">
        <w:rPr>
          <w:rFonts w:ascii="Palatino Linotype" w:eastAsia="Palatino Linotype" w:hAnsi="Palatino Linotype" w:cs="Palatino Linotype"/>
          <w:sz w:val="22"/>
          <w:szCs w:val="22"/>
        </w:rPr>
        <w:t xml:space="preserve">11 crore respectively.  </w:t>
      </w:r>
      <w:r w:rsidR="00A82EC3" w:rsidRPr="00A82EC3">
        <w:rPr>
          <w:rFonts w:ascii="Palatino Linotype" w:eastAsia="Palatino Linotype" w:hAnsi="Palatino Linotype" w:cs="Palatino Linotype"/>
          <w:sz w:val="22"/>
          <w:szCs w:val="22"/>
        </w:rPr>
        <w:t>There</w:t>
      </w:r>
      <w:r w:rsidRPr="00A82EC3">
        <w:rPr>
          <w:rFonts w:ascii="Palatino Linotype" w:eastAsia="Palatino Linotype" w:hAnsi="Palatino Linotype" w:cs="Palatino Linotype"/>
          <w:sz w:val="22"/>
          <w:szCs w:val="22"/>
        </w:rPr>
        <w:t xml:space="preserve"> was one rights issue </w:t>
      </w:r>
      <w:r w:rsidR="00A82EC3">
        <w:rPr>
          <w:rFonts w:ascii="Palatino Linotype" w:eastAsia="Palatino Linotype" w:hAnsi="Palatino Linotype" w:cs="Palatino Linotype"/>
          <w:sz w:val="22"/>
          <w:szCs w:val="22"/>
        </w:rPr>
        <w:t xml:space="preserve">in August 2021 which mobilised </w:t>
      </w:r>
      <w:r w:rsidRPr="00A82EC3">
        <w:rPr>
          <w:rFonts w:ascii="Times New Roman" w:eastAsia="Palatino Linotype" w:hAnsi="Times New Roman"/>
          <w:sz w:val="22"/>
          <w:szCs w:val="22"/>
        </w:rPr>
        <w:t>₹</w:t>
      </w:r>
      <w:r w:rsidRPr="00A82EC3">
        <w:rPr>
          <w:rFonts w:ascii="Palatino Linotype" w:eastAsia="Palatino Linotype" w:hAnsi="Palatino Linotype" w:cs="Palatino Linotype"/>
          <w:sz w:val="22"/>
          <w:szCs w:val="22"/>
        </w:rPr>
        <w:t>29.5</w:t>
      </w:r>
      <w:r w:rsidR="00A82EC3">
        <w:rPr>
          <w:rFonts w:ascii="Palatino Linotype" w:eastAsia="Palatino Linotype" w:hAnsi="Palatino Linotype" w:cs="Palatino Linotype"/>
          <w:sz w:val="22"/>
          <w:szCs w:val="22"/>
        </w:rPr>
        <w:t xml:space="preserve"> crore as against two right</w:t>
      </w:r>
      <w:r w:rsidR="00DE3591">
        <w:rPr>
          <w:rFonts w:ascii="Palatino Linotype" w:eastAsia="Palatino Linotype" w:hAnsi="Palatino Linotype" w:cs="Palatino Linotype"/>
          <w:sz w:val="22"/>
          <w:szCs w:val="22"/>
        </w:rPr>
        <w:t>s</w:t>
      </w:r>
      <w:r w:rsidR="00A82EC3">
        <w:rPr>
          <w:rFonts w:ascii="Palatino Linotype" w:eastAsia="Palatino Linotype" w:hAnsi="Palatino Linotype" w:cs="Palatino Linotype"/>
          <w:sz w:val="22"/>
          <w:szCs w:val="22"/>
        </w:rPr>
        <w:t xml:space="preserve"> issues which </w:t>
      </w:r>
      <w:r w:rsidR="00D41F15" w:rsidRPr="00B84DDC">
        <w:rPr>
          <w:rFonts w:ascii="Times New Roman" w:eastAsia="Palatino Linotype" w:hAnsi="Times New Roman"/>
          <w:sz w:val="22"/>
          <w:szCs w:val="22"/>
        </w:rPr>
        <w:t>₹</w:t>
      </w:r>
      <w:r w:rsidR="00A82EC3">
        <w:rPr>
          <w:rFonts w:ascii="Palatino Linotype" w:eastAsia="Palatino Linotype" w:hAnsi="Palatino Linotype" w:cs="Palatino Linotype"/>
          <w:sz w:val="22"/>
          <w:szCs w:val="22"/>
        </w:rPr>
        <w:t>54 crore in July 2021.</w:t>
      </w:r>
    </w:p>
    <w:p w:rsidR="00A82EC3" w:rsidRPr="00A82EC3" w:rsidRDefault="00A82EC3" w:rsidP="00A82EC3">
      <w:pPr>
        <w:numPr>
          <w:ilvl w:val="0"/>
          <w:numId w:val="1"/>
        </w:numPr>
        <w:pBdr>
          <w:top w:val="nil"/>
          <w:left w:val="nil"/>
          <w:bottom w:val="nil"/>
          <w:right w:val="nil"/>
          <w:between w:val="nil"/>
        </w:pBdr>
        <w:ind w:left="714" w:hanging="357"/>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 xml:space="preserve">There was no public issue of bond which closed in August 2021 compared to four issues in July 2021 raising </w:t>
      </w:r>
      <w:r w:rsidR="00D41F15" w:rsidRPr="00B84DDC">
        <w:rPr>
          <w:rFonts w:ascii="Times New Roman" w:eastAsia="Palatino Linotype" w:hAnsi="Times New Roman"/>
          <w:sz w:val="22"/>
          <w:szCs w:val="22"/>
        </w:rPr>
        <w:t>₹</w:t>
      </w:r>
      <w:r>
        <w:rPr>
          <w:rFonts w:ascii="Palatino Linotype" w:eastAsia="Palatino Linotype" w:hAnsi="Palatino Linotype" w:cs="Palatino Linotype"/>
          <w:sz w:val="22"/>
          <w:szCs w:val="22"/>
        </w:rPr>
        <w:t>1,808 crore.</w:t>
      </w:r>
    </w:p>
    <w:p w:rsidR="00B84DDC" w:rsidRPr="00DB7D3F" w:rsidRDefault="00944C91" w:rsidP="00B84DDC">
      <w:pPr>
        <w:numPr>
          <w:ilvl w:val="0"/>
          <w:numId w:val="1"/>
        </w:numPr>
        <w:pBdr>
          <w:top w:val="nil"/>
          <w:left w:val="nil"/>
          <w:bottom w:val="nil"/>
          <w:right w:val="nil"/>
          <w:between w:val="nil"/>
        </w:pBdr>
        <w:ind w:left="714" w:hanging="357"/>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A</w:t>
      </w:r>
      <w:r w:rsidR="00B84DDC" w:rsidRPr="00DB7D3F">
        <w:rPr>
          <w:rFonts w:ascii="Palatino Linotype" w:eastAsia="Palatino Linotype" w:hAnsi="Palatino Linotype" w:cs="Palatino Linotype"/>
          <w:sz w:val="22"/>
          <w:szCs w:val="22"/>
        </w:rPr>
        <w:t xml:space="preserve">mount of </w:t>
      </w:r>
      <w:r w:rsidR="00B84DDC" w:rsidRPr="00B84DDC">
        <w:rPr>
          <w:rFonts w:ascii="Times New Roman" w:eastAsia="Palatino Linotype" w:hAnsi="Times New Roman"/>
          <w:sz w:val="22"/>
          <w:szCs w:val="22"/>
        </w:rPr>
        <w:t>₹</w:t>
      </w:r>
      <w:r w:rsidR="00B84DDC" w:rsidRPr="00B84DDC">
        <w:rPr>
          <w:rFonts w:ascii="Palatino Linotype" w:eastAsia="Palatino Linotype" w:hAnsi="Palatino Linotype" w:cs="Palatino Linotype"/>
          <w:sz w:val="22"/>
          <w:szCs w:val="22"/>
        </w:rPr>
        <w:t>6</w:t>
      </w:r>
      <w:r w:rsidR="00B84DDC" w:rsidRPr="00E877E5">
        <w:rPr>
          <w:rFonts w:ascii="Palatino Linotype" w:eastAsia="Palatino Linotype" w:hAnsi="Palatino Linotype" w:cs="Palatino Linotype"/>
          <w:sz w:val="22"/>
          <w:szCs w:val="22"/>
        </w:rPr>
        <w:t>,</w:t>
      </w:r>
      <w:r w:rsidR="00B84DDC">
        <w:rPr>
          <w:rFonts w:ascii="Palatino Linotype" w:eastAsia="Palatino Linotype" w:hAnsi="Palatino Linotype" w:cs="Palatino Linotype"/>
          <w:sz w:val="22"/>
          <w:szCs w:val="22"/>
        </w:rPr>
        <w:t>370</w:t>
      </w:r>
      <w:r w:rsidR="00B84DDC" w:rsidRPr="00DB7D3F">
        <w:rPr>
          <w:rFonts w:ascii="Palatino Linotype" w:eastAsia="Palatino Linotype" w:hAnsi="Palatino Linotype" w:cs="Palatino Linotype"/>
          <w:sz w:val="22"/>
          <w:szCs w:val="22"/>
        </w:rPr>
        <w:t xml:space="preserve"> crore were raised through </w:t>
      </w:r>
      <w:r w:rsidR="00A82EC3">
        <w:rPr>
          <w:rFonts w:ascii="Palatino Linotype" w:eastAsia="Palatino Linotype" w:hAnsi="Palatino Linotype" w:cs="Palatino Linotype"/>
          <w:sz w:val="22"/>
          <w:szCs w:val="22"/>
        </w:rPr>
        <w:t>preferential allotment and QIPs</w:t>
      </w:r>
      <w:r w:rsidR="00B84DDC" w:rsidRPr="00DB7D3F">
        <w:rPr>
          <w:rFonts w:ascii="Palatino Linotype" w:eastAsia="Palatino Linotype" w:hAnsi="Palatino Linotype" w:cs="Palatino Linotype"/>
          <w:sz w:val="22"/>
          <w:szCs w:val="22"/>
        </w:rPr>
        <w:t xml:space="preserve"> during </w:t>
      </w:r>
      <w:r w:rsidR="00B84DDC">
        <w:rPr>
          <w:rFonts w:ascii="Palatino Linotype" w:eastAsia="Palatino Linotype" w:hAnsi="Palatino Linotype" w:cs="Palatino Linotype"/>
          <w:sz w:val="22"/>
          <w:szCs w:val="22"/>
        </w:rPr>
        <w:t>August</w:t>
      </w:r>
      <w:r w:rsidR="00B84DDC" w:rsidRPr="00DB7D3F">
        <w:rPr>
          <w:rFonts w:ascii="Palatino Linotype" w:eastAsia="Palatino Linotype" w:hAnsi="Palatino Linotype" w:cs="Palatino Linotype"/>
          <w:sz w:val="22"/>
          <w:szCs w:val="22"/>
        </w:rPr>
        <w:t xml:space="preserve"> 2021, against </w:t>
      </w:r>
      <w:r w:rsidR="00B84DDC" w:rsidRPr="00B84DDC">
        <w:rPr>
          <w:rFonts w:ascii="Times New Roman" w:eastAsia="Palatino Linotype" w:hAnsi="Times New Roman"/>
          <w:sz w:val="22"/>
          <w:szCs w:val="22"/>
        </w:rPr>
        <w:t>₹</w:t>
      </w:r>
      <w:r w:rsidR="00B84DDC" w:rsidRPr="00B84DDC">
        <w:rPr>
          <w:rFonts w:ascii="Palatino Linotype" w:eastAsia="Palatino Linotype" w:hAnsi="Palatino Linotype" w:cs="Palatino Linotype"/>
          <w:sz w:val="22"/>
          <w:szCs w:val="22"/>
        </w:rPr>
        <w:t>8</w:t>
      </w:r>
      <w:r w:rsidR="00B84DDC" w:rsidRPr="00E877E5">
        <w:rPr>
          <w:rFonts w:ascii="Palatino Linotype" w:eastAsia="Palatino Linotype" w:hAnsi="Palatino Linotype" w:cs="Palatino Linotype"/>
          <w:sz w:val="22"/>
          <w:szCs w:val="22"/>
        </w:rPr>
        <w:t>,</w:t>
      </w:r>
      <w:r w:rsidR="00B84DDC">
        <w:rPr>
          <w:rFonts w:ascii="Palatino Linotype" w:eastAsia="Palatino Linotype" w:hAnsi="Palatino Linotype" w:cs="Palatino Linotype"/>
          <w:sz w:val="22"/>
          <w:szCs w:val="22"/>
        </w:rPr>
        <w:t>285</w:t>
      </w:r>
      <w:r w:rsidR="00B84DDC" w:rsidRPr="00E877E5">
        <w:rPr>
          <w:rFonts w:ascii="Palatino Linotype" w:eastAsia="Palatino Linotype" w:hAnsi="Palatino Linotype" w:cs="Palatino Linotype"/>
          <w:sz w:val="22"/>
          <w:szCs w:val="22"/>
        </w:rPr>
        <w:t xml:space="preserve"> </w:t>
      </w:r>
      <w:r w:rsidR="00B84DDC" w:rsidRPr="00DB7D3F">
        <w:rPr>
          <w:rFonts w:ascii="Palatino Linotype" w:eastAsia="Palatino Linotype" w:hAnsi="Palatino Linotype" w:cs="Palatino Linotype"/>
          <w:sz w:val="22"/>
          <w:szCs w:val="22"/>
        </w:rPr>
        <w:t>crore raised during Ju</w:t>
      </w:r>
      <w:r w:rsidR="00B84DDC">
        <w:rPr>
          <w:rFonts w:ascii="Palatino Linotype" w:eastAsia="Palatino Linotype" w:hAnsi="Palatino Linotype" w:cs="Palatino Linotype"/>
          <w:sz w:val="22"/>
          <w:szCs w:val="22"/>
        </w:rPr>
        <w:t>ly</w:t>
      </w:r>
      <w:r w:rsidR="00B84DDC" w:rsidRPr="00DB7D3F">
        <w:rPr>
          <w:rFonts w:ascii="Palatino Linotype" w:eastAsia="Palatino Linotype" w:hAnsi="Palatino Linotype" w:cs="Palatino Linotype"/>
          <w:sz w:val="22"/>
          <w:szCs w:val="22"/>
        </w:rPr>
        <w:t xml:space="preserve"> 2021. </w:t>
      </w:r>
    </w:p>
    <w:p w:rsidR="00B84DDC" w:rsidRPr="005D5D3B" w:rsidRDefault="00B84DDC" w:rsidP="00B84DDC">
      <w:pPr>
        <w:numPr>
          <w:ilvl w:val="0"/>
          <w:numId w:val="1"/>
        </w:numPr>
        <w:pBdr>
          <w:top w:val="nil"/>
          <w:left w:val="nil"/>
          <w:bottom w:val="nil"/>
          <w:right w:val="nil"/>
          <w:between w:val="nil"/>
        </w:pBdr>
        <w:ind w:left="714" w:hanging="357"/>
        <w:jc w:val="both"/>
        <w:rPr>
          <w:rFonts w:ascii="Palatino Linotype" w:eastAsia="Palatino Linotype" w:hAnsi="Palatino Linotype" w:cs="Palatino Linotype"/>
          <w:sz w:val="22"/>
          <w:szCs w:val="22"/>
        </w:rPr>
      </w:pPr>
      <w:r w:rsidRPr="005D5D3B">
        <w:rPr>
          <w:rFonts w:ascii="Palatino Linotype" w:eastAsia="Palatino Linotype" w:hAnsi="Palatino Linotype" w:cs="Palatino Linotype"/>
          <w:sz w:val="22"/>
          <w:szCs w:val="22"/>
        </w:rPr>
        <w:t xml:space="preserve">Private placement of corporate debt reported on exchanges stood at </w:t>
      </w:r>
      <w:r w:rsidRPr="00B84DDC">
        <w:rPr>
          <w:rFonts w:ascii="Times New Roman" w:eastAsia="Palatino Linotype" w:hAnsi="Times New Roman"/>
          <w:sz w:val="22"/>
          <w:szCs w:val="22"/>
        </w:rPr>
        <w:t>₹</w:t>
      </w:r>
      <w:r>
        <w:rPr>
          <w:rFonts w:ascii="Palatino Linotype" w:eastAsia="Palatino Linotype" w:hAnsi="Palatino Linotype" w:cs="Palatino Linotype"/>
          <w:sz w:val="22"/>
          <w:szCs w:val="22"/>
        </w:rPr>
        <w:t>49</w:t>
      </w:r>
      <w:r w:rsidRPr="005D5D3B">
        <w:rPr>
          <w:rFonts w:ascii="Palatino Linotype" w:eastAsia="Palatino Linotype" w:hAnsi="Palatino Linotype" w:cs="Palatino Linotype"/>
          <w:sz w:val="22"/>
          <w:szCs w:val="22"/>
        </w:rPr>
        <w:t>,</w:t>
      </w:r>
      <w:r>
        <w:rPr>
          <w:rFonts w:ascii="Palatino Linotype" w:eastAsia="Palatino Linotype" w:hAnsi="Palatino Linotype" w:cs="Palatino Linotype"/>
          <w:sz w:val="22"/>
          <w:szCs w:val="22"/>
        </w:rPr>
        <w:t>848</w:t>
      </w:r>
      <w:r w:rsidRPr="005D5D3B">
        <w:rPr>
          <w:rFonts w:ascii="Palatino Linotype" w:eastAsia="Palatino Linotype" w:hAnsi="Palatino Linotype" w:cs="Palatino Linotype"/>
          <w:sz w:val="22"/>
          <w:szCs w:val="22"/>
        </w:rPr>
        <w:t xml:space="preserve"> crore during </w:t>
      </w:r>
      <w:r>
        <w:rPr>
          <w:rFonts w:ascii="Palatino Linotype" w:eastAsia="Palatino Linotype" w:hAnsi="Palatino Linotype" w:cs="Palatino Linotype"/>
          <w:sz w:val="22"/>
          <w:szCs w:val="22"/>
        </w:rPr>
        <w:t>August</w:t>
      </w:r>
      <w:r w:rsidRPr="005D5D3B">
        <w:rPr>
          <w:rFonts w:ascii="Palatino Linotype" w:eastAsia="Palatino Linotype" w:hAnsi="Palatino Linotype" w:cs="Palatino Linotype"/>
          <w:sz w:val="22"/>
          <w:szCs w:val="22"/>
        </w:rPr>
        <w:t xml:space="preserve"> 2021, compared to </w:t>
      </w:r>
      <w:r w:rsidRPr="00B84DDC">
        <w:rPr>
          <w:rFonts w:ascii="Times New Roman" w:eastAsia="Palatino Linotype" w:hAnsi="Times New Roman"/>
          <w:sz w:val="22"/>
          <w:szCs w:val="22"/>
        </w:rPr>
        <w:t>₹</w:t>
      </w:r>
      <w:r w:rsidR="00D41F15">
        <w:rPr>
          <w:rFonts w:ascii="Palatino Linotype" w:eastAsia="Palatino Linotype" w:hAnsi="Palatino Linotype" w:cs="Palatino Linotype"/>
          <w:sz w:val="22"/>
          <w:szCs w:val="22"/>
        </w:rPr>
        <w:t>28,010</w:t>
      </w:r>
      <w:r w:rsidRPr="005D5D3B">
        <w:rPr>
          <w:rFonts w:ascii="Palatino Linotype" w:eastAsia="Palatino Linotype" w:hAnsi="Palatino Linotype" w:cs="Palatino Linotype"/>
          <w:sz w:val="22"/>
          <w:szCs w:val="22"/>
        </w:rPr>
        <w:t xml:space="preserve"> crore during Ju</w:t>
      </w:r>
      <w:r>
        <w:rPr>
          <w:rFonts w:ascii="Palatino Linotype" w:eastAsia="Palatino Linotype" w:hAnsi="Palatino Linotype" w:cs="Palatino Linotype"/>
          <w:sz w:val="22"/>
          <w:szCs w:val="22"/>
        </w:rPr>
        <w:t xml:space="preserve">ly </w:t>
      </w:r>
      <w:r w:rsidRPr="005D5D3B">
        <w:rPr>
          <w:rFonts w:ascii="Palatino Linotype" w:eastAsia="Palatino Linotype" w:hAnsi="Palatino Linotype" w:cs="Palatino Linotype"/>
          <w:sz w:val="22"/>
          <w:szCs w:val="22"/>
        </w:rPr>
        <w:t>2021, a</w:t>
      </w:r>
      <w:r>
        <w:rPr>
          <w:rFonts w:ascii="Palatino Linotype" w:eastAsia="Palatino Linotype" w:hAnsi="Palatino Linotype" w:cs="Palatino Linotype"/>
          <w:sz w:val="22"/>
          <w:szCs w:val="22"/>
        </w:rPr>
        <w:t>n increase</w:t>
      </w:r>
      <w:r w:rsidRPr="005D5D3B">
        <w:rPr>
          <w:rFonts w:ascii="Palatino Linotype" w:eastAsia="Palatino Linotype" w:hAnsi="Palatino Linotype" w:cs="Palatino Linotype"/>
          <w:sz w:val="22"/>
          <w:szCs w:val="22"/>
        </w:rPr>
        <w:t xml:space="preserve"> of </w:t>
      </w:r>
      <w:r w:rsidR="00D41F15">
        <w:rPr>
          <w:rFonts w:ascii="Palatino Linotype" w:eastAsia="Palatino Linotype" w:hAnsi="Palatino Linotype" w:cs="Palatino Linotype"/>
          <w:sz w:val="22"/>
          <w:szCs w:val="22"/>
        </w:rPr>
        <w:t>78.0</w:t>
      </w:r>
      <w:r w:rsidRPr="005D5D3B">
        <w:rPr>
          <w:rFonts w:ascii="Palatino Linotype" w:eastAsia="Palatino Linotype" w:hAnsi="Palatino Linotype" w:cs="Palatino Linotype"/>
          <w:sz w:val="22"/>
          <w:szCs w:val="22"/>
        </w:rPr>
        <w:t xml:space="preserve"> per cent over </w:t>
      </w:r>
      <w:r>
        <w:rPr>
          <w:rFonts w:ascii="Palatino Linotype" w:eastAsia="Palatino Linotype" w:hAnsi="Palatino Linotype" w:cs="Palatino Linotype"/>
          <w:sz w:val="22"/>
          <w:szCs w:val="22"/>
        </w:rPr>
        <w:t>pr</w:t>
      </w:r>
      <w:r w:rsidRPr="005D5D3B">
        <w:rPr>
          <w:rFonts w:ascii="Palatino Linotype" w:eastAsia="Palatino Linotype" w:hAnsi="Palatino Linotype" w:cs="Palatino Linotype"/>
          <w:sz w:val="22"/>
          <w:szCs w:val="22"/>
        </w:rPr>
        <w:t xml:space="preserve">evious month. </w:t>
      </w:r>
    </w:p>
    <w:p w:rsidR="00D33F7C" w:rsidRPr="00D33F7C" w:rsidRDefault="00D33F7C" w:rsidP="00D33F7C">
      <w:pPr>
        <w:widowControl w:val="0"/>
        <w:spacing w:line="276" w:lineRule="auto"/>
        <w:jc w:val="both"/>
        <w:rPr>
          <w:rFonts w:ascii="Palatino Linotype" w:eastAsia="Palatino Linotype" w:hAnsi="Palatino Linotype" w:cs="Palatino Linotype"/>
          <w:b/>
          <w:color w:val="2E74B5"/>
          <w:sz w:val="22"/>
          <w:szCs w:val="22"/>
          <w:highlight w:val="yellow"/>
        </w:rPr>
      </w:pPr>
    </w:p>
    <w:p w:rsidR="00D50FD9" w:rsidRDefault="00886A5D" w:rsidP="00D50FD9">
      <w:pPr>
        <w:widowControl w:val="0"/>
        <w:spacing w:line="276" w:lineRule="auto"/>
        <w:ind w:firstLine="454"/>
        <w:jc w:val="both"/>
        <w:rPr>
          <w:rFonts w:ascii="Palatino Linotype" w:eastAsia="Palatino Linotype" w:hAnsi="Palatino Linotype" w:cs="Palatino Linotype"/>
          <w:b/>
          <w:sz w:val="22"/>
          <w:szCs w:val="22"/>
        </w:rPr>
      </w:pPr>
      <w:r>
        <w:rPr>
          <w:rFonts w:ascii="Palatino Linotype" w:eastAsia="Palatino Linotype" w:hAnsi="Palatino Linotype" w:cs="Palatino Linotype"/>
          <w:b/>
          <w:sz w:val="22"/>
          <w:szCs w:val="22"/>
        </w:rPr>
        <w:t xml:space="preserve">             </w:t>
      </w:r>
      <w:r w:rsidR="00D50FD9" w:rsidRPr="00DB7D3F">
        <w:rPr>
          <w:rFonts w:ascii="Palatino Linotype" w:eastAsia="Palatino Linotype" w:hAnsi="Palatino Linotype" w:cs="Palatino Linotype"/>
          <w:b/>
          <w:sz w:val="22"/>
          <w:szCs w:val="22"/>
        </w:rPr>
        <w:t>Table 1: Fund Mobilisation by Corporates (</w:t>
      </w:r>
      <w:r w:rsidR="00D50FD9" w:rsidRPr="00DB7D3F">
        <w:rPr>
          <w:rFonts w:ascii="Times New Roman" w:eastAsia="Tahoma" w:hAnsi="Times New Roman"/>
          <w:b/>
          <w:sz w:val="22"/>
          <w:szCs w:val="22"/>
        </w:rPr>
        <w:t xml:space="preserve">₹ </w:t>
      </w:r>
      <w:r w:rsidR="00D50FD9" w:rsidRPr="00DB7D3F">
        <w:rPr>
          <w:rFonts w:ascii="Palatino Linotype" w:eastAsia="Palatino Linotype" w:hAnsi="Palatino Linotype" w:cs="Palatino Linotype"/>
          <w:b/>
          <w:sz w:val="22"/>
          <w:szCs w:val="22"/>
        </w:rPr>
        <w:t xml:space="preserve">crore) </w:t>
      </w:r>
    </w:p>
    <w:p w:rsidR="003D4466" w:rsidRDefault="00B84DDC" w:rsidP="00B84DDC">
      <w:pPr>
        <w:widowControl w:val="0"/>
        <w:tabs>
          <w:tab w:val="right" w:pos="9888"/>
        </w:tabs>
        <w:spacing w:line="276" w:lineRule="auto"/>
        <w:jc w:val="both"/>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p>
    <w:tbl>
      <w:tblPr>
        <w:tblW w:w="7340" w:type="dxa"/>
        <w:jc w:val="center"/>
        <w:tblLook w:val="04A0" w:firstRow="1" w:lastRow="0" w:firstColumn="1" w:lastColumn="0" w:noHBand="0" w:noVBand="1"/>
      </w:tblPr>
      <w:tblGrid>
        <w:gridCol w:w="5140"/>
        <w:gridCol w:w="1100"/>
        <w:gridCol w:w="1100"/>
      </w:tblGrid>
      <w:tr w:rsidR="003D4466" w:rsidRPr="003D4466" w:rsidTr="003D4466">
        <w:trPr>
          <w:trHeight w:val="315"/>
          <w:jc w:val="center"/>
        </w:trPr>
        <w:tc>
          <w:tcPr>
            <w:tcW w:w="5140" w:type="dxa"/>
            <w:tcBorders>
              <w:top w:val="single" w:sz="4" w:space="0" w:color="000000"/>
              <w:left w:val="single" w:sz="4" w:space="0" w:color="000000"/>
              <w:bottom w:val="single" w:sz="4" w:space="0" w:color="000000"/>
              <w:right w:val="single" w:sz="4" w:space="0" w:color="000000"/>
            </w:tcBorders>
            <w:shd w:val="clear" w:color="A9D08E" w:fill="A9D08E"/>
            <w:noWrap/>
            <w:vAlign w:val="center"/>
            <w:hideMark/>
          </w:tcPr>
          <w:p w:rsidR="003D4466" w:rsidRPr="003D4466" w:rsidRDefault="003D4466" w:rsidP="003D4466">
            <w:pPr>
              <w:rPr>
                <w:rFonts w:ascii="Garamond" w:eastAsia="Times New Roman" w:hAnsi="Garamond"/>
                <w:b/>
                <w:bCs/>
                <w:color w:val="000000"/>
                <w:sz w:val="22"/>
                <w:szCs w:val="22"/>
                <w:lang w:val="en-IN" w:eastAsia="en-IN" w:bidi="hi-IN"/>
              </w:rPr>
            </w:pPr>
            <w:r w:rsidRPr="003D4466">
              <w:rPr>
                <w:rFonts w:ascii="Garamond" w:eastAsia="Times New Roman" w:hAnsi="Garamond"/>
                <w:b/>
                <w:bCs/>
                <w:color w:val="000000"/>
                <w:sz w:val="22"/>
                <w:szCs w:val="22"/>
                <w:lang w:val="en-IN" w:eastAsia="en-IN" w:bidi="hi-IN"/>
              </w:rPr>
              <w:t>Particulars</w:t>
            </w:r>
          </w:p>
        </w:tc>
        <w:tc>
          <w:tcPr>
            <w:tcW w:w="1100" w:type="dxa"/>
            <w:tcBorders>
              <w:top w:val="single" w:sz="4" w:space="0" w:color="000000"/>
              <w:left w:val="nil"/>
              <w:bottom w:val="single" w:sz="4" w:space="0" w:color="000000"/>
              <w:right w:val="single" w:sz="4" w:space="0" w:color="000000"/>
            </w:tcBorders>
            <w:shd w:val="clear" w:color="A9D08E" w:fill="A9D08E"/>
            <w:noWrap/>
            <w:vAlign w:val="center"/>
            <w:hideMark/>
          </w:tcPr>
          <w:p w:rsidR="003D4466" w:rsidRPr="003D4466" w:rsidRDefault="003D4466" w:rsidP="003D4466">
            <w:pPr>
              <w:jc w:val="right"/>
              <w:rPr>
                <w:rFonts w:ascii="Garamond" w:eastAsia="Times New Roman" w:hAnsi="Garamond"/>
                <w:b/>
                <w:bCs/>
                <w:color w:val="000000"/>
                <w:sz w:val="22"/>
                <w:szCs w:val="22"/>
                <w:lang w:val="en-IN" w:eastAsia="en-IN" w:bidi="hi-IN"/>
              </w:rPr>
            </w:pPr>
            <w:r w:rsidRPr="003D4466">
              <w:rPr>
                <w:rFonts w:ascii="Garamond" w:eastAsia="Times New Roman" w:hAnsi="Garamond"/>
                <w:b/>
                <w:bCs/>
                <w:color w:val="000000"/>
                <w:sz w:val="22"/>
                <w:szCs w:val="22"/>
                <w:lang w:val="en-IN" w:eastAsia="en-IN" w:bidi="hi-IN"/>
              </w:rPr>
              <w:t>Jul-21</w:t>
            </w:r>
          </w:p>
        </w:tc>
        <w:tc>
          <w:tcPr>
            <w:tcW w:w="1100" w:type="dxa"/>
            <w:tcBorders>
              <w:top w:val="single" w:sz="4" w:space="0" w:color="000000"/>
              <w:left w:val="nil"/>
              <w:bottom w:val="single" w:sz="4" w:space="0" w:color="000000"/>
              <w:right w:val="single" w:sz="4" w:space="0" w:color="000000"/>
            </w:tcBorders>
            <w:shd w:val="clear" w:color="A9D08E" w:fill="A9D08E"/>
            <w:noWrap/>
            <w:vAlign w:val="center"/>
            <w:hideMark/>
          </w:tcPr>
          <w:p w:rsidR="003D4466" w:rsidRPr="003D4466" w:rsidRDefault="003D4466" w:rsidP="003D4466">
            <w:pPr>
              <w:jc w:val="right"/>
              <w:rPr>
                <w:rFonts w:ascii="Garamond" w:eastAsia="Times New Roman" w:hAnsi="Garamond"/>
                <w:b/>
                <w:bCs/>
                <w:color w:val="000000"/>
                <w:sz w:val="22"/>
                <w:szCs w:val="22"/>
                <w:lang w:val="en-IN" w:eastAsia="en-IN" w:bidi="hi-IN"/>
              </w:rPr>
            </w:pPr>
            <w:r w:rsidRPr="003D4466">
              <w:rPr>
                <w:rFonts w:ascii="Garamond" w:eastAsia="Times New Roman" w:hAnsi="Garamond"/>
                <w:b/>
                <w:bCs/>
                <w:color w:val="000000"/>
                <w:sz w:val="22"/>
                <w:szCs w:val="22"/>
                <w:lang w:val="en-IN" w:eastAsia="en-IN" w:bidi="hi-IN"/>
              </w:rPr>
              <w:t>Aug-21</w:t>
            </w:r>
          </w:p>
        </w:tc>
      </w:tr>
      <w:tr w:rsidR="00D41F15" w:rsidRPr="003D4466" w:rsidTr="00D41F15">
        <w:trPr>
          <w:trHeight w:val="315"/>
          <w:jc w:val="center"/>
        </w:trPr>
        <w:tc>
          <w:tcPr>
            <w:tcW w:w="5140" w:type="dxa"/>
            <w:tcBorders>
              <w:top w:val="nil"/>
              <w:left w:val="single" w:sz="4" w:space="0" w:color="000000"/>
              <w:bottom w:val="single" w:sz="4" w:space="0" w:color="000000"/>
              <w:right w:val="nil"/>
            </w:tcBorders>
            <w:shd w:val="clear" w:color="auto" w:fill="auto"/>
            <w:vAlign w:val="center"/>
            <w:hideMark/>
          </w:tcPr>
          <w:p w:rsidR="00D41F15" w:rsidRPr="003D4466" w:rsidRDefault="00D41F15" w:rsidP="00D41F15">
            <w:pPr>
              <w:rPr>
                <w:rFonts w:ascii="Garamond" w:eastAsia="Times New Roman" w:hAnsi="Garamond"/>
                <w:b/>
                <w:bCs/>
                <w:i/>
                <w:iCs/>
                <w:color w:val="000000"/>
                <w:sz w:val="22"/>
                <w:szCs w:val="22"/>
                <w:lang w:val="en-IN" w:eastAsia="en-IN" w:bidi="hi-IN"/>
              </w:rPr>
            </w:pPr>
            <w:r w:rsidRPr="003D4466">
              <w:rPr>
                <w:rFonts w:ascii="Garamond" w:eastAsia="Times New Roman" w:hAnsi="Garamond"/>
                <w:b/>
                <w:bCs/>
                <w:i/>
                <w:iCs/>
                <w:color w:val="000000"/>
                <w:sz w:val="22"/>
                <w:szCs w:val="22"/>
                <w:lang w:val="en-IN" w:eastAsia="en-IN" w:bidi="hi-IN"/>
              </w:rPr>
              <w:t>I. Equity Issue</w:t>
            </w:r>
            <w:r>
              <w:rPr>
                <w:rFonts w:ascii="Garamond" w:eastAsia="Times New Roman" w:hAnsi="Garamond"/>
                <w:b/>
                <w:bCs/>
                <w:i/>
                <w:iCs/>
                <w:color w:val="000000"/>
                <w:sz w:val="22"/>
                <w:szCs w:val="22"/>
                <w:lang w:val="en-IN" w:eastAsia="en-IN" w:bidi="hi-IN"/>
              </w:rPr>
              <w:t>s</w:t>
            </w:r>
          </w:p>
        </w:tc>
        <w:tc>
          <w:tcPr>
            <w:tcW w:w="1100" w:type="dxa"/>
            <w:tcBorders>
              <w:top w:val="nil"/>
              <w:left w:val="single" w:sz="4" w:space="0" w:color="000000"/>
              <w:bottom w:val="single" w:sz="4" w:space="0" w:color="000000"/>
              <w:right w:val="single" w:sz="4" w:space="0" w:color="000000"/>
            </w:tcBorders>
            <w:shd w:val="clear" w:color="auto" w:fill="auto"/>
            <w:noWrap/>
            <w:vAlign w:val="bottom"/>
          </w:tcPr>
          <w:p w:rsidR="00D41F15" w:rsidRPr="003D4466" w:rsidRDefault="00D41F15" w:rsidP="00D41F15">
            <w:pPr>
              <w:jc w:val="right"/>
              <w:rPr>
                <w:rFonts w:ascii="Garamond" w:eastAsia="Times New Roman" w:hAnsi="Garamond"/>
                <w:b/>
                <w:bCs/>
                <w:color w:val="000000"/>
                <w:sz w:val="22"/>
                <w:szCs w:val="22"/>
                <w:lang w:val="en-IN" w:eastAsia="en-IN" w:bidi="hi-IN"/>
              </w:rPr>
            </w:pPr>
            <w:r>
              <w:rPr>
                <w:rFonts w:ascii="Arial" w:hAnsi="Arial" w:cs="Arial"/>
                <w:sz w:val="20"/>
                <w:szCs w:val="20"/>
              </w:rPr>
              <w:t>21,538</w:t>
            </w:r>
          </w:p>
        </w:tc>
        <w:tc>
          <w:tcPr>
            <w:tcW w:w="1100" w:type="dxa"/>
            <w:tcBorders>
              <w:top w:val="nil"/>
              <w:left w:val="nil"/>
              <w:bottom w:val="single" w:sz="4" w:space="0" w:color="000000"/>
              <w:right w:val="single" w:sz="4" w:space="0" w:color="000000"/>
            </w:tcBorders>
            <w:shd w:val="clear" w:color="auto" w:fill="auto"/>
            <w:noWrap/>
            <w:vAlign w:val="bottom"/>
          </w:tcPr>
          <w:p w:rsidR="00D41F15" w:rsidRPr="003D4466" w:rsidRDefault="00D41F15" w:rsidP="00D41F15">
            <w:pPr>
              <w:jc w:val="right"/>
              <w:rPr>
                <w:rFonts w:ascii="Garamond" w:eastAsia="Times New Roman" w:hAnsi="Garamond"/>
                <w:b/>
                <w:bCs/>
                <w:color w:val="000000"/>
                <w:sz w:val="22"/>
                <w:szCs w:val="22"/>
                <w:lang w:val="en-IN" w:eastAsia="en-IN" w:bidi="hi-IN"/>
              </w:rPr>
            </w:pPr>
            <w:r>
              <w:rPr>
                <w:rFonts w:ascii="Arial" w:hAnsi="Arial" w:cs="Arial"/>
                <w:sz w:val="20"/>
                <w:szCs w:val="20"/>
              </w:rPr>
              <w:t>26,917</w:t>
            </w:r>
          </w:p>
        </w:tc>
      </w:tr>
      <w:tr w:rsidR="003D4466" w:rsidRPr="003D4466" w:rsidTr="003D4466">
        <w:trPr>
          <w:trHeight w:val="315"/>
          <w:jc w:val="center"/>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3D4466" w:rsidRPr="003D4466" w:rsidRDefault="003D4466" w:rsidP="003D4466">
            <w:pPr>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a. IPOs (i+ii)</w:t>
            </w:r>
          </w:p>
        </w:tc>
        <w:tc>
          <w:tcPr>
            <w:tcW w:w="1100" w:type="dxa"/>
            <w:tcBorders>
              <w:top w:val="nil"/>
              <w:left w:val="nil"/>
              <w:bottom w:val="single" w:sz="4" w:space="0" w:color="000000"/>
              <w:right w:val="single" w:sz="4" w:space="0" w:color="000000"/>
            </w:tcBorders>
            <w:shd w:val="clear" w:color="auto" w:fill="auto"/>
            <w:noWrap/>
            <w:vAlign w:val="center"/>
            <w:hideMark/>
          </w:tcPr>
          <w:p w:rsidR="003D4466" w:rsidRPr="003D4466" w:rsidRDefault="003D4466" w:rsidP="003D4466">
            <w:pPr>
              <w:jc w:val="right"/>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13,198</w:t>
            </w:r>
          </w:p>
        </w:tc>
        <w:tc>
          <w:tcPr>
            <w:tcW w:w="1100" w:type="dxa"/>
            <w:tcBorders>
              <w:top w:val="nil"/>
              <w:left w:val="nil"/>
              <w:bottom w:val="single" w:sz="4" w:space="0" w:color="000000"/>
              <w:right w:val="single" w:sz="4" w:space="0" w:color="000000"/>
            </w:tcBorders>
            <w:shd w:val="clear" w:color="auto" w:fill="auto"/>
            <w:noWrap/>
            <w:vAlign w:val="center"/>
            <w:hideMark/>
          </w:tcPr>
          <w:p w:rsidR="003D4466" w:rsidRPr="003D4466" w:rsidRDefault="003D4466" w:rsidP="00D41F15">
            <w:pPr>
              <w:jc w:val="right"/>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20,</w:t>
            </w:r>
            <w:r w:rsidR="00D41F15">
              <w:rPr>
                <w:rFonts w:ascii="Garamond" w:eastAsia="Times New Roman" w:hAnsi="Garamond"/>
                <w:color w:val="000000"/>
                <w:sz w:val="22"/>
                <w:szCs w:val="22"/>
                <w:lang w:val="en-IN" w:eastAsia="en-IN" w:bidi="hi-IN"/>
              </w:rPr>
              <w:t>517</w:t>
            </w:r>
          </w:p>
        </w:tc>
      </w:tr>
      <w:tr w:rsidR="003D4466" w:rsidRPr="003D4466" w:rsidTr="003D4466">
        <w:trPr>
          <w:trHeight w:val="315"/>
          <w:jc w:val="center"/>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3D4466" w:rsidRPr="003D4466" w:rsidRDefault="003D4466" w:rsidP="003D4466">
            <w:pPr>
              <w:rPr>
                <w:rFonts w:ascii="Garamond" w:eastAsia="Times New Roman" w:hAnsi="Garamond"/>
                <w:i/>
                <w:iCs/>
                <w:color w:val="000000"/>
                <w:sz w:val="22"/>
                <w:szCs w:val="22"/>
                <w:lang w:val="en-IN" w:eastAsia="en-IN" w:bidi="hi-IN"/>
              </w:rPr>
            </w:pPr>
            <w:r w:rsidRPr="003D4466">
              <w:rPr>
                <w:rFonts w:ascii="Garamond" w:eastAsia="Times New Roman" w:hAnsi="Garamond"/>
                <w:i/>
                <w:iCs/>
                <w:color w:val="000000"/>
                <w:sz w:val="22"/>
                <w:szCs w:val="22"/>
                <w:lang w:val="en-IN" w:eastAsia="en-IN" w:bidi="hi-IN"/>
              </w:rPr>
              <w:t xml:space="preserve">    i. Main Board</w:t>
            </w:r>
          </w:p>
        </w:tc>
        <w:tc>
          <w:tcPr>
            <w:tcW w:w="1100" w:type="dxa"/>
            <w:tcBorders>
              <w:top w:val="nil"/>
              <w:left w:val="nil"/>
              <w:bottom w:val="single" w:sz="4" w:space="0" w:color="000000"/>
              <w:right w:val="single" w:sz="4" w:space="0" w:color="000000"/>
            </w:tcBorders>
            <w:shd w:val="clear" w:color="auto" w:fill="auto"/>
            <w:noWrap/>
            <w:vAlign w:val="center"/>
            <w:hideMark/>
          </w:tcPr>
          <w:p w:rsidR="003D4466" w:rsidRPr="003D4466" w:rsidRDefault="003D4466" w:rsidP="00D41F15">
            <w:pPr>
              <w:jc w:val="right"/>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13,18</w:t>
            </w:r>
            <w:r w:rsidR="00D41F15">
              <w:rPr>
                <w:rFonts w:ascii="Garamond" w:eastAsia="Times New Roman" w:hAnsi="Garamond"/>
                <w:color w:val="000000"/>
                <w:sz w:val="22"/>
                <w:szCs w:val="22"/>
                <w:lang w:val="en-IN" w:eastAsia="en-IN" w:bidi="hi-IN"/>
              </w:rPr>
              <w:t>8</w:t>
            </w:r>
          </w:p>
        </w:tc>
        <w:tc>
          <w:tcPr>
            <w:tcW w:w="1100" w:type="dxa"/>
            <w:tcBorders>
              <w:top w:val="nil"/>
              <w:left w:val="nil"/>
              <w:bottom w:val="single" w:sz="4" w:space="0" w:color="000000"/>
              <w:right w:val="single" w:sz="4" w:space="0" w:color="000000"/>
            </w:tcBorders>
            <w:shd w:val="clear" w:color="auto" w:fill="auto"/>
            <w:noWrap/>
            <w:vAlign w:val="center"/>
            <w:hideMark/>
          </w:tcPr>
          <w:p w:rsidR="003D4466" w:rsidRPr="003D4466" w:rsidRDefault="003D4466" w:rsidP="00D41F15">
            <w:pPr>
              <w:jc w:val="right"/>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20,</w:t>
            </w:r>
            <w:r w:rsidR="00D41F15">
              <w:rPr>
                <w:rFonts w:ascii="Garamond" w:eastAsia="Times New Roman" w:hAnsi="Garamond"/>
                <w:color w:val="000000"/>
                <w:sz w:val="22"/>
                <w:szCs w:val="22"/>
                <w:lang w:val="en-IN" w:eastAsia="en-IN" w:bidi="hi-IN"/>
              </w:rPr>
              <w:t>487</w:t>
            </w:r>
          </w:p>
        </w:tc>
      </w:tr>
      <w:tr w:rsidR="003D4466" w:rsidRPr="003D4466" w:rsidTr="003D4466">
        <w:trPr>
          <w:trHeight w:val="315"/>
          <w:jc w:val="center"/>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3D4466" w:rsidRPr="003D4466" w:rsidRDefault="003D4466" w:rsidP="003D4466">
            <w:pPr>
              <w:rPr>
                <w:rFonts w:ascii="Garamond" w:eastAsia="Times New Roman" w:hAnsi="Garamond"/>
                <w:i/>
                <w:iCs/>
                <w:color w:val="000000"/>
                <w:sz w:val="22"/>
                <w:szCs w:val="22"/>
                <w:lang w:val="en-IN" w:eastAsia="en-IN" w:bidi="hi-IN"/>
              </w:rPr>
            </w:pPr>
            <w:r w:rsidRPr="003D4466">
              <w:rPr>
                <w:rFonts w:ascii="Garamond" w:eastAsia="Times New Roman" w:hAnsi="Garamond"/>
                <w:i/>
                <w:iCs/>
                <w:color w:val="000000"/>
                <w:sz w:val="22"/>
                <w:szCs w:val="22"/>
                <w:lang w:val="en-IN" w:eastAsia="en-IN" w:bidi="hi-IN"/>
              </w:rPr>
              <w:t xml:space="preserve">    ii. SME Platform</w:t>
            </w:r>
          </w:p>
        </w:tc>
        <w:tc>
          <w:tcPr>
            <w:tcW w:w="1100" w:type="dxa"/>
            <w:tcBorders>
              <w:top w:val="nil"/>
              <w:left w:val="nil"/>
              <w:bottom w:val="single" w:sz="4" w:space="0" w:color="000000"/>
              <w:right w:val="single" w:sz="4" w:space="0" w:color="000000"/>
            </w:tcBorders>
            <w:shd w:val="clear" w:color="auto" w:fill="auto"/>
            <w:noWrap/>
            <w:vAlign w:val="center"/>
            <w:hideMark/>
          </w:tcPr>
          <w:p w:rsidR="003D4466" w:rsidRPr="003D4466" w:rsidRDefault="003D4466" w:rsidP="00D41F15">
            <w:pPr>
              <w:jc w:val="right"/>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1</w:t>
            </w:r>
            <w:r w:rsidR="00D41F15">
              <w:rPr>
                <w:rFonts w:ascii="Garamond" w:eastAsia="Times New Roman" w:hAnsi="Garamond"/>
                <w:color w:val="000000"/>
                <w:sz w:val="22"/>
                <w:szCs w:val="22"/>
                <w:lang w:val="en-IN" w:eastAsia="en-IN" w:bidi="hi-IN"/>
              </w:rPr>
              <w:t>1</w:t>
            </w:r>
          </w:p>
        </w:tc>
        <w:tc>
          <w:tcPr>
            <w:tcW w:w="1100" w:type="dxa"/>
            <w:tcBorders>
              <w:top w:val="nil"/>
              <w:left w:val="nil"/>
              <w:bottom w:val="single" w:sz="4" w:space="0" w:color="000000"/>
              <w:right w:val="single" w:sz="4" w:space="0" w:color="000000"/>
            </w:tcBorders>
            <w:shd w:val="clear" w:color="auto" w:fill="auto"/>
            <w:noWrap/>
            <w:vAlign w:val="center"/>
            <w:hideMark/>
          </w:tcPr>
          <w:p w:rsidR="003D4466" w:rsidRPr="003D4466" w:rsidRDefault="003D4466" w:rsidP="003D4466">
            <w:pPr>
              <w:jc w:val="right"/>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30</w:t>
            </w:r>
          </w:p>
        </w:tc>
      </w:tr>
      <w:tr w:rsidR="003D4466" w:rsidRPr="003D4466" w:rsidTr="003D4466">
        <w:trPr>
          <w:trHeight w:val="315"/>
          <w:jc w:val="center"/>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3D4466" w:rsidRPr="003D4466" w:rsidRDefault="003D4466" w:rsidP="003D4466">
            <w:pPr>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b. FPOs</w:t>
            </w:r>
          </w:p>
        </w:tc>
        <w:tc>
          <w:tcPr>
            <w:tcW w:w="1100" w:type="dxa"/>
            <w:tcBorders>
              <w:top w:val="nil"/>
              <w:left w:val="nil"/>
              <w:bottom w:val="single" w:sz="4" w:space="0" w:color="000000"/>
              <w:right w:val="single" w:sz="4" w:space="0" w:color="000000"/>
            </w:tcBorders>
            <w:shd w:val="clear" w:color="auto" w:fill="auto"/>
            <w:noWrap/>
            <w:vAlign w:val="center"/>
            <w:hideMark/>
          </w:tcPr>
          <w:p w:rsidR="003D4466" w:rsidRPr="003D4466" w:rsidRDefault="003D4466" w:rsidP="003D4466">
            <w:pPr>
              <w:jc w:val="right"/>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0</w:t>
            </w:r>
          </w:p>
        </w:tc>
        <w:tc>
          <w:tcPr>
            <w:tcW w:w="1100" w:type="dxa"/>
            <w:tcBorders>
              <w:top w:val="nil"/>
              <w:left w:val="nil"/>
              <w:bottom w:val="single" w:sz="4" w:space="0" w:color="000000"/>
              <w:right w:val="single" w:sz="4" w:space="0" w:color="000000"/>
            </w:tcBorders>
            <w:shd w:val="clear" w:color="auto" w:fill="auto"/>
            <w:noWrap/>
            <w:vAlign w:val="center"/>
            <w:hideMark/>
          </w:tcPr>
          <w:p w:rsidR="003D4466" w:rsidRPr="003D4466" w:rsidRDefault="003D4466" w:rsidP="003D4466">
            <w:pPr>
              <w:jc w:val="right"/>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0</w:t>
            </w:r>
          </w:p>
        </w:tc>
      </w:tr>
      <w:tr w:rsidR="003D4466" w:rsidRPr="003D4466" w:rsidTr="003D4466">
        <w:trPr>
          <w:trHeight w:val="315"/>
          <w:jc w:val="center"/>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3D4466" w:rsidRPr="003D4466" w:rsidRDefault="003D4466" w:rsidP="003D4466">
            <w:pPr>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c. Equity Rights Issue</w:t>
            </w:r>
            <w:r w:rsidR="00D41F15">
              <w:rPr>
                <w:rFonts w:ascii="Garamond" w:eastAsia="Times New Roman" w:hAnsi="Garamond"/>
                <w:color w:val="000000"/>
                <w:sz w:val="22"/>
                <w:szCs w:val="22"/>
                <w:lang w:val="en-IN" w:eastAsia="en-IN" w:bidi="hi-IN"/>
              </w:rPr>
              <w:t>s</w:t>
            </w:r>
          </w:p>
        </w:tc>
        <w:tc>
          <w:tcPr>
            <w:tcW w:w="1100" w:type="dxa"/>
            <w:tcBorders>
              <w:top w:val="nil"/>
              <w:left w:val="nil"/>
              <w:bottom w:val="single" w:sz="4" w:space="0" w:color="000000"/>
              <w:right w:val="single" w:sz="4" w:space="0" w:color="000000"/>
            </w:tcBorders>
            <w:shd w:val="clear" w:color="auto" w:fill="auto"/>
            <w:noWrap/>
            <w:vAlign w:val="center"/>
            <w:hideMark/>
          </w:tcPr>
          <w:p w:rsidR="003D4466" w:rsidRPr="003D4466" w:rsidRDefault="003D4466" w:rsidP="003D4466">
            <w:pPr>
              <w:jc w:val="right"/>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54</w:t>
            </w:r>
          </w:p>
        </w:tc>
        <w:tc>
          <w:tcPr>
            <w:tcW w:w="1100" w:type="dxa"/>
            <w:tcBorders>
              <w:top w:val="nil"/>
              <w:left w:val="nil"/>
              <w:bottom w:val="single" w:sz="4" w:space="0" w:color="000000"/>
              <w:right w:val="single" w:sz="4" w:space="0" w:color="000000"/>
            </w:tcBorders>
            <w:shd w:val="clear" w:color="auto" w:fill="auto"/>
            <w:noWrap/>
            <w:vAlign w:val="center"/>
            <w:hideMark/>
          </w:tcPr>
          <w:p w:rsidR="003D4466" w:rsidRPr="003D4466" w:rsidRDefault="003D4466" w:rsidP="003D4466">
            <w:pPr>
              <w:jc w:val="right"/>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30</w:t>
            </w:r>
          </w:p>
        </w:tc>
      </w:tr>
      <w:tr w:rsidR="003D4466" w:rsidRPr="003D4466" w:rsidTr="003D4466">
        <w:trPr>
          <w:trHeight w:val="315"/>
          <w:jc w:val="center"/>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3D4466" w:rsidRPr="003D4466" w:rsidRDefault="003D4466" w:rsidP="003D4466">
            <w:pPr>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d. QIP/IPP</w:t>
            </w:r>
          </w:p>
        </w:tc>
        <w:tc>
          <w:tcPr>
            <w:tcW w:w="1100" w:type="dxa"/>
            <w:tcBorders>
              <w:top w:val="nil"/>
              <w:left w:val="nil"/>
              <w:bottom w:val="single" w:sz="4" w:space="0" w:color="000000"/>
              <w:right w:val="single" w:sz="4" w:space="0" w:color="000000"/>
            </w:tcBorders>
            <w:shd w:val="clear" w:color="auto" w:fill="auto"/>
            <w:noWrap/>
            <w:vAlign w:val="center"/>
            <w:hideMark/>
          </w:tcPr>
          <w:p w:rsidR="003D4466" w:rsidRPr="003D4466" w:rsidRDefault="003D4466" w:rsidP="003D4466">
            <w:pPr>
              <w:jc w:val="right"/>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1,684</w:t>
            </w:r>
          </w:p>
        </w:tc>
        <w:tc>
          <w:tcPr>
            <w:tcW w:w="1100" w:type="dxa"/>
            <w:tcBorders>
              <w:top w:val="nil"/>
              <w:left w:val="nil"/>
              <w:bottom w:val="single" w:sz="4" w:space="0" w:color="000000"/>
              <w:right w:val="single" w:sz="4" w:space="0" w:color="000000"/>
            </w:tcBorders>
            <w:shd w:val="clear" w:color="auto" w:fill="auto"/>
            <w:noWrap/>
            <w:vAlign w:val="center"/>
            <w:hideMark/>
          </w:tcPr>
          <w:p w:rsidR="003D4466" w:rsidRPr="003D4466" w:rsidRDefault="003D4466" w:rsidP="003D4466">
            <w:pPr>
              <w:jc w:val="right"/>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3,200</w:t>
            </w:r>
          </w:p>
        </w:tc>
      </w:tr>
      <w:tr w:rsidR="003D4466" w:rsidRPr="003D4466" w:rsidTr="003D4466">
        <w:trPr>
          <w:trHeight w:val="315"/>
          <w:jc w:val="center"/>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3D4466" w:rsidRPr="003D4466" w:rsidRDefault="003D4466" w:rsidP="003D4466">
            <w:pPr>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e. Preferential Allotment</w:t>
            </w:r>
          </w:p>
        </w:tc>
        <w:tc>
          <w:tcPr>
            <w:tcW w:w="1100" w:type="dxa"/>
            <w:tcBorders>
              <w:top w:val="nil"/>
              <w:left w:val="nil"/>
              <w:bottom w:val="single" w:sz="4" w:space="0" w:color="000000"/>
              <w:right w:val="single" w:sz="4" w:space="0" w:color="000000"/>
            </w:tcBorders>
            <w:shd w:val="clear" w:color="auto" w:fill="auto"/>
            <w:noWrap/>
            <w:vAlign w:val="center"/>
            <w:hideMark/>
          </w:tcPr>
          <w:p w:rsidR="003D4466" w:rsidRPr="003D4466" w:rsidRDefault="003D4466" w:rsidP="003D4466">
            <w:pPr>
              <w:jc w:val="right"/>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6,601</w:t>
            </w:r>
          </w:p>
        </w:tc>
        <w:tc>
          <w:tcPr>
            <w:tcW w:w="1100" w:type="dxa"/>
            <w:tcBorders>
              <w:top w:val="nil"/>
              <w:left w:val="nil"/>
              <w:bottom w:val="single" w:sz="4" w:space="0" w:color="000000"/>
              <w:right w:val="single" w:sz="4" w:space="0" w:color="000000"/>
            </w:tcBorders>
            <w:shd w:val="clear" w:color="auto" w:fill="auto"/>
            <w:noWrap/>
            <w:vAlign w:val="center"/>
            <w:hideMark/>
          </w:tcPr>
          <w:p w:rsidR="003D4466" w:rsidRPr="003D4466" w:rsidRDefault="003D4466" w:rsidP="003D4466">
            <w:pPr>
              <w:jc w:val="right"/>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3,170</w:t>
            </w:r>
          </w:p>
        </w:tc>
      </w:tr>
      <w:tr w:rsidR="003D4466" w:rsidRPr="003D4466" w:rsidTr="003D4466">
        <w:trPr>
          <w:trHeight w:val="315"/>
          <w:jc w:val="center"/>
        </w:trPr>
        <w:tc>
          <w:tcPr>
            <w:tcW w:w="5140" w:type="dxa"/>
            <w:tcBorders>
              <w:top w:val="nil"/>
              <w:left w:val="single" w:sz="4" w:space="0" w:color="000000"/>
              <w:bottom w:val="single" w:sz="4" w:space="0" w:color="000000"/>
              <w:right w:val="nil"/>
            </w:tcBorders>
            <w:shd w:val="clear" w:color="auto" w:fill="auto"/>
            <w:vAlign w:val="center"/>
            <w:hideMark/>
          </w:tcPr>
          <w:p w:rsidR="003D4466" w:rsidRPr="003D4466" w:rsidRDefault="003D4466" w:rsidP="003D4466">
            <w:pPr>
              <w:rPr>
                <w:rFonts w:ascii="Garamond" w:eastAsia="Times New Roman" w:hAnsi="Garamond"/>
                <w:b/>
                <w:bCs/>
                <w:i/>
                <w:iCs/>
                <w:color w:val="000000"/>
                <w:sz w:val="22"/>
                <w:szCs w:val="22"/>
                <w:lang w:val="en-IN" w:eastAsia="en-IN" w:bidi="hi-IN"/>
              </w:rPr>
            </w:pPr>
            <w:r w:rsidRPr="003D4466">
              <w:rPr>
                <w:rFonts w:ascii="Garamond" w:eastAsia="Times New Roman" w:hAnsi="Garamond"/>
                <w:b/>
                <w:bCs/>
                <w:i/>
                <w:iCs/>
                <w:color w:val="000000"/>
                <w:sz w:val="22"/>
                <w:szCs w:val="22"/>
                <w:lang w:val="en-IN" w:eastAsia="en-IN" w:bidi="hi-IN"/>
              </w:rPr>
              <w:t>II. Debt Issue</w:t>
            </w:r>
            <w:r w:rsidR="00D41F15">
              <w:rPr>
                <w:rFonts w:ascii="Garamond" w:eastAsia="Times New Roman" w:hAnsi="Garamond"/>
                <w:b/>
                <w:bCs/>
                <w:i/>
                <w:iCs/>
                <w:color w:val="000000"/>
                <w:sz w:val="22"/>
                <w:szCs w:val="22"/>
                <w:lang w:val="en-IN" w:eastAsia="en-IN" w:bidi="hi-IN"/>
              </w:rPr>
              <w:t>s</w:t>
            </w:r>
            <w:r w:rsidRPr="003D4466">
              <w:rPr>
                <w:rFonts w:ascii="Garamond" w:eastAsia="Times New Roman" w:hAnsi="Garamond"/>
                <w:b/>
                <w:bCs/>
                <w:i/>
                <w:iCs/>
                <w:color w:val="000000"/>
                <w:sz w:val="22"/>
                <w:szCs w:val="22"/>
                <w:lang w:val="en-IN" w:eastAsia="en-IN" w:bidi="hi-IN"/>
              </w:rPr>
              <w:t xml:space="preserve"> </w:t>
            </w:r>
          </w:p>
        </w:tc>
        <w:tc>
          <w:tcPr>
            <w:tcW w:w="1100" w:type="dxa"/>
            <w:tcBorders>
              <w:top w:val="nil"/>
              <w:left w:val="single" w:sz="4" w:space="0" w:color="000000"/>
              <w:bottom w:val="single" w:sz="4" w:space="0" w:color="000000"/>
              <w:right w:val="single" w:sz="4" w:space="0" w:color="000000"/>
            </w:tcBorders>
            <w:shd w:val="clear" w:color="auto" w:fill="auto"/>
            <w:noWrap/>
            <w:vAlign w:val="center"/>
            <w:hideMark/>
          </w:tcPr>
          <w:p w:rsidR="003D4466" w:rsidRPr="003D4466" w:rsidRDefault="003D4466" w:rsidP="003D4466">
            <w:pPr>
              <w:jc w:val="right"/>
              <w:rPr>
                <w:rFonts w:ascii="Garamond" w:eastAsia="Times New Roman" w:hAnsi="Garamond"/>
                <w:b/>
                <w:bCs/>
                <w:color w:val="000000"/>
                <w:sz w:val="22"/>
                <w:szCs w:val="22"/>
                <w:lang w:val="en-IN" w:eastAsia="en-IN" w:bidi="hi-IN"/>
              </w:rPr>
            </w:pPr>
            <w:r w:rsidRPr="003D4466">
              <w:rPr>
                <w:rFonts w:ascii="Garamond" w:eastAsia="Times New Roman" w:hAnsi="Garamond"/>
                <w:b/>
                <w:bCs/>
                <w:color w:val="000000"/>
                <w:sz w:val="22"/>
                <w:szCs w:val="22"/>
                <w:lang w:val="en-IN" w:eastAsia="en-IN" w:bidi="hi-IN"/>
              </w:rPr>
              <w:t>31,233</w:t>
            </w:r>
          </w:p>
        </w:tc>
        <w:tc>
          <w:tcPr>
            <w:tcW w:w="1100" w:type="dxa"/>
            <w:tcBorders>
              <w:top w:val="nil"/>
              <w:left w:val="nil"/>
              <w:bottom w:val="single" w:sz="4" w:space="0" w:color="000000"/>
              <w:right w:val="single" w:sz="4" w:space="0" w:color="000000"/>
            </w:tcBorders>
            <w:shd w:val="clear" w:color="auto" w:fill="auto"/>
            <w:noWrap/>
            <w:vAlign w:val="center"/>
            <w:hideMark/>
          </w:tcPr>
          <w:p w:rsidR="003D4466" w:rsidRPr="003D4466" w:rsidRDefault="003D4466" w:rsidP="003D4466">
            <w:pPr>
              <w:jc w:val="right"/>
              <w:rPr>
                <w:rFonts w:ascii="Garamond" w:eastAsia="Times New Roman" w:hAnsi="Garamond"/>
                <w:b/>
                <w:bCs/>
                <w:color w:val="000000"/>
                <w:sz w:val="22"/>
                <w:szCs w:val="22"/>
                <w:lang w:val="en-IN" w:eastAsia="en-IN" w:bidi="hi-IN"/>
              </w:rPr>
            </w:pPr>
            <w:r w:rsidRPr="003D4466">
              <w:rPr>
                <w:rFonts w:ascii="Garamond" w:eastAsia="Times New Roman" w:hAnsi="Garamond"/>
                <w:b/>
                <w:bCs/>
                <w:color w:val="000000"/>
                <w:sz w:val="22"/>
                <w:szCs w:val="22"/>
                <w:lang w:val="en-IN" w:eastAsia="en-IN" w:bidi="hi-IN"/>
              </w:rPr>
              <w:t>49,848</w:t>
            </w:r>
          </w:p>
        </w:tc>
      </w:tr>
      <w:tr w:rsidR="003D4466" w:rsidRPr="003D4466" w:rsidTr="003D4466">
        <w:trPr>
          <w:trHeight w:val="315"/>
          <w:jc w:val="center"/>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3D4466" w:rsidRPr="003D4466" w:rsidRDefault="003D4466" w:rsidP="003D4466">
            <w:pPr>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a. Debt Public Issue</w:t>
            </w:r>
            <w:r w:rsidR="00D41F15">
              <w:rPr>
                <w:rFonts w:ascii="Garamond" w:eastAsia="Times New Roman" w:hAnsi="Garamond"/>
                <w:color w:val="000000"/>
                <w:sz w:val="22"/>
                <w:szCs w:val="22"/>
                <w:lang w:val="en-IN" w:eastAsia="en-IN" w:bidi="hi-IN"/>
              </w:rPr>
              <w:t>s</w:t>
            </w:r>
          </w:p>
        </w:tc>
        <w:tc>
          <w:tcPr>
            <w:tcW w:w="1100" w:type="dxa"/>
            <w:tcBorders>
              <w:top w:val="nil"/>
              <w:left w:val="nil"/>
              <w:bottom w:val="single" w:sz="4" w:space="0" w:color="000000"/>
              <w:right w:val="single" w:sz="4" w:space="0" w:color="000000"/>
            </w:tcBorders>
            <w:shd w:val="clear" w:color="auto" w:fill="auto"/>
            <w:noWrap/>
            <w:vAlign w:val="center"/>
            <w:hideMark/>
          </w:tcPr>
          <w:p w:rsidR="003D4466" w:rsidRPr="003D4466" w:rsidRDefault="003D4466" w:rsidP="00D41F15">
            <w:pPr>
              <w:jc w:val="right"/>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1,</w:t>
            </w:r>
            <w:r w:rsidR="00D41F15">
              <w:rPr>
                <w:rFonts w:ascii="Garamond" w:eastAsia="Times New Roman" w:hAnsi="Garamond"/>
                <w:color w:val="000000"/>
                <w:sz w:val="22"/>
                <w:szCs w:val="22"/>
                <w:lang w:val="en-IN" w:eastAsia="en-IN" w:bidi="hi-IN"/>
              </w:rPr>
              <w:t>808</w:t>
            </w:r>
          </w:p>
        </w:tc>
        <w:tc>
          <w:tcPr>
            <w:tcW w:w="1100" w:type="dxa"/>
            <w:tcBorders>
              <w:top w:val="nil"/>
              <w:left w:val="nil"/>
              <w:bottom w:val="single" w:sz="4" w:space="0" w:color="000000"/>
              <w:right w:val="single" w:sz="4" w:space="0" w:color="000000"/>
            </w:tcBorders>
            <w:shd w:val="clear" w:color="auto" w:fill="auto"/>
            <w:noWrap/>
            <w:vAlign w:val="center"/>
            <w:hideMark/>
          </w:tcPr>
          <w:p w:rsidR="003D4466" w:rsidRPr="003D4466" w:rsidRDefault="003D4466" w:rsidP="003D4466">
            <w:pPr>
              <w:jc w:val="right"/>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0</w:t>
            </w:r>
          </w:p>
        </w:tc>
      </w:tr>
      <w:tr w:rsidR="003D4466" w:rsidRPr="003D4466" w:rsidTr="003D4466">
        <w:trPr>
          <w:trHeight w:val="315"/>
          <w:jc w:val="center"/>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3D4466" w:rsidRPr="003D4466" w:rsidRDefault="003D4466" w:rsidP="003D4466">
            <w:pPr>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b. Private Placement of Debt</w:t>
            </w:r>
          </w:p>
        </w:tc>
        <w:tc>
          <w:tcPr>
            <w:tcW w:w="1100" w:type="dxa"/>
            <w:tcBorders>
              <w:top w:val="nil"/>
              <w:left w:val="nil"/>
              <w:bottom w:val="single" w:sz="4" w:space="0" w:color="000000"/>
              <w:right w:val="single" w:sz="4" w:space="0" w:color="000000"/>
            </w:tcBorders>
            <w:shd w:val="clear" w:color="auto" w:fill="auto"/>
            <w:noWrap/>
            <w:vAlign w:val="center"/>
            <w:hideMark/>
          </w:tcPr>
          <w:p w:rsidR="00D41F15" w:rsidRDefault="003D4466" w:rsidP="00D41F15">
            <w:pPr>
              <w:jc w:val="right"/>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 xml:space="preserve">      </w:t>
            </w:r>
          </w:p>
          <w:p w:rsidR="003D4466" w:rsidRPr="003D4466" w:rsidRDefault="00D41F15" w:rsidP="00D41F15">
            <w:pPr>
              <w:jc w:val="right"/>
              <w:rPr>
                <w:rFonts w:ascii="Garamond" w:eastAsia="Times New Roman" w:hAnsi="Garamond"/>
                <w:color w:val="000000"/>
                <w:sz w:val="22"/>
                <w:szCs w:val="22"/>
                <w:lang w:val="en-IN" w:eastAsia="en-IN" w:bidi="hi-IN"/>
              </w:rPr>
            </w:pPr>
            <w:r>
              <w:rPr>
                <w:rFonts w:ascii="Garamond" w:eastAsia="Times New Roman" w:hAnsi="Garamond"/>
                <w:color w:val="000000"/>
                <w:sz w:val="22"/>
                <w:szCs w:val="22"/>
                <w:lang w:val="en-IN" w:eastAsia="en-IN" w:bidi="hi-IN"/>
              </w:rPr>
              <w:t>28,010</w:t>
            </w:r>
            <w:r w:rsidR="003D4466" w:rsidRPr="003D4466">
              <w:rPr>
                <w:rFonts w:ascii="Garamond" w:eastAsia="Times New Roman" w:hAnsi="Garamond"/>
                <w:color w:val="000000"/>
                <w:sz w:val="22"/>
                <w:szCs w:val="22"/>
                <w:lang w:val="en-IN" w:eastAsia="en-IN" w:bidi="hi-IN"/>
              </w:rPr>
              <w:t xml:space="preserve"> </w:t>
            </w:r>
          </w:p>
        </w:tc>
        <w:tc>
          <w:tcPr>
            <w:tcW w:w="1100" w:type="dxa"/>
            <w:tcBorders>
              <w:top w:val="nil"/>
              <w:left w:val="nil"/>
              <w:bottom w:val="single" w:sz="4" w:space="0" w:color="000000"/>
              <w:right w:val="single" w:sz="4" w:space="0" w:color="000000"/>
            </w:tcBorders>
            <w:shd w:val="clear" w:color="auto" w:fill="auto"/>
            <w:noWrap/>
            <w:vAlign w:val="center"/>
            <w:hideMark/>
          </w:tcPr>
          <w:p w:rsidR="003D4466" w:rsidRPr="003D4466" w:rsidRDefault="003D4466" w:rsidP="003D4466">
            <w:pPr>
              <w:jc w:val="right"/>
              <w:rPr>
                <w:rFonts w:ascii="Garamond" w:eastAsia="Times New Roman" w:hAnsi="Garamond"/>
                <w:color w:val="000000"/>
                <w:sz w:val="22"/>
                <w:szCs w:val="22"/>
                <w:lang w:val="en-IN" w:eastAsia="en-IN" w:bidi="hi-IN"/>
              </w:rPr>
            </w:pPr>
            <w:r w:rsidRPr="003D4466">
              <w:rPr>
                <w:rFonts w:ascii="Garamond" w:eastAsia="Times New Roman" w:hAnsi="Garamond"/>
                <w:color w:val="000000"/>
                <w:sz w:val="22"/>
                <w:szCs w:val="22"/>
                <w:lang w:val="en-IN" w:eastAsia="en-IN" w:bidi="hi-IN"/>
              </w:rPr>
              <w:t xml:space="preserve">      49,848 </w:t>
            </w:r>
          </w:p>
        </w:tc>
      </w:tr>
      <w:tr w:rsidR="003D4466" w:rsidRPr="003D4466" w:rsidTr="003D4466">
        <w:trPr>
          <w:trHeight w:val="315"/>
          <w:jc w:val="center"/>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3D4466" w:rsidRPr="003D4466" w:rsidRDefault="003D4466" w:rsidP="003D4466">
            <w:pPr>
              <w:rPr>
                <w:rFonts w:ascii="Garamond" w:eastAsia="Times New Roman" w:hAnsi="Garamond"/>
                <w:b/>
                <w:bCs/>
                <w:color w:val="000000"/>
                <w:sz w:val="22"/>
                <w:szCs w:val="22"/>
                <w:lang w:val="en-IN" w:eastAsia="en-IN" w:bidi="hi-IN"/>
              </w:rPr>
            </w:pPr>
            <w:r w:rsidRPr="003D4466">
              <w:rPr>
                <w:rFonts w:ascii="Garamond" w:eastAsia="Times New Roman" w:hAnsi="Garamond"/>
                <w:b/>
                <w:bCs/>
                <w:color w:val="000000"/>
                <w:sz w:val="22"/>
                <w:szCs w:val="22"/>
                <w:lang w:val="en-IN" w:eastAsia="en-IN" w:bidi="hi-IN"/>
              </w:rPr>
              <w:t>Total Funds Mobilised (I+II)</w:t>
            </w:r>
          </w:p>
        </w:tc>
        <w:tc>
          <w:tcPr>
            <w:tcW w:w="1100" w:type="dxa"/>
            <w:tcBorders>
              <w:top w:val="nil"/>
              <w:left w:val="nil"/>
              <w:bottom w:val="single" w:sz="4" w:space="0" w:color="000000"/>
              <w:right w:val="single" w:sz="4" w:space="0" w:color="000000"/>
            </w:tcBorders>
            <w:shd w:val="clear" w:color="auto" w:fill="auto"/>
            <w:noWrap/>
            <w:vAlign w:val="center"/>
            <w:hideMark/>
          </w:tcPr>
          <w:p w:rsidR="003D4466" w:rsidRPr="003D4466" w:rsidRDefault="003D4466" w:rsidP="003D4466">
            <w:pPr>
              <w:jc w:val="right"/>
              <w:rPr>
                <w:rFonts w:ascii="Garamond" w:eastAsia="Times New Roman" w:hAnsi="Garamond"/>
                <w:b/>
                <w:bCs/>
                <w:color w:val="000000"/>
                <w:sz w:val="22"/>
                <w:szCs w:val="22"/>
                <w:lang w:val="en-IN" w:eastAsia="en-IN" w:bidi="hi-IN"/>
              </w:rPr>
            </w:pPr>
            <w:r w:rsidRPr="003D4466">
              <w:rPr>
                <w:rFonts w:ascii="Garamond" w:eastAsia="Times New Roman" w:hAnsi="Garamond"/>
                <w:b/>
                <w:bCs/>
                <w:color w:val="000000"/>
                <w:sz w:val="22"/>
                <w:szCs w:val="22"/>
                <w:lang w:val="en-IN" w:eastAsia="en-IN" w:bidi="hi-IN"/>
              </w:rPr>
              <w:t>52,771</w:t>
            </w:r>
          </w:p>
        </w:tc>
        <w:tc>
          <w:tcPr>
            <w:tcW w:w="1100" w:type="dxa"/>
            <w:tcBorders>
              <w:top w:val="nil"/>
              <w:left w:val="nil"/>
              <w:bottom w:val="single" w:sz="4" w:space="0" w:color="000000"/>
              <w:right w:val="single" w:sz="4" w:space="0" w:color="000000"/>
            </w:tcBorders>
            <w:shd w:val="clear" w:color="auto" w:fill="auto"/>
            <w:noWrap/>
            <w:vAlign w:val="center"/>
            <w:hideMark/>
          </w:tcPr>
          <w:p w:rsidR="003D4466" w:rsidRPr="003D4466" w:rsidRDefault="00D41F15" w:rsidP="003D4466">
            <w:pPr>
              <w:jc w:val="right"/>
              <w:rPr>
                <w:rFonts w:ascii="Garamond" w:eastAsia="Times New Roman" w:hAnsi="Garamond"/>
                <w:b/>
                <w:bCs/>
                <w:color w:val="000000"/>
                <w:sz w:val="22"/>
                <w:szCs w:val="22"/>
                <w:lang w:val="en-IN" w:eastAsia="en-IN" w:bidi="hi-IN"/>
              </w:rPr>
            </w:pPr>
            <w:r>
              <w:rPr>
                <w:rFonts w:ascii="Garamond" w:eastAsia="Times New Roman" w:hAnsi="Garamond"/>
                <w:b/>
                <w:bCs/>
                <w:color w:val="000000"/>
                <w:sz w:val="22"/>
                <w:szCs w:val="22"/>
                <w:lang w:val="en-IN" w:eastAsia="en-IN" w:bidi="hi-IN"/>
              </w:rPr>
              <w:t>76,765</w:t>
            </w:r>
          </w:p>
        </w:tc>
      </w:tr>
    </w:tbl>
    <w:p w:rsidR="00D50FD9" w:rsidRPr="00DB7D3F" w:rsidRDefault="003D4466" w:rsidP="003D4466">
      <w:pPr>
        <w:widowControl w:val="0"/>
        <w:tabs>
          <w:tab w:val="right" w:pos="9888"/>
        </w:tabs>
        <w:spacing w:line="276" w:lineRule="auto"/>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00D50FD9" w:rsidRPr="00DB7D3F">
        <w:rPr>
          <w:rFonts w:ascii="Palatino Linotype" w:eastAsia="Palatino Linotype" w:hAnsi="Palatino Linotype" w:cs="Palatino Linotype"/>
          <w:b/>
          <w:sz w:val="18"/>
          <w:szCs w:val="18"/>
        </w:rPr>
        <w:t>Source: SEBI, NSE, BSE and MSEI</w:t>
      </w:r>
    </w:p>
    <w:p w:rsidR="00D50FD9" w:rsidRPr="00DB7D3F" w:rsidRDefault="00D50FD9" w:rsidP="00D50FD9">
      <w:pPr>
        <w:widowControl w:val="0"/>
        <w:tabs>
          <w:tab w:val="right" w:pos="9888"/>
        </w:tabs>
        <w:spacing w:line="276" w:lineRule="auto"/>
        <w:jc w:val="both"/>
        <w:rPr>
          <w:rFonts w:ascii="Palatino Linotype" w:eastAsia="Palatino Linotype" w:hAnsi="Palatino Linotype" w:cs="Palatino Linotype"/>
          <w:b/>
          <w:sz w:val="22"/>
          <w:szCs w:val="22"/>
          <w:highlight w:val="yellow"/>
        </w:rPr>
      </w:pPr>
    </w:p>
    <w:p w:rsidR="00CB116D" w:rsidRPr="00DB7D3F" w:rsidRDefault="00CB116D" w:rsidP="00CB116D">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Trends in the Secondary Market</w:t>
      </w:r>
    </w:p>
    <w:p w:rsidR="00D33F7C" w:rsidRPr="00D33F7C" w:rsidRDefault="00D33F7C" w:rsidP="00D33F7C">
      <w:pPr>
        <w:pBdr>
          <w:top w:val="nil"/>
          <w:left w:val="nil"/>
          <w:bottom w:val="nil"/>
          <w:right w:val="nil"/>
          <w:between w:val="nil"/>
        </w:pBdr>
        <w:spacing w:line="276" w:lineRule="auto"/>
        <w:ind w:left="360"/>
        <w:jc w:val="both"/>
        <w:rPr>
          <w:rFonts w:ascii="Palatino Linotype" w:eastAsia="Palatino Linotype" w:hAnsi="Palatino Linotype" w:cs="Palatino Linotype"/>
          <w:sz w:val="22"/>
          <w:szCs w:val="22"/>
          <w:highlight w:val="yellow"/>
        </w:rPr>
      </w:pPr>
    </w:p>
    <w:p w:rsidR="00D41F15" w:rsidRPr="00CB116D" w:rsidRDefault="00D41F15" w:rsidP="00046A06">
      <w:pPr>
        <w:numPr>
          <w:ilvl w:val="0"/>
          <w:numId w:val="1"/>
        </w:numPr>
        <w:pBdr>
          <w:top w:val="nil"/>
          <w:left w:val="nil"/>
          <w:bottom w:val="nil"/>
          <w:right w:val="nil"/>
          <w:between w:val="nil"/>
        </w:pBdr>
        <w:ind w:left="714" w:hanging="357"/>
        <w:jc w:val="both"/>
        <w:rPr>
          <w:rFonts w:ascii="Palatino Linotype" w:eastAsia="Palatino Linotype" w:hAnsi="Palatino Linotype" w:cs="Palatino Linotype"/>
          <w:sz w:val="22"/>
          <w:szCs w:val="22"/>
        </w:rPr>
      </w:pPr>
      <w:r w:rsidRPr="00CB116D">
        <w:rPr>
          <w:rFonts w:ascii="Palatino Linotype" w:eastAsia="Palatino Linotype" w:hAnsi="Palatino Linotype" w:cs="Palatino Linotype"/>
          <w:sz w:val="22"/>
          <w:szCs w:val="22"/>
        </w:rPr>
        <w:t xml:space="preserve">At the end of August 2021, Nifty 50 reached all-time high of 17,132, increasing by 8.7 per cent over July 2021.Similarly BSE Sensex </w:t>
      </w:r>
      <w:r w:rsidR="00CB116D" w:rsidRPr="00CB116D">
        <w:rPr>
          <w:rFonts w:ascii="Palatino Linotype" w:eastAsia="Palatino Linotype" w:hAnsi="Palatino Linotype" w:cs="Palatino Linotype"/>
          <w:sz w:val="22"/>
          <w:szCs w:val="22"/>
        </w:rPr>
        <w:t xml:space="preserve">rose by 9.4 per cent </w:t>
      </w:r>
      <w:r w:rsidR="00CB116D">
        <w:rPr>
          <w:rFonts w:ascii="Palatino Linotype" w:eastAsia="Palatino Linotype" w:hAnsi="Palatino Linotype" w:cs="Palatino Linotype"/>
          <w:sz w:val="22"/>
          <w:szCs w:val="22"/>
        </w:rPr>
        <w:t xml:space="preserve">to close at </w:t>
      </w:r>
      <w:r w:rsidR="00CB116D" w:rsidRPr="00CB116D">
        <w:rPr>
          <w:rFonts w:ascii="Palatino Linotype" w:eastAsia="Palatino Linotype" w:hAnsi="Palatino Linotype" w:cs="Palatino Linotype"/>
          <w:sz w:val="22"/>
          <w:szCs w:val="22"/>
        </w:rPr>
        <w:t>all-time</w:t>
      </w:r>
      <w:r w:rsidRPr="00CB116D">
        <w:rPr>
          <w:rFonts w:ascii="Palatino Linotype" w:eastAsia="Palatino Linotype" w:hAnsi="Palatino Linotype" w:cs="Palatino Linotype"/>
          <w:sz w:val="22"/>
          <w:szCs w:val="22"/>
        </w:rPr>
        <w:t xml:space="preserve"> high of 57</w:t>
      </w:r>
      <w:r w:rsidR="00CB116D">
        <w:rPr>
          <w:rFonts w:ascii="Palatino Linotype" w:eastAsia="Palatino Linotype" w:hAnsi="Palatino Linotype" w:cs="Palatino Linotype"/>
          <w:sz w:val="22"/>
          <w:szCs w:val="22"/>
        </w:rPr>
        <w:t>,552</w:t>
      </w:r>
      <w:r w:rsidRPr="00CB116D">
        <w:rPr>
          <w:rFonts w:ascii="Palatino Linotype" w:eastAsia="Palatino Linotype" w:hAnsi="Palatino Linotype" w:cs="Palatino Linotype"/>
          <w:sz w:val="22"/>
          <w:szCs w:val="22"/>
        </w:rPr>
        <w:t xml:space="preserve">, at the end of </w:t>
      </w:r>
      <w:r w:rsidR="00CB116D">
        <w:rPr>
          <w:rFonts w:ascii="Palatino Linotype" w:eastAsia="Palatino Linotype" w:hAnsi="Palatino Linotype" w:cs="Palatino Linotype"/>
          <w:sz w:val="22"/>
          <w:szCs w:val="22"/>
        </w:rPr>
        <w:t>August</w:t>
      </w:r>
      <w:r w:rsidRPr="00CB116D">
        <w:rPr>
          <w:rFonts w:ascii="Palatino Linotype" w:eastAsia="Palatino Linotype" w:hAnsi="Palatino Linotype" w:cs="Palatino Linotype"/>
          <w:sz w:val="22"/>
          <w:szCs w:val="22"/>
        </w:rPr>
        <w:t xml:space="preserve"> 2021. </w:t>
      </w:r>
    </w:p>
    <w:p w:rsidR="00D41F15" w:rsidRPr="00CB116D" w:rsidRDefault="00D41F15" w:rsidP="00046A06">
      <w:pPr>
        <w:numPr>
          <w:ilvl w:val="0"/>
          <w:numId w:val="1"/>
        </w:numPr>
        <w:pBdr>
          <w:top w:val="nil"/>
          <w:left w:val="nil"/>
          <w:bottom w:val="nil"/>
          <w:right w:val="nil"/>
          <w:between w:val="nil"/>
        </w:pBdr>
        <w:ind w:left="714" w:hanging="357"/>
        <w:jc w:val="both"/>
        <w:rPr>
          <w:rFonts w:ascii="Palatino Linotype" w:eastAsia="Palatino Linotype" w:hAnsi="Palatino Linotype" w:cs="Palatino Linotype"/>
          <w:sz w:val="22"/>
          <w:szCs w:val="22"/>
        </w:rPr>
      </w:pPr>
      <w:r w:rsidRPr="00CB116D">
        <w:rPr>
          <w:rFonts w:ascii="Palatino Linotype" w:eastAsia="Palatino Linotype" w:hAnsi="Palatino Linotype" w:cs="Palatino Linotype"/>
          <w:sz w:val="22"/>
          <w:szCs w:val="22"/>
        </w:rPr>
        <w:t xml:space="preserve">The P/E ratios of S&amp;P BSE Sensex and Nifty 50 were </w:t>
      </w:r>
      <w:r w:rsidRPr="00046A06">
        <w:rPr>
          <w:rFonts w:ascii="Palatino Linotype" w:eastAsia="Palatino Linotype" w:hAnsi="Palatino Linotype" w:cs="Palatino Linotype"/>
          <w:sz w:val="22"/>
          <w:szCs w:val="22"/>
        </w:rPr>
        <w:t xml:space="preserve">30.3 and 26.3, </w:t>
      </w:r>
      <w:r w:rsidRPr="00CB116D">
        <w:rPr>
          <w:rFonts w:ascii="Palatino Linotype" w:eastAsia="Palatino Linotype" w:hAnsi="Palatino Linotype" w:cs="Palatino Linotype"/>
          <w:sz w:val="22"/>
          <w:szCs w:val="22"/>
        </w:rPr>
        <w:t xml:space="preserve">respectively, at the end of August 2021. </w:t>
      </w:r>
    </w:p>
    <w:p w:rsidR="00D41F15" w:rsidRPr="00CB116D" w:rsidRDefault="00D41F15" w:rsidP="00046A06">
      <w:pPr>
        <w:numPr>
          <w:ilvl w:val="0"/>
          <w:numId w:val="1"/>
        </w:numPr>
        <w:pBdr>
          <w:top w:val="nil"/>
          <w:left w:val="nil"/>
          <w:bottom w:val="nil"/>
          <w:right w:val="nil"/>
          <w:between w:val="nil"/>
        </w:pBdr>
        <w:ind w:left="714" w:hanging="357"/>
        <w:jc w:val="both"/>
        <w:rPr>
          <w:rFonts w:ascii="Palatino Linotype" w:eastAsia="Palatino Linotype" w:hAnsi="Palatino Linotype" w:cs="Palatino Linotype"/>
          <w:sz w:val="22"/>
          <w:szCs w:val="22"/>
        </w:rPr>
      </w:pPr>
      <w:r w:rsidRPr="00CB116D">
        <w:rPr>
          <w:rFonts w:ascii="Palatino Linotype" w:eastAsia="Palatino Linotype" w:hAnsi="Palatino Linotype" w:cs="Palatino Linotype"/>
          <w:sz w:val="22"/>
          <w:szCs w:val="22"/>
        </w:rPr>
        <w:t xml:space="preserve">Following the upward trend of benchmark indices, the market capitalisation of both the BSE and NSE increased by 6.2 per cent and 6.3 per cent respectively, at the end of August 2021, over the previous month-end.  </w:t>
      </w:r>
    </w:p>
    <w:p w:rsidR="00D41F15" w:rsidRPr="00CB116D" w:rsidRDefault="00D41F15" w:rsidP="00D41F15">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rsidR="00D41F15" w:rsidRPr="00CB116D" w:rsidRDefault="00046A06" w:rsidP="00D41F15">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rPr>
      </w:pPr>
      <w:r>
        <w:rPr>
          <w:rFonts w:ascii="Palatino Linotype" w:eastAsia="Palatino Linotype" w:hAnsi="Palatino Linotype" w:cs="Palatino Linotype"/>
          <w:b/>
          <w:sz w:val="22"/>
          <w:szCs w:val="22"/>
        </w:rPr>
        <w:t xml:space="preserve">     </w:t>
      </w:r>
      <w:r w:rsidR="00D41F15" w:rsidRPr="00CB116D">
        <w:rPr>
          <w:rFonts w:ascii="Palatino Linotype" w:eastAsia="Palatino Linotype" w:hAnsi="Palatino Linotype" w:cs="Palatino Linotype"/>
          <w:b/>
          <w:sz w:val="22"/>
          <w:szCs w:val="22"/>
        </w:rPr>
        <w:t xml:space="preserve">Table 2: Snapshot of Indian Capital Market </w:t>
      </w:r>
    </w:p>
    <w:p w:rsidR="00D41F15" w:rsidRPr="00CB116D" w:rsidRDefault="00D41F15" w:rsidP="00D41F15">
      <w:pPr>
        <w:pBdr>
          <w:top w:val="nil"/>
          <w:left w:val="nil"/>
          <w:bottom w:val="nil"/>
          <w:right w:val="nil"/>
          <w:between w:val="nil"/>
        </w:pBdr>
        <w:spacing w:line="276" w:lineRule="auto"/>
        <w:ind w:left="720" w:hanging="720"/>
      </w:pPr>
      <w:r w:rsidRPr="00CB116D">
        <w:fldChar w:fldCharType="begin"/>
      </w:r>
      <w:r w:rsidRPr="00CB116D">
        <w:instrText xml:space="preserve"> LINK Excel.Sheet.12 "E:\\C DRIVE DATA BACKUP 19-12-2019\\Desktop\\Bulletin Aug-21.xlsx" Sheet2!R3C3:R32C6 \a \f 4 \h  \* MERGEFORMAT </w:instrText>
      </w:r>
      <w:r w:rsidRPr="00CB116D">
        <w:fldChar w:fldCharType="separate"/>
      </w:r>
    </w:p>
    <w:tbl>
      <w:tblPr>
        <w:tblW w:w="8889" w:type="dxa"/>
        <w:jc w:val="center"/>
        <w:tblLook w:val="04A0" w:firstRow="1" w:lastRow="0" w:firstColumn="1" w:lastColumn="0" w:noHBand="0" w:noVBand="1"/>
      </w:tblPr>
      <w:tblGrid>
        <w:gridCol w:w="3201"/>
        <w:gridCol w:w="1892"/>
        <w:gridCol w:w="2070"/>
        <w:gridCol w:w="1726"/>
      </w:tblGrid>
      <w:tr w:rsidR="00D41F15" w:rsidRPr="00CB116D" w:rsidTr="00D41F15">
        <w:trPr>
          <w:trHeight w:val="1312"/>
          <w:jc w:val="center"/>
        </w:trPr>
        <w:tc>
          <w:tcPr>
            <w:tcW w:w="3201" w:type="dxa"/>
            <w:tcBorders>
              <w:top w:val="single" w:sz="8" w:space="0" w:color="000000"/>
              <w:left w:val="single" w:sz="8" w:space="0" w:color="000000"/>
              <w:bottom w:val="single" w:sz="8" w:space="0" w:color="000000"/>
              <w:right w:val="single" w:sz="8" w:space="0" w:color="000000"/>
            </w:tcBorders>
            <w:shd w:val="clear" w:color="000000" w:fill="92CDDC"/>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Description</w:t>
            </w:r>
          </w:p>
        </w:tc>
        <w:tc>
          <w:tcPr>
            <w:tcW w:w="1892" w:type="dxa"/>
            <w:tcBorders>
              <w:top w:val="single" w:sz="8" w:space="0" w:color="000000"/>
              <w:left w:val="nil"/>
              <w:bottom w:val="single" w:sz="8" w:space="0" w:color="000000"/>
              <w:right w:val="single" w:sz="8" w:space="0" w:color="000000"/>
            </w:tcBorders>
            <w:shd w:val="clear" w:color="000000" w:fill="92CDDC"/>
            <w:noWrap/>
            <w:vAlign w:val="center"/>
            <w:hideMark/>
          </w:tcPr>
          <w:p w:rsidR="00D41F15" w:rsidRPr="00CB116D" w:rsidRDefault="00D41F15" w:rsidP="00D41F15">
            <w:pPr>
              <w:jc w:val="cente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Jul-21</w:t>
            </w:r>
          </w:p>
        </w:tc>
        <w:tc>
          <w:tcPr>
            <w:tcW w:w="2070" w:type="dxa"/>
            <w:tcBorders>
              <w:top w:val="single" w:sz="8" w:space="0" w:color="000000"/>
              <w:left w:val="nil"/>
              <w:bottom w:val="single" w:sz="8" w:space="0" w:color="000000"/>
              <w:right w:val="single" w:sz="8" w:space="0" w:color="000000"/>
            </w:tcBorders>
            <w:shd w:val="clear" w:color="000000" w:fill="92CDDC"/>
            <w:noWrap/>
            <w:vAlign w:val="center"/>
            <w:hideMark/>
          </w:tcPr>
          <w:p w:rsidR="00D41F15" w:rsidRPr="00CB116D" w:rsidRDefault="00D41F15" w:rsidP="00D41F15">
            <w:pPr>
              <w:jc w:val="cente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Aug-21</w:t>
            </w:r>
          </w:p>
        </w:tc>
        <w:tc>
          <w:tcPr>
            <w:tcW w:w="1726" w:type="dxa"/>
            <w:tcBorders>
              <w:top w:val="single" w:sz="8" w:space="0" w:color="000000"/>
              <w:left w:val="nil"/>
              <w:bottom w:val="single" w:sz="8" w:space="0" w:color="000000"/>
              <w:right w:val="single" w:sz="8" w:space="0" w:color="000000"/>
            </w:tcBorders>
            <w:shd w:val="clear" w:color="000000" w:fill="92CDDC"/>
            <w:vAlign w:val="center"/>
            <w:hideMark/>
          </w:tcPr>
          <w:p w:rsidR="00D41F15" w:rsidRPr="00CB116D" w:rsidRDefault="00D41F15" w:rsidP="00D41F15">
            <w:pPr>
              <w:jc w:val="cente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Change during the Month</w:t>
            </w:r>
          </w:p>
        </w:tc>
      </w:tr>
      <w:tr w:rsidR="00D41F15" w:rsidRPr="00CB116D" w:rsidTr="00D41F15">
        <w:trPr>
          <w:trHeight w:val="338"/>
          <w:jc w:val="center"/>
        </w:trPr>
        <w:tc>
          <w:tcPr>
            <w:tcW w:w="3201" w:type="dxa"/>
            <w:tcBorders>
              <w:top w:val="nil"/>
              <w:left w:val="single" w:sz="8" w:space="0" w:color="000000"/>
              <w:bottom w:val="single" w:sz="8" w:space="0" w:color="000000"/>
              <w:right w:val="nil"/>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Equity Market</w:t>
            </w:r>
            <w:r w:rsidR="0083353C">
              <w:rPr>
                <w:rFonts w:ascii="Palatino Linotype" w:eastAsia="Times New Roman" w:hAnsi="Palatino Linotype" w:cs="Calibri"/>
                <w:b/>
                <w:bCs/>
                <w:color w:val="000000"/>
                <w:sz w:val="20"/>
                <w:szCs w:val="20"/>
                <w:lang w:val="en-IN" w:eastAsia="en-IN" w:bidi="hi-IN"/>
              </w:rPr>
              <w:t xml:space="preserve"> indices</w:t>
            </w:r>
          </w:p>
        </w:tc>
        <w:tc>
          <w:tcPr>
            <w:tcW w:w="1892" w:type="dxa"/>
            <w:tcBorders>
              <w:top w:val="nil"/>
              <w:left w:val="nil"/>
              <w:bottom w:val="single" w:sz="8" w:space="0" w:color="000000"/>
              <w:right w:val="nil"/>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 </w:t>
            </w:r>
          </w:p>
        </w:tc>
        <w:tc>
          <w:tcPr>
            <w:tcW w:w="2070" w:type="dxa"/>
            <w:tcBorders>
              <w:top w:val="nil"/>
              <w:left w:val="nil"/>
              <w:bottom w:val="single" w:sz="8" w:space="0" w:color="000000"/>
              <w:right w:val="nil"/>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 </w:t>
            </w:r>
          </w:p>
        </w:tc>
        <w:tc>
          <w:tcPr>
            <w:tcW w:w="1726" w:type="dxa"/>
            <w:tcBorders>
              <w:top w:val="nil"/>
              <w:left w:val="nil"/>
              <w:bottom w:val="single" w:sz="8" w:space="0" w:color="000000"/>
              <w:right w:val="single" w:sz="8" w:space="0" w:color="000000"/>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 </w:t>
            </w:r>
          </w:p>
        </w:tc>
      </w:tr>
      <w:tr w:rsidR="00D41F15" w:rsidRPr="00CB116D" w:rsidTr="00D41F15">
        <w:trPr>
          <w:trHeight w:val="338"/>
          <w:jc w:val="center"/>
        </w:trPr>
        <w:tc>
          <w:tcPr>
            <w:tcW w:w="3201" w:type="dxa"/>
            <w:tcBorders>
              <w:top w:val="nil"/>
              <w:left w:val="single" w:sz="8" w:space="0" w:color="000000"/>
              <w:bottom w:val="single" w:sz="8" w:space="0" w:color="000000"/>
              <w:right w:val="single" w:sz="8" w:space="0" w:color="000000"/>
            </w:tcBorders>
            <w:shd w:val="clear" w:color="auto" w:fill="auto"/>
            <w:noWrap/>
            <w:vAlign w:val="center"/>
            <w:hideMark/>
          </w:tcPr>
          <w:p w:rsidR="00D41F15" w:rsidRPr="00CB116D" w:rsidRDefault="00D41F15" w:rsidP="00D41F15">
            <w:pPr>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Nifty 50</w:t>
            </w:r>
          </w:p>
        </w:tc>
        <w:tc>
          <w:tcPr>
            <w:tcW w:w="1892"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15,763</w:t>
            </w:r>
          </w:p>
        </w:tc>
        <w:tc>
          <w:tcPr>
            <w:tcW w:w="2070"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17,132</w:t>
            </w:r>
          </w:p>
        </w:tc>
        <w:tc>
          <w:tcPr>
            <w:tcW w:w="1726"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8.7</w:t>
            </w:r>
          </w:p>
        </w:tc>
      </w:tr>
      <w:tr w:rsidR="00D41F15" w:rsidRPr="00CB116D" w:rsidTr="00D41F15">
        <w:trPr>
          <w:trHeight w:val="338"/>
          <w:jc w:val="center"/>
        </w:trPr>
        <w:tc>
          <w:tcPr>
            <w:tcW w:w="3201" w:type="dxa"/>
            <w:tcBorders>
              <w:top w:val="nil"/>
              <w:left w:val="single" w:sz="8" w:space="0" w:color="000000"/>
              <w:bottom w:val="single" w:sz="8" w:space="0" w:color="000000"/>
              <w:right w:val="single" w:sz="8" w:space="0" w:color="000000"/>
            </w:tcBorders>
            <w:shd w:val="clear" w:color="auto" w:fill="auto"/>
            <w:noWrap/>
            <w:vAlign w:val="center"/>
            <w:hideMark/>
          </w:tcPr>
          <w:p w:rsidR="00D41F15" w:rsidRPr="00CB116D" w:rsidRDefault="00D41F15" w:rsidP="00D41F15">
            <w:pPr>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Sensex</w:t>
            </w:r>
          </w:p>
        </w:tc>
        <w:tc>
          <w:tcPr>
            <w:tcW w:w="1892"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52,587</w:t>
            </w:r>
          </w:p>
        </w:tc>
        <w:tc>
          <w:tcPr>
            <w:tcW w:w="2070"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57,552</w:t>
            </w:r>
          </w:p>
        </w:tc>
        <w:tc>
          <w:tcPr>
            <w:tcW w:w="1726"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9.4</w:t>
            </w:r>
          </w:p>
        </w:tc>
      </w:tr>
      <w:tr w:rsidR="00D41F15" w:rsidRPr="00CB116D" w:rsidTr="00D41F15">
        <w:trPr>
          <w:trHeight w:val="338"/>
          <w:jc w:val="center"/>
        </w:trPr>
        <w:tc>
          <w:tcPr>
            <w:tcW w:w="3201" w:type="dxa"/>
            <w:tcBorders>
              <w:top w:val="nil"/>
              <w:left w:val="single" w:sz="8" w:space="0" w:color="000000"/>
              <w:bottom w:val="single" w:sz="8" w:space="0" w:color="000000"/>
              <w:right w:val="single" w:sz="8" w:space="0" w:color="000000"/>
            </w:tcBorders>
            <w:shd w:val="clear" w:color="auto" w:fill="auto"/>
            <w:noWrap/>
            <w:vAlign w:val="center"/>
            <w:hideMark/>
          </w:tcPr>
          <w:p w:rsidR="00D41F15" w:rsidRPr="00CB116D" w:rsidRDefault="00D41F15" w:rsidP="00D41F15">
            <w:pPr>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Nifty Midcap 50</w:t>
            </w:r>
          </w:p>
        </w:tc>
        <w:tc>
          <w:tcPr>
            <w:tcW w:w="1892"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7,658</w:t>
            </w:r>
          </w:p>
        </w:tc>
        <w:tc>
          <w:tcPr>
            <w:tcW w:w="2070"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7,503</w:t>
            </w:r>
          </w:p>
        </w:tc>
        <w:tc>
          <w:tcPr>
            <w:tcW w:w="1726"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-2.0</w:t>
            </w:r>
          </w:p>
        </w:tc>
      </w:tr>
      <w:tr w:rsidR="00D41F15" w:rsidRPr="00CB116D" w:rsidTr="00D41F15">
        <w:trPr>
          <w:trHeight w:val="338"/>
          <w:jc w:val="center"/>
        </w:trPr>
        <w:tc>
          <w:tcPr>
            <w:tcW w:w="3201" w:type="dxa"/>
            <w:tcBorders>
              <w:top w:val="nil"/>
              <w:left w:val="single" w:sz="8" w:space="0" w:color="000000"/>
              <w:bottom w:val="single" w:sz="8" w:space="0" w:color="000000"/>
              <w:right w:val="single" w:sz="8" w:space="0" w:color="000000"/>
            </w:tcBorders>
            <w:shd w:val="clear" w:color="auto" w:fill="auto"/>
            <w:noWrap/>
            <w:vAlign w:val="center"/>
            <w:hideMark/>
          </w:tcPr>
          <w:p w:rsidR="00D41F15" w:rsidRPr="00CB116D" w:rsidRDefault="00D41F15" w:rsidP="00D41F15">
            <w:pPr>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Nifty Smallcap 100</w:t>
            </w:r>
          </w:p>
        </w:tc>
        <w:tc>
          <w:tcPr>
            <w:tcW w:w="1892"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10,522</w:t>
            </w:r>
          </w:p>
        </w:tc>
        <w:tc>
          <w:tcPr>
            <w:tcW w:w="2070"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10,263</w:t>
            </w:r>
          </w:p>
        </w:tc>
        <w:tc>
          <w:tcPr>
            <w:tcW w:w="1726"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-2.5</w:t>
            </w:r>
          </w:p>
        </w:tc>
      </w:tr>
      <w:tr w:rsidR="00D41F15" w:rsidRPr="00CB116D" w:rsidTr="00D41F15">
        <w:trPr>
          <w:trHeight w:val="338"/>
          <w:jc w:val="center"/>
        </w:trPr>
        <w:tc>
          <w:tcPr>
            <w:tcW w:w="3201" w:type="dxa"/>
            <w:tcBorders>
              <w:top w:val="nil"/>
              <w:left w:val="single" w:sz="8" w:space="0" w:color="000000"/>
              <w:bottom w:val="single" w:sz="8" w:space="0" w:color="000000"/>
              <w:right w:val="single" w:sz="8" w:space="0" w:color="000000"/>
            </w:tcBorders>
            <w:shd w:val="clear" w:color="auto" w:fill="auto"/>
            <w:noWrap/>
            <w:vAlign w:val="center"/>
            <w:hideMark/>
          </w:tcPr>
          <w:p w:rsidR="00D41F15" w:rsidRPr="00CB116D" w:rsidRDefault="00D41F15" w:rsidP="00D41F15">
            <w:pPr>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BSE Midcap</w:t>
            </w:r>
          </w:p>
        </w:tc>
        <w:tc>
          <w:tcPr>
            <w:tcW w:w="1892"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23,087</w:t>
            </w:r>
          </w:p>
        </w:tc>
        <w:tc>
          <w:tcPr>
            <w:tcW w:w="2070"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23,853</w:t>
            </w:r>
          </w:p>
        </w:tc>
        <w:tc>
          <w:tcPr>
            <w:tcW w:w="1726"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3.3</w:t>
            </w:r>
          </w:p>
        </w:tc>
      </w:tr>
      <w:tr w:rsidR="00D41F15" w:rsidRPr="00CB116D" w:rsidTr="00D41F15">
        <w:trPr>
          <w:trHeight w:val="338"/>
          <w:jc w:val="center"/>
        </w:trPr>
        <w:tc>
          <w:tcPr>
            <w:tcW w:w="3201" w:type="dxa"/>
            <w:tcBorders>
              <w:top w:val="nil"/>
              <w:left w:val="single" w:sz="8" w:space="0" w:color="000000"/>
              <w:bottom w:val="single" w:sz="8" w:space="0" w:color="000000"/>
              <w:right w:val="single" w:sz="8" w:space="0" w:color="000000"/>
            </w:tcBorders>
            <w:shd w:val="clear" w:color="auto" w:fill="auto"/>
            <w:noWrap/>
            <w:vAlign w:val="center"/>
            <w:hideMark/>
          </w:tcPr>
          <w:p w:rsidR="00D41F15" w:rsidRPr="00CB116D" w:rsidRDefault="00D41F15" w:rsidP="00D41F15">
            <w:pPr>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BSE Smallcap</w:t>
            </w:r>
          </w:p>
        </w:tc>
        <w:tc>
          <w:tcPr>
            <w:tcW w:w="1892"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26,787</w:t>
            </w:r>
          </w:p>
        </w:tc>
        <w:tc>
          <w:tcPr>
            <w:tcW w:w="2070"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26,920</w:t>
            </w:r>
          </w:p>
        </w:tc>
        <w:tc>
          <w:tcPr>
            <w:tcW w:w="1726"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0.5</w:t>
            </w:r>
          </w:p>
        </w:tc>
      </w:tr>
      <w:tr w:rsidR="00D41F15" w:rsidRPr="00CB116D" w:rsidTr="00D41F15">
        <w:trPr>
          <w:trHeight w:val="338"/>
          <w:jc w:val="center"/>
        </w:trPr>
        <w:tc>
          <w:tcPr>
            <w:tcW w:w="5093" w:type="dxa"/>
            <w:gridSpan w:val="2"/>
            <w:tcBorders>
              <w:top w:val="single" w:sz="8" w:space="0" w:color="000000"/>
              <w:left w:val="single" w:sz="8" w:space="0" w:color="000000"/>
              <w:bottom w:val="single" w:sz="8" w:space="0" w:color="000000"/>
              <w:right w:val="nil"/>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Market Capitalisation (</w:t>
            </w:r>
            <w:r w:rsidRPr="00CB116D">
              <w:rPr>
                <w:rFonts w:ascii="Tahoma" w:eastAsia="Times New Roman" w:hAnsi="Tahoma" w:cs="Tahoma"/>
                <w:b/>
                <w:bCs/>
                <w:color w:val="000000"/>
                <w:sz w:val="20"/>
                <w:szCs w:val="20"/>
                <w:lang w:val="en-IN" w:eastAsia="en-IN" w:bidi="hi-IN"/>
              </w:rPr>
              <w:t>₹</w:t>
            </w:r>
            <w:r w:rsidRPr="00CB116D">
              <w:rPr>
                <w:rFonts w:ascii="Palatino Linotype" w:eastAsia="Times New Roman" w:hAnsi="Palatino Linotype" w:cs="Calibri"/>
                <w:b/>
                <w:bCs/>
                <w:color w:val="000000"/>
                <w:sz w:val="20"/>
                <w:szCs w:val="20"/>
                <w:lang w:val="en-IN" w:eastAsia="en-IN" w:bidi="hi-IN"/>
              </w:rPr>
              <w:t xml:space="preserve"> crore)</w:t>
            </w:r>
          </w:p>
        </w:tc>
        <w:tc>
          <w:tcPr>
            <w:tcW w:w="2070" w:type="dxa"/>
            <w:tcBorders>
              <w:top w:val="nil"/>
              <w:left w:val="nil"/>
              <w:bottom w:val="single" w:sz="8" w:space="0" w:color="000000"/>
              <w:right w:val="nil"/>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 </w:t>
            </w:r>
          </w:p>
        </w:tc>
        <w:tc>
          <w:tcPr>
            <w:tcW w:w="1726" w:type="dxa"/>
            <w:tcBorders>
              <w:top w:val="nil"/>
              <w:left w:val="nil"/>
              <w:bottom w:val="single" w:sz="8" w:space="0" w:color="000000"/>
              <w:right w:val="nil"/>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 </w:t>
            </w:r>
          </w:p>
        </w:tc>
      </w:tr>
      <w:tr w:rsidR="00D41F15" w:rsidRPr="00CB116D" w:rsidTr="00D41F15">
        <w:trPr>
          <w:trHeight w:val="338"/>
          <w:jc w:val="center"/>
        </w:trPr>
        <w:tc>
          <w:tcPr>
            <w:tcW w:w="3201" w:type="dxa"/>
            <w:tcBorders>
              <w:top w:val="nil"/>
              <w:left w:val="single" w:sz="8" w:space="0" w:color="000000"/>
              <w:bottom w:val="single" w:sz="8" w:space="0" w:color="000000"/>
              <w:right w:val="single" w:sz="8" w:space="0" w:color="000000"/>
            </w:tcBorders>
            <w:shd w:val="clear" w:color="auto" w:fill="auto"/>
            <w:noWrap/>
            <w:vAlign w:val="center"/>
            <w:hideMark/>
          </w:tcPr>
          <w:p w:rsidR="00D41F15" w:rsidRPr="00CB116D" w:rsidRDefault="00D41F15" w:rsidP="00D41F15">
            <w:pPr>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 xml:space="preserve">BSE </w:t>
            </w:r>
          </w:p>
        </w:tc>
        <w:tc>
          <w:tcPr>
            <w:tcW w:w="1892"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2,35,49,749</w:t>
            </w:r>
          </w:p>
        </w:tc>
        <w:tc>
          <w:tcPr>
            <w:tcW w:w="2070"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2,50,02,084</w:t>
            </w:r>
          </w:p>
        </w:tc>
        <w:tc>
          <w:tcPr>
            <w:tcW w:w="1726"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6.2</w:t>
            </w:r>
          </w:p>
        </w:tc>
      </w:tr>
      <w:tr w:rsidR="00D41F15" w:rsidRPr="00CB116D" w:rsidTr="00D41F15">
        <w:trPr>
          <w:trHeight w:val="338"/>
          <w:jc w:val="center"/>
        </w:trPr>
        <w:tc>
          <w:tcPr>
            <w:tcW w:w="3201" w:type="dxa"/>
            <w:tcBorders>
              <w:top w:val="nil"/>
              <w:left w:val="single" w:sz="8" w:space="0" w:color="000000"/>
              <w:bottom w:val="single" w:sz="8" w:space="0" w:color="000000"/>
              <w:right w:val="single" w:sz="8" w:space="0" w:color="000000"/>
            </w:tcBorders>
            <w:shd w:val="clear" w:color="auto" w:fill="auto"/>
            <w:noWrap/>
            <w:vAlign w:val="center"/>
            <w:hideMark/>
          </w:tcPr>
          <w:p w:rsidR="00D41F15" w:rsidRPr="00CB116D" w:rsidRDefault="00D41F15" w:rsidP="00D41F15">
            <w:pPr>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NSE</w:t>
            </w:r>
          </w:p>
        </w:tc>
        <w:tc>
          <w:tcPr>
            <w:tcW w:w="1892"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2,33,55,719</w:t>
            </w:r>
          </w:p>
        </w:tc>
        <w:tc>
          <w:tcPr>
            <w:tcW w:w="2070"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2,48,28,178</w:t>
            </w:r>
          </w:p>
        </w:tc>
        <w:tc>
          <w:tcPr>
            <w:tcW w:w="1726"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6.3</w:t>
            </w:r>
          </w:p>
        </w:tc>
      </w:tr>
      <w:tr w:rsidR="00D41F15" w:rsidRPr="00CB116D" w:rsidTr="00D41F15">
        <w:trPr>
          <w:trHeight w:val="338"/>
          <w:jc w:val="center"/>
        </w:trPr>
        <w:tc>
          <w:tcPr>
            <w:tcW w:w="3201" w:type="dxa"/>
            <w:tcBorders>
              <w:top w:val="nil"/>
              <w:left w:val="single" w:sz="8" w:space="0" w:color="000000"/>
              <w:bottom w:val="single" w:sz="8" w:space="0" w:color="000000"/>
              <w:right w:val="nil"/>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P/E Ratio</w:t>
            </w:r>
          </w:p>
        </w:tc>
        <w:tc>
          <w:tcPr>
            <w:tcW w:w="1892" w:type="dxa"/>
            <w:tcBorders>
              <w:top w:val="nil"/>
              <w:left w:val="nil"/>
              <w:bottom w:val="single" w:sz="8" w:space="0" w:color="000000"/>
              <w:right w:val="nil"/>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 </w:t>
            </w:r>
          </w:p>
        </w:tc>
        <w:tc>
          <w:tcPr>
            <w:tcW w:w="2070" w:type="dxa"/>
            <w:tcBorders>
              <w:top w:val="nil"/>
              <w:left w:val="nil"/>
              <w:bottom w:val="single" w:sz="8" w:space="0" w:color="000000"/>
              <w:right w:val="nil"/>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 </w:t>
            </w:r>
          </w:p>
        </w:tc>
        <w:tc>
          <w:tcPr>
            <w:tcW w:w="1726" w:type="dxa"/>
            <w:tcBorders>
              <w:top w:val="nil"/>
              <w:left w:val="nil"/>
              <w:bottom w:val="single" w:sz="8" w:space="0" w:color="000000"/>
              <w:right w:val="nil"/>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 </w:t>
            </w:r>
          </w:p>
        </w:tc>
      </w:tr>
      <w:tr w:rsidR="00D41F15" w:rsidRPr="00CB116D" w:rsidTr="00D41F15">
        <w:trPr>
          <w:trHeight w:val="338"/>
          <w:jc w:val="center"/>
        </w:trPr>
        <w:tc>
          <w:tcPr>
            <w:tcW w:w="3201" w:type="dxa"/>
            <w:tcBorders>
              <w:top w:val="nil"/>
              <w:left w:val="single" w:sz="8" w:space="0" w:color="000000"/>
              <w:bottom w:val="single" w:sz="8" w:space="0" w:color="000000"/>
              <w:right w:val="single" w:sz="8" w:space="0" w:color="000000"/>
            </w:tcBorders>
            <w:shd w:val="clear" w:color="auto" w:fill="auto"/>
            <w:noWrap/>
            <w:vAlign w:val="center"/>
            <w:hideMark/>
          </w:tcPr>
          <w:p w:rsidR="00D41F15" w:rsidRPr="00CB116D" w:rsidRDefault="00D41F15" w:rsidP="00D41F15">
            <w:pPr>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Sensex</w:t>
            </w:r>
          </w:p>
        </w:tc>
        <w:tc>
          <w:tcPr>
            <w:tcW w:w="1892"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30.7</w:t>
            </w:r>
          </w:p>
        </w:tc>
        <w:tc>
          <w:tcPr>
            <w:tcW w:w="2070"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30.3</w:t>
            </w:r>
          </w:p>
        </w:tc>
        <w:tc>
          <w:tcPr>
            <w:tcW w:w="1726"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-1.3</w:t>
            </w:r>
          </w:p>
        </w:tc>
      </w:tr>
      <w:tr w:rsidR="00D41F15" w:rsidRPr="00CB116D" w:rsidTr="00D41F15">
        <w:trPr>
          <w:trHeight w:val="338"/>
          <w:jc w:val="center"/>
        </w:trPr>
        <w:tc>
          <w:tcPr>
            <w:tcW w:w="3201" w:type="dxa"/>
            <w:tcBorders>
              <w:top w:val="nil"/>
              <w:left w:val="single" w:sz="8" w:space="0" w:color="000000"/>
              <w:bottom w:val="single" w:sz="8" w:space="0" w:color="000000"/>
              <w:right w:val="single" w:sz="8" w:space="0" w:color="000000"/>
            </w:tcBorders>
            <w:shd w:val="clear" w:color="auto" w:fill="auto"/>
            <w:noWrap/>
            <w:vAlign w:val="center"/>
            <w:hideMark/>
          </w:tcPr>
          <w:p w:rsidR="00D41F15" w:rsidRPr="00CB116D" w:rsidRDefault="00D41F15" w:rsidP="00D41F15">
            <w:pPr>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Nifty 50</w:t>
            </w:r>
          </w:p>
        </w:tc>
        <w:tc>
          <w:tcPr>
            <w:tcW w:w="1892"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27.0</w:t>
            </w:r>
          </w:p>
        </w:tc>
        <w:tc>
          <w:tcPr>
            <w:tcW w:w="2070"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26.3</w:t>
            </w:r>
          </w:p>
        </w:tc>
        <w:tc>
          <w:tcPr>
            <w:tcW w:w="1726"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-2.8</w:t>
            </w:r>
          </w:p>
        </w:tc>
      </w:tr>
      <w:tr w:rsidR="00D41F15" w:rsidRPr="00CB116D" w:rsidTr="00D41F15">
        <w:trPr>
          <w:trHeight w:val="338"/>
          <w:jc w:val="center"/>
        </w:trPr>
        <w:tc>
          <w:tcPr>
            <w:tcW w:w="3201" w:type="dxa"/>
            <w:tcBorders>
              <w:top w:val="nil"/>
              <w:left w:val="single" w:sz="8" w:space="0" w:color="000000"/>
              <w:bottom w:val="single" w:sz="8" w:space="0" w:color="000000"/>
              <w:right w:val="nil"/>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No of Listed Companies</w:t>
            </w:r>
          </w:p>
        </w:tc>
        <w:tc>
          <w:tcPr>
            <w:tcW w:w="1892" w:type="dxa"/>
            <w:tcBorders>
              <w:top w:val="nil"/>
              <w:left w:val="nil"/>
              <w:bottom w:val="single" w:sz="8" w:space="0" w:color="000000"/>
              <w:right w:val="nil"/>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 </w:t>
            </w:r>
          </w:p>
        </w:tc>
        <w:tc>
          <w:tcPr>
            <w:tcW w:w="2070" w:type="dxa"/>
            <w:tcBorders>
              <w:top w:val="nil"/>
              <w:left w:val="nil"/>
              <w:bottom w:val="single" w:sz="8" w:space="0" w:color="000000"/>
              <w:right w:val="nil"/>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 </w:t>
            </w:r>
          </w:p>
        </w:tc>
        <w:tc>
          <w:tcPr>
            <w:tcW w:w="1726" w:type="dxa"/>
            <w:tcBorders>
              <w:top w:val="nil"/>
              <w:left w:val="nil"/>
              <w:bottom w:val="single" w:sz="8" w:space="0" w:color="000000"/>
              <w:right w:val="nil"/>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 </w:t>
            </w:r>
          </w:p>
        </w:tc>
      </w:tr>
      <w:tr w:rsidR="00D41F15" w:rsidRPr="00CB116D" w:rsidTr="00D41F15">
        <w:trPr>
          <w:trHeight w:val="338"/>
          <w:jc w:val="center"/>
        </w:trPr>
        <w:tc>
          <w:tcPr>
            <w:tcW w:w="3201" w:type="dxa"/>
            <w:tcBorders>
              <w:top w:val="nil"/>
              <w:left w:val="single" w:sz="8" w:space="0" w:color="000000"/>
              <w:bottom w:val="single" w:sz="8" w:space="0" w:color="000000"/>
              <w:right w:val="single" w:sz="8" w:space="0" w:color="000000"/>
            </w:tcBorders>
            <w:shd w:val="clear" w:color="auto" w:fill="auto"/>
            <w:noWrap/>
            <w:vAlign w:val="center"/>
            <w:hideMark/>
          </w:tcPr>
          <w:p w:rsidR="00D41F15" w:rsidRPr="00CB116D" w:rsidRDefault="00D41F15" w:rsidP="00D41F15">
            <w:pPr>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 xml:space="preserve">BSE </w:t>
            </w:r>
          </w:p>
        </w:tc>
        <w:tc>
          <w:tcPr>
            <w:tcW w:w="1892"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5,507</w:t>
            </w:r>
          </w:p>
        </w:tc>
        <w:tc>
          <w:tcPr>
            <w:tcW w:w="2070"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5,521</w:t>
            </w:r>
          </w:p>
        </w:tc>
        <w:tc>
          <w:tcPr>
            <w:tcW w:w="1726" w:type="dxa"/>
            <w:tcBorders>
              <w:top w:val="nil"/>
              <w:left w:val="nil"/>
              <w:bottom w:val="single" w:sz="8" w:space="0" w:color="000000"/>
              <w:right w:val="single" w:sz="8" w:space="0" w:color="000000"/>
            </w:tcBorders>
            <w:shd w:val="clear" w:color="auto" w:fill="auto"/>
            <w:noWrap/>
            <w:vAlign w:val="center"/>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0.3</w:t>
            </w:r>
          </w:p>
        </w:tc>
      </w:tr>
      <w:tr w:rsidR="00D41F15" w:rsidRPr="00CB116D" w:rsidTr="00D41F15">
        <w:trPr>
          <w:trHeight w:val="338"/>
          <w:jc w:val="center"/>
        </w:trPr>
        <w:tc>
          <w:tcPr>
            <w:tcW w:w="3201" w:type="dxa"/>
            <w:tcBorders>
              <w:top w:val="nil"/>
              <w:left w:val="single" w:sz="8" w:space="0" w:color="000000"/>
              <w:bottom w:val="nil"/>
              <w:right w:val="single" w:sz="8" w:space="0" w:color="000000"/>
            </w:tcBorders>
            <w:shd w:val="clear" w:color="auto" w:fill="auto"/>
            <w:noWrap/>
            <w:vAlign w:val="center"/>
            <w:hideMark/>
          </w:tcPr>
          <w:p w:rsidR="00D41F15" w:rsidRPr="00CB116D" w:rsidRDefault="00D41F15" w:rsidP="00D41F15">
            <w:pPr>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NSE</w:t>
            </w:r>
          </w:p>
        </w:tc>
        <w:tc>
          <w:tcPr>
            <w:tcW w:w="1892" w:type="dxa"/>
            <w:tcBorders>
              <w:top w:val="nil"/>
              <w:left w:val="nil"/>
              <w:bottom w:val="nil"/>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1,988</w:t>
            </w:r>
          </w:p>
        </w:tc>
        <w:tc>
          <w:tcPr>
            <w:tcW w:w="2070" w:type="dxa"/>
            <w:tcBorders>
              <w:top w:val="nil"/>
              <w:left w:val="nil"/>
              <w:bottom w:val="nil"/>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2,002</w:t>
            </w:r>
          </w:p>
        </w:tc>
        <w:tc>
          <w:tcPr>
            <w:tcW w:w="1726" w:type="dxa"/>
            <w:tcBorders>
              <w:top w:val="nil"/>
              <w:left w:val="nil"/>
              <w:bottom w:val="nil"/>
              <w:right w:val="single" w:sz="8" w:space="0" w:color="000000"/>
            </w:tcBorders>
            <w:shd w:val="clear" w:color="auto" w:fill="auto"/>
            <w:noWrap/>
            <w:vAlign w:val="center"/>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0.7</w:t>
            </w:r>
          </w:p>
        </w:tc>
      </w:tr>
      <w:tr w:rsidR="00D41F15" w:rsidRPr="00CB116D" w:rsidTr="00D41F15">
        <w:trPr>
          <w:trHeight w:val="338"/>
          <w:jc w:val="center"/>
        </w:trPr>
        <w:tc>
          <w:tcPr>
            <w:tcW w:w="7163" w:type="dxa"/>
            <w:gridSpan w:val="3"/>
            <w:tcBorders>
              <w:top w:val="single" w:sz="8" w:space="0" w:color="auto"/>
              <w:left w:val="single" w:sz="8" w:space="0" w:color="auto"/>
              <w:bottom w:val="single" w:sz="8" w:space="0" w:color="auto"/>
              <w:right w:val="nil"/>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Gross Turnover in Equity Segment (</w:t>
            </w:r>
            <w:r w:rsidRPr="00CB116D">
              <w:rPr>
                <w:rFonts w:ascii="Tahoma" w:eastAsia="Times New Roman" w:hAnsi="Tahoma" w:cs="Tahoma"/>
                <w:b/>
                <w:bCs/>
                <w:color w:val="000000"/>
                <w:sz w:val="20"/>
                <w:szCs w:val="20"/>
                <w:lang w:val="en-IN" w:eastAsia="en-IN" w:bidi="hi-IN"/>
              </w:rPr>
              <w:t>₹</w:t>
            </w:r>
            <w:r w:rsidRPr="00CB116D">
              <w:rPr>
                <w:rFonts w:ascii="Palatino Linotype" w:eastAsia="Times New Roman" w:hAnsi="Palatino Linotype" w:cs="Calibri"/>
                <w:b/>
                <w:bCs/>
                <w:color w:val="000000"/>
                <w:sz w:val="20"/>
                <w:szCs w:val="20"/>
                <w:lang w:val="en-IN" w:eastAsia="en-IN" w:bidi="hi-IN"/>
              </w:rPr>
              <w:t xml:space="preserve"> crore)</w:t>
            </w:r>
          </w:p>
        </w:tc>
        <w:tc>
          <w:tcPr>
            <w:tcW w:w="1726" w:type="dxa"/>
            <w:tcBorders>
              <w:top w:val="single" w:sz="8" w:space="0" w:color="auto"/>
              <w:left w:val="nil"/>
              <w:bottom w:val="single" w:sz="8" w:space="0" w:color="auto"/>
              <w:right w:val="single" w:sz="8" w:space="0" w:color="auto"/>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 </w:t>
            </w:r>
          </w:p>
        </w:tc>
      </w:tr>
      <w:tr w:rsidR="00D41F15" w:rsidRPr="00CB116D" w:rsidTr="00D41F15">
        <w:trPr>
          <w:trHeight w:val="338"/>
          <w:jc w:val="center"/>
        </w:trPr>
        <w:tc>
          <w:tcPr>
            <w:tcW w:w="3201" w:type="dxa"/>
            <w:tcBorders>
              <w:top w:val="nil"/>
              <w:left w:val="single" w:sz="8" w:space="0" w:color="000000"/>
              <w:bottom w:val="single" w:sz="8" w:space="0" w:color="000000"/>
              <w:right w:val="single" w:sz="8" w:space="0" w:color="000000"/>
            </w:tcBorders>
            <w:shd w:val="clear" w:color="auto" w:fill="auto"/>
            <w:noWrap/>
            <w:vAlign w:val="center"/>
            <w:hideMark/>
          </w:tcPr>
          <w:p w:rsidR="00D41F15" w:rsidRPr="00CB116D" w:rsidRDefault="00D41F15" w:rsidP="00D41F15">
            <w:pPr>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 xml:space="preserve">BSE </w:t>
            </w:r>
          </w:p>
        </w:tc>
        <w:tc>
          <w:tcPr>
            <w:tcW w:w="1892"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1,16,035</w:t>
            </w:r>
          </w:p>
        </w:tc>
        <w:tc>
          <w:tcPr>
            <w:tcW w:w="2070"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1,09,181</w:t>
            </w:r>
          </w:p>
        </w:tc>
        <w:tc>
          <w:tcPr>
            <w:tcW w:w="1726"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-5.9</w:t>
            </w:r>
          </w:p>
        </w:tc>
      </w:tr>
      <w:tr w:rsidR="00D41F15" w:rsidRPr="00CB116D" w:rsidTr="00D41F15">
        <w:trPr>
          <w:trHeight w:val="338"/>
          <w:jc w:val="center"/>
        </w:trPr>
        <w:tc>
          <w:tcPr>
            <w:tcW w:w="3201" w:type="dxa"/>
            <w:tcBorders>
              <w:top w:val="nil"/>
              <w:left w:val="single" w:sz="8" w:space="0" w:color="000000"/>
              <w:bottom w:val="single" w:sz="8" w:space="0" w:color="000000"/>
              <w:right w:val="single" w:sz="8" w:space="0" w:color="000000"/>
            </w:tcBorders>
            <w:shd w:val="clear" w:color="auto" w:fill="auto"/>
            <w:noWrap/>
            <w:vAlign w:val="center"/>
            <w:hideMark/>
          </w:tcPr>
          <w:p w:rsidR="00D41F15" w:rsidRPr="00CB116D" w:rsidRDefault="00D41F15" w:rsidP="00D41F15">
            <w:pPr>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NSE</w:t>
            </w:r>
          </w:p>
        </w:tc>
        <w:tc>
          <w:tcPr>
            <w:tcW w:w="1892"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13,15,716</w:t>
            </w:r>
          </w:p>
        </w:tc>
        <w:tc>
          <w:tcPr>
            <w:tcW w:w="2070"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13,21,391</w:t>
            </w:r>
          </w:p>
        </w:tc>
        <w:tc>
          <w:tcPr>
            <w:tcW w:w="1726"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0.4</w:t>
            </w:r>
          </w:p>
        </w:tc>
      </w:tr>
      <w:tr w:rsidR="00D41F15" w:rsidRPr="00CB116D" w:rsidTr="00D41F15">
        <w:trPr>
          <w:trHeight w:val="338"/>
          <w:jc w:val="center"/>
        </w:trPr>
        <w:tc>
          <w:tcPr>
            <w:tcW w:w="7163" w:type="dxa"/>
            <w:gridSpan w:val="3"/>
            <w:tcBorders>
              <w:top w:val="single" w:sz="8" w:space="0" w:color="000000"/>
              <w:left w:val="single" w:sz="8" w:space="0" w:color="000000"/>
              <w:bottom w:val="single" w:sz="8" w:space="0" w:color="000000"/>
              <w:right w:val="nil"/>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Gross Turnover in Equity Derivatives Segment (</w:t>
            </w:r>
            <w:r w:rsidRPr="00CB116D">
              <w:rPr>
                <w:rFonts w:ascii="Tahoma" w:eastAsia="Times New Roman" w:hAnsi="Tahoma" w:cs="Tahoma"/>
                <w:b/>
                <w:bCs/>
                <w:color w:val="000000"/>
                <w:sz w:val="20"/>
                <w:szCs w:val="20"/>
                <w:lang w:val="en-IN" w:eastAsia="en-IN" w:bidi="hi-IN"/>
              </w:rPr>
              <w:t>₹</w:t>
            </w:r>
            <w:r w:rsidRPr="00CB116D">
              <w:rPr>
                <w:rFonts w:ascii="Palatino Linotype" w:eastAsia="Times New Roman" w:hAnsi="Palatino Linotype" w:cs="Calibri"/>
                <w:b/>
                <w:bCs/>
                <w:color w:val="000000"/>
                <w:sz w:val="20"/>
                <w:szCs w:val="20"/>
                <w:lang w:val="en-IN" w:eastAsia="en-IN" w:bidi="hi-IN"/>
              </w:rPr>
              <w:t xml:space="preserve"> crore)</w:t>
            </w:r>
          </w:p>
        </w:tc>
        <w:tc>
          <w:tcPr>
            <w:tcW w:w="1726" w:type="dxa"/>
            <w:tcBorders>
              <w:top w:val="nil"/>
              <w:left w:val="nil"/>
              <w:bottom w:val="single" w:sz="8" w:space="0" w:color="000000"/>
              <w:right w:val="nil"/>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 </w:t>
            </w:r>
          </w:p>
        </w:tc>
      </w:tr>
      <w:tr w:rsidR="00D41F15" w:rsidRPr="00CB116D" w:rsidTr="00D41F15">
        <w:trPr>
          <w:trHeight w:val="338"/>
          <w:jc w:val="center"/>
        </w:trPr>
        <w:tc>
          <w:tcPr>
            <w:tcW w:w="3201" w:type="dxa"/>
            <w:tcBorders>
              <w:top w:val="nil"/>
              <w:left w:val="single" w:sz="8" w:space="0" w:color="000000"/>
              <w:bottom w:val="single" w:sz="8" w:space="0" w:color="000000"/>
              <w:right w:val="single" w:sz="8" w:space="0" w:color="000000"/>
            </w:tcBorders>
            <w:shd w:val="clear" w:color="auto" w:fill="auto"/>
            <w:noWrap/>
            <w:vAlign w:val="center"/>
            <w:hideMark/>
          </w:tcPr>
          <w:p w:rsidR="00D41F15" w:rsidRPr="00CB116D" w:rsidRDefault="00D41F15" w:rsidP="00D41F15">
            <w:pPr>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 xml:space="preserve">BSE </w:t>
            </w:r>
          </w:p>
        </w:tc>
        <w:tc>
          <w:tcPr>
            <w:tcW w:w="1892"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63,59,836</w:t>
            </w:r>
          </w:p>
        </w:tc>
        <w:tc>
          <w:tcPr>
            <w:tcW w:w="2070"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63,70,922</w:t>
            </w:r>
          </w:p>
        </w:tc>
        <w:tc>
          <w:tcPr>
            <w:tcW w:w="1726"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0.2</w:t>
            </w:r>
          </w:p>
        </w:tc>
      </w:tr>
      <w:tr w:rsidR="00D41F15" w:rsidRPr="00CB116D" w:rsidTr="00D41F15">
        <w:trPr>
          <w:trHeight w:val="338"/>
          <w:jc w:val="center"/>
        </w:trPr>
        <w:tc>
          <w:tcPr>
            <w:tcW w:w="3201" w:type="dxa"/>
            <w:tcBorders>
              <w:top w:val="nil"/>
              <w:left w:val="single" w:sz="8" w:space="0" w:color="000000"/>
              <w:bottom w:val="single" w:sz="8" w:space="0" w:color="000000"/>
              <w:right w:val="single" w:sz="8" w:space="0" w:color="000000"/>
            </w:tcBorders>
            <w:shd w:val="clear" w:color="auto" w:fill="auto"/>
            <w:noWrap/>
            <w:vAlign w:val="center"/>
            <w:hideMark/>
          </w:tcPr>
          <w:p w:rsidR="00D41F15" w:rsidRPr="00CB116D" w:rsidRDefault="00D41F15" w:rsidP="00D41F15">
            <w:pPr>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NSE</w:t>
            </w:r>
          </w:p>
        </w:tc>
        <w:tc>
          <w:tcPr>
            <w:tcW w:w="1892"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11,31,23,233</w:t>
            </w:r>
          </w:p>
        </w:tc>
        <w:tc>
          <w:tcPr>
            <w:tcW w:w="2070"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12,05,34,948</w:t>
            </w:r>
          </w:p>
        </w:tc>
        <w:tc>
          <w:tcPr>
            <w:tcW w:w="1726"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6.6</w:t>
            </w:r>
          </w:p>
        </w:tc>
      </w:tr>
      <w:tr w:rsidR="00D41F15" w:rsidRPr="00CB116D" w:rsidTr="00D41F15">
        <w:trPr>
          <w:trHeight w:val="338"/>
          <w:jc w:val="center"/>
        </w:trPr>
        <w:tc>
          <w:tcPr>
            <w:tcW w:w="7163" w:type="dxa"/>
            <w:gridSpan w:val="3"/>
            <w:tcBorders>
              <w:top w:val="single" w:sz="8" w:space="0" w:color="000000"/>
              <w:left w:val="single" w:sz="8" w:space="0" w:color="000000"/>
              <w:bottom w:val="single" w:sz="8" w:space="0" w:color="000000"/>
              <w:right w:val="nil"/>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Gross Turnover in Currency Derivatives Segment (</w:t>
            </w:r>
            <w:r w:rsidRPr="00CB116D">
              <w:rPr>
                <w:rFonts w:ascii="Tahoma" w:eastAsia="Times New Roman" w:hAnsi="Tahoma" w:cs="Tahoma"/>
                <w:b/>
                <w:bCs/>
                <w:color w:val="000000"/>
                <w:sz w:val="20"/>
                <w:szCs w:val="20"/>
                <w:lang w:val="en-IN" w:eastAsia="en-IN" w:bidi="hi-IN"/>
              </w:rPr>
              <w:t>₹</w:t>
            </w:r>
            <w:r w:rsidRPr="00CB116D">
              <w:rPr>
                <w:rFonts w:ascii="Palatino Linotype" w:eastAsia="Times New Roman" w:hAnsi="Palatino Linotype" w:cs="Calibri"/>
                <w:b/>
                <w:bCs/>
                <w:color w:val="000000"/>
                <w:sz w:val="20"/>
                <w:szCs w:val="20"/>
                <w:lang w:val="en-IN" w:eastAsia="en-IN" w:bidi="hi-IN"/>
              </w:rPr>
              <w:t xml:space="preserve"> crore)</w:t>
            </w:r>
          </w:p>
        </w:tc>
        <w:tc>
          <w:tcPr>
            <w:tcW w:w="1726" w:type="dxa"/>
            <w:tcBorders>
              <w:top w:val="nil"/>
              <w:left w:val="nil"/>
              <w:bottom w:val="single" w:sz="8" w:space="0" w:color="000000"/>
              <w:right w:val="nil"/>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 </w:t>
            </w:r>
          </w:p>
        </w:tc>
      </w:tr>
      <w:tr w:rsidR="00D41F15" w:rsidRPr="00CB116D" w:rsidTr="00D41F15">
        <w:trPr>
          <w:trHeight w:val="338"/>
          <w:jc w:val="center"/>
        </w:trPr>
        <w:tc>
          <w:tcPr>
            <w:tcW w:w="3201" w:type="dxa"/>
            <w:tcBorders>
              <w:top w:val="nil"/>
              <w:left w:val="single" w:sz="8" w:space="0" w:color="000000"/>
              <w:bottom w:val="single" w:sz="8" w:space="0" w:color="000000"/>
              <w:right w:val="single" w:sz="8" w:space="0" w:color="000000"/>
            </w:tcBorders>
            <w:shd w:val="clear" w:color="auto" w:fill="auto"/>
            <w:noWrap/>
            <w:vAlign w:val="center"/>
            <w:hideMark/>
          </w:tcPr>
          <w:p w:rsidR="00D41F15" w:rsidRPr="00CB116D" w:rsidRDefault="00D41F15" w:rsidP="00D41F15">
            <w:pPr>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 xml:space="preserve">BSE </w:t>
            </w:r>
          </w:p>
        </w:tc>
        <w:tc>
          <w:tcPr>
            <w:tcW w:w="1892"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5,00,964</w:t>
            </w:r>
          </w:p>
        </w:tc>
        <w:tc>
          <w:tcPr>
            <w:tcW w:w="2070"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4,78,902</w:t>
            </w:r>
          </w:p>
        </w:tc>
        <w:tc>
          <w:tcPr>
            <w:tcW w:w="1726"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-4.4</w:t>
            </w:r>
          </w:p>
        </w:tc>
      </w:tr>
      <w:tr w:rsidR="00D41F15" w:rsidRPr="00CB116D" w:rsidTr="00D41F15">
        <w:trPr>
          <w:trHeight w:val="338"/>
          <w:jc w:val="center"/>
        </w:trPr>
        <w:tc>
          <w:tcPr>
            <w:tcW w:w="3201" w:type="dxa"/>
            <w:tcBorders>
              <w:top w:val="nil"/>
              <w:left w:val="single" w:sz="8" w:space="0" w:color="000000"/>
              <w:bottom w:val="single" w:sz="8" w:space="0" w:color="000000"/>
              <w:right w:val="single" w:sz="8" w:space="0" w:color="000000"/>
            </w:tcBorders>
            <w:shd w:val="clear" w:color="auto" w:fill="auto"/>
            <w:noWrap/>
            <w:vAlign w:val="center"/>
            <w:hideMark/>
          </w:tcPr>
          <w:p w:rsidR="00D41F15" w:rsidRPr="00CB116D" w:rsidRDefault="00D41F15" w:rsidP="00D41F15">
            <w:pPr>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NSE</w:t>
            </w:r>
          </w:p>
        </w:tc>
        <w:tc>
          <w:tcPr>
            <w:tcW w:w="1892"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13,86,769</w:t>
            </w:r>
          </w:p>
        </w:tc>
        <w:tc>
          <w:tcPr>
            <w:tcW w:w="2070"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10,76,862</w:t>
            </w:r>
          </w:p>
        </w:tc>
        <w:tc>
          <w:tcPr>
            <w:tcW w:w="1726"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-22.3</w:t>
            </w:r>
          </w:p>
        </w:tc>
      </w:tr>
      <w:tr w:rsidR="00D41F15" w:rsidRPr="00CB116D" w:rsidTr="00D41F15">
        <w:trPr>
          <w:trHeight w:val="338"/>
          <w:jc w:val="center"/>
        </w:trPr>
        <w:tc>
          <w:tcPr>
            <w:tcW w:w="3201" w:type="dxa"/>
            <w:tcBorders>
              <w:top w:val="nil"/>
              <w:left w:val="single" w:sz="8" w:space="0" w:color="000000"/>
              <w:bottom w:val="single" w:sz="8" w:space="0" w:color="000000"/>
              <w:right w:val="single" w:sz="8" w:space="0" w:color="000000"/>
            </w:tcBorders>
            <w:shd w:val="clear" w:color="auto" w:fill="auto"/>
            <w:noWrap/>
            <w:vAlign w:val="center"/>
            <w:hideMark/>
          </w:tcPr>
          <w:p w:rsidR="00D41F15" w:rsidRPr="00CB116D" w:rsidRDefault="00D41F15" w:rsidP="00D41F15">
            <w:pPr>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MSEI</w:t>
            </w:r>
          </w:p>
        </w:tc>
        <w:tc>
          <w:tcPr>
            <w:tcW w:w="1892"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6,391</w:t>
            </w:r>
          </w:p>
        </w:tc>
        <w:tc>
          <w:tcPr>
            <w:tcW w:w="2070"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5,395</w:t>
            </w:r>
          </w:p>
        </w:tc>
        <w:tc>
          <w:tcPr>
            <w:tcW w:w="1726"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-15.6</w:t>
            </w:r>
          </w:p>
        </w:tc>
      </w:tr>
      <w:tr w:rsidR="00D41F15" w:rsidRPr="00CB116D" w:rsidTr="00D41F15">
        <w:trPr>
          <w:trHeight w:val="338"/>
          <w:jc w:val="center"/>
        </w:trPr>
        <w:tc>
          <w:tcPr>
            <w:tcW w:w="7163" w:type="dxa"/>
            <w:gridSpan w:val="3"/>
            <w:tcBorders>
              <w:top w:val="single" w:sz="8" w:space="0" w:color="000000"/>
              <w:left w:val="single" w:sz="8" w:space="0" w:color="000000"/>
              <w:bottom w:val="single" w:sz="8" w:space="0" w:color="000000"/>
              <w:right w:val="nil"/>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Gross Turnover in Interest Rate Derivatives Segment (</w:t>
            </w:r>
            <w:r w:rsidRPr="00CB116D">
              <w:rPr>
                <w:rFonts w:ascii="Tahoma" w:eastAsia="Times New Roman" w:hAnsi="Tahoma" w:cs="Tahoma"/>
                <w:b/>
                <w:bCs/>
                <w:color w:val="000000"/>
                <w:sz w:val="20"/>
                <w:szCs w:val="20"/>
                <w:lang w:val="en-IN" w:eastAsia="en-IN" w:bidi="hi-IN"/>
              </w:rPr>
              <w:t>₹</w:t>
            </w:r>
            <w:r w:rsidRPr="00CB116D">
              <w:rPr>
                <w:rFonts w:ascii="Palatino Linotype" w:eastAsia="Times New Roman" w:hAnsi="Palatino Linotype" w:cs="Calibri"/>
                <w:b/>
                <w:bCs/>
                <w:color w:val="000000"/>
                <w:sz w:val="20"/>
                <w:szCs w:val="20"/>
                <w:lang w:val="en-IN" w:eastAsia="en-IN" w:bidi="hi-IN"/>
              </w:rPr>
              <w:t xml:space="preserve"> crore)</w:t>
            </w:r>
          </w:p>
        </w:tc>
        <w:tc>
          <w:tcPr>
            <w:tcW w:w="1726" w:type="dxa"/>
            <w:tcBorders>
              <w:top w:val="nil"/>
              <w:left w:val="nil"/>
              <w:bottom w:val="single" w:sz="8" w:space="0" w:color="000000"/>
              <w:right w:val="nil"/>
            </w:tcBorders>
            <w:shd w:val="clear" w:color="000000" w:fill="C6E0B4"/>
            <w:noWrap/>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 </w:t>
            </w:r>
          </w:p>
        </w:tc>
      </w:tr>
      <w:tr w:rsidR="00D41F15" w:rsidRPr="00CB116D" w:rsidTr="00D41F15">
        <w:trPr>
          <w:trHeight w:val="338"/>
          <w:jc w:val="center"/>
        </w:trPr>
        <w:tc>
          <w:tcPr>
            <w:tcW w:w="3201" w:type="dxa"/>
            <w:tcBorders>
              <w:top w:val="nil"/>
              <w:left w:val="single" w:sz="8" w:space="0" w:color="000000"/>
              <w:bottom w:val="single" w:sz="8" w:space="0" w:color="000000"/>
              <w:right w:val="single" w:sz="8" w:space="0" w:color="000000"/>
            </w:tcBorders>
            <w:shd w:val="clear" w:color="auto" w:fill="auto"/>
            <w:noWrap/>
            <w:vAlign w:val="center"/>
            <w:hideMark/>
          </w:tcPr>
          <w:p w:rsidR="00D41F15" w:rsidRPr="00CB116D" w:rsidRDefault="00D41F15" w:rsidP="00D41F15">
            <w:pPr>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 xml:space="preserve">BSE </w:t>
            </w:r>
          </w:p>
        </w:tc>
        <w:tc>
          <w:tcPr>
            <w:tcW w:w="1892"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2,289</w:t>
            </w:r>
          </w:p>
        </w:tc>
        <w:tc>
          <w:tcPr>
            <w:tcW w:w="2070"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3,833</w:t>
            </w:r>
          </w:p>
        </w:tc>
        <w:tc>
          <w:tcPr>
            <w:tcW w:w="1726"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67.4</w:t>
            </w:r>
          </w:p>
        </w:tc>
      </w:tr>
      <w:tr w:rsidR="00D41F15" w:rsidRPr="00CB116D" w:rsidTr="00D41F15">
        <w:trPr>
          <w:trHeight w:val="338"/>
          <w:jc w:val="center"/>
        </w:trPr>
        <w:tc>
          <w:tcPr>
            <w:tcW w:w="3201" w:type="dxa"/>
            <w:tcBorders>
              <w:top w:val="nil"/>
              <w:left w:val="single" w:sz="8" w:space="0" w:color="000000"/>
              <w:bottom w:val="single" w:sz="8" w:space="0" w:color="000000"/>
              <w:right w:val="single" w:sz="8" w:space="0" w:color="000000"/>
            </w:tcBorders>
            <w:shd w:val="clear" w:color="auto" w:fill="auto"/>
            <w:noWrap/>
            <w:vAlign w:val="center"/>
            <w:hideMark/>
          </w:tcPr>
          <w:p w:rsidR="00D41F15" w:rsidRPr="00CB116D" w:rsidRDefault="00D41F15" w:rsidP="00D41F15">
            <w:pPr>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NSE</w:t>
            </w:r>
          </w:p>
        </w:tc>
        <w:tc>
          <w:tcPr>
            <w:tcW w:w="1892"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2,141</w:t>
            </w:r>
          </w:p>
        </w:tc>
        <w:tc>
          <w:tcPr>
            <w:tcW w:w="2070"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1,569</w:t>
            </w:r>
          </w:p>
        </w:tc>
        <w:tc>
          <w:tcPr>
            <w:tcW w:w="1726" w:type="dxa"/>
            <w:tcBorders>
              <w:top w:val="nil"/>
              <w:left w:val="nil"/>
              <w:bottom w:val="single" w:sz="8" w:space="0" w:color="000000"/>
              <w:right w:val="single" w:sz="8" w:space="0" w:color="000000"/>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-26.7</w:t>
            </w:r>
          </w:p>
        </w:tc>
      </w:tr>
    </w:tbl>
    <w:p w:rsidR="00D41F15" w:rsidRPr="00CB116D" w:rsidRDefault="00D41F15" w:rsidP="00D41F15">
      <w:pPr>
        <w:pBdr>
          <w:top w:val="nil"/>
          <w:left w:val="nil"/>
          <w:bottom w:val="nil"/>
          <w:right w:val="nil"/>
          <w:between w:val="nil"/>
        </w:pBdr>
        <w:spacing w:line="276" w:lineRule="auto"/>
        <w:ind w:left="1440" w:hanging="720"/>
        <w:rPr>
          <w:rFonts w:ascii="Palatino Linotype" w:eastAsia="Palatino Linotype" w:hAnsi="Palatino Linotype" w:cs="Palatino Linotype"/>
          <w:b/>
          <w:sz w:val="18"/>
          <w:szCs w:val="18"/>
        </w:rPr>
      </w:pPr>
      <w:r w:rsidRPr="00CB116D">
        <w:rPr>
          <w:rFonts w:ascii="Palatino Linotype" w:eastAsia="Palatino Linotype" w:hAnsi="Palatino Linotype" w:cs="Palatino Linotype"/>
          <w:b/>
          <w:sz w:val="22"/>
          <w:szCs w:val="22"/>
        </w:rPr>
        <w:fldChar w:fldCharType="end"/>
      </w:r>
      <w:r w:rsidRPr="00CB116D">
        <w:rPr>
          <w:rFonts w:ascii="Palatino Linotype" w:eastAsia="Palatino Linotype" w:hAnsi="Palatino Linotype" w:cs="Palatino Linotype"/>
          <w:b/>
          <w:sz w:val="18"/>
          <w:szCs w:val="18"/>
        </w:rPr>
        <w:t>Note: #NSE changed the PE methodology by taking into account consolidated earning w.e.f. March 31, 2021</w:t>
      </w:r>
    </w:p>
    <w:p w:rsidR="00CB116D" w:rsidRDefault="00D41F15" w:rsidP="00CB116D">
      <w:pPr>
        <w:spacing w:line="276" w:lineRule="auto"/>
        <w:ind w:left="720"/>
        <w:rPr>
          <w:rFonts w:ascii="Palatino Linotype" w:eastAsia="Palatino Linotype" w:hAnsi="Palatino Linotype" w:cs="Palatino Linotype"/>
          <w:b/>
          <w:sz w:val="18"/>
          <w:szCs w:val="18"/>
        </w:rPr>
      </w:pPr>
      <w:r w:rsidRPr="00CB116D">
        <w:rPr>
          <w:rFonts w:ascii="Palatino Linotype" w:eastAsia="Palatino Linotype" w:hAnsi="Palatino Linotype" w:cs="Palatino Linotype"/>
          <w:b/>
          <w:sz w:val="18"/>
          <w:szCs w:val="18"/>
        </w:rPr>
        <w:t>Source: BSE, NSE and MSEI</w:t>
      </w:r>
    </w:p>
    <w:p w:rsidR="00CB116D" w:rsidRDefault="00CB116D" w:rsidP="00CB116D">
      <w:pPr>
        <w:spacing w:line="276" w:lineRule="auto"/>
        <w:rPr>
          <w:rFonts w:ascii="Palatino Linotype" w:eastAsia="Palatino Linotype" w:hAnsi="Palatino Linotype" w:cs="Palatino Linotype"/>
          <w:b/>
          <w:sz w:val="22"/>
          <w:szCs w:val="22"/>
        </w:rPr>
      </w:pPr>
    </w:p>
    <w:p w:rsidR="00D41F15" w:rsidRPr="00CB116D" w:rsidRDefault="00D41F15" w:rsidP="00CB116D">
      <w:pPr>
        <w:spacing w:line="276" w:lineRule="auto"/>
        <w:rPr>
          <w:rFonts w:ascii="Palatino Linotype" w:eastAsia="Palatino Linotype" w:hAnsi="Palatino Linotype" w:cs="Palatino Linotype"/>
          <w:b/>
          <w:sz w:val="18"/>
          <w:szCs w:val="18"/>
        </w:rPr>
      </w:pPr>
      <w:r w:rsidRPr="00CB116D">
        <w:rPr>
          <w:rFonts w:ascii="Palatino Linotype" w:eastAsia="Palatino Linotype" w:hAnsi="Palatino Linotype" w:cs="Palatino Linotype"/>
          <w:b/>
          <w:sz w:val="22"/>
          <w:szCs w:val="22"/>
        </w:rPr>
        <w:t>Figure 1: Movement of S&amp;P BSE Sensex and Nifty 50</w:t>
      </w:r>
    </w:p>
    <w:p w:rsidR="00D41F15" w:rsidRPr="00CB116D" w:rsidRDefault="00D41F15" w:rsidP="00D41F15">
      <w:pPr>
        <w:spacing w:line="276" w:lineRule="auto"/>
        <w:rPr>
          <w:rFonts w:ascii="Palatino Linotype" w:eastAsia="Palatino Linotype" w:hAnsi="Palatino Linotype" w:cs="Palatino Linotype"/>
          <w:bCs/>
          <w:sz w:val="22"/>
          <w:szCs w:val="22"/>
        </w:rPr>
      </w:pPr>
      <w:r w:rsidRPr="00CB116D">
        <w:rPr>
          <w:noProof/>
          <w:lang w:val="en-IN" w:eastAsia="en-IN" w:bidi="hi-IN"/>
        </w:rPr>
        <w:drawing>
          <wp:inline distT="0" distB="0" distL="0" distR="0" wp14:anchorId="0DDF3A82" wp14:editId="0B26511C">
            <wp:extent cx="6210300" cy="2466975"/>
            <wp:effectExtent l="0" t="0" r="0" b="952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D41F15" w:rsidRPr="00CB116D" w:rsidRDefault="00D41F15" w:rsidP="00D41F15">
      <w:pPr>
        <w:spacing w:line="276" w:lineRule="auto"/>
        <w:rPr>
          <w:rFonts w:ascii="Palatino Linotype" w:eastAsia="Palatino Linotype" w:hAnsi="Palatino Linotype" w:cs="Palatino Linotype"/>
          <w:b/>
          <w:i/>
          <w:iCs/>
          <w:sz w:val="18"/>
          <w:szCs w:val="18"/>
        </w:rPr>
      </w:pPr>
      <w:r w:rsidRPr="00CB116D">
        <w:rPr>
          <w:rFonts w:ascii="Palatino Linotype" w:eastAsia="Palatino Linotype" w:hAnsi="Palatino Linotype" w:cs="Palatino Linotype"/>
          <w:b/>
          <w:i/>
          <w:iCs/>
          <w:sz w:val="18"/>
          <w:szCs w:val="18"/>
        </w:rPr>
        <w:t xml:space="preserve">Note: The closing values of Nifty 50 and Sensex have been rebased with respective closing values of last day of the previous month. </w:t>
      </w:r>
    </w:p>
    <w:p w:rsidR="00D41F15" w:rsidRPr="00CB116D" w:rsidRDefault="00D41F15" w:rsidP="00D41F15">
      <w:pPr>
        <w:spacing w:line="276" w:lineRule="auto"/>
        <w:rPr>
          <w:rFonts w:ascii="Palatino Linotype" w:eastAsia="Palatino Linotype" w:hAnsi="Palatino Linotype" w:cs="Palatino Linotype"/>
          <w:b/>
          <w:sz w:val="18"/>
          <w:szCs w:val="18"/>
        </w:rPr>
      </w:pPr>
      <w:r w:rsidRPr="00CB116D">
        <w:rPr>
          <w:rFonts w:ascii="Palatino Linotype" w:eastAsia="Palatino Linotype" w:hAnsi="Palatino Linotype" w:cs="Palatino Linotype"/>
          <w:b/>
          <w:sz w:val="18"/>
          <w:szCs w:val="18"/>
        </w:rPr>
        <w:t xml:space="preserve"> Source: BSE and NSE</w:t>
      </w:r>
    </w:p>
    <w:p w:rsidR="00D41F15" w:rsidRPr="00CB116D" w:rsidRDefault="00D41F15" w:rsidP="00D41F15">
      <w:pPr>
        <w:spacing w:line="276" w:lineRule="auto"/>
        <w:rPr>
          <w:rFonts w:ascii="Palatino Linotype" w:eastAsia="Palatino Linotype" w:hAnsi="Palatino Linotype" w:cs="Palatino Linotype"/>
          <w:b/>
          <w:sz w:val="22"/>
          <w:szCs w:val="22"/>
        </w:rPr>
      </w:pPr>
    </w:p>
    <w:p w:rsidR="00D41F15" w:rsidRPr="00CB116D" w:rsidRDefault="00D41F15" w:rsidP="00D41F15">
      <w:pPr>
        <w:pBdr>
          <w:top w:val="nil"/>
          <w:left w:val="nil"/>
          <w:bottom w:val="nil"/>
          <w:right w:val="nil"/>
          <w:between w:val="nil"/>
        </w:pBdr>
        <w:spacing w:line="276" w:lineRule="auto"/>
        <w:jc w:val="both"/>
        <w:rPr>
          <w:rFonts w:ascii="Palatino Linotype" w:eastAsia="Palatino Linotype" w:hAnsi="Palatino Linotype" w:cs="Palatino Linotype"/>
          <w:color w:val="2E74B5"/>
          <w:sz w:val="22"/>
          <w:szCs w:val="22"/>
        </w:rPr>
      </w:pPr>
    </w:p>
    <w:p w:rsidR="00D41F15" w:rsidRPr="00CB116D" w:rsidRDefault="00D41F15" w:rsidP="00D41F1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CB116D">
        <w:rPr>
          <w:rFonts w:ascii="Palatino Linotype" w:eastAsia="Palatino Linotype" w:hAnsi="Palatino Linotype" w:cs="Palatino Linotype"/>
          <w:b/>
          <w:sz w:val="22"/>
          <w:szCs w:val="22"/>
        </w:rPr>
        <w:t xml:space="preserve">Figure 2: Trends in Average Daily Turnover of NSE Equity and BSE Equity Cash Segment </w:t>
      </w:r>
    </w:p>
    <w:p w:rsidR="00D41F15" w:rsidRPr="00CB116D" w:rsidRDefault="00D41F15" w:rsidP="00D41F15">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CB116D">
        <w:rPr>
          <w:noProof/>
          <w:lang w:val="en-IN" w:eastAsia="en-IN" w:bidi="hi-IN"/>
        </w:rPr>
        <w:drawing>
          <wp:inline distT="0" distB="0" distL="0" distR="0" wp14:anchorId="33D755AB" wp14:editId="66FE532A">
            <wp:extent cx="6010275" cy="2981325"/>
            <wp:effectExtent l="0" t="0" r="9525" b="9525"/>
            <wp:docPr id="23" name="Chart 23">
              <a:extLst xmlns:a="http://schemas.openxmlformats.org/drawingml/2006/main">
                <a:ext uri="{FF2B5EF4-FFF2-40B4-BE49-F238E27FC236}">
                  <a16:creationId xmlns:a16="http://schemas.microsoft.com/office/drawing/2014/main" id="{00000000-0008-0000-04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D41F15" w:rsidRPr="00CB116D" w:rsidRDefault="00D41F15" w:rsidP="00D41F15">
      <w:pPr>
        <w:spacing w:line="276" w:lineRule="auto"/>
        <w:rPr>
          <w:rFonts w:ascii="Palatino Linotype" w:eastAsia="Palatino Linotype" w:hAnsi="Palatino Linotype" w:cs="Palatino Linotype"/>
          <w:b/>
          <w:sz w:val="18"/>
          <w:szCs w:val="18"/>
        </w:rPr>
      </w:pPr>
      <w:r w:rsidRPr="00CB116D">
        <w:rPr>
          <w:rFonts w:ascii="Palatino Linotype" w:eastAsia="Palatino Linotype" w:hAnsi="Palatino Linotype" w:cs="Palatino Linotype"/>
          <w:b/>
          <w:sz w:val="18"/>
          <w:szCs w:val="18"/>
        </w:rPr>
        <w:t xml:space="preserve">    Note: ADV implies Average Daily Values and ADT implies Average Daily Turnover</w:t>
      </w:r>
    </w:p>
    <w:p w:rsidR="00D41F15" w:rsidRDefault="00D41F15" w:rsidP="00046A06">
      <w:pPr>
        <w:spacing w:line="276" w:lineRule="auto"/>
        <w:rPr>
          <w:rFonts w:ascii="Palatino Linotype" w:eastAsia="Palatino Linotype" w:hAnsi="Palatino Linotype" w:cs="Palatino Linotype"/>
          <w:b/>
          <w:sz w:val="18"/>
          <w:szCs w:val="18"/>
        </w:rPr>
      </w:pPr>
      <w:r w:rsidRPr="00CB116D">
        <w:rPr>
          <w:rFonts w:ascii="Palatino Linotype" w:eastAsia="Palatino Linotype" w:hAnsi="Palatino Linotype" w:cs="Palatino Linotype"/>
          <w:b/>
          <w:sz w:val="18"/>
          <w:szCs w:val="18"/>
        </w:rPr>
        <w:t xml:space="preserve">     Source: BSE and </w:t>
      </w:r>
      <w:r w:rsidR="00046A06">
        <w:rPr>
          <w:rFonts w:ascii="Palatino Linotype" w:eastAsia="Palatino Linotype" w:hAnsi="Palatino Linotype" w:cs="Palatino Linotype"/>
          <w:b/>
          <w:sz w:val="18"/>
          <w:szCs w:val="18"/>
        </w:rPr>
        <w:t xml:space="preserve">NSE  </w:t>
      </w:r>
    </w:p>
    <w:p w:rsidR="00046A06" w:rsidRPr="00046A06" w:rsidRDefault="00046A06" w:rsidP="00046A06">
      <w:pPr>
        <w:spacing w:line="276" w:lineRule="auto"/>
        <w:rPr>
          <w:rFonts w:ascii="Palatino Linotype" w:eastAsia="Palatino Linotype" w:hAnsi="Palatino Linotype" w:cs="Palatino Linotype"/>
          <w:b/>
          <w:sz w:val="18"/>
          <w:szCs w:val="18"/>
        </w:rPr>
      </w:pPr>
    </w:p>
    <w:p w:rsidR="00D41F15" w:rsidRPr="00CB116D" w:rsidRDefault="00CB116D" w:rsidP="00046A06">
      <w:pPr>
        <w:numPr>
          <w:ilvl w:val="0"/>
          <w:numId w:val="1"/>
        </w:numPr>
        <w:pBdr>
          <w:top w:val="nil"/>
          <w:left w:val="nil"/>
          <w:bottom w:val="nil"/>
          <w:right w:val="nil"/>
          <w:between w:val="nil"/>
        </w:pBdr>
        <w:ind w:left="714" w:hanging="357"/>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 xml:space="preserve">While </w:t>
      </w:r>
      <w:r w:rsidR="00D41F15" w:rsidRPr="00CB116D">
        <w:rPr>
          <w:rFonts w:ascii="Palatino Linotype" w:eastAsia="Palatino Linotype" w:hAnsi="Palatino Linotype" w:cs="Palatino Linotype"/>
          <w:sz w:val="22"/>
          <w:szCs w:val="22"/>
        </w:rPr>
        <w:t>the gross turnover i</w:t>
      </w:r>
      <w:r>
        <w:rPr>
          <w:rFonts w:ascii="Palatino Linotype" w:eastAsia="Palatino Linotype" w:hAnsi="Palatino Linotype" w:cs="Palatino Linotype"/>
          <w:sz w:val="22"/>
          <w:szCs w:val="22"/>
        </w:rPr>
        <w:t>n the equity cash segment</w:t>
      </w:r>
      <w:r w:rsidR="00D41F15" w:rsidRPr="00CB116D">
        <w:rPr>
          <w:rFonts w:ascii="Palatino Linotype" w:eastAsia="Palatino Linotype" w:hAnsi="Palatino Linotype" w:cs="Palatino Linotype"/>
          <w:sz w:val="22"/>
          <w:szCs w:val="22"/>
        </w:rPr>
        <w:t xml:space="preserve"> decreased at BSE by 5.9 per cent </w:t>
      </w:r>
      <w:r>
        <w:rPr>
          <w:rFonts w:ascii="Palatino Linotype" w:eastAsia="Palatino Linotype" w:hAnsi="Palatino Linotype" w:cs="Palatino Linotype"/>
          <w:sz w:val="22"/>
          <w:szCs w:val="22"/>
        </w:rPr>
        <w:t xml:space="preserve">, </w:t>
      </w:r>
      <w:r w:rsidR="00D41F15" w:rsidRPr="00CB116D">
        <w:rPr>
          <w:rFonts w:ascii="Palatino Linotype" w:eastAsia="Palatino Linotype" w:hAnsi="Palatino Linotype" w:cs="Palatino Linotype"/>
          <w:sz w:val="22"/>
          <w:szCs w:val="22"/>
        </w:rPr>
        <w:t xml:space="preserve"> it marginally increased by 0.4 percent at NSE, </w:t>
      </w:r>
      <w:r>
        <w:rPr>
          <w:rFonts w:ascii="Palatino Linotype" w:eastAsia="Palatino Linotype" w:hAnsi="Palatino Linotype" w:cs="Palatino Linotype"/>
          <w:sz w:val="22"/>
          <w:szCs w:val="22"/>
        </w:rPr>
        <w:t>in August 2021</w:t>
      </w:r>
      <w:r w:rsidR="00D41F15" w:rsidRPr="00CB116D">
        <w:rPr>
          <w:rFonts w:ascii="Palatino Linotype" w:eastAsia="Palatino Linotype" w:hAnsi="Palatino Linotype" w:cs="Palatino Linotype"/>
          <w:sz w:val="22"/>
          <w:szCs w:val="22"/>
        </w:rPr>
        <w:t xml:space="preserve">over previous month. </w:t>
      </w:r>
    </w:p>
    <w:p w:rsidR="00D41F15" w:rsidRPr="00CB116D" w:rsidRDefault="00D41F15" w:rsidP="00046A06">
      <w:pPr>
        <w:pBdr>
          <w:top w:val="nil"/>
          <w:left w:val="nil"/>
          <w:bottom w:val="nil"/>
          <w:right w:val="nil"/>
          <w:between w:val="nil"/>
        </w:pBdr>
        <w:ind w:left="714"/>
        <w:jc w:val="both"/>
        <w:rPr>
          <w:rFonts w:ascii="Palatino Linotype" w:eastAsia="Palatino Linotype" w:hAnsi="Palatino Linotype" w:cs="Palatino Linotype"/>
          <w:sz w:val="22"/>
          <w:szCs w:val="22"/>
        </w:rPr>
      </w:pPr>
    </w:p>
    <w:p w:rsidR="00D41F15" w:rsidRPr="00CB116D" w:rsidRDefault="00CB116D" w:rsidP="00046A06">
      <w:pPr>
        <w:numPr>
          <w:ilvl w:val="0"/>
          <w:numId w:val="1"/>
        </w:numPr>
        <w:pBdr>
          <w:top w:val="nil"/>
          <w:left w:val="nil"/>
          <w:bottom w:val="nil"/>
          <w:right w:val="nil"/>
          <w:between w:val="nil"/>
        </w:pBdr>
        <w:ind w:left="714" w:hanging="357"/>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S</w:t>
      </w:r>
      <w:r w:rsidR="00D41F15" w:rsidRPr="00CB116D">
        <w:rPr>
          <w:rFonts w:ascii="Palatino Linotype" w:eastAsia="Palatino Linotype" w:hAnsi="Palatino Linotype" w:cs="Palatino Linotype"/>
          <w:sz w:val="22"/>
          <w:szCs w:val="22"/>
        </w:rPr>
        <w:t>elected BSE sectoral indices, referred to in Figure 4, was largely positive with 7 out of 10 giving positive returns.  Amongst these, S&amp;P BSE Power increased by 11.6 per cent, followed by BSE Teck (10.9 per cent) and S&amp;P BSE Oil and Gas (10.6 per cent). S&amp;P BSE Realty declined by 3.1 per cent followed by S&amp;P Metal (2.1 per cent) and S&amp;P BSE PSU (0.1 per cent). The average daily volatility and monthly returns for these select BSE indices for August 2021 are illustrated in Figure 4.</w:t>
      </w:r>
    </w:p>
    <w:p w:rsidR="00D41F15" w:rsidRPr="00CB116D" w:rsidRDefault="00D41F15" w:rsidP="00D41F15">
      <w:pPr>
        <w:spacing w:line="276" w:lineRule="auto"/>
        <w:jc w:val="center"/>
        <w:rPr>
          <w:rFonts w:ascii="Palatino Linotype" w:eastAsia="Palatino Linotype" w:hAnsi="Palatino Linotype" w:cs="Palatino Linotype"/>
          <w:b/>
          <w:sz w:val="22"/>
          <w:szCs w:val="22"/>
        </w:rPr>
      </w:pPr>
      <w:r w:rsidRPr="00CB116D">
        <w:rPr>
          <w:rFonts w:ascii="Palatino Linotype" w:eastAsia="Palatino Linotype" w:hAnsi="Palatino Linotype" w:cs="Palatino Linotype"/>
          <w:b/>
          <w:sz w:val="22"/>
          <w:szCs w:val="22"/>
        </w:rPr>
        <w:t>Figure 4: Trends of BSE Sectoral Indices during August 2021 (per cent)</w:t>
      </w:r>
    </w:p>
    <w:p w:rsidR="00D41F15" w:rsidRPr="00CB116D" w:rsidRDefault="00D41F15" w:rsidP="00D41F15">
      <w:pPr>
        <w:spacing w:line="276" w:lineRule="auto"/>
        <w:jc w:val="center"/>
        <w:rPr>
          <w:rFonts w:ascii="Palatino Linotype" w:eastAsia="Palatino Linotype" w:hAnsi="Palatino Linotype" w:cs="Palatino Linotype"/>
          <w:b/>
          <w:color w:val="2E74B5"/>
          <w:sz w:val="22"/>
          <w:szCs w:val="22"/>
        </w:rPr>
      </w:pPr>
      <w:r w:rsidRPr="00CB116D">
        <w:rPr>
          <w:noProof/>
          <w:lang w:val="en-IN" w:eastAsia="en-IN" w:bidi="hi-IN"/>
        </w:rPr>
        <w:drawing>
          <wp:inline distT="0" distB="0" distL="0" distR="0" wp14:anchorId="45C96E7D" wp14:editId="6D2D1BA8">
            <wp:extent cx="5410200" cy="2295525"/>
            <wp:effectExtent l="0" t="0" r="0" b="9525"/>
            <wp:docPr id="21" name="Chart 21">
              <a:extLst xmlns:a="http://schemas.openxmlformats.org/drawingml/2006/main">
                <a:ext uri="{FF2B5EF4-FFF2-40B4-BE49-F238E27FC236}">
                  <a16:creationId xmlns:a16="http://schemas.microsoft.com/office/drawing/2014/main" id="{00000000-0008-0000-05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D41F15" w:rsidRPr="00CB116D" w:rsidRDefault="00D41F15" w:rsidP="00D41F15">
      <w:pPr>
        <w:spacing w:line="276" w:lineRule="auto"/>
        <w:rPr>
          <w:rFonts w:ascii="Palatino Linotype" w:eastAsia="Palatino Linotype" w:hAnsi="Palatino Linotype" w:cs="Palatino Linotype"/>
          <w:b/>
          <w:sz w:val="18"/>
          <w:szCs w:val="18"/>
        </w:rPr>
      </w:pPr>
      <w:r w:rsidRPr="00CB116D">
        <w:rPr>
          <w:rFonts w:ascii="Palatino Linotype" w:eastAsia="Palatino Linotype" w:hAnsi="Palatino Linotype" w:cs="Palatino Linotype"/>
          <w:b/>
          <w:sz w:val="18"/>
          <w:szCs w:val="18"/>
        </w:rPr>
        <w:t xml:space="preserve">       </w:t>
      </w:r>
      <w:r w:rsidRPr="00CB116D">
        <w:rPr>
          <w:rFonts w:ascii="Palatino Linotype" w:eastAsia="Palatino Linotype" w:hAnsi="Palatino Linotype" w:cs="Palatino Linotype"/>
          <w:b/>
          <w:sz w:val="18"/>
          <w:szCs w:val="18"/>
        </w:rPr>
        <w:tab/>
      </w:r>
      <w:r w:rsidRPr="00CB116D">
        <w:rPr>
          <w:rFonts w:ascii="Palatino Linotype" w:eastAsia="Palatino Linotype" w:hAnsi="Palatino Linotype" w:cs="Palatino Linotype"/>
          <w:b/>
          <w:sz w:val="18"/>
          <w:szCs w:val="18"/>
        </w:rPr>
        <w:tab/>
        <w:t>Source: BSE</w:t>
      </w:r>
    </w:p>
    <w:p w:rsidR="00D41F15" w:rsidRPr="00CB116D" w:rsidRDefault="00D41F15" w:rsidP="00D41F15">
      <w:pPr>
        <w:pBdr>
          <w:top w:val="nil"/>
          <w:left w:val="nil"/>
          <w:bottom w:val="nil"/>
          <w:right w:val="nil"/>
          <w:between w:val="nil"/>
        </w:pBdr>
        <w:spacing w:line="276" w:lineRule="auto"/>
        <w:ind w:left="709" w:hanging="720"/>
        <w:rPr>
          <w:rFonts w:ascii="Palatino Linotype" w:eastAsia="Palatino Linotype" w:hAnsi="Palatino Linotype" w:cs="Palatino Linotype"/>
          <w:b/>
          <w:color w:val="2E74B5"/>
          <w:sz w:val="22"/>
          <w:szCs w:val="22"/>
        </w:rPr>
      </w:pPr>
    </w:p>
    <w:p w:rsidR="00D41F15" w:rsidRPr="00CB116D" w:rsidRDefault="00D41F15" w:rsidP="00046A06">
      <w:pPr>
        <w:numPr>
          <w:ilvl w:val="0"/>
          <w:numId w:val="1"/>
        </w:numPr>
        <w:pBdr>
          <w:top w:val="nil"/>
          <w:left w:val="nil"/>
          <w:bottom w:val="nil"/>
          <w:right w:val="nil"/>
          <w:between w:val="nil"/>
        </w:pBdr>
        <w:ind w:left="714" w:hanging="357"/>
        <w:jc w:val="both"/>
        <w:rPr>
          <w:rFonts w:ascii="Palatino Linotype" w:eastAsia="Palatino Linotype" w:hAnsi="Palatino Linotype" w:cs="Palatino Linotype"/>
          <w:sz w:val="22"/>
          <w:szCs w:val="22"/>
        </w:rPr>
      </w:pPr>
      <w:r w:rsidRPr="00CB116D">
        <w:rPr>
          <w:rFonts w:ascii="Palatino Linotype" w:eastAsia="Palatino Linotype" w:hAnsi="Palatino Linotype" w:cs="Palatino Linotype"/>
          <w:sz w:val="22"/>
          <w:szCs w:val="22"/>
        </w:rPr>
        <w:t>Similarly, during August 2021, among the select sectoral indices of the NSE, Nifty IT increased by 13.4 per cent, followed by Nifty Service Sector (10.3 per cent) and Nifty FMCG (9.6 per cent). Nifty PSU declined by 4.4 per cent, followed by Nifty Realty (3.0 per cent) and Nifty Pharma (0.6 per cent). The average daily volatility and monthly returns of these select NSE indices for July 2021 are illustrated in Figure 5.</w:t>
      </w:r>
    </w:p>
    <w:p w:rsidR="00D41F15" w:rsidRPr="00CB116D" w:rsidRDefault="00D41F15" w:rsidP="00D41F15">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rPr>
      </w:pPr>
    </w:p>
    <w:p w:rsidR="00D41F15" w:rsidRPr="00CB116D" w:rsidRDefault="00D41F15" w:rsidP="00D41F15">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CB116D">
        <w:rPr>
          <w:rFonts w:ascii="Palatino Linotype" w:eastAsia="Palatino Linotype" w:hAnsi="Palatino Linotype" w:cs="Palatino Linotype"/>
          <w:b/>
          <w:sz w:val="22"/>
          <w:szCs w:val="22"/>
        </w:rPr>
        <w:t>Figure 5: Trends of NSE Sectoral Indices during August 2021 (per cent)</w:t>
      </w:r>
    </w:p>
    <w:p w:rsidR="00D41F15" w:rsidRPr="00CB116D" w:rsidRDefault="00D41F15" w:rsidP="00D41F15">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rPr>
      </w:pPr>
      <w:r w:rsidRPr="00CB116D">
        <w:rPr>
          <w:noProof/>
          <w:lang w:val="en-IN" w:eastAsia="en-IN" w:bidi="hi-IN"/>
        </w:rPr>
        <w:drawing>
          <wp:inline distT="0" distB="0" distL="0" distR="0" wp14:anchorId="39F69D51" wp14:editId="5F4104F3">
            <wp:extent cx="5619750" cy="1781175"/>
            <wp:effectExtent l="0" t="0" r="0" b="9525"/>
            <wp:docPr id="22" name="Chart 22">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D41F15" w:rsidRPr="00CB116D" w:rsidRDefault="00D41F15" w:rsidP="00D41F15">
      <w:pPr>
        <w:spacing w:line="276" w:lineRule="auto"/>
        <w:rPr>
          <w:rFonts w:ascii="Palatino Linotype" w:eastAsia="Palatino Linotype" w:hAnsi="Palatino Linotype" w:cs="Palatino Linotype"/>
          <w:b/>
          <w:sz w:val="18"/>
          <w:szCs w:val="18"/>
        </w:rPr>
      </w:pPr>
      <w:r w:rsidRPr="00CB116D">
        <w:rPr>
          <w:rFonts w:ascii="Palatino Linotype" w:eastAsia="Palatino Linotype" w:hAnsi="Palatino Linotype" w:cs="Palatino Linotype"/>
          <w:b/>
          <w:sz w:val="18"/>
          <w:szCs w:val="18"/>
        </w:rPr>
        <w:t xml:space="preserve">      </w:t>
      </w:r>
      <w:r w:rsidRPr="00CB116D">
        <w:rPr>
          <w:rFonts w:ascii="Palatino Linotype" w:eastAsia="Palatino Linotype" w:hAnsi="Palatino Linotype" w:cs="Palatino Linotype"/>
          <w:b/>
          <w:sz w:val="18"/>
          <w:szCs w:val="18"/>
        </w:rPr>
        <w:tab/>
      </w:r>
      <w:r w:rsidRPr="00CB116D">
        <w:rPr>
          <w:rFonts w:ascii="Palatino Linotype" w:eastAsia="Palatino Linotype" w:hAnsi="Palatino Linotype" w:cs="Palatino Linotype"/>
          <w:b/>
          <w:sz w:val="18"/>
          <w:szCs w:val="18"/>
        </w:rPr>
        <w:tab/>
        <w:t>Source: NSE</w:t>
      </w:r>
    </w:p>
    <w:p w:rsidR="00046A06" w:rsidRDefault="00046A06" w:rsidP="00D41F15">
      <w:pPr>
        <w:pBdr>
          <w:top w:val="nil"/>
          <w:left w:val="nil"/>
          <w:bottom w:val="nil"/>
          <w:right w:val="nil"/>
          <w:between w:val="nil"/>
        </w:pBdr>
        <w:spacing w:line="276" w:lineRule="auto"/>
        <w:rPr>
          <w:rFonts w:ascii="Palatino Linotype" w:eastAsia="Palatino Linotype" w:hAnsi="Palatino Linotype" w:cs="Palatino Linotype"/>
          <w:b/>
          <w:sz w:val="22"/>
          <w:szCs w:val="22"/>
        </w:rPr>
      </w:pPr>
    </w:p>
    <w:p w:rsidR="00046A06" w:rsidRPr="00CB116D" w:rsidRDefault="00046A06" w:rsidP="00D41F15">
      <w:pPr>
        <w:pBdr>
          <w:top w:val="nil"/>
          <w:left w:val="nil"/>
          <w:bottom w:val="nil"/>
          <w:right w:val="nil"/>
          <w:between w:val="nil"/>
        </w:pBdr>
        <w:spacing w:line="276" w:lineRule="auto"/>
        <w:rPr>
          <w:rFonts w:ascii="Palatino Linotype" w:eastAsia="Palatino Linotype" w:hAnsi="Palatino Linotype" w:cs="Palatino Linotype"/>
          <w:b/>
          <w:sz w:val="22"/>
          <w:szCs w:val="22"/>
        </w:rPr>
      </w:pPr>
    </w:p>
    <w:p w:rsidR="00D41F15" w:rsidRPr="00CB116D" w:rsidRDefault="00D41F15" w:rsidP="00D41F15">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CB116D">
        <w:rPr>
          <w:rFonts w:ascii="Palatino Linotype" w:eastAsia="Palatino Linotype" w:hAnsi="Palatino Linotype" w:cs="Palatino Linotype"/>
          <w:b/>
          <w:sz w:val="22"/>
          <w:szCs w:val="22"/>
        </w:rPr>
        <w:t xml:space="preserve">Trends in Depository Accounts </w:t>
      </w:r>
    </w:p>
    <w:p w:rsidR="00A13AE9" w:rsidRDefault="00D41F15" w:rsidP="00A13AE9">
      <w:pPr>
        <w:numPr>
          <w:ilvl w:val="0"/>
          <w:numId w:val="1"/>
        </w:numPr>
        <w:pBdr>
          <w:top w:val="nil"/>
          <w:left w:val="nil"/>
          <w:bottom w:val="nil"/>
          <w:right w:val="nil"/>
          <w:between w:val="nil"/>
        </w:pBdr>
        <w:ind w:left="714" w:hanging="357"/>
        <w:jc w:val="both"/>
        <w:rPr>
          <w:rFonts w:ascii="Palatino Linotype" w:eastAsia="Palatino Linotype" w:hAnsi="Palatino Linotype" w:cs="Palatino Linotype"/>
          <w:sz w:val="22"/>
          <w:szCs w:val="22"/>
        </w:rPr>
      </w:pPr>
      <w:r w:rsidRPr="00CB116D">
        <w:rPr>
          <w:rFonts w:ascii="Palatino Linotype" w:eastAsia="Palatino Linotype" w:hAnsi="Palatino Linotype" w:cs="Palatino Linotype"/>
          <w:sz w:val="22"/>
          <w:szCs w:val="22"/>
        </w:rPr>
        <w:t>During August 2021, NSDL added 5 lakh demat accounts while CDSL added 21 lakh demat accounts. Cumulatively, both the depositories have added 122 lakh new accounts in this fiscal year so far (April-August 2021), with CDSL alone accounting for 106 lakh fresh demat accounts.</w:t>
      </w:r>
    </w:p>
    <w:p w:rsidR="00A13AE9" w:rsidRPr="00A13AE9" w:rsidRDefault="00A13AE9" w:rsidP="00A13AE9">
      <w:pPr>
        <w:pBdr>
          <w:top w:val="nil"/>
          <w:left w:val="nil"/>
          <w:bottom w:val="nil"/>
          <w:right w:val="nil"/>
          <w:between w:val="nil"/>
        </w:pBdr>
        <w:ind w:left="714"/>
        <w:jc w:val="both"/>
        <w:rPr>
          <w:rFonts w:ascii="Palatino Linotype" w:eastAsia="Palatino Linotype" w:hAnsi="Palatino Linotype" w:cs="Palatino Linotype"/>
          <w:sz w:val="22"/>
          <w:szCs w:val="22"/>
        </w:rPr>
      </w:pPr>
    </w:p>
    <w:p w:rsidR="00D41F15" w:rsidRPr="00CB116D" w:rsidRDefault="00D41F15" w:rsidP="00D41F15">
      <w:pPr>
        <w:pBdr>
          <w:top w:val="nil"/>
          <w:left w:val="nil"/>
          <w:bottom w:val="nil"/>
          <w:right w:val="nil"/>
          <w:between w:val="nil"/>
        </w:pBdr>
        <w:spacing w:line="276" w:lineRule="auto"/>
        <w:ind w:left="720"/>
        <w:jc w:val="both"/>
        <w:rPr>
          <w:rFonts w:ascii="Palatino Linotype" w:eastAsia="Palatino Linotype" w:hAnsi="Palatino Linotype" w:cs="Palatino Linotype"/>
          <w:b/>
          <w:bCs/>
          <w:sz w:val="22"/>
          <w:szCs w:val="22"/>
        </w:rPr>
      </w:pPr>
      <w:r w:rsidRPr="00CB116D">
        <w:rPr>
          <w:rFonts w:ascii="Palatino Linotype" w:eastAsia="Palatino Linotype" w:hAnsi="Palatino Linotype" w:cs="Palatino Linotype"/>
          <w:b/>
          <w:bCs/>
          <w:sz w:val="22"/>
          <w:szCs w:val="22"/>
        </w:rPr>
        <w:t>Figure 6: Monthly New Demat Accounts Added (in lakh)</w:t>
      </w:r>
    </w:p>
    <w:p w:rsidR="00D41F15" w:rsidRPr="00CB116D" w:rsidRDefault="00D41F15" w:rsidP="00D41F15">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B116D">
        <w:rPr>
          <w:noProof/>
          <w:lang w:val="en-IN" w:eastAsia="en-IN" w:bidi="hi-IN"/>
        </w:rPr>
        <w:drawing>
          <wp:inline distT="0" distB="0" distL="0" distR="0" wp14:anchorId="614BA47A" wp14:editId="2DF1BA35">
            <wp:extent cx="6353175" cy="2019300"/>
            <wp:effectExtent l="0" t="0" r="9525"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D41F15" w:rsidRPr="00CB116D" w:rsidRDefault="00D41F15" w:rsidP="00D41F15">
      <w:pPr>
        <w:pBdr>
          <w:top w:val="nil"/>
          <w:left w:val="nil"/>
          <w:bottom w:val="nil"/>
          <w:right w:val="nil"/>
          <w:between w:val="nil"/>
        </w:pBdr>
        <w:spacing w:line="276" w:lineRule="auto"/>
        <w:jc w:val="both"/>
        <w:rPr>
          <w:rFonts w:ascii="Palatino Linotype" w:eastAsia="Palatino Linotype" w:hAnsi="Palatino Linotype" w:cs="Palatino Linotype"/>
          <w:i/>
          <w:iCs/>
          <w:sz w:val="20"/>
          <w:szCs w:val="20"/>
        </w:rPr>
      </w:pPr>
      <w:r w:rsidRPr="00CB116D">
        <w:rPr>
          <w:rFonts w:ascii="Palatino Linotype" w:eastAsia="Palatino Linotype" w:hAnsi="Palatino Linotype" w:cs="Palatino Linotype"/>
          <w:i/>
          <w:iCs/>
          <w:sz w:val="20"/>
          <w:szCs w:val="20"/>
        </w:rPr>
        <w:t>Source: NSDL and CDSL</w:t>
      </w:r>
    </w:p>
    <w:p w:rsidR="00046A06" w:rsidRPr="00CB116D" w:rsidRDefault="00046A06" w:rsidP="00D41F15">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D41F15" w:rsidRPr="00CB116D" w:rsidRDefault="00D41F15" w:rsidP="00D41F15">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CB116D">
        <w:rPr>
          <w:rFonts w:ascii="Palatino Linotype" w:eastAsia="Palatino Linotype" w:hAnsi="Palatino Linotype" w:cs="Palatino Linotype"/>
          <w:b/>
          <w:sz w:val="22"/>
          <w:szCs w:val="22"/>
        </w:rPr>
        <w:t>Trends in Derivatives Segment</w:t>
      </w:r>
      <w:r w:rsidRPr="00CB116D">
        <w:rPr>
          <w:rFonts w:ascii="Palatino Linotype" w:eastAsia="Palatino Linotype" w:hAnsi="Palatino Linotype" w:cs="Palatino Linotype"/>
          <w:b/>
          <w:sz w:val="22"/>
          <w:szCs w:val="22"/>
        </w:rPr>
        <w:tab/>
      </w:r>
    </w:p>
    <w:p w:rsidR="00D41F15" w:rsidRDefault="00D41F15" w:rsidP="00D41F15">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CB116D">
        <w:rPr>
          <w:rFonts w:ascii="Palatino Linotype" w:eastAsia="Palatino Linotype" w:hAnsi="Palatino Linotype" w:cs="Palatino Linotype"/>
          <w:b/>
          <w:sz w:val="22"/>
          <w:szCs w:val="22"/>
        </w:rPr>
        <w:t>Equity Derivatives</w:t>
      </w:r>
    </w:p>
    <w:p w:rsidR="00046A06" w:rsidRDefault="00046A06" w:rsidP="00046A06">
      <w:pPr>
        <w:widowControl w:val="0"/>
        <w:spacing w:line="276" w:lineRule="auto"/>
        <w:jc w:val="both"/>
        <w:rPr>
          <w:rFonts w:ascii="Palatino Linotype" w:eastAsia="Palatino Linotype" w:hAnsi="Palatino Linotype" w:cs="Palatino Linotype"/>
          <w:b/>
          <w:sz w:val="22"/>
          <w:szCs w:val="22"/>
        </w:rPr>
      </w:pPr>
    </w:p>
    <w:p w:rsidR="00046A06" w:rsidRPr="00CB116D" w:rsidRDefault="00046A06" w:rsidP="00046A06">
      <w:pPr>
        <w:tabs>
          <w:tab w:val="left" w:pos="3135"/>
        </w:tabs>
        <w:spacing w:line="276" w:lineRule="auto"/>
        <w:rPr>
          <w:rFonts w:ascii="Palatino Linotype" w:eastAsia="Palatino Linotype" w:hAnsi="Palatino Linotype" w:cs="Palatino Linotype"/>
          <w:b/>
          <w:sz w:val="22"/>
          <w:szCs w:val="22"/>
          <w:u w:val="single"/>
        </w:rPr>
      </w:pPr>
      <w:r w:rsidRPr="00CB116D">
        <w:rPr>
          <w:rFonts w:ascii="Palatino Linotype" w:eastAsia="Palatino Linotype" w:hAnsi="Palatino Linotype" w:cs="Palatino Linotype"/>
          <w:b/>
          <w:sz w:val="22"/>
          <w:szCs w:val="22"/>
          <w:u w:val="single"/>
        </w:rPr>
        <w:t xml:space="preserve">BSE </w:t>
      </w:r>
    </w:p>
    <w:p w:rsidR="00046A06" w:rsidRPr="00CB116D" w:rsidRDefault="00046A06" w:rsidP="00A13AE9">
      <w:pPr>
        <w:numPr>
          <w:ilvl w:val="0"/>
          <w:numId w:val="1"/>
        </w:numPr>
        <w:pBdr>
          <w:top w:val="nil"/>
          <w:left w:val="nil"/>
          <w:bottom w:val="nil"/>
          <w:right w:val="nil"/>
          <w:between w:val="nil"/>
        </w:pBdr>
        <w:ind w:left="714" w:hanging="357"/>
        <w:jc w:val="both"/>
        <w:rPr>
          <w:rFonts w:ascii="Palatino Linotype" w:eastAsia="Palatino Linotype" w:hAnsi="Palatino Linotype" w:cs="Palatino Linotype"/>
          <w:sz w:val="22"/>
          <w:szCs w:val="22"/>
        </w:rPr>
      </w:pPr>
      <w:r w:rsidRPr="00CB116D">
        <w:rPr>
          <w:rFonts w:ascii="Palatino Linotype" w:eastAsia="Palatino Linotype" w:hAnsi="Palatino Linotype" w:cs="Palatino Linotype"/>
          <w:sz w:val="22"/>
          <w:szCs w:val="22"/>
        </w:rPr>
        <w:t xml:space="preserve">During August 2021, the cumulative notional turnover of the equity derivatives segment at BSE increased by 0.2 per cent to </w:t>
      </w:r>
      <w:r w:rsidRPr="00A13AE9">
        <w:rPr>
          <w:rFonts w:ascii="Times New Roman" w:eastAsia="Palatino Linotype" w:hAnsi="Times New Roman"/>
          <w:sz w:val="22"/>
          <w:szCs w:val="22"/>
        </w:rPr>
        <w:t>₹</w:t>
      </w:r>
      <w:r w:rsidRPr="00CB116D">
        <w:rPr>
          <w:rFonts w:ascii="Palatino Linotype" w:eastAsia="Palatino Linotype" w:hAnsi="Palatino Linotype" w:cs="Palatino Linotype"/>
          <w:sz w:val="22"/>
          <w:szCs w:val="22"/>
        </w:rPr>
        <w:t>63.7 lakh crore.</w:t>
      </w:r>
    </w:p>
    <w:p w:rsidR="00046A06" w:rsidRPr="00A13AE9" w:rsidRDefault="00046A06" w:rsidP="00A13AE9">
      <w:pPr>
        <w:numPr>
          <w:ilvl w:val="0"/>
          <w:numId w:val="1"/>
        </w:numPr>
        <w:pBdr>
          <w:top w:val="nil"/>
          <w:left w:val="nil"/>
          <w:bottom w:val="nil"/>
          <w:right w:val="nil"/>
          <w:between w:val="nil"/>
        </w:pBdr>
        <w:ind w:left="714" w:hanging="357"/>
        <w:jc w:val="both"/>
        <w:rPr>
          <w:rFonts w:ascii="Palatino Linotype" w:eastAsia="Palatino Linotype" w:hAnsi="Palatino Linotype" w:cs="Palatino Linotype"/>
          <w:sz w:val="22"/>
          <w:szCs w:val="22"/>
        </w:rPr>
      </w:pPr>
      <w:r w:rsidRPr="00CB116D">
        <w:rPr>
          <w:rFonts w:ascii="Palatino Linotype" w:eastAsia="Palatino Linotype" w:hAnsi="Palatino Linotype" w:cs="Palatino Linotype"/>
          <w:sz w:val="22"/>
          <w:szCs w:val="22"/>
        </w:rPr>
        <w:t>As at</w:t>
      </w:r>
      <w:r w:rsidRPr="00A13AE9">
        <w:rPr>
          <w:rFonts w:ascii="Palatino Linotype" w:eastAsia="Palatino Linotype" w:hAnsi="Palatino Linotype" w:cs="Palatino Linotype"/>
          <w:sz w:val="22"/>
          <w:szCs w:val="22"/>
        </w:rPr>
        <w:t xml:space="preserve"> the end of August 2021, the open interest in terms of value at BSE stood at </w:t>
      </w:r>
      <w:r w:rsidRPr="00A13AE9">
        <w:rPr>
          <w:rFonts w:ascii="Times New Roman" w:eastAsia="Palatino Linotype" w:hAnsi="Times New Roman"/>
          <w:sz w:val="22"/>
          <w:szCs w:val="22"/>
        </w:rPr>
        <w:t>₹</w:t>
      </w:r>
      <w:r w:rsidRPr="00A13AE9">
        <w:rPr>
          <w:rFonts w:ascii="Palatino Linotype" w:eastAsia="Palatino Linotype" w:hAnsi="Palatino Linotype" w:cs="Palatino Linotype"/>
          <w:sz w:val="22"/>
          <w:szCs w:val="22"/>
        </w:rPr>
        <w:t xml:space="preserve">54 crore increasing from </w:t>
      </w:r>
      <w:r w:rsidRPr="00A13AE9">
        <w:rPr>
          <w:rFonts w:ascii="Times New Roman" w:eastAsia="Palatino Linotype" w:hAnsi="Times New Roman"/>
          <w:sz w:val="22"/>
          <w:szCs w:val="22"/>
        </w:rPr>
        <w:t>₹</w:t>
      </w:r>
      <w:r w:rsidRPr="00A13AE9">
        <w:rPr>
          <w:rFonts w:ascii="Palatino Linotype" w:eastAsia="Palatino Linotype" w:hAnsi="Palatino Linotype" w:cs="Palatino Linotype"/>
          <w:sz w:val="22"/>
          <w:szCs w:val="22"/>
        </w:rPr>
        <w:t>6 crore as at the end of July 2021.</w:t>
      </w:r>
    </w:p>
    <w:p w:rsidR="00046A06" w:rsidRPr="00A13AE9" w:rsidRDefault="00046A06" w:rsidP="00A13AE9">
      <w:pPr>
        <w:pBdr>
          <w:top w:val="nil"/>
          <w:left w:val="nil"/>
          <w:bottom w:val="nil"/>
          <w:right w:val="nil"/>
          <w:between w:val="nil"/>
        </w:pBdr>
        <w:ind w:left="714"/>
        <w:jc w:val="both"/>
        <w:rPr>
          <w:rFonts w:ascii="Palatino Linotype" w:eastAsia="Palatino Linotype" w:hAnsi="Palatino Linotype" w:cs="Palatino Linotype"/>
          <w:sz w:val="22"/>
          <w:szCs w:val="22"/>
        </w:rPr>
      </w:pPr>
    </w:p>
    <w:p w:rsidR="00046A06" w:rsidRPr="00A13AE9" w:rsidRDefault="00046A06" w:rsidP="00A13AE9">
      <w:pPr>
        <w:tabs>
          <w:tab w:val="left" w:pos="3135"/>
        </w:tabs>
        <w:spacing w:line="276" w:lineRule="auto"/>
        <w:rPr>
          <w:rFonts w:ascii="Palatino Linotype" w:eastAsia="Palatino Linotype" w:hAnsi="Palatino Linotype" w:cs="Palatino Linotype"/>
          <w:b/>
          <w:sz w:val="22"/>
          <w:szCs w:val="22"/>
          <w:u w:val="single"/>
        </w:rPr>
      </w:pPr>
      <w:r w:rsidRPr="00A13AE9">
        <w:rPr>
          <w:rFonts w:ascii="Palatino Linotype" w:eastAsia="Palatino Linotype" w:hAnsi="Palatino Linotype" w:cs="Palatino Linotype"/>
          <w:b/>
          <w:sz w:val="22"/>
          <w:szCs w:val="22"/>
          <w:u w:val="single"/>
        </w:rPr>
        <w:t xml:space="preserve">NSE </w:t>
      </w:r>
    </w:p>
    <w:p w:rsidR="00046A06" w:rsidRPr="00A13AE9" w:rsidRDefault="00046A06" w:rsidP="00A13AE9">
      <w:pPr>
        <w:numPr>
          <w:ilvl w:val="0"/>
          <w:numId w:val="1"/>
        </w:numPr>
        <w:pBdr>
          <w:top w:val="nil"/>
          <w:left w:val="nil"/>
          <w:bottom w:val="nil"/>
          <w:right w:val="nil"/>
          <w:between w:val="nil"/>
        </w:pBdr>
        <w:ind w:left="714" w:hanging="357"/>
        <w:jc w:val="both"/>
        <w:rPr>
          <w:rFonts w:ascii="Palatino Linotype" w:eastAsia="Palatino Linotype" w:hAnsi="Palatino Linotype" w:cs="Palatino Linotype"/>
          <w:sz w:val="22"/>
          <w:szCs w:val="22"/>
        </w:rPr>
      </w:pPr>
      <w:r w:rsidRPr="00CB116D">
        <w:rPr>
          <w:rFonts w:ascii="Palatino Linotype" w:eastAsia="Palatino Linotype" w:hAnsi="Palatino Linotype" w:cs="Palatino Linotype"/>
          <w:sz w:val="22"/>
          <w:szCs w:val="22"/>
        </w:rPr>
        <w:t xml:space="preserve">The monthly notional turnover in the equity derivatives segment at NSE increased by 6.6 per cent to </w:t>
      </w:r>
      <w:r w:rsidRPr="00A13AE9">
        <w:rPr>
          <w:rFonts w:ascii="Times New Roman" w:eastAsia="Palatino Linotype" w:hAnsi="Times New Roman"/>
          <w:sz w:val="22"/>
          <w:szCs w:val="22"/>
        </w:rPr>
        <w:t>₹</w:t>
      </w:r>
      <w:r w:rsidRPr="00CB116D">
        <w:rPr>
          <w:rFonts w:ascii="Palatino Linotype" w:eastAsia="Palatino Linotype" w:hAnsi="Palatino Linotype" w:cs="Palatino Linotype"/>
          <w:sz w:val="22"/>
          <w:szCs w:val="22"/>
        </w:rPr>
        <w:t xml:space="preserve">1,205 lakh crore in August 2021 from </w:t>
      </w:r>
      <w:r w:rsidRPr="00A13AE9">
        <w:rPr>
          <w:rFonts w:ascii="Times New Roman" w:eastAsia="Palatino Linotype" w:hAnsi="Times New Roman"/>
          <w:sz w:val="22"/>
          <w:szCs w:val="22"/>
        </w:rPr>
        <w:t>₹</w:t>
      </w:r>
      <w:r w:rsidRPr="00CB116D">
        <w:rPr>
          <w:rFonts w:ascii="Palatino Linotype" w:eastAsia="Palatino Linotype" w:hAnsi="Palatino Linotype" w:cs="Palatino Linotype"/>
          <w:sz w:val="22"/>
          <w:szCs w:val="22"/>
        </w:rPr>
        <w:t xml:space="preserve">1,131 lakh crore in July 2021. </w:t>
      </w:r>
    </w:p>
    <w:p w:rsidR="00046A06" w:rsidRPr="00A13AE9" w:rsidRDefault="00046A06" w:rsidP="00A13AE9">
      <w:pPr>
        <w:numPr>
          <w:ilvl w:val="0"/>
          <w:numId w:val="1"/>
        </w:numPr>
        <w:pBdr>
          <w:top w:val="nil"/>
          <w:left w:val="nil"/>
          <w:bottom w:val="nil"/>
          <w:right w:val="nil"/>
          <w:between w:val="nil"/>
        </w:pBdr>
        <w:ind w:left="714" w:hanging="357"/>
        <w:jc w:val="both"/>
        <w:rPr>
          <w:rFonts w:ascii="Palatino Linotype" w:eastAsia="Palatino Linotype" w:hAnsi="Palatino Linotype" w:cs="Palatino Linotype"/>
          <w:sz w:val="22"/>
          <w:szCs w:val="22"/>
        </w:rPr>
      </w:pPr>
      <w:r w:rsidRPr="00CB116D">
        <w:rPr>
          <w:rFonts w:ascii="Palatino Linotype" w:eastAsia="Palatino Linotype" w:hAnsi="Palatino Linotype" w:cs="Palatino Linotype"/>
          <w:sz w:val="22"/>
          <w:szCs w:val="22"/>
        </w:rPr>
        <w:t xml:space="preserve">The uptrend in equity derivatives turnover </w:t>
      </w:r>
      <w:r>
        <w:rPr>
          <w:rFonts w:ascii="Palatino Linotype" w:eastAsia="Palatino Linotype" w:hAnsi="Palatino Linotype" w:cs="Palatino Linotype"/>
          <w:sz w:val="22"/>
          <w:szCs w:val="22"/>
        </w:rPr>
        <w:t xml:space="preserve">was driven by </w:t>
      </w:r>
      <w:r w:rsidRPr="00CB116D">
        <w:rPr>
          <w:rFonts w:ascii="Palatino Linotype" w:eastAsia="Palatino Linotype" w:hAnsi="Palatino Linotype" w:cs="Palatino Linotype"/>
          <w:sz w:val="22"/>
          <w:szCs w:val="22"/>
        </w:rPr>
        <w:t>rise in Index options (5.7 per cent) and Index f</w:t>
      </w:r>
      <w:r>
        <w:rPr>
          <w:rFonts w:ascii="Palatino Linotype" w:eastAsia="Palatino Linotype" w:hAnsi="Palatino Linotype" w:cs="Palatino Linotype"/>
          <w:sz w:val="22"/>
          <w:szCs w:val="22"/>
        </w:rPr>
        <w:t>utures (5.1 per cent).T</w:t>
      </w:r>
      <w:r w:rsidRPr="00CB116D">
        <w:rPr>
          <w:rFonts w:ascii="Palatino Linotype" w:eastAsia="Palatino Linotype" w:hAnsi="Palatino Linotype" w:cs="Palatino Linotype"/>
          <w:sz w:val="22"/>
          <w:szCs w:val="22"/>
        </w:rPr>
        <w:t>his was supported by robust increase in no. of contr</w:t>
      </w:r>
      <w:r>
        <w:rPr>
          <w:rFonts w:ascii="Palatino Linotype" w:eastAsia="Palatino Linotype" w:hAnsi="Palatino Linotype" w:cs="Palatino Linotype"/>
          <w:sz w:val="22"/>
          <w:szCs w:val="22"/>
        </w:rPr>
        <w:t>acts traded during August 2021, w</w:t>
      </w:r>
      <w:r w:rsidRPr="00CB116D">
        <w:rPr>
          <w:rFonts w:ascii="Palatino Linotype" w:eastAsia="Palatino Linotype" w:hAnsi="Palatino Linotype" w:cs="Palatino Linotype"/>
          <w:sz w:val="22"/>
          <w:szCs w:val="22"/>
        </w:rPr>
        <w:t xml:space="preserve">ith index put options </w:t>
      </w:r>
      <w:r>
        <w:rPr>
          <w:rFonts w:ascii="Palatino Linotype" w:eastAsia="Palatino Linotype" w:hAnsi="Palatino Linotype" w:cs="Palatino Linotype"/>
          <w:sz w:val="22"/>
          <w:szCs w:val="22"/>
        </w:rPr>
        <w:t xml:space="preserve">contracts traded </w:t>
      </w:r>
      <w:r w:rsidRPr="00CB116D">
        <w:rPr>
          <w:rFonts w:ascii="Palatino Linotype" w:eastAsia="Palatino Linotype" w:hAnsi="Palatino Linotype" w:cs="Palatino Linotype"/>
          <w:sz w:val="22"/>
          <w:szCs w:val="22"/>
        </w:rPr>
        <w:t xml:space="preserve">increasing by 15 per cent. </w:t>
      </w:r>
    </w:p>
    <w:p w:rsidR="00046A06" w:rsidRPr="00A13AE9" w:rsidRDefault="00046A06" w:rsidP="00A13AE9">
      <w:pPr>
        <w:numPr>
          <w:ilvl w:val="0"/>
          <w:numId w:val="1"/>
        </w:numPr>
        <w:pBdr>
          <w:top w:val="nil"/>
          <w:left w:val="nil"/>
          <w:bottom w:val="nil"/>
          <w:right w:val="nil"/>
          <w:between w:val="nil"/>
        </w:pBdr>
        <w:ind w:left="714" w:hanging="357"/>
        <w:jc w:val="both"/>
        <w:rPr>
          <w:rFonts w:ascii="Palatino Linotype" w:eastAsia="Palatino Linotype" w:hAnsi="Palatino Linotype" w:cs="Palatino Linotype"/>
          <w:sz w:val="22"/>
          <w:szCs w:val="22"/>
        </w:rPr>
      </w:pPr>
      <w:r w:rsidRPr="00CB116D">
        <w:rPr>
          <w:rFonts w:ascii="Palatino Linotype" w:eastAsia="Palatino Linotype" w:hAnsi="Palatino Linotype" w:cs="Palatino Linotype"/>
          <w:sz w:val="22"/>
          <w:szCs w:val="22"/>
        </w:rPr>
        <w:t xml:space="preserve">As at end of August 2021, the open interest in terms of value at NSE stood at </w:t>
      </w:r>
      <w:r w:rsidRPr="00A13AE9">
        <w:rPr>
          <w:rFonts w:ascii="Times New Roman" w:eastAsia="Palatino Linotype" w:hAnsi="Times New Roman"/>
          <w:sz w:val="22"/>
          <w:szCs w:val="22"/>
        </w:rPr>
        <w:t>₹</w:t>
      </w:r>
      <w:r w:rsidRPr="00A13AE9">
        <w:rPr>
          <w:rFonts w:ascii="Palatino Linotype" w:eastAsia="Palatino Linotype" w:hAnsi="Palatino Linotype" w:cs="Palatino Linotype"/>
          <w:sz w:val="22"/>
          <w:szCs w:val="22"/>
        </w:rPr>
        <w:t xml:space="preserve"> 8,16,567 crore showing a notable increase of 36.7 per cent from  </w:t>
      </w:r>
      <w:r w:rsidRPr="00A13AE9">
        <w:rPr>
          <w:rFonts w:ascii="Times New Roman" w:eastAsia="Palatino Linotype" w:hAnsi="Times New Roman"/>
          <w:sz w:val="22"/>
          <w:szCs w:val="22"/>
        </w:rPr>
        <w:t>₹</w:t>
      </w:r>
      <w:r w:rsidRPr="00A13AE9">
        <w:rPr>
          <w:rFonts w:ascii="Palatino Linotype" w:eastAsia="Palatino Linotype" w:hAnsi="Palatino Linotype" w:cs="Palatino Linotype"/>
          <w:sz w:val="22"/>
          <w:szCs w:val="22"/>
        </w:rPr>
        <w:t xml:space="preserve"> </w:t>
      </w:r>
      <w:r w:rsidRPr="00CB116D">
        <w:rPr>
          <w:rFonts w:ascii="Palatino Linotype" w:eastAsia="Palatino Linotype" w:hAnsi="Palatino Linotype" w:cs="Palatino Linotype"/>
          <w:sz w:val="22"/>
          <w:szCs w:val="22"/>
        </w:rPr>
        <w:t>5,97,327 crore in July 2021.</w:t>
      </w:r>
    </w:p>
    <w:p w:rsidR="00046A06" w:rsidRDefault="00046A06" w:rsidP="00046A06">
      <w:pPr>
        <w:widowControl w:val="0"/>
        <w:spacing w:line="276" w:lineRule="auto"/>
        <w:jc w:val="both"/>
        <w:rPr>
          <w:rFonts w:ascii="Palatino Linotype" w:eastAsia="Palatino Linotype" w:hAnsi="Palatino Linotype" w:cs="Palatino Linotype"/>
          <w:b/>
          <w:sz w:val="22"/>
          <w:szCs w:val="22"/>
        </w:rPr>
      </w:pPr>
    </w:p>
    <w:p w:rsidR="00046A06" w:rsidRDefault="00046A06" w:rsidP="00046A06">
      <w:pPr>
        <w:widowControl w:val="0"/>
        <w:spacing w:line="276" w:lineRule="auto"/>
        <w:jc w:val="both"/>
        <w:rPr>
          <w:rFonts w:ascii="Palatino Linotype" w:eastAsia="Palatino Linotype" w:hAnsi="Palatino Linotype" w:cs="Palatino Linotype"/>
          <w:b/>
          <w:sz w:val="22"/>
          <w:szCs w:val="22"/>
        </w:rPr>
      </w:pPr>
    </w:p>
    <w:p w:rsidR="00046A06" w:rsidRDefault="00046A06" w:rsidP="00046A06">
      <w:pPr>
        <w:widowControl w:val="0"/>
        <w:spacing w:line="276" w:lineRule="auto"/>
        <w:jc w:val="both"/>
        <w:rPr>
          <w:rFonts w:ascii="Palatino Linotype" w:eastAsia="Palatino Linotype" w:hAnsi="Palatino Linotype" w:cs="Palatino Linotype"/>
          <w:b/>
          <w:sz w:val="22"/>
          <w:szCs w:val="22"/>
        </w:rPr>
      </w:pPr>
    </w:p>
    <w:p w:rsidR="00046A06" w:rsidRDefault="00046A06" w:rsidP="00046A06">
      <w:pPr>
        <w:widowControl w:val="0"/>
        <w:spacing w:line="276" w:lineRule="auto"/>
        <w:jc w:val="both"/>
        <w:rPr>
          <w:rFonts w:ascii="Palatino Linotype" w:eastAsia="Palatino Linotype" w:hAnsi="Palatino Linotype" w:cs="Palatino Linotype"/>
          <w:b/>
          <w:sz w:val="22"/>
          <w:szCs w:val="22"/>
        </w:rPr>
      </w:pPr>
    </w:p>
    <w:p w:rsidR="00046A06" w:rsidRDefault="00046A06" w:rsidP="00046A06">
      <w:pPr>
        <w:widowControl w:val="0"/>
        <w:spacing w:line="276" w:lineRule="auto"/>
        <w:jc w:val="both"/>
        <w:rPr>
          <w:rFonts w:ascii="Palatino Linotype" w:eastAsia="Palatino Linotype" w:hAnsi="Palatino Linotype" w:cs="Palatino Linotype"/>
          <w:b/>
          <w:sz w:val="22"/>
          <w:szCs w:val="22"/>
        </w:rPr>
      </w:pPr>
    </w:p>
    <w:p w:rsidR="00A13AE9" w:rsidRDefault="00A13AE9" w:rsidP="00046A06">
      <w:pPr>
        <w:widowControl w:val="0"/>
        <w:spacing w:line="276" w:lineRule="auto"/>
        <w:jc w:val="both"/>
        <w:rPr>
          <w:rFonts w:ascii="Palatino Linotype" w:eastAsia="Palatino Linotype" w:hAnsi="Palatino Linotype" w:cs="Palatino Linotype"/>
          <w:b/>
          <w:sz w:val="22"/>
          <w:szCs w:val="22"/>
        </w:rPr>
      </w:pPr>
    </w:p>
    <w:p w:rsidR="00A13AE9" w:rsidRPr="00CB116D" w:rsidRDefault="00A13AE9" w:rsidP="00046A06">
      <w:pPr>
        <w:widowControl w:val="0"/>
        <w:spacing w:line="276" w:lineRule="auto"/>
        <w:jc w:val="both"/>
        <w:rPr>
          <w:rFonts w:ascii="Palatino Linotype" w:eastAsia="Palatino Linotype" w:hAnsi="Palatino Linotype" w:cs="Palatino Linotype"/>
          <w:b/>
          <w:sz w:val="22"/>
          <w:szCs w:val="22"/>
        </w:rPr>
      </w:pPr>
    </w:p>
    <w:p w:rsidR="00D41F15" w:rsidRPr="00CB116D" w:rsidRDefault="00D41F15" w:rsidP="00D41F15">
      <w:pPr>
        <w:tabs>
          <w:tab w:val="left" w:pos="3135"/>
        </w:tabs>
        <w:spacing w:line="276" w:lineRule="auto"/>
        <w:rPr>
          <w:rFonts w:ascii="Palatino Linotype" w:eastAsia="Palatino Linotype" w:hAnsi="Palatino Linotype" w:cs="Palatino Linotype"/>
          <w:b/>
          <w:sz w:val="22"/>
          <w:szCs w:val="22"/>
        </w:rPr>
      </w:pPr>
      <w:r w:rsidRPr="00CB116D">
        <w:rPr>
          <w:rFonts w:ascii="Palatino Linotype" w:eastAsia="Palatino Linotype" w:hAnsi="Palatino Linotype" w:cs="Palatino Linotype"/>
          <w:b/>
          <w:sz w:val="22"/>
          <w:szCs w:val="22"/>
        </w:rPr>
        <w:t>Table 3: Trends in Equity Derivatives Market</w:t>
      </w:r>
      <w:r w:rsidRPr="00CB116D">
        <w:fldChar w:fldCharType="begin"/>
      </w:r>
      <w:r w:rsidRPr="00CB116D">
        <w:instrText xml:space="preserve"> LINK Excel.Sheet.12 "E:\\C DRIVE DATA BACKUP 19-12-2019\\Desktop\\Bulletin Aug-21.xlsx" Sheet1!R2C3:R43C9 \a \f 4 \h  \* MERGEFORMAT </w:instrText>
      </w:r>
      <w:r w:rsidRPr="00CB116D">
        <w:fldChar w:fldCharType="separate"/>
      </w:r>
    </w:p>
    <w:tbl>
      <w:tblPr>
        <w:tblW w:w="10081" w:type="dxa"/>
        <w:tblLook w:val="04A0" w:firstRow="1" w:lastRow="0" w:firstColumn="1" w:lastColumn="0" w:noHBand="0" w:noVBand="1"/>
      </w:tblPr>
      <w:tblGrid>
        <w:gridCol w:w="2098"/>
        <w:gridCol w:w="1456"/>
        <w:gridCol w:w="1539"/>
        <w:gridCol w:w="1203"/>
        <w:gridCol w:w="1226"/>
        <w:gridCol w:w="1399"/>
        <w:gridCol w:w="1160"/>
      </w:tblGrid>
      <w:tr w:rsidR="00D41F15" w:rsidRPr="00CB116D" w:rsidTr="00D41F15">
        <w:trPr>
          <w:trHeight w:val="272"/>
        </w:trPr>
        <w:tc>
          <w:tcPr>
            <w:tcW w:w="2098" w:type="dxa"/>
            <w:vMerge w:val="restart"/>
            <w:tcBorders>
              <w:top w:val="single" w:sz="8" w:space="0" w:color="auto"/>
              <w:left w:val="single" w:sz="8" w:space="0" w:color="auto"/>
              <w:bottom w:val="single" w:sz="8" w:space="0" w:color="000000"/>
              <w:right w:val="single" w:sz="8" w:space="0" w:color="auto"/>
            </w:tcBorders>
            <w:shd w:val="clear" w:color="000000" w:fill="8DB3E2"/>
            <w:noWrap/>
            <w:vAlign w:val="center"/>
            <w:hideMark/>
          </w:tcPr>
          <w:p w:rsidR="00D41F15" w:rsidRPr="00CB116D" w:rsidRDefault="00D41F15" w:rsidP="00D41F15">
            <w:pPr>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Description</w:t>
            </w:r>
          </w:p>
        </w:tc>
        <w:tc>
          <w:tcPr>
            <w:tcW w:w="4198" w:type="dxa"/>
            <w:gridSpan w:val="3"/>
            <w:tcBorders>
              <w:top w:val="single" w:sz="8" w:space="0" w:color="auto"/>
              <w:left w:val="nil"/>
              <w:bottom w:val="single" w:sz="8" w:space="0" w:color="auto"/>
              <w:right w:val="single" w:sz="8" w:space="0" w:color="000000"/>
            </w:tcBorders>
            <w:shd w:val="clear" w:color="000000" w:fill="8DB3E2"/>
            <w:noWrap/>
            <w:vAlign w:val="center"/>
            <w:hideMark/>
          </w:tcPr>
          <w:p w:rsidR="00D41F15" w:rsidRPr="00CB116D" w:rsidRDefault="00D41F15" w:rsidP="00D41F15">
            <w:pPr>
              <w:jc w:val="center"/>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NSE</w:t>
            </w:r>
          </w:p>
        </w:tc>
        <w:tc>
          <w:tcPr>
            <w:tcW w:w="3785" w:type="dxa"/>
            <w:gridSpan w:val="3"/>
            <w:tcBorders>
              <w:top w:val="single" w:sz="8" w:space="0" w:color="auto"/>
              <w:left w:val="nil"/>
              <w:bottom w:val="single" w:sz="8" w:space="0" w:color="auto"/>
              <w:right w:val="single" w:sz="8" w:space="0" w:color="000000"/>
            </w:tcBorders>
            <w:shd w:val="clear" w:color="000000" w:fill="8DB3E2"/>
            <w:noWrap/>
            <w:vAlign w:val="center"/>
            <w:hideMark/>
          </w:tcPr>
          <w:p w:rsidR="00D41F15" w:rsidRPr="00CB116D" w:rsidRDefault="00D41F15" w:rsidP="00D41F15">
            <w:pPr>
              <w:jc w:val="center"/>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BSE</w:t>
            </w:r>
          </w:p>
        </w:tc>
      </w:tr>
      <w:tr w:rsidR="00D41F15" w:rsidRPr="00CB116D" w:rsidTr="00D41F15">
        <w:trPr>
          <w:trHeight w:val="900"/>
        </w:trPr>
        <w:tc>
          <w:tcPr>
            <w:tcW w:w="2098" w:type="dxa"/>
            <w:vMerge/>
            <w:tcBorders>
              <w:top w:val="single" w:sz="8" w:space="0" w:color="auto"/>
              <w:left w:val="single" w:sz="8" w:space="0" w:color="auto"/>
              <w:bottom w:val="single" w:sz="8" w:space="0" w:color="000000"/>
              <w:right w:val="single" w:sz="8" w:space="0" w:color="auto"/>
            </w:tcBorders>
            <w:vAlign w:val="center"/>
            <w:hideMark/>
          </w:tcPr>
          <w:p w:rsidR="00D41F15" w:rsidRPr="00CB116D" w:rsidRDefault="00D41F15" w:rsidP="00D41F15">
            <w:pPr>
              <w:rPr>
                <w:rFonts w:ascii="Garamond" w:eastAsia="Times New Roman" w:hAnsi="Garamond" w:cs="Calibri"/>
                <w:b/>
                <w:bCs/>
                <w:color w:val="000000"/>
                <w:sz w:val="20"/>
                <w:szCs w:val="20"/>
                <w:lang w:val="en-IN" w:eastAsia="en-IN" w:bidi="hi-IN"/>
              </w:rPr>
            </w:pPr>
          </w:p>
        </w:tc>
        <w:tc>
          <w:tcPr>
            <w:tcW w:w="1456" w:type="dxa"/>
            <w:tcBorders>
              <w:top w:val="nil"/>
              <w:left w:val="nil"/>
              <w:bottom w:val="single" w:sz="8" w:space="0" w:color="auto"/>
              <w:right w:val="single" w:sz="8" w:space="0" w:color="auto"/>
            </w:tcBorders>
            <w:shd w:val="clear" w:color="000000" w:fill="8DB3E2"/>
            <w:noWrap/>
            <w:vAlign w:val="center"/>
            <w:hideMark/>
          </w:tcPr>
          <w:p w:rsidR="00D41F15" w:rsidRPr="00CB116D" w:rsidRDefault="00D41F15" w:rsidP="00D41F15">
            <w:pPr>
              <w:jc w:val="center"/>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Jul-21</w:t>
            </w:r>
          </w:p>
        </w:tc>
        <w:tc>
          <w:tcPr>
            <w:tcW w:w="1539" w:type="dxa"/>
            <w:tcBorders>
              <w:top w:val="nil"/>
              <w:left w:val="nil"/>
              <w:bottom w:val="single" w:sz="8" w:space="0" w:color="auto"/>
              <w:right w:val="single" w:sz="8" w:space="0" w:color="auto"/>
            </w:tcBorders>
            <w:shd w:val="clear" w:color="000000" w:fill="8DB3E2"/>
            <w:noWrap/>
            <w:vAlign w:val="center"/>
            <w:hideMark/>
          </w:tcPr>
          <w:p w:rsidR="00D41F15" w:rsidRPr="00CB116D" w:rsidRDefault="00D41F15" w:rsidP="00D41F15">
            <w:pPr>
              <w:jc w:val="center"/>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Aug-21</w:t>
            </w:r>
          </w:p>
        </w:tc>
        <w:tc>
          <w:tcPr>
            <w:tcW w:w="1203" w:type="dxa"/>
            <w:tcBorders>
              <w:top w:val="nil"/>
              <w:left w:val="nil"/>
              <w:bottom w:val="single" w:sz="8" w:space="0" w:color="auto"/>
              <w:right w:val="single" w:sz="8" w:space="0" w:color="auto"/>
            </w:tcBorders>
            <w:shd w:val="clear" w:color="000000" w:fill="8DB3E2"/>
            <w:vAlign w:val="center"/>
            <w:hideMark/>
          </w:tcPr>
          <w:p w:rsidR="00D41F15" w:rsidRPr="00CB116D" w:rsidRDefault="00D41F15" w:rsidP="00D41F15">
            <w:pPr>
              <w:jc w:val="center"/>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Percentage Change Over Month</w:t>
            </w:r>
          </w:p>
        </w:tc>
        <w:tc>
          <w:tcPr>
            <w:tcW w:w="1226" w:type="dxa"/>
            <w:tcBorders>
              <w:top w:val="nil"/>
              <w:left w:val="nil"/>
              <w:bottom w:val="single" w:sz="8" w:space="0" w:color="auto"/>
              <w:right w:val="single" w:sz="8" w:space="0" w:color="auto"/>
            </w:tcBorders>
            <w:shd w:val="clear" w:color="000000" w:fill="8DB3E2"/>
            <w:noWrap/>
            <w:vAlign w:val="center"/>
            <w:hideMark/>
          </w:tcPr>
          <w:p w:rsidR="00D41F15" w:rsidRPr="00CB116D" w:rsidRDefault="00D41F15" w:rsidP="00D41F15">
            <w:pPr>
              <w:jc w:val="center"/>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Jul-21</w:t>
            </w:r>
          </w:p>
        </w:tc>
        <w:tc>
          <w:tcPr>
            <w:tcW w:w="1399" w:type="dxa"/>
            <w:tcBorders>
              <w:top w:val="nil"/>
              <w:left w:val="nil"/>
              <w:bottom w:val="single" w:sz="8" w:space="0" w:color="auto"/>
              <w:right w:val="single" w:sz="8" w:space="0" w:color="auto"/>
            </w:tcBorders>
            <w:shd w:val="clear" w:color="000000" w:fill="8DB3E2"/>
            <w:noWrap/>
            <w:vAlign w:val="center"/>
            <w:hideMark/>
          </w:tcPr>
          <w:p w:rsidR="00D41F15" w:rsidRPr="00CB116D" w:rsidRDefault="00D41F15" w:rsidP="00D41F15">
            <w:pPr>
              <w:jc w:val="center"/>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Aug-21</w:t>
            </w:r>
          </w:p>
        </w:tc>
        <w:tc>
          <w:tcPr>
            <w:tcW w:w="1160" w:type="dxa"/>
            <w:tcBorders>
              <w:top w:val="nil"/>
              <w:left w:val="nil"/>
              <w:bottom w:val="single" w:sz="8" w:space="0" w:color="auto"/>
              <w:right w:val="single" w:sz="8" w:space="0" w:color="auto"/>
            </w:tcBorders>
            <w:shd w:val="clear" w:color="000000" w:fill="8DB3E2"/>
            <w:vAlign w:val="center"/>
            <w:hideMark/>
          </w:tcPr>
          <w:p w:rsidR="00D41F15" w:rsidRPr="00CB116D" w:rsidRDefault="00D41F15" w:rsidP="00D41F15">
            <w:pPr>
              <w:jc w:val="center"/>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Percentage Change Over Month</w:t>
            </w:r>
          </w:p>
        </w:tc>
      </w:tr>
      <w:tr w:rsidR="00D41F15" w:rsidRPr="00CB116D" w:rsidTr="00D41F15">
        <w:trPr>
          <w:trHeight w:val="272"/>
        </w:trPr>
        <w:tc>
          <w:tcPr>
            <w:tcW w:w="10081" w:type="dxa"/>
            <w:gridSpan w:val="7"/>
            <w:tcBorders>
              <w:top w:val="single" w:sz="8" w:space="0" w:color="auto"/>
              <w:left w:val="single" w:sz="8" w:space="0" w:color="auto"/>
              <w:bottom w:val="single" w:sz="8" w:space="0" w:color="auto"/>
              <w:right w:val="single" w:sz="8" w:space="0" w:color="000000"/>
            </w:tcBorders>
            <w:shd w:val="clear" w:color="000000" w:fill="FFFFCC"/>
            <w:vAlign w:val="center"/>
            <w:hideMark/>
          </w:tcPr>
          <w:p w:rsidR="00D41F15" w:rsidRPr="00CB116D" w:rsidRDefault="00D41F15" w:rsidP="00D41F15">
            <w:pPr>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 xml:space="preserve">A. Turnover  </w:t>
            </w:r>
            <w:r w:rsidRPr="00CB116D">
              <w:rPr>
                <w:rFonts w:ascii="Times New Roman" w:eastAsia="Times New Roman" w:hAnsi="Times New Roman"/>
                <w:b/>
                <w:bCs/>
                <w:color w:val="000000"/>
                <w:sz w:val="20"/>
                <w:szCs w:val="20"/>
                <w:lang w:val="en-IN" w:eastAsia="en-IN" w:bidi="hi-IN"/>
              </w:rPr>
              <w:t>(</w:t>
            </w:r>
            <w:r w:rsidRPr="00CB116D">
              <w:rPr>
                <w:rFonts w:ascii="Rupee Foradian" w:eastAsia="Times New Roman" w:hAnsi="Rupee Foradian" w:cs="Calibri"/>
                <w:b/>
                <w:bCs/>
                <w:color w:val="000000"/>
                <w:sz w:val="20"/>
                <w:szCs w:val="20"/>
                <w:lang w:val="en-IN" w:eastAsia="en-IN" w:bidi="hi-IN"/>
              </w:rPr>
              <w:t>`</w:t>
            </w:r>
            <w:r w:rsidRPr="00CB116D">
              <w:rPr>
                <w:rFonts w:ascii="Times New Roman" w:eastAsia="Times New Roman" w:hAnsi="Times New Roman"/>
                <w:b/>
                <w:bCs/>
                <w:color w:val="000000"/>
                <w:sz w:val="20"/>
                <w:szCs w:val="20"/>
                <w:lang w:val="en-IN" w:eastAsia="en-IN" w:bidi="hi-IN"/>
              </w:rPr>
              <w:t xml:space="preserve"> </w:t>
            </w:r>
            <w:r w:rsidRPr="00CB116D">
              <w:rPr>
                <w:rFonts w:ascii="Garamond" w:eastAsia="Times New Roman" w:hAnsi="Garamond" w:cs="Calibri"/>
                <w:b/>
                <w:bCs/>
                <w:color w:val="000000"/>
                <w:sz w:val="20"/>
                <w:szCs w:val="20"/>
                <w:lang w:val="en-IN" w:eastAsia="en-IN" w:bidi="hi-IN"/>
              </w:rPr>
              <w:t>crore)</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xml:space="preserve">   (i) Index  Futures</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5,17,527</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5,44,069</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5.1</w:t>
            </w:r>
          </w:p>
        </w:tc>
        <w:tc>
          <w:tcPr>
            <w:tcW w:w="1226" w:type="dxa"/>
            <w:tcBorders>
              <w:top w:val="nil"/>
              <w:left w:val="nil"/>
              <w:bottom w:val="single" w:sz="8" w:space="0" w:color="auto"/>
              <w:right w:val="single" w:sz="8" w:space="0" w:color="auto"/>
            </w:tcBorders>
            <w:shd w:val="clear" w:color="auto" w:fill="auto"/>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24.6</w:t>
            </w:r>
          </w:p>
        </w:tc>
        <w:tc>
          <w:tcPr>
            <w:tcW w:w="1399" w:type="dxa"/>
            <w:tcBorders>
              <w:top w:val="nil"/>
              <w:left w:val="nil"/>
              <w:bottom w:val="single" w:sz="8" w:space="0" w:color="auto"/>
              <w:right w:val="single" w:sz="8" w:space="0" w:color="auto"/>
            </w:tcBorders>
            <w:shd w:val="clear" w:color="auto" w:fill="auto"/>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10.6</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-56.9</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xml:space="preserve">   (ii) Options on Index</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 </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 </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i/>
                <w:iCs/>
                <w:color w:val="000000"/>
                <w:sz w:val="20"/>
                <w:szCs w:val="20"/>
                <w:lang w:val="en-IN" w:eastAsia="en-IN" w:bidi="hi-IN"/>
              </w:rPr>
            </w:pPr>
            <w:r w:rsidRPr="00CB116D">
              <w:rPr>
                <w:rFonts w:ascii="Garamond" w:eastAsia="Times New Roman" w:hAnsi="Garamond" w:cs="Calibri"/>
                <w:i/>
                <w:iCs/>
                <w:color w:val="000000"/>
                <w:sz w:val="20"/>
                <w:szCs w:val="20"/>
                <w:lang w:val="en-IN" w:eastAsia="en-IN" w:bidi="hi-IN"/>
              </w:rPr>
              <w:t xml:space="preserve">            Put</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5,09,64,253</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5,46,77,889</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7.3</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17,07,079</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17,22,359</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0.90</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i/>
                <w:iCs/>
                <w:color w:val="000000"/>
                <w:sz w:val="20"/>
                <w:szCs w:val="20"/>
                <w:lang w:val="en-IN" w:eastAsia="en-IN" w:bidi="hi-IN"/>
              </w:rPr>
            </w:pPr>
            <w:r w:rsidRPr="00CB116D">
              <w:rPr>
                <w:rFonts w:ascii="Garamond" w:eastAsia="Times New Roman" w:hAnsi="Garamond" w:cs="Calibri"/>
                <w:i/>
                <w:iCs/>
                <w:color w:val="000000"/>
                <w:sz w:val="20"/>
                <w:szCs w:val="20"/>
                <w:lang w:val="en-IN" w:eastAsia="en-IN" w:bidi="hi-IN"/>
              </w:rPr>
              <w:t xml:space="preserve">           Call</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5,59,34,944</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5,83,36,899</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4.3</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46,52,732</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46,48,553</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-0.09</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xml:space="preserve">  (iii) Stock Futures</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15,68,133</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16,85,547</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7.5</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(iv) Options on Stock</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 </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 </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i/>
                <w:iCs/>
                <w:color w:val="000000"/>
                <w:sz w:val="20"/>
                <w:szCs w:val="20"/>
                <w:lang w:val="en-IN" w:eastAsia="en-IN" w:bidi="hi-IN"/>
              </w:rPr>
            </w:pPr>
            <w:r w:rsidRPr="00CB116D">
              <w:rPr>
                <w:rFonts w:ascii="Garamond" w:eastAsia="Times New Roman" w:hAnsi="Garamond" w:cs="Calibri"/>
                <w:i/>
                <w:iCs/>
                <w:color w:val="000000"/>
                <w:sz w:val="20"/>
                <w:szCs w:val="20"/>
                <w:lang w:val="en-IN" w:eastAsia="en-IN" w:bidi="hi-IN"/>
              </w:rPr>
              <w:t xml:space="preserve">            Put</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11,24,196</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13,90,363</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23.7</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i/>
                <w:iCs/>
                <w:color w:val="000000"/>
                <w:sz w:val="20"/>
                <w:szCs w:val="20"/>
                <w:lang w:val="en-IN" w:eastAsia="en-IN" w:bidi="hi-IN"/>
              </w:rPr>
            </w:pPr>
            <w:r w:rsidRPr="00CB116D">
              <w:rPr>
                <w:rFonts w:ascii="Garamond" w:eastAsia="Times New Roman" w:hAnsi="Garamond" w:cs="Calibri"/>
                <w:i/>
                <w:iCs/>
                <w:color w:val="000000"/>
                <w:sz w:val="20"/>
                <w:szCs w:val="20"/>
                <w:lang w:val="en-IN" w:eastAsia="en-IN" w:bidi="hi-IN"/>
              </w:rPr>
              <w:t xml:space="preserve">          Call</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30,14,179</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39,00,180</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29.4</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0.08</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 xml:space="preserve">         Total</w:t>
            </w:r>
          </w:p>
        </w:tc>
        <w:tc>
          <w:tcPr>
            <w:tcW w:w="1456"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11,31,23,232</w:t>
            </w:r>
          </w:p>
        </w:tc>
        <w:tc>
          <w:tcPr>
            <w:tcW w:w="1539"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12,05,34,948</w:t>
            </w:r>
          </w:p>
        </w:tc>
        <w:tc>
          <w:tcPr>
            <w:tcW w:w="1203"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6.6</w:t>
            </w:r>
          </w:p>
        </w:tc>
        <w:tc>
          <w:tcPr>
            <w:tcW w:w="1226"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63,59,836</w:t>
            </w:r>
          </w:p>
        </w:tc>
        <w:tc>
          <w:tcPr>
            <w:tcW w:w="1399"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63,70,922</w:t>
            </w:r>
          </w:p>
        </w:tc>
        <w:tc>
          <w:tcPr>
            <w:tcW w:w="1160"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0.17</w:t>
            </w:r>
          </w:p>
        </w:tc>
      </w:tr>
      <w:tr w:rsidR="00D41F15" w:rsidRPr="00CB116D" w:rsidTr="00D41F15">
        <w:trPr>
          <w:trHeight w:val="272"/>
        </w:trPr>
        <w:tc>
          <w:tcPr>
            <w:tcW w:w="10081" w:type="dxa"/>
            <w:gridSpan w:val="7"/>
            <w:tcBorders>
              <w:top w:val="single" w:sz="8" w:space="0" w:color="auto"/>
              <w:left w:val="single" w:sz="8" w:space="0" w:color="auto"/>
              <w:bottom w:val="single" w:sz="8" w:space="0" w:color="auto"/>
              <w:right w:val="single" w:sz="8" w:space="0" w:color="000000"/>
            </w:tcBorders>
            <w:shd w:val="clear" w:color="000000" w:fill="FFFFCC"/>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 xml:space="preserve">B. No. of Contracts </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xml:space="preserve">   (i) Index  Futures</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62,17,505</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 xml:space="preserve">        63,41,929 </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2.0</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297</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123</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-58.6</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xml:space="preserve">   (ii) Options on Index</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 </w:t>
            </w:r>
          </w:p>
        </w:tc>
        <w:tc>
          <w:tcPr>
            <w:tcW w:w="1539" w:type="dxa"/>
            <w:tcBorders>
              <w:top w:val="nil"/>
              <w:left w:val="nil"/>
              <w:bottom w:val="single" w:sz="8" w:space="0" w:color="auto"/>
              <w:right w:val="single" w:sz="8" w:space="0" w:color="auto"/>
            </w:tcBorders>
            <w:shd w:val="clear" w:color="auto" w:fill="auto"/>
            <w:noWrap/>
            <w:vAlign w:val="bottom"/>
            <w:hideMark/>
          </w:tcPr>
          <w:p w:rsidR="00D41F15" w:rsidRPr="00CB116D" w:rsidRDefault="00D41F15" w:rsidP="00D41F15">
            <w:pPr>
              <w:rPr>
                <w:rFonts w:ascii="Palatino Linotype" w:eastAsia="Times New Roman" w:hAnsi="Palatino Linotype" w:cs="Calibri"/>
                <w:color w:val="000000"/>
                <w:sz w:val="22"/>
                <w:szCs w:val="22"/>
                <w:lang w:val="en-IN" w:eastAsia="en-IN" w:bidi="hi-IN"/>
              </w:rPr>
            </w:pPr>
            <w:r w:rsidRPr="00CB116D">
              <w:rPr>
                <w:rFonts w:ascii="Palatino Linotype" w:eastAsia="Times New Roman" w:hAnsi="Palatino Linotype" w:cs="Calibri"/>
                <w:color w:val="000000"/>
                <w:sz w:val="22"/>
                <w:szCs w:val="22"/>
                <w:lang w:val="en-IN" w:eastAsia="en-IN" w:bidi="hi-IN"/>
              </w:rPr>
              <w:t> </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i/>
                <w:iCs/>
                <w:color w:val="000000"/>
                <w:sz w:val="20"/>
                <w:szCs w:val="20"/>
                <w:lang w:val="en-IN" w:eastAsia="en-IN" w:bidi="hi-IN"/>
              </w:rPr>
            </w:pPr>
            <w:r w:rsidRPr="00CB116D">
              <w:rPr>
                <w:rFonts w:ascii="Garamond" w:eastAsia="Times New Roman" w:hAnsi="Garamond" w:cs="Calibri"/>
                <w:i/>
                <w:iCs/>
                <w:color w:val="000000"/>
                <w:sz w:val="20"/>
                <w:szCs w:val="20"/>
                <w:lang w:val="en-IN" w:eastAsia="en-IN" w:bidi="hi-IN"/>
              </w:rPr>
              <w:t xml:space="preserve">            Put</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55,43,21,856</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63,98,80,968</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15.4</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2,21,84,584</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2,20,21,990</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-0.7</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i/>
                <w:iCs/>
                <w:color w:val="000000"/>
                <w:sz w:val="20"/>
                <w:szCs w:val="20"/>
                <w:lang w:val="en-IN" w:eastAsia="en-IN" w:bidi="hi-IN"/>
              </w:rPr>
            </w:pPr>
            <w:r w:rsidRPr="00CB116D">
              <w:rPr>
                <w:rFonts w:ascii="Garamond" w:eastAsia="Times New Roman" w:hAnsi="Garamond" w:cs="Calibri"/>
                <w:i/>
                <w:iCs/>
                <w:color w:val="000000"/>
                <w:sz w:val="20"/>
                <w:szCs w:val="20"/>
                <w:lang w:val="en-IN" w:eastAsia="en-IN" w:bidi="hi-IN"/>
              </w:rPr>
              <w:t xml:space="preserve">           Call</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59,40,41,199</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66,52,89,585</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12.0</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5,36,14,041</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5,15,49,485</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-3.9</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xml:space="preserve">  (iii) Stock Futures</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1,92,78,363</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2,04,08,119</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5.9</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NA</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(iv) Options on Stock</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 </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 </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i/>
                <w:iCs/>
                <w:color w:val="000000"/>
                <w:sz w:val="20"/>
                <w:szCs w:val="20"/>
                <w:lang w:val="en-IN" w:eastAsia="en-IN" w:bidi="hi-IN"/>
              </w:rPr>
            </w:pPr>
            <w:r w:rsidRPr="00CB116D">
              <w:rPr>
                <w:rFonts w:ascii="Garamond" w:eastAsia="Times New Roman" w:hAnsi="Garamond" w:cs="Calibri"/>
                <w:i/>
                <w:iCs/>
                <w:color w:val="000000"/>
                <w:sz w:val="20"/>
                <w:szCs w:val="20"/>
                <w:lang w:val="en-IN" w:eastAsia="en-IN" w:bidi="hi-IN"/>
              </w:rPr>
              <w:t xml:space="preserve">            Put</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1,40,07,406</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1,69,00,790</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20.7</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NA</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i/>
                <w:iCs/>
                <w:color w:val="000000"/>
                <w:sz w:val="20"/>
                <w:szCs w:val="20"/>
                <w:lang w:val="en-IN" w:eastAsia="en-IN" w:bidi="hi-IN"/>
              </w:rPr>
            </w:pPr>
            <w:r w:rsidRPr="00CB116D">
              <w:rPr>
                <w:rFonts w:ascii="Garamond" w:eastAsia="Times New Roman" w:hAnsi="Garamond" w:cs="Calibri"/>
                <w:i/>
                <w:iCs/>
                <w:color w:val="000000"/>
                <w:sz w:val="20"/>
                <w:szCs w:val="20"/>
                <w:lang w:val="en-IN" w:eastAsia="en-IN" w:bidi="hi-IN"/>
              </w:rPr>
              <w:t xml:space="preserve">          Call</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3,53,30,628</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4,42,54,771</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25.3</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NA</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 xml:space="preserve">         Total</w:t>
            </w:r>
          </w:p>
        </w:tc>
        <w:tc>
          <w:tcPr>
            <w:tcW w:w="1456"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1,22,31,96,957</w:t>
            </w:r>
          </w:p>
        </w:tc>
        <w:tc>
          <w:tcPr>
            <w:tcW w:w="1539"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1,39,30,76,162</w:t>
            </w:r>
          </w:p>
        </w:tc>
        <w:tc>
          <w:tcPr>
            <w:tcW w:w="1203"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13.9</w:t>
            </w:r>
          </w:p>
        </w:tc>
        <w:tc>
          <w:tcPr>
            <w:tcW w:w="1226"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7,57,98,922</w:t>
            </w:r>
          </w:p>
        </w:tc>
        <w:tc>
          <w:tcPr>
            <w:tcW w:w="1399"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7,35,71,598</w:t>
            </w:r>
          </w:p>
        </w:tc>
        <w:tc>
          <w:tcPr>
            <w:tcW w:w="1160"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-2.9</w:t>
            </w:r>
          </w:p>
        </w:tc>
      </w:tr>
      <w:tr w:rsidR="00D41F15" w:rsidRPr="00CB116D" w:rsidTr="00D41F15">
        <w:trPr>
          <w:trHeight w:val="272"/>
        </w:trPr>
        <w:tc>
          <w:tcPr>
            <w:tcW w:w="10081" w:type="dxa"/>
            <w:gridSpan w:val="7"/>
            <w:tcBorders>
              <w:top w:val="single" w:sz="8" w:space="0" w:color="auto"/>
              <w:left w:val="single" w:sz="8" w:space="0" w:color="auto"/>
              <w:bottom w:val="single" w:sz="8" w:space="0" w:color="auto"/>
              <w:right w:val="single" w:sz="8" w:space="0" w:color="000000"/>
            </w:tcBorders>
            <w:shd w:val="clear" w:color="000000" w:fill="FFFFCC"/>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 xml:space="preserve">C.  Open Interest in Terms of Value </w:t>
            </w:r>
            <w:r w:rsidRPr="00CB116D">
              <w:rPr>
                <w:rFonts w:ascii="Times New Roman" w:eastAsia="Times New Roman" w:hAnsi="Times New Roman"/>
                <w:b/>
                <w:bCs/>
                <w:color w:val="000000"/>
                <w:sz w:val="20"/>
                <w:szCs w:val="20"/>
                <w:lang w:val="en-IN" w:eastAsia="en-IN" w:bidi="hi-IN"/>
              </w:rPr>
              <w:t>(</w:t>
            </w:r>
            <w:r w:rsidRPr="00CB116D">
              <w:rPr>
                <w:rFonts w:ascii="Rupee Foradian" w:eastAsia="Times New Roman" w:hAnsi="Rupee Foradian" w:cs="Calibri"/>
                <w:b/>
                <w:bCs/>
                <w:color w:val="000000"/>
                <w:sz w:val="20"/>
                <w:szCs w:val="20"/>
                <w:lang w:val="en-IN" w:eastAsia="en-IN" w:bidi="hi-IN"/>
              </w:rPr>
              <w:t>`</w:t>
            </w:r>
            <w:r w:rsidRPr="00CB116D">
              <w:rPr>
                <w:rFonts w:ascii="Palatino Linotype" w:eastAsia="Times New Roman" w:hAnsi="Palatino Linotype" w:cs="Calibri"/>
                <w:b/>
                <w:bCs/>
                <w:color w:val="000000"/>
                <w:sz w:val="20"/>
                <w:szCs w:val="20"/>
                <w:lang w:val="en-IN" w:eastAsia="en-IN" w:bidi="hi-IN"/>
              </w:rPr>
              <w:t xml:space="preserve"> crore) as on 31</w:t>
            </w:r>
            <w:r w:rsidRPr="00CB116D">
              <w:rPr>
                <w:rFonts w:ascii="Palatino Linotype" w:eastAsia="Times New Roman" w:hAnsi="Palatino Linotype" w:cs="Calibri"/>
                <w:b/>
                <w:bCs/>
                <w:color w:val="000000"/>
                <w:sz w:val="20"/>
                <w:szCs w:val="20"/>
                <w:vertAlign w:val="superscript"/>
                <w:lang w:val="en-IN" w:eastAsia="en-IN" w:bidi="hi-IN"/>
              </w:rPr>
              <w:t>st</w:t>
            </w:r>
            <w:r w:rsidRPr="00CB116D">
              <w:rPr>
                <w:rFonts w:ascii="Palatino Linotype" w:eastAsia="Times New Roman" w:hAnsi="Palatino Linotype" w:cs="Calibri"/>
                <w:b/>
                <w:bCs/>
                <w:color w:val="000000"/>
                <w:sz w:val="20"/>
                <w:szCs w:val="20"/>
                <w:lang w:val="en-IN" w:eastAsia="en-IN" w:bidi="hi-IN"/>
              </w:rPr>
              <w:t xml:space="preserve"> August 2021</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xml:space="preserve">   (i) Index  Futures</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23,729</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33,219</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hAnsi="Garamond" w:cs="Calibri"/>
                <w:color w:val="000000"/>
                <w:sz w:val="20"/>
                <w:szCs w:val="20"/>
              </w:rPr>
            </w:pPr>
            <w:r w:rsidRPr="00CB116D">
              <w:rPr>
                <w:rFonts w:ascii="Garamond" w:hAnsi="Garamond" w:cs="Calibri"/>
                <w:color w:val="000000"/>
                <w:sz w:val="20"/>
                <w:szCs w:val="20"/>
              </w:rPr>
              <w:t>39.9</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0.58</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1.1</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86.2</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xml:space="preserve">   (ii) Options on Index</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 </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 </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hAnsi="Garamond" w:cs="Calibri"/>
                <w:color w:val="000000"/>
                <w:sz w:val="20"/>
                <w:szCs w:val="20"/>
              </w:rPr>
            </w:pPr>
            <w:r w:rsidRPr="00CB116D">
              <w:rPr>
                <w:rFonts w:ascii="Garamond" w:hAnsi="Garamond" w:cs="Calibri"/>
                <w:color w:val="000000"/>
                <w:sz w:val="20"/>
                <w:szCs w:val="20"/>
              </w:rPr>
              <w:t> </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i/>
                <w:iCs/>
                <w:color w:val="000000"/>
                <w:sz w:val="20"/>
                <w:szCs w:val="20"/>
                <w:lang w:val="en-IN" w:eastAsia="en-IN" w:bidi="hi-IN"/>
              </w:rPr>
            </w:pPr>
            <w:r w:rsidRPr="00CB116D">
              <w:rPr>
                <w:rFonts w:ascii="Garamond" w:eastAsia="Times New Roman" w:hAnsi="Garamond" w:cs="Calibri"/>
                <w:i/>
                <w:iCs/>
                <w:color w:val="000000"/>
                <w:sz w:val="20"/>
                <w:szCs w:val="20"/>
                <w:lang w:val="en-IN" w:eastAsia="en-IN" w:bidi="hi-IN"/>
              </w:rPr>
              <w:t xml:space="preserve">            Put</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1,57,932</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3,01,275</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hAnsi="Garamond" w:cs="Calibri"/>
                <w:color w:val="000000"/>
                <w:sz w:val="20"/>
                <w:szCs w:val="20"/>
              </w:rPr>
            </w:pPr>
            <w:r w:rsidRPr="00CB116D">
              <w:rPr>
                <w:rFonts w:ascii="Garamond" w:hAnsi="Garamond" w:cs="Calibri"/>
                <w:color w:val="000000"/>
                <w:sz w:val="20"/>
                <w:szCs w:val="20"/>
              </w:rPr>
              <w:t>90.8</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2.6</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25.1</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880.5</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i/>
                <w:iCs/>
                <w:color w:val="000000"/>
                <w:sz w:val="20"/>
                <w:szCs w:val="20"/>
                <w:lang w:val="en-IN" w:eastAsia="en-IN" w:bidi="hi-IN"/>
              </w:rPr>
            </w:pPr>
            <w:r w:rsidRPr="00CB116D">
              <w:rPr>
                <w:rFonts w:ascii="Garamond" w:eastAsia="Times New Roman" w:hAnsi="Garamond" w:cs="Calibri"/>
                <w:i/>
                <w:iCs/>
                <w:color w:val="000000"/>
                <w:sz w:val="20"/>
                <w:szCs w:val="20"/>
                <w:lang w:val="en-IN" w:eastAsia="en-IN" w:bidi="hi-IN"/>
              </w:rPr>
              <w:t xml:space="preserve">           Call</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1,61,142</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2,10,098</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hAnsi="Garamond" w:cs="Calibri"/>
                <w:color w:val="000000"/>
                <w:sz w:val="20"/>
                <w:szCs w:val="20"/>
              </w:rPr>
            </w:pPr>
            <w:r w:rsidRPr="00CB116D">
              <w:rPr>
                <w:rFonts w:ascii="Garamond" w:hAnsi="Garamond" w:cs="Calibri"/>
                <w:color w:val="000000"/>
                <w:sz w:val="20"/>
                <w:szCs w:val="20"/>
              </w:rPr>
              <w:t>30.4</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3.1</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27.7</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805.2</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xml:space="preserve">  (iii) Stock Futures</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1,70,656</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1,80,809</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hAnsi="Garamond" w:cs="Calibri"/>
                <w:color w:val="000000"/>
                <w:sz w:val="20"/>
                <w:szCs w:val="20"/>
              </w:rPr>
            </w:pPr>
            <w:r w:rsidRPr="00CB116D">
              <w:rPr>
                <w:rFonts w:ascii="Garamond" w:hAnsi="Garamond" w:cs="Calibri"/>
                <w:color w:val="000000"/>
                <w:sz w:val="20"/>
                <w:szCs w:val="20"/>
              </w:rPr>
              <w:t>5.9</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0.0</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NA </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(iv) Options on Stock</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 </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 </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hAnsi="Garamond" w:cs="Calibri"/>
                <w:color w:val="000000"/>
                <w:sz w:val="20"/>
                <w:szCs w:val="20"/>
              </w:rPr>
            </w:pPr>
            <w:r w:rsidRPr="00CB116D">
              <w:rPr>
                <w:rFonts w:ascii="Garamond" w:hAnsi="Garamond" w:cs="Calibri"/>
                <w:color w:val="000000"/>
                <w:sz w:val="20"/>
                <w:szCs w:val="20"/>
              </w:rPr>
              <w:t> </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i/>
                <w:iCs/>
                <w:color w:val="000000"/>
                <w:sz w:val="20"/>
                <w:szCs w:val="20"/>
                <w:lang w:val="en-IN" w:eastAsia="en-IN" w:bidi="hi-IN"/>
              </w:rPr>
            </w:pPr>
            <w:r w:rsidRPr="00CB116D">
              <w:rPr>
                <w:rFonts w:ascii="Garamond" w:eastAsia="Times New Roman" w:hAnsi="Garamond" w:cs="Calibri"/>
                <w:i/>
                <w:iCs/>
                <w:color w:val="000000"/>
                <w:sz w:val="20"/>
                <w:szCs w:val="20"/>
                <w:lang w:val="en-IN" w:eastAsia="en-IN" w:bidi="hi-IN"/>
              </w:rPr>
              <w:t xml:space="preserve">            Put</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31,469</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34,437</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hAnsi="Garamond" w:cs="Calibri"/>
                <w:color w:val="000000"/>
                <w:sz w:val="20"/>
                <w:szCs w:val="20"/>
              </w:rPr>
            </w:pPr>
            <w:r w:rsidRPr="00CB116D">
              <w:rPr>
                <w:rFonts w:ascii="Garamond" w:hAnsi="Garamond" w:cs="Calibri"/>
                <w:color w:val="000000"/>
                <w:sz w:val="20"/>
                <w:szCs w:val="20"/>
              </w:rPr>
              <w:t>9.4</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0.0</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NA</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i/>
                <w:iCs/>
                <w:color w:val="000000"/>
                <w:sz w:val="20"/>
                <w:szCs w:val="20"/>
                <w:lang w:val="en-IN" w:eastAsia="en-IN" w:bidi="hi-IN"/>
              </w:rPr>
            </w:pPr>
            <w:r w:rsidRPr="00CB116D">
              <w:rPr>
                <w:rFonts w:ascii="Garamond" w:eastAsia="Times New Roman" w:hAnsi="Garamond" w:cs="Calibri"/>
                <w:i/>
                <w:iCs/>
                <w:color w:val="000000"/>
                <w:sz w:val="20"/>
                <w:szCs w:val="20"/>
                <w:lang w:val="en-IN" w:eastAsia="en-IN" w:bidi="hi-IN"/>
              </w:rPr>
              <w:t xml:space="preserve">          Call</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52,398</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56,730</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hAnsi="Garamond" w:cs="Calibri"/>
                <w:color w:val="000000"/>
                <w:sz w:val="20"/>
                <w:szCs w:val="20"/>
              </w:rPr>
            </w:pPr>
            <w:r w:rsidRPr="00CB116D">
              <w:rPr>
                <w:rFonts w:ascii="Garamond" w:hAnsi="Garamond" w:cs="Calibri"/>
                <w:color w:val="000000"/>
                <w:sz w:val="20"/>
                <w:szCs w:val="20"/>
              </w:rPr>
              <w:t>8.3</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0.0</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NA</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 xml:space="preserve">         Total</w:t>
            </w:r>
          </w:p>
        </w:tc>
        <w:tc>
          <w:tcPr>
            <w:tcW w:w="1456"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5,97,327</w:t>
            </w:r>
          </w:p>
        </w:tc>
        <w:tc>
          <w:tcPr>
            <w:tcW w:w="1539"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8,16,567</w:t>
            </w:r>
          </w:p>
        </w:tc>
        <w:tc>
          <w:tcPr>
            <w:tcW w:w="1203"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36.7</w:t>
            </w:r>
          </w:p>
        </w:tc>
        <w:tc>
          <w:tcPr>
            <w:tcW w:w="1226"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6.3</w:t>
            </w:r>
          </w:p>
        </w:tc>
        <w:tc>
          <w:tcPr>
            <w:tcW w:w="1399"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53.9</w:t>
            </w:r>
          </w:p>
        </w:tc>
        <w:tc>
          <w:tcPr>
            <w:tcW w:w="1160"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758</w:t>
            </w:r>
          </w:p>
        </w:tc>
      </w:tr>
      <w:tr w:rsidR="00D41F15" w:rsidRPr="00CB116D" w:rsidTr="00D41F15">
        <w:trPr>
          <w:trHeight w:val="272"/>
        </w:trPr>
        <w:tc>
          <w:tcPr>
            <w:tcW w:w="10081" w:type="dxa"/>
            <w:gridSpan w:val="7"/>
            <w:tcBorders>
              <w:top w:val="single" w:sz="8" w:space="0" w:color="auto"/>
              <w:left w:val="single" w:sz="8" w:space="0" w:color="auto"/>
              <w:bottom w:val="single" w:sz="8" w:space="0" w:color="auto"/>
              <w:right w:val="single" w:sz="8" w:space="0" w:color="000000"/>
            </w:tcBorders>
            <w:shd w:val="clear" w:color="000000" w:fill="FFFFCC"/>
            <w:vAlign w:val="center"/>
            <w:hideMark/>
          </w:tcPr>
          <w:p w:rsidR="00D41F15" w:rsidRPr="00CB116D" w:rsidRDefault="00D41F15" w:rsidP="00D41F15">
            <w:pPr>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D.  Open Interest in Terms of No. of Contracts as on 31</w:t>
            </w:r>
            <w:r w:rsidRPr="00CB116D">
              <w:rPr>
                <w:rFonts w:ascii="Palatino Linotype" w:eastAsia="Times New Roman" w:hAnsi="Palatino Linotype" w:cs="Calibri"/>
                <w:b/>
                <w:bCs/>
                <w:color w:val="000000"/>
                <w:sz w:val="20"/>
                <w:szCs w:val="20"/>
                <w:vertAlign w:val="superscript"/>
                <w:lang w:val="en-IN" w:eastAsia="en-IN" w:bidi="hi-IN"/>
              </w:rPr>
              <w:t>st</w:t>
            </w:r>
            <w:r w:rsidRPr="00CB116D">
              <w:rPr>
                <w:rFonts w:ascii="Palatino Linotype" w:eastAsia="Times New Roman" w:hAnsi="Palatino Linotype" w:cs="Calibri"/>
                <w:b/>
                <w:bCs/>
                <w:color w:val="000000"/>
                <w:sz w:val="20"/>
                <w:szCs w:val="20"/>
                <w:lang w:val="en-IN" w:eastAsia="en-IN" w:bidi="hi-IN"/>
              </w:rPr>
              <w:t xml:space="preserve"> August 2021</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xml:space="preserve">   (i) Index  Futures</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2,92,690</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3,83,039</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hAnsi="Garamond" w:cs="Calibri"/>
                <w:color w:val="000000"/>
                <w:sz w:val="20"/>
                <w:szCs w:val="20"/>
              </w:rPr>
            </w:pPr>
            <w:r w:rsidRPr="00CB116D">
              <w:rPr>
                <w:rFonts w:ascii="Garamond" w:hAnsi="Garamond" w:cs="Calibri"/>
                <w:color w:val="000000"/>
                <w:sz w:val="20"/>
                <w:szCs w:val="20"/>
              </w:rPr>
              <w:t>30.9</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7</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12</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71.4</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xml:space="preserve">   (ii) Options on Index</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 </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 </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hAnsi="Garamond" w:cs="Calibri"/>
                <w:color w:val="000000"/>
                <w:sz w:val="20"/>
                <w:szCs w:val="20"/>
              </w:rPr>
            </w:pPr>
            <w:r w:rsidRPr="00CB116D">
              <w:rPr>
                <w:rFonts w:ascii="Garamond" w:hAnsi="Garamond" w:cs="Calibri"/>
                <w:color w:val="000000"/>
                <w:sz w:val="20"/>
                <w:szCs w:val="20"/>
              </w:rPr>
              <w:t> </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i/>
                <w:iCs/>
                <w:color w:val="000000"/>
                <w:sz w:val="20"/>
                <w:szCs w:val="20"/>
                <w:lang w:val="en-IN" w:eastAsia="en-IN" w:bidi="hi-IN"/>
              </w:rPr>
            </w:pPr>
            <w:r w:rsidRPr="00CB116D">
              <w:rPr>
                <w:rFonts w:ascii="Garamond" w:eastAsia="Times New Roman" w:hAnsi="Garamond" w:cs="Calibri"/>
                <w:i/>
                <w:iCs/>
                <w:color w:val="000000"/>
                <w:sz w:val="20"/>
                <w:szCs w:val="20"/>
                <w:lang w:val="en-IN" w:eastAsia="en-IN" w:bidi="hi-IN"/>
              </w:rPr>
              <w:t xml:space="preserve">            Put</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19,50,195</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34,52,434</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hAnsi="Garamond" w:cs="Calibri"/>
                <w:color w:val="000000"/>
                <w:sz w:val="20"/>
                <w:szCs w:val="20"/>
              </w:rPr>
            </w:pPr>
            <w:r w:rsidRPr="00CB116D">
              <w:rPr>
                <w:rFonts w:ascii="Garamond" w:hAnsi="Garamond" w:cs="Calibri"/>
                <w:color w:val="000000"/>
                <w:sz w:val="20"/>
                <w:szCs w:val="20"/>
              </w:rPr>
              <w:t>77.0</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31.0</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279.0</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800.0</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i/>
                <w:iCs/>
                <w:color w:val="000000"/>
                <w:sz w:val="20"/>
                <w:szCs w:val="20"/>
                <w:lang w:val="en-IN" w:eastAsia="en-IN" w:bidi="hi-IN"/>
              </w:rPr>
            </w:pPr>
            <w:r w:rsidRPr="00CB116D">
              <w:rPr>
                <w:rFonts w:ascii="Garamond" w:eastAsia="Times New Roman" w:hAnsi="Garamond" w:cs="Calibri"/>
                <w:i/>
                <w:iCs/>
                <w:color w:val="000000"/>
                <w:sz w:val="20"/>
                <w:szCs w:val="20"/>
                <w:lang w:val="en-IN" w:eastAsia="en-IN" w:bidi="hi-IN"/>
              </w:rPr>
              <w:t xml:space="preserve">           Call</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19,77,180</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23,93,985</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hAnsi="Garamond" w:cs="Calibri"/>
                <w:color w:val="000000"/>
                <w:sz w:val="20"/>
                <w:szCs w:val="20"/>
              </w:rPr>
            </w:pPr>
            <w:r w:rsidRPr="00CB116D">
              <w:rPr>
                <w:rFonts w:ascii="Garamond" w:hAnsi="Garamond" w:cs="Calibri"/>
                <w:color w:val="000000"/>
                <w:sz w:val="20"/>
                <w:szCs w:val="20"/>
              </w:rPr>
              <w:t>21.1</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37.0</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308.0</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732.4</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xml:space="preserve">  (iii) Stock Futures</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21,22,318</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21,73,696</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hAnsi="Garamond" w:cs="Calibri"/>
                <w:color w:val="000000"/>
                <w:sz w:val="20"/>
                <w:szCs w:val="20"/>
              </w:rPr>
            </w:pPr>
            <w:r w:rsidRPr="00CB116D">
              <w:rPr>
                <w:rFonts w:ascii="Garamond" w:hAnsi="Garamond" w:cs="Calibri"/>
                <w:color w:val="000000"/>
                <w:sz w:val="20"/>
                <w:szCs w:val="20"/>
              </w:rPr>
              <w:t>2.4</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0.0</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(iv) Options on Stock</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 </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 </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hAnsi="Garamond" w:cs="Calibri"/>
                <w:color w:val="000000"/>
                <w:sz w:val="20"/>
                <w:szCs w:val="20"/>
              </w:rPr>
            </w:pPr>
            <w:r w:rsidRPr="00CB116D">
              <w:rPr>
                <w:rFonts w:ascii="Garamond" w:hAnsi="Garamond" w:cs="Calibri"/>
                <w:color w:val="000000"/>
                <w:sz w:val="20"/>
                <w:szCs w:val="20"/>
              </w:rPr>
              <w:t> </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 </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i/>
                <w:iCs/>
                <w:color w:val="000000"/>
                <w:sz w:val="20"/>
                <w:szCs w:val="20"/>
                <w:lang w:val="en-IN" w:eastAsia="en-IN" w:bidi="hi-IN"/>
              </w:rPr>
            </w:pPr>
            <w:r w:rsidRPr="00CB116D">
              <w:rPr>
                <w:rFonts w:ascii="Garamond" w:eastAsia="Times New Roman" w:hAnsi="Garamond" w:cs="Calibri"/>
                <w:i/>
                <w:iCs/>
                <w:color w:val="000000"/>
                <w:sz w:val="20"/>
                <w:szCs w:val="20"/>
                <w:lang w:val="en-IN" w:eastAsia="en-IN" w:bidi="hi-IN"/>
              </w:rPr>
              <w:t xml:space="preserve">            Put</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4,01,683</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4,11,985</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hAnsi="Garamond" w:cs="Calibri"/>
                <w:color w:val="000000"/>
                <w:sz w:val="20"/>
                <w:szCs w:val="20"/>
              </w:rPr>
            </w:pPr>
            <w:r w:rsidRPr="00CB116D">
              <w:rPr>
                <w:rFonts w:ascii="Garamond" w:hAnsi="Garamond" w:cs="Calibri"/>
                <w:color w:val="000000"/>
                <w:sz w:val="20"/>
                <w:szCs w:val="20"/>
              </w:rPr>
              <w:t>2.6</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0.0</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i/>
                <w:iCs/>
                <w:color w:val="000000"/>
                <w:sz w:val="20"/>
                <w:szCs w:val="20"/>
                <w:lang w:val="en-IN" w:eastAsia="en-IN" w:bidi="hi-IN"/>
              </w:rPr>
            </w:pPr>
            <w:r w:rsidRPr="00CB116D">
              <w:rPr>
                <w:rFonts w:ascii="Garamond" w:eastAsia="Times New Roman" w:hAnsi="Garamond" w:cs="Calibri"/>
                <w:i/>
                <w:iCs/>
                <w:color w:val="000000"/>
                <w:sz w:val="20"/>
                <w:szCs w:val="20"/>
                <w:lang w:val="en-IN" w:eastAsia="en-IN" w:bidi="hi-IN"/>
              </w:rPr>
              <w:t xml:space="preserve">          Call</w:t>
            </w:r>
          </w:p>
        </w:tc>
        <w:tc>
          <w:tcPr>
            <w:tcW w:w="145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6,69,221</w:t>
            </w:r>
          </w:p>
        </w:tc>
        <w:tc>
          <w:tcPr>
            <w:tcW w:w="153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Palatino Linotype" w:eastAsia="Times New Roman" w:hAnsi="Palatino Linotype" w:cs="Calibri"/>
                <w:color w:val="000000"/>
                <w:sz w:val="20"/>
                <w:szCs w:val="20"/>
                <w:lang w:val="en-IN" w:eastAsia="en-IN" w:bidi="hi-IN"/>
              </w:rPr>
            </w:pPr>
            <w:r w:rsidRPr="00CB116D">
              <w:rPr>
                <w:rFonts w:ascii="Palatino Linotype" w:eastAsia="Times New Roman" w:hAnsi="Palatino Linotype" w:cs="Calibri"/>
                <w:color w:val="000000"/>
                <w:sz w:val="20"/>
                <w:szCs w:val="20"/>
                <w:lang w:val="en-IN" w:eastAsia="en-IN" w:bidi="hi-IN"/>
              </w:rPr>
              <w:t>6,86,600</w:t>
            </w:r>
          </w:p>
        </w:tc>
        <w:tc>
          <w:tcPr>
            <w:tcW w:w="1203"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hAnsi="Garamond" w:cs="Calibri"/>
                <w:color w:val="000000"/>
                <w:sz w:val="20"/>
                <w:szCs w:val="20"/>
              </w:rPr>
            </w:pPr>
            <w:r w:rsidRPr="00CB116D">
              <w:rPr>
                <w:rFonts w:ascii="Garamond" w:hAnsi="Garamond" w:cs="Calibri"/>
                <w:color w:val="000000"/>
                <w:sz w:val="20"/>
                <w:szCs w:val="20"/>
              </w:rPr>
              <w:t>2.6</w:t>
            </w:r>
          </w:p>
        </w:tc>
        <w:tc>
          <w:tcPr>
            <w:tcW w:w="1226"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0.0</w:t>
            </w:r>
          </w:p>
        </w:tc>
        <w:tc>
          <w:tcPr>
            <w:tcW w:w="1399"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0</w:t>
            </w:r>
          </w:p>
        </w:tc>
        <w:tc>
          <w:tcPr>
            <w:tcW w:w="1160" w:type="dxa"/>
            <w:tcBorders>
              <w:top w:val="nil"/>
              <w:left w:val="nil"/>
              <w:bottom w:val="single" w:sz="8" w:space="0" w:color="auto"/>
              <w:right w:val="single" w:sz="8" w:space="0" w:color="auto"/>
            </w:tcBorders>
            <w:shd w:val="clear" w:color="auto" w:fill="auto"/>
            <w:noWrap/>
            <w:vAlign w:val="center"/>
            <w:hideMark/>
          </w:tcPr>
          <w:p w:rsidR="00D41F15" w:rsidRPr="00CB116D" w:rsidRDefault="00D41F15" w:rsidP="00D41F15">
            <w:pPr>
              <w:jc w:val="right"/>
              <w:rPr>
                <w:rFonts w:ascii="Garamond" w:eastAsia="Times New Roman" w:hAnsi="Garamond" w:cs="Calibri"/>
                <w:color w:val="000000"/>
                <w:sz w:val="20"/>
                <w:szCs w:val="20"/>
                <w:lang w:val="en-IN" w:eastAsia="en-IN" w:bidi="hi-IN"/>
              </w:rPr>
            </w:pPr>
            <w:r w:rsidRPr="00CB116D">
              <w:rPr>
                <w:rFonts w:ascii="Garamond" w:eastAsia="Times New Roman" w:hAnsi="Garamond" w:cs="Calibri"/>
                <w:color w:val="000000"/>
                <w:sz w:val="20"/>
                <w:szCs w:val="20"/>
                <w:lang w:val="en-IN" w:eastAsia="en-IN" w:bidi="hi-IN"/>
              </w:rPr>
              <w:t>-</w:t>
            </w:r>
          </w:p>
        </w:tc>
      </w:tr>
      <w:tr w:rsidR="00D41F15" w:rsidRPr="00CB116D" w:rsidTr="00D41F15">
        <w:trPr>
          <w:trHeight w:val="272"/>
        </w:trPr>
        <w:tc>
          <w:tcPr>
            <w:tcW w:w="2098" w:type="dxa"/>
            <w:tcBorders>
              <w:top w:val="nil"/>
              <w:left w:val="single" w:sz="8" w:space="0" w:color="auto"/>
              <w:bottom w:val="single" w:sz="8" w:space="0" w:color="auto"/>
              <w:right w:val="single" w:sz="8" w:space="0" w:color="auto"/>
            </w:tcBorders>
            <w:shd w:val="clear" w:color="000000" w:fill="C6D9F0"/>
            <w:noWrap/>
            <w:vAlign w:val="center"/>
            <w:hideMark/>
          </w:tcPr>
          <w:p w:rsidR="00D41F15" w:rsidRPr="00CB116D" w:rsidRDefault="00D41F15" w:rsidP="00D41F15">
            <w:pPr>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 xml:space="preserve">         Total</w:t>
            </w:r>
          </w:p>
        </w:tc>
        <w:tc>
          <w:tcPr>
            <w:tcW w:w="1456"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74,13,287</w:t>
            </w:r>
          </w:p>
        </w:tc>
        <w:tc>
          <w:tcPr>
            <w:tcW w:w="1539"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Palatino Linotype" w:eastAsia="Times New Roman" w:hAnsi="Palatino Linotype" w:cs="Calibri"/>
                <w:b/>
                <w:bCs/>
                <w:color w:val="000000"/>
                <w:sz w:val="20"/>
                <w:szCs w:val="20"/>
                <w:lang w:val="en-IN" w:eastAsia="en-IN" w:bidi="hi-IN"/>
              </w:rPr>
            </w:pPr>
            <w:r w:rsidRPr="00CB116D">
              <w:rPr>
                <w:rFonts w:ascii="Palatino Linotype" w:eastAsia="Times New Roman" w:hAnsi="Palatino Linotype" w:cs="Calibri"/>
                <w:b/>
                <w:bCs/>
                <w:color w:val="000000"/>
                <w:sz w:val="20"/>
                <w:szCs w:val="20"/>
                <w:lang w:val="en-IN" w:eastAsia="en-IN" w:bidi="hi-IN"/>
              </w:rPr>
              <w:t>95,01,739</w:t>
            </w:r>
          </w:p>
        </w:tc>
        <w:tc>
          <w:tcPr>
            <w:tcW w:w="1203"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28.2</w:t>
            </w:r>
          </w:p>
        </w:tc>
        <w:tc>
          <w:tcPr>
            <w:tcW w:w="1226"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75</w:t>
            </w:r>
          </w:p>
        </w:tc>
        <w:tc>
          <w:tcPr>
            <w:tcW w:w="1399"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599</w:t>
            </w:r>
          </w:p>
        </w:tc>
        <w:tc>
          <w:tcPr>
            <w:tcW w:w="1160" w:type="dxa"/>
            <w:tcBorders>
              <w:top w:val="nil"/>
              <w:left w:val="nil"/>
              <w:bottom w:val="single" w:sz="8" w:space="0" w:color="auto"/>
              <w:right w:val="single" w:sz="8" w:space="0" w:color="auto"/>
            </w:tcBorders>
            <w:shd w:val="clear" w:color="000000" w:fill="C6D9F0"/>
            <w:noWrap/>
            <w:vAlign w:val="center"/>
            <w:hideMark/>
          </w:tcPr>
          <w:p w:rsidR="00D41F15" w:rsidRPr="00CB116D" w:rsidRDefault="00D41F15" w:rsidP="00D41F15">
            <w:pPr>
              <w:jc w:val="right"/>
              <w:rPr>
                <w:rFonts w:ascii="Garamond" w:eastAsia="Times New Roman" w:hAnsi="Garamond" w:cs="Calibri"/>
                <w:b/>
                <w:bCs/>
                <w:color w:val="000000"/>
                <w:sz w:val="20"/>
                <w:szCs w:val="20"/>
                <w:lang w:val="en-IN" w:eastAsia="en-IN" w:bidi="hi-IN"/>
              </w:rPr>
            </w:pPr>
            <w:r w:rsidRPr="00CB116D">
              <w:rPr>
                <w:rFonts w:ascii="Garamond" w:eastAsia="Times New Roman" w:hAnsi="Garamond" w:cs="Calibri"/>
                <w:b/>
                <w:bCs/>
                <w:color w:val="000000"/>
                <w:sz w:val="20"/>
                <w:szCs w:val="20"/>
                <w:lang w:val="en-IN" w:eastAsia="en-IN" w:bidi="hi-IN"/>
              </w:rPr>
              <w:t>698.7</w:t>
            </w:r>
          </w:p>
        </w:tc>
      </w:tr>
    </w:tbl>
    <w:p w:rsidR="00D41F15" w:rsidRPr="00CB116D" w:rsidRDefault="00D41F15" w:rsidP="00D41F15">
      <w:pPr>
        <w:tabs>
          <w:tab w:val="left" w:pos="3135"/>
        </w:tabs>
        <w:spacing w:line="276" w:lineRule="auto"/>
        <w:rPr>
          <w:rFonts w:ascii="Palatino Linotype" w:eastAsia="Palatino Linotype" w:hAnsi="Palatino Linotype" w:cs="Palatino Linotype"/>
          <w:b/>
          <w:sz w:val="18"/>
          <w:szCs w:val="18"/>
        </w:rPr>
      </w:pPr>
      <w:r w:rsidRPr="00CB116D">
        <w:rPr>
          <w:rFonts w:ascii="Palatino Linotype" w:eastAsia="Palatino Linotype" w:hAnsi="Palatino Linotype" w:cs="Palatino Linotype"/>
          <w:b/>
          <w:sz w:val="22"/>
          <w:szCs w:val="22"/>
        </w:rPr>
        <w:fldChar w:fldCharType="end"/>
      </w:r>
      <w:r w:rsidRPr="00CB116D">
        <w:rPr>
          <w:rFonts w:ascii="Palatino Linotype" w:eastAsia="Palatino Linotype" w:hAnsi="Palatino Linotype" w:cs="Palatino Linotype"/>
          <w:b/>
          <w:sz w:val="18"/>
          <w:szCs w:val="18"/>
        </w:rPr>
        <w:t>Source: NSE and BSE</w:t>
      </w:r>
    </w:p>
    <w:p w:rsidR="00D41F15" w:rsidRPr="00CB116D" w:rsidRDefault="00D41F15" w:rsidP="00D41F15">
      <w:pPr>
        <w:tabs>
          <w:tab w:val="left" w:pos="3135"/>
        </w:tabs>
        <w:spacing w:line="276" w:lineRule="auto"/>
        <w:rPr>
          <w:rFonts w:ascii="Palatino Linotype" w:eastAsia="Palatino Linotype" w:hAnsi="Palatino Linotype" w:cs="Palatino Linotype"/>
          <w:b/>
          <w:color w:val="2E74B5"/>
          <w:sz w:val="22"/>
          <w:szCs w:val="22"/>
        </w:rPr>
      </w:pPr>
    </w:p>
    <w:p w:rsidR="00D41F15" w:rsidRPr="00CB116D" w:rsidRDefault="00D41F15" w:rsidP="00D41F15">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rPr>
      </w:pPr>
    </w:p>
    <w:p w:rsidR="00D41F15" w:rsidRPr="00CB116D" w:rsidRDefault="00D41F15" w:rsidP="00D41F15">
      <w:pPr>
        <w:pBdr>
          <w:top w:val="nil"/>
          <w:left w:val="nil"/>
          <w:bottom w:val="nil"/>
          <w:right w:val="nil"/>
          <w:between w:val="nil"/>
        </w:pBdr>
        <w:rPr>
          <w:rFonts w:ascii="Palatino Linotype" w:eastAsia="Palatino Linotype" w:hAnsi="Palatino Linotype" w:cs="Palatino Linotype"/>
          <w:b/>
          <w:sz w:val="22"/>
          <w:szCs w:val="22"/>
        </w:rPr>
      </w:pPr>
      <w:r w:rsidRPr="00CB116D">
        <w:rPr>
          <w:rFonts w:ascii="Palatino Linotype" w:eastAsia="Palatino Linotype" w:hAnsi="Palatino Linotype" w:cs="Palatino Linotype"/>
          <w:b/>
          <w:sz w:val="22"/>
          <w:szCs w:val="22"/>
        </w:rPr>
        <w:t xml:space="preserve">     Figure 7: Trends of Average Daily Notional Turnover at BSE and NSE (</w:t>
      </w:r>
      <w:r w:rsidRPr="00CB116D">
        <w:rPr>
          <w:rFonts w:ascii="Arial" w:eastAsia="Palatino Linotype" w:hAnsi="Arial" w:cs="Arial"/>
          <w:b/>
          <w:sz w:val="20"/>
          <w:szCs w:val="22"/>
        </w:rPr>
        <w:t>₹</w:t>
      </w:r>
      <w:r w:rsidRPr="00CB116D">
        <w:rPr>
          <w:rFonts w:ascii="Palatino Linotype" w:eastAsia="Palatino Linotype" w:hAnsi="Palatino Linotype" w:cs="Palatino Linotype"/>
          <w:b/>
          <w:sz w:val="22"/>
          <w:szCs w:val="22"/>
        </w:rPr>
        <w:t xml:space="preserve"> crore)</w:t>
      </w:r>
    </w:p>
    <w:p w:rsidR="00D41F15" w:rsidRPr="00CB116D" w:rsidRDefault="00D41F15" w:rsidP="00D41F15">
      <w:pPr>
        <w:pBdr>
          <w:top w:val="nil"/>
          <w:left w:val="nil"/>
          <w:bottom w:val="nil"/>
          <w:right w:val="nil"/>
          <w:between w:val="nil"/>
        </w:pBdr>
        <w:jc w:val="center"/>
        <w:rPr>
          <w:rFonts w:ascii="Palatino Linotype" w:eastAsia="Palatino Linotype" w:hAnsi="Palatino Linotype" w:cs="Palatino Linotype"/>
          <w:b/>
          <w:sz w:val="22"/>
          <w:szCs w:val="22"/>
        </w:rPr>
      </w:pPr>
      <w:r w:rsidRPr="00CB116D">
        <w:rPr>
          <w:noProof/>
          <w:lang w:val="en-IN" w:eastAsia="en-IN" w:bidi="hi-IN"/>
        </w:rPr>
        <w:drawing>
          <wp:inline distT="0" distB="0" distL="0" distR="0" wp14:anchorId="2D814D96" wp14:editId="548A2E29">
            <wp:extent cx="6524625" cy="2714625"/>
            <wp:effectExtent l="0" t="0" r="9525" b="9525"/>
            <wp:docPr id="18" name="Chart 18">
              <a:extLst xmlns:a="http://schemas.openxmlformats.org/drawingml/2006/main">
                <a:ext uri="{FF2B5EF4-FFF2-40B4-BE49-F238E27FC236}">
                  <a16:creationId xmlns:a16="http://schemas.microsoft.com/office/drawing/2014/main" id="{00000000-0008-0000-06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D41F15" w:rsidRPr="00CB116D" w:rsidRDefault="00D41F15" w:rsidP="00D41F15">
      <w:pPr>
        <w:spacing w:line="276" w:lineRule="auto"/>
        <w:rPr>
          <w:rFonts w:ascii="Palatino Linotype" w:eastAsia="Palatino Linotype" w:hAnsi="Palatino Linotype" w:cs="Palatino Linotype"/>
          <w:b/>
          <w:sz w:val="18"/>
          <w:szCs w:val="18"/>
        </w:rPr>
      </w:pPr>
      <w:r w:rsidRPr="00CB116D">
        <w:rPr>
          <w:rFonts w:ascii="Palatino Linotype" w:eastAsia="Palatino Linotype" w:hAnsi="Palatino Linotype" w:cs="Palatino Linotype"/>
          <w:b/>
          <w:sz w:val="18"/>
          <w:szCs w:val="18"/>
        </w:rPr>
        <w:t xml:space="preserve">    Note: ADNT implies Average Daily Notional Turnover</w:t>
      </w:r>
    </w:p>
    <w:p w:rsidR="00D41F15" w:rsidRPr="00CB116D" w:rsidRDefault="00D41F15" w:rsidP="00D41F15">
      <w:pPr>
        <w:spacing w:line="276" w:lineRule="auto"/>
        <w:rPr>
          <w:rFonts w:ascii="Palatino Linotype" w:eastAsia="Palatino Linotype" w:hAnsi="Palatino Linotype" w:cs="Palatino Linotype"/>
          <w:b/>
          <w:sz w:val="18"/>
          <w:szCs w:val="18"/>
        </w:rPr>
      </w:pPr>
      <w:r w:rsidRPr="00CB116D">
        <w:rPr>
          <w:rFonts w:ascii="Palatino Linotype" w:eastAsia="Palatino Linotype" w:hAnsi="Palatino Linotype" w:cs="Palatino Linotype"/>
          <w:b/>
          <w:sz w:val="18"/>
          <w:szCs w:val="18"/>
        </w:rPr>
        <w:t xml:space="preserve">    Source: BSE and NSE</w:t>
      </w:r>
    </w:p>
    <w:p w:rsidR="00D41F15" w:rsidRPr="00CB116D" w:rsidRDefault="00D41F15" w:rsidP="00D41F15">
      <w:pPr>
        <w:pBdr>
          <w:top w:val="nil"/>
          <w:left w:val="nil"/>
          <w:bottom w:val="nil"/>
          <w:right w:val="nil"/>
          <w:between w:val="nil"/>
        </w:pBdr>
        <w:jc w:val="center"/>
        <w:rPr>
          <w:rFonts w:ascii="Palatino Linotype" w:eastAsia="Palatino Linotype" w:hAnsi="Palatino Linotype" w:cs="Palatino Linotype"/>
          <w:b/>
          <w:color w:val="000000" w:themeColor="text1"/>
          <w:sz w:val="22"/>
          <w:szCs w:val="22"/>
        </w:rPr>
      </w:pPr>
    </w:p>
    <w:p w:rsidR="00D41F15" w:rsidRPr="00A13AE9" w:rsidRDefault="00B876A5" w:rsidP="00A13AE9">
      <w:pPr>
        <w:numPr>
          <w:ilvl w:val="0"/>
          <w:numId w:val="1"/>
        </w:numPr>
        <w:pBdr>
          <w:top w:val="nil"/>
          <w:left w:val="nil"/>
          <w:bottom w:val="nil"/>
          <w:right w:val="nil"/>
          <w:between w:val="nil"/>
        </w:pBdr>
        <w:ind w:left="714" w:hanging="357"/>
        <w:jc w:val="both"/>
        <w:rPr>
          <w:rFonts w:ascii="Palatino Linotype" w:eastAsia="Palatino Linotype" w:hAnsi="Palatino Linotype" w:cs="Palatino Linotype"/>
          <w:sz w:val="22"/>
          <w:szCs w:val="22"/>
        </w:rPr>
      </w:pPr>
      <w:r w:rsidRPr="00A13AE9">
        <w:rPr>
          <w:rFonts w:ascii="Palatino Linotype" w:eastAsia="Palatino Linotype" w:hAnsi="Palatino Linotype" w:cs="Palatino Linotype"/>
          <w:sz w:val="22"/>
          <w:szCs w:val="22"/>
        </w:rPr>
        <w:t xml:space="preserve">During August 2021, </w:t>
      </w:r>
      <w:r w:rsidR="00D41F15" w:rsidRPr="00A13AE9">
        <w:rPr>
          <w:rFonts w:ascii="Palatino Linotype" w:eastAsia="Palatino Linotype" w:hAnsi="Palatino Linotype" w:cs="Palatino Linotype"/>
          <w:sz w:val="22"/>
          <w:szCs w:val="22"/>
        </w:rPr>
        <w:t xml:space="preserve">share of weekly </w:t>
      </w:r>
      <w:r w:rsidR="00046A06" w:rsidRPr="00A13AE9">
        <w:rPr>
          <w:rFonts w:ascii="Palatino Linotype" w:eastAsia="Palatino Linotype" w:hAnsi="Palatino Linotype" w:cs="Palatino Linotype"/>
          <w:sz w:val="22"/>
          <w:szCs w:val="22"/>
        </w:rPr>
        <w:t>options and</w:t>
      </w:r>
      <w:r w:rsidRPr="00A13AE9">
        <w:rPr>
          <w:rFonts w:ascii="Palatino Linotype" w:eastAsia="Palatino Linotype" w:hAnsi="Palatino Linotype" w:cs="Palatino Linotype"/>
          <w:sz w:val="22"/>
          <w:szCs w:val="22"/>
        </w:rPr>
        <w:t xml:space="preserve"> monthly options in </w:t>
      </w:r>
      <w:r w:rsidR="00D41F15" w:rsidRPr="00A13AE9">
        <w:rPr>
          <w:rFonts w:ascii="Palatino Linotype" w:eastAsia="Palatino Linotype" w:hAnsi="Palatino Linotype" w:cs="Palatino Linotype"/>
          <w:sz w:val="22"/>
          <w:szCs w:val="22"/>
        </w:rPr>
        <w:t xml:space="preserve">total index options notional turnover (BSE and NSE together) stood at 75 per </w:t>
      </w:r>
      <w:r w:rsidR="002B1D79" w:rsidRPr="00A13AE9">
        <w:rPr>
          <w:rFonts w:ascii="Palatino Linotype" w:eastAsia="Palatino Linotype" w:hAnsi="Palatino Linotype" w:cs="Palatino Linotype"/>
          <w:sz w:val="22"/>
          <w:szCs w:val="22"/>
        </w:rPr>
        <w:t xml:space="preserve">cent and </w:t>
      </w:r>
      <w:r w:rsidR="00D41F15" w:rsidRPr="00A13AE9">
        <w:rPr>
          <w:rFonts w:ascii="Palatino Linotype" w:eastAsia="Palatino Linotype" w:hAnsi="Palatino Linotype" w:cs="Palatino Linotype"/>
          <w:sz w:val="22"/>
          <w:szCs w:val="22"/>
        </w:rPr>
        <w:t xml:space="preserve">24.5 per cent </w:t>
      </w:r>
      <w:r w:rsidR="002B1D79" w:rsidRPr="00A13AE9">
        <w:rPr>
          <w:rFonts w:ascii="Palatino Linotype" w:eastAsia="Palatino Linotype" w:hAnsi="Palatino Linotype" w:cs="Palatino Linotype"/>
          <w:sz w:val="22"/>
          <w:szCs w:val="22"/>
        </w:rPr>
        <w:t>respectively</w:t>
      </w:r>
      <w:r w:rsidR="00D41F15" w:rsidRPr="00A13AE9">
        <w:rPr>
          <w:rFonts w:ascii="Palatino Linotype" w:eastAsia="Palatino Linotype" w:hAnsi="Palatino Linotype" w:cs="Palatino Linotype"/>
          <w:sz w:val="22"/>
          <w:szCs w:val="22"/>
        </w:rPr>
        <w:t>.</w:t>
      </w:r>
    </w:p>
    <w:p w:rsidR="00D41F15" w:rsidRPr="00CB116D" w:rsidRDefault="00D41F15" w:rsidP="00046A06">
      <w:pPr>
        <w:pBdr>
          <w:top w:val="nil"/>
          <w:left w:val="nil"/>
          <w:bottom w:val="nil"/>
          <w:right w:val="nil"/>
          <w:between w:val="nil"/>
        </w:pBdr>
        <w:spacing w:line="276" w:lineRule="auto"/>
        <w:jc w:val="both"/>
        <w:rPr>
          <w:rFonts w:ascii="Palatino Linotype" w:eastAsia="Palatino Linotype" w:hAnsi="Palatino Linotype" w:cs="Palatino Linotype"/>
          <w:b/>
          <w:sz w:val="22"/>
          <w:szCs w:val="22"/>
        </w:rPr>
      </w:pPr>
    </w:p>
    <w:p w:rsidR="00D41F15" w:rsidRPr="00CB116D" w:rsidRDefault="00D41F15" w:rsidP="00D41F15">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CB116D">
        <w:rPr>
          <w:rFonts w:ascii="Palatino Linotype" w:eastAsia="Palatino Linotype" w:hAnsi="Palatino Linotype" w:cs="Palatino Linotype"/>
          <w:b/>
          <w:sz w:val="22"/>
          <w:szCs w:val="22"/>
        </w:rPr>
        <w:t xml:space="preserve">Currency Derivatives </w:t>
      </w:r>
    </w:p>
    <w:p w:rsidR="00980C9E" w:rsidRPr="00980C9E" w:rsidRDefault="00980C9E" w:rsidP="00980C9E">
      <w:pPr>
        <w:numPr>
          <w:ilvl w:val="0"/>
          <w:numId w:val="1"/>
        </w:numPr>
        <w:pBdr>
          <w:top w:val="nil"/>
          <w:left w:val="nil"/>
          <w:bottom w:val="nil"/>
          <w:right w:val="nil"/>
          <w:between w:val="nil"/>
        </w:pBdr>
        <w:ind w:left="714" w:hanging="357"/>
        <w:jc w:val="both"/>
        <w:rPr>
          <w:rFonts w:ascii="Palatino Linotype" w:eastAsia="Palatino Linotype" w:hAnsi="Palatino Linotype" w:cs="Palatino Linotype"/>
          <w:sz w:val="22"/>
          <w:szCs w:val="22"/>
        </w:rPr>
      </w:pPr>
      <w:r w:rsidRPr="00980C9E">
        <w:rPr>
          <w:rFonts w:ascii="Palatino Linotype" w:eastAsia="Palatino Linotype" w:hAnsi="Palatino Linotype" w:cs="Palatino Linotype"/>
          <w:sz w:val="22"/>
          <w:szCs w:val="22"/>
        </w:rPr>
        <w:t xml:space="preserve">During August 2021, the monthly notional turnover of currency derivatives in India (NSE, BSE and MSEI together) stood at </w:t>
      </w:r>
      <w:r w:rsidRPr="00980C9E">
        <w:rPr>
          <w:rFonts w:ascii="Times New Roman" w:eastAsia="Palatino Linotype" w:hAnsi="Times New Roman"/>
          <w:sz w:val="22"/>
          <w:szCs w:val="22"/>
        </w:rPr>
        <w:t>₹</w:t>
      </w:r>
      <w:r w:rsidRPr="00980C9E">
        <w:rPr>
          <w:rFonts w:ascii="Palatino Linotype" w:eastAsia="Palatino Linotype" w:hAnsi="Palatino Linotype" w:cs="Palatino Linotype"/>
          <w:sz w:val="22"/>
          <w:szCs w:val="22"/>
        </w:rPr>
        <w:t xml:space="preserve">15,61,159 crore as compared to </w:t>
      </w:r>
      <w:r w:rsidRPr="00980C9E">
        <w:rPr>
          <w:rFonts w:ascii="Times New Roman" w:eastAsia="Palatino Linotype" w:hAnsi="Times New Roman"/>
          <w:sz w:val="22"/>
          <w:szCs w:val="22"/>
        </w:rPr>
        <w:t>₹</w:t>
      </w:r>
      <w:r w:rsidRPr="00980C9E">
        <w:rPr>
          <w:rFonts w:ascii="Palatino Linotype" w:eastAsia="Palatino Linotype" w:hAnsi="Palatino Linotype" w:cs="Palatino Linotype"/>
          <w:sz w:val="22"/>
          <w:szCs w:val="22"/>
        </w:rPr>
        <w:t>18,94,123 crore in July 2021, registering a decrease of 17.6 per cent.</w:t>
      </w:r>
    </w:p>
    <w:p w:rsidR="00D41F15" w:rsidRPr="00CB116D" w:rsidRDefault="00D41F15" w:rsidP="00980C9E">
      <w:pPr>
        <w:pBdr>
          <w:top w:val="nil"/>
          <w:left w:val="nil"/>
          <w:bottom w:val="nil"/>
          <w:right w:val="nil"/>
          <w:between w:val="nil"/>
        </w:pBdr>
        <w:ind w:left="714"/>
        <w:jc w:val="both"/>
        <w:rPr>
          <w:rFonts w:ascii="Palatino Linotype" w:eastAsia="Palatino Linotype" w:hAnsi="Palatino Linotype" w:cs="Palatino Linotype"/>
          <w:sz w:val="22"/>
          <w:szCs w:val="22"/>
        </w:rPr>
      </w:pPr>
    </w:p>
    <w:p w:rsidR="00D41F15" w:rsidRPr="00CB116D" w:rsidRDefault="00D41F15" w:rsidP="00D41F15">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CB116D">
        <w:rPr>
          <w:rFonts w:ascii="Palatino Linotype" w:eastAsia="Palatino Linotype" w:hAnsi="Palatino Linotype" w:cs="Palatino Linotype"/>
          <w:b/>
          <w:sz w:val="22"/>
          <w:szCs w:val="22"/>
        </w:rPr>
        <w:t>Figure 8: Trends of Currency Derivatives at NSE, MSEI and BSE (</w:t>
      </w:r>
      <w:r w:rsidRPr="00CB116D">
        <w:rPr>
          <w:rFonts w:ascii="Arial" w:eastAsia="Palatino Linotype" w:hAnsi="Arial" w:cs="Arial"/>
          <w:b/>
          <w:sz w:val="20"/>
          <w:szCs w:val="22"/>
        </w:rPr>
        <w:t>₹</w:t>
      </w:r>
      <w:r w:rsidRPr="00CB116D">
        <w:rPr>
          <w:rFonts w:ascii="Palatino Linotype" w:eastAsia="Palatino Linotype" w:hAnsi="Palatino Linotype" w:cs="Palatino Linotype"/>
          <w:b/>
          <w:sz w:val="22"/>
          <w:szCs w:val="22"/>
        </w:rPr>
        <w:t xml:space="preserve"> crore)</w:t>
      </w:r>
    </w:p>
    <w:p w:rsidR="00D41F15" w:rsidRPr="00CB116D" w:rsidRDefault="00D41F15" w:rsidP="00D41F15">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r w:rsidRPr="00CB116D">
        <w:rPr>
          <w:noProof/>
          <w:lang w:val="en-IN" w:eastAsia="en-IN" w:bidi="hi-IN"/>
        </w:rPr>
        <w:drawing>
          <wp:inline distT="0" distB="0" distL="0" distR="0" wp14:anchorId="5419BD59" wp14:editId="39F023F5">
            <wp:extent cx="5286375" cy="2381250"/>
            <wp:effectExtent l="0" t="0" r="9525" b="0"/>
            <wp:docPr id="19" name="Chart 19">
              <a:extLst xmlns:a="http://schemas.openxmlformats.org/drawingml/2006/main">
                <a:ext uri="{FF2B5EF4-FFF2-40B4-BE49-F238E27FC236}">
                  <a16:creationId xmlns:a16="http://schemas.microsoft.com/office/drawing/2014/main" id="{00000000-0008-0000-0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D41F15" w:rsidRDefault="00D41F15" w:rsidP="00D41F15">
      <w:pPr>
        <w:spacing w:line="276" w:lineRule="auto"/>
        <w:rPr>
          <w:rFonts w:ascii="Palatino Linotype" w:eastAsia="Palatino Linotype" w:hAnsi="Palatino Linotype" w:cs="Palatino Linotype"/>
          <w:b/>
          <w:sz w:val="18"/>
          <w:szCs w:val="18"/>
        </w:rPr>
      </w:pPr>
      <w:r w:rsidRPr="00CB116D">
        <w:rPr>
          <w:rFonts w:ascii="Palatino Linotype" w:eastAsia="Palatino Linotype" w:hAnsi="Palatino Linotype" w:cs="Palatino Linotype"/>
          <w:b/>
          <w:sz w:val="18"/>
          <w:szCs w:val="18"/>
        </w:rPr>
        <w:t xml:space="preserve">     </w:t>
      </w:r>
      <w:r w:rsidR="00046A06">
        <w:rPr>
          <w:rFonts w:ascii="Palatino Linotype" w:eastAsia="Palatino Linotype" w:hAnsi="Palatino Linotype" w:cs="Palatino Linotype"/>
          <w:b/>
          <w:sz w:val="18"/>
          <w:szCs w:val="18"/>
        </w:rPr>
        <w:t xml:space="preserve">      Source: BSE, NSE and MSEI</w:t>
      </w:r>
    </w:p>
    <w:p w:rsidR="0083353C" w:rsidRPr="00CB116D" w:rsidRDefault="0083353C" w:rsidP="00D41F15">
      <w:pPr>
        <w:spacing w:line="276" w:lineRule="auto"/>
        <w:rPr>
          <w:rFonts w:ascii="Palatino Linotype" w:eastAsia="Palatino Linotype" w:hAnsi="Palatino Linotype" w:cs="Palatino Linotype"/>
          <w:b/>
          <w:sz w:val="18"/>
          <w:szCs w:val="18"/>
        </w:rPr>
      </w:pPr>
    </w:p>
    <w:p w:rsidR="00D41F15" w:rsidRPr="00CB116D" w:rsidRDefault="00D41F15" w:rsidP="00D41F15">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CB116D">
        <w:rPr>
          <w:rFonts w:ascii="Palatino Linotype" w:eastAsia="Palatino Linotype" w:hAnsi="Palatino Linotype" w:cs="Palatino Linotype"/>
          <w:b/>
          <w:sz w:val="22"/>
          <w:szCs w:val="22"/>
        </w:rPr>
        <w:t xml:space="preserve">Interest Rate Derivatives </w:t>
      </w:r>
    </w:p>
    <w:p w:rsidR="00D41F15" w:rsidRPr="00CB116D" w:rsidRDefault="00D41F15" w:rsidP="00D41F15">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B116D">
        <w:rPr>
          <w:rFonts w:ascii="Palatino Linotype" w:eastAsia="Palatino Linotype" w:hAnsi="Palatino Linotype" w:cs="Palatino Linotype"/>
          <w:sz w:val="22"/>
          <w:szCs w:val="22"/>
        </w:rPr>
        <w:t xml:space="preserve">During August 2021, the monthly notional turnover of interest rate derivatives at NSE decreased by </w:t>
      </w:r>
      <w:r w:rsidR="001E1FC4">
        <w:rPr>
          <w:rFonts w:ascii="Palatino Linotype" w:eastAsia="Palatino Linotype" w:hAnsi="Palatino Linotype" w:cs="Palatino Linotype"/>
          <w:sz w:val="22"/>
          <w:szCs w:val="22"/>
        </w:rPr>
        <w:t xml:space="preserve">8.8 </w:t>
      </w:r>
      <w:r w:rsidRPr="00CB116D">
        <w:rPr>
          <w:rFonts w:ascii="Palatino Linotype" w:eastAsia="Palatino Linotype" w:hAnsi="Palatino Linotype" w:cs="Palatino Linotype"/>
          <w:sz w:val="22"/>
          <w:szCs w:val="22"/>
        </w:rPr>
        <w:t xml:space="preserve">per cent to </w:t>
      </w:r>
      <w:r w:rsidRPr="00CB116D">
        <w:rPr>
          <w:rFonts w:ascii="Times New Roman" w:eastAsia="Palatino Linotype" w:hAnsi="Times New Roman"/>
          <w:sz w:val="22"/>
          <w:szCs w:val="22"/>
        </w:rPr>
        <w:t>₹</w:t>
      </w:r>
      <w:r w:rsidRPr="00CB116D">
        <w:rPr>
          <w:rFonts w:ascii="Palatino Linotype" w:eastAsia="Palatino Linotype" w:hAnsi="Palatino Linotype" w:cs="Palatino Linotype"/>
          <w:sz w:val="22"/>
          <w:szCs w:val="22"/>
        </w:rPr>
        <w:t xml:space="preserve">1,569 crore, while </w:t>
      </w:r>
      <w:r w:rsidR="001E1FC4">
        <w:rPr>
          <w:rFonts w:ascii="Palatino Linotype" w:eastAsia="Palatino Linotype" w:hAnsi="Palatino Linotype" w:cs="Palatino Linotype"/>
          <w:sz w:val="22"/>
          <w:szCs w:val="22"/>
        </w:rPr>
        <w:t>that</w:t>
      </w:r>
      <w:r w:rsidRPr="00CB116D">
        <w:rPr>
          <w:rFonts w:ascii="Palatino Linotype" w:eastAsia="Palatino Linotype" w:hAnsi="Palatino Linotype" w:cs="Palatino Linotype"/>
          <w:sz w:val="22"/>
          <w:szCs w:val="22"/>
        </w:rPr>
        <w:t xml:space="preserve"> at BSE increased by 67.4 percent to </w:t>
      </w:r>
      <w:r w:rsidRPr="00CB116D">
        <w:rPr>
          <w:rFonts w:ascii="Times New Roman" w:eastAsia="Palatino Linotype" w:hAnsi="Times New Roman"/>
          <w:sz w:val="22"/>
          <w:szCs w:val="22"/>
        </w:rPr>
        <w:t>₹</w:t>
      </w:r>
      <w:r w:rsidRPr="00CB116D">
        <w:rPr>
          <w:rFonts w:ascii="Palatino Linotype" w:eastAsia="Palatino Linotype" w:hAnsi="Palatino Linotype" w:cs="Palatino Linotype"/>
          <w:sz w:val="22"/>
          <w:szCs w:val="22"/>
        </w:rPr>
        <w:t>3,833 crore.</w:t>
      </w:r>
    </w:p>
    <w:p w:rsidR="00D41F15" w:rsidRPr="00CB116D" w:rsidRDefault="00D41F15" w:rsidP="00D41F15">
      <w:pPr>
        <w:rPr>
          <w:rFonts w:ascii="Palatino Linotype" w:eastAsia="Palatino Linotype" w:hAnsi="Palatino Linotype" w:cs="Palatino Linotype"/>
          <w:b/>
          <w:color w:val="2E74B5"/>
          <w:sz w:val="22"/>
          <w:szCs w:val="22"/>
        </w:rPr>
      </w:pPr>
    </w:p>
    <w:p w:rsidR="00D41F15" w:rsidRPr="00CB116D" w:rsidRDefault="00D41F15" w:rsidP="00D41F15">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CB116D">
        <w:rPr>
          <w:rFonts w:ascii="Palatino Linotype" w:eastAsia="Palatino Linotype" w:hAnsi="Palatino Linotype" w:cs="Palatino Linotype"/>
          <w:b/>
          <w:sz w:val="22"/>
          <w:szCs w:val="22"/>
        </w:rPr>
        <w:t>Figure 9: Trends of Interest Rate Derivatives at NSE and BSE</w:t>
      </w:r>
    </w:p>
    <w:p w:rsidR="00D41F15" w:rsidRPr="00CB116D" w:rsidRDefault="00D41F15" w:rsidP="00D41F15">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CB116D">
        <w:rPr>
          <w:noProof/>
          <w:lang w:val="en-IN" w:eastAsia="en-IN" w:bidi="hi-IN"/>
        </w:rPr>
        <w:drawing>
          <wp:inline distT="0" distB="0" distL="0" distR="0" wp14:anchorId="6657D1E8" wp14:editId="3EB47A9B">
            <wp:extent cx="5200650" cy="2105025"/>
            <wp:effectExtent l="0" t="0" r="0" b="9525"/>
            <wp:docPr id="24" name="Chart 24">
              <a:extLst xmlns:a="http://schemas.openxmlformats.org/drawingml/2006/main">
                <a:ext uri="{FF2B5EF4-FFF2-40B4-BE49-F238E27FC236}">
                  <a16:creationId xmlns:a16="http://schemas.microsoft.com/office/drawing/2014/main" id="{00000000-0008-0000-09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D41F15" w:rsidRPr="00CB116D" w:rsidRDefault="00D41F15" w:rsidP="00D41F15">
      <w:pPr>
        <w:rPr>
          <w:rFonts w:ascii="Palatino Linotype" w:eastAsia="Palatino Linotype" w:hAnsi="Palatino Linotype" w:cs="Palatino Linotype"/>
          <w:b/>
          <w:sz w:val="18"/>
          <w:szCs w:val="18"/>
        </w:rPr>
      </w:pPr>
      <w:r w:rsidRPr="00CB116D">
        <w:rPr>
          <w:rFonts w:ascii="Palatino Linotype" w:eastAsia="Palatino Linotype" w:hAnsi="Palatino Linotype" w:cs="Palatino Linotype"/>
          <w:b/>
          <w:sz w:val="18"/>
          <w:szCs w:val="18"/>
        </w:rPr>
        <w:t xml:space="preserve">     </w:t>
      </w:r>
    </w:p>
    <w:p w:rsidR="00D41F15" w:rsidRPr="00DB7D3F" w:rsidRDefault="00D41F15" w:rsidP="00D41F15">
      <w:pPr>
        <w:rPr>
          <w:rFonts w:ascii="Palatino Linotype" w:eastAsia="Palatino Linotype" w:hAnsi="Palatino Linotype" w:cs="Palatino Linotype"/>
          <w:b/>
          <w:sz w:val="18"/>
          <w:szCs w:val="18"/>
        </w:rPr>
      </w:pPr>
      <w:r w:rsidRPr="00CB116D">
        <w:rPr>
          <w:rFonts w:ascii="Palatino Linotype" w:eastAsia="Palatino Linotype" w:hAnsi="Palatino Linotype" w:cs="Palatino Linotype"/>
          <w:b/>
          <w:sz w:val="18"/>
          <w:szCs w:val="18"/>
        </w:rPr>
        <w:t xml:space="preserve">     Source: BSE and NSE</w:t>
      </w:r>
      <w:r w:rsidRPr="00DB7D3F">
        <w:rPr>
          <w:rFonts w:ascii="Palatino Linotype" w:eastAsia="Palatino Linotype" w:hAnsi="Palatino Linotype" w:cs="Palatino Linotype"/>
          <w:b/>
          <w:sz w:val="18"/>
          <w:szCs w:val="18"/>
        </w:rPr>
        <w:t xml:space="preserve"> </w:t>
      </w:r>
    </w:p>
    <w:p w:rsidR="00B05581" w:rsidRPr="00DB7D3F" w:rsidRDefault="00B05581" w:rsidP="00B05581">
      <w:pPr>
        <w:rPr>
          <w:rFonts w:ascii="Palatino Linotype" w:eastAsia="Palatino Linotype" w:hAnsi="Palatino Linotype" w:cs="Palatino Linotype"/>
          <w:b/>
          <w:sz w:val="18"/>
          <w:szCs w:val="18"/>
        </w:rPr>
      </w:pPr>
    </w:p>
    <w:p w:rsidR="00B05581" w:rsidRPr="00DB7D3F" w:rsidRDefault="00B05581" w:rsidP="00B05581">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Trading in Corporate Debt Market</w:t>
      </w:r>
    </w:p>
    <w:p w:rsidR="00B05581" w:rsidRPr="00DB7D3F" w:rsidRDefault="00B05581" w:rsidP="00B05581">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 xml:space="preserve">During </w:t>
      </w:r>
      <w:r w:rsidR="001E1FC4">
        <w:rPr>
          <w:rFonts w:ascii="Palatino Linotype" w:eastAsia="Palatino Linotype" w:hAnsi="Palatino Linotype" w:cs="Palatino Linotype"/>
          <w:sz w:val="22"/>
          <w:szCs w:val="22"/>
        </w:rPr>
        <w:t>August</w:t>
      </w:r>
      <w:r w:rsidRPr="00DB7D3F">
        <w:rPr>
          <w:rFonts w:ascii="Palatino Linotype" w:eastAsia="Palatino Linotype" w:hAnsi="Palatino Linotype" w:cs="Palatino Linotype"/>
          <w:sz w:val="22"/>
          <w:szCs w:val="22"/>
        </w:rPr>
        <w:t xml:space="preserve"> 2021, BSE registered </w:t>
      </w:r>
      <w:r w:rsidR="001E1FC4">
        <w:rPr>
          <w:rFonts w:ascii="Palatino Linotype" w:eastAsia="Palatino Linotype" w:hAnsi="Palatino Linotype" w:cs="Palatino Linotype"/>
          <w:sz w:val="22"/>
          <w:szCs w:val="22"/>
        </w:rPr>
        <w:t>7,356</w:t>
      </w:r>
      <w:r w:rsidRPr="00DB7D3F">
        <w:rPr>
          <w:rFonts w:ascii="Palatino Linotype" w:eastAsia="Palatino Linotype" w:hAnsi="Palatino Linotype" w:cs="Palatino Linotype"/>
          <w:sz w:val="22"/>
          <w:szCs w:val="22"/>
        </w:rPr>
        <w:t xml:space="preserve"> trades of corporate debt with traded value of </w:t>
      </w:r>
      <w:r w:rsidRPr="00DB7D3F">
        <w:rPr>
          <w:rFonts w:ascii="Times New Roman" w:eastAsia="Palatino Linotype" w:hAnsi="Times New Roman"/>
          <w:sz w:val="22"/>
          <w:szCs w:val="22"/>
        </w:rPr>
        <w:t>₹</w:t>
      </w:r>
      <w:r w:rsidR="001E1FC4">
        <w:rPr>
          <w:rFonts w:ascii="Palatino Linotype" w:eastAsia="Palatino Linotype" w:hAnsi="Palatino Linotype" w:cs="Palatino Linotype"/>
          <w:sz w:val="22"/>
          <w:szCs w:val="22"/>
        </w:rPr>
        <w:t>55,957</w:t>
      </w:r>
      <w:r w:rsidRPr="00DB7D3F">
        <w:rPr>
          <w:rFonts w:ascii="Palatino Linotype" w:eastAsia="Palatino Linotype" w:hAnsi="Palatino Linotype" w:cs="Palatino Linotype"/>
          <w:sz w:val="22"/>
          <w:szCs w:val="22"/>
        </w:rPr>
        <w:t xml:space="preserve"> crore, as compared to </w:t>
      </w:r>
      <w:r w:rsidR="001E1FC4">
        <w:rPr>
          <w:rFonts w:ascii="Palatino Linotype" w:eastAsia="Palatino Linotype" w:hAnsi="Palatino Linotype" w:cs="Palatino Linotype"/>
          <w:sz w:val="22"/>
          <w:szCs w:val="22"/>
        </w:rPr>
        <w:t>6,745</w:t>
      </w:r>
      <w:r w:rsidRPr="00DB7D3F">
        <w:rPr>
          <w:rFonts w:ascii="Palatino Linotype" w:eastAsia="Palatino Linotype" w:hAnsi="Palatino Linotype" w:cs="Palatino Linotype"/>
          <w:sz w:val="22"/>
          <w:szCs w:val="22"/>
        </w:rPr>
        <w:t xml:space="preserve"> trades with traded value of </w:t>
      </w:r>
      <w:r w:rsidRPr="00DB7D3F">
        <w:rPr>
          <w:rFonts w:ascii="Times New Roman" w:eastAsia="Palatino Linotype" w:hAnsi="Times New Roman"/>
          <w:sz w:val="22"/>
          <w:szCs w:val="22"/>
        </w:rPr>
        <w:t>₹</w:t>
      </w:r>
      <w:r w:rsidR="001E1FC4">
        <w:rPr>
          <w:rFonts w:ascii="Palatino Linotype" w:eastAsia="Palatino Linotype" w:hAnsi="Palatino Linotype" w:cs="Palatino Linotype"/>
          <w:sz w:val="22"/>
          <w:szCs w:val="22"/>
        </w:rPr>
        <w:t>48,405</w:t>
      </w:r>
      <w:r w:rsidRPr="00DB7D3F">
        <w:rPr>
          <w:rFonts w:ascii="Palatino Linotype" w:eastAsia="Palatino Linotype" w:hAnsi="Palatino Linotype" w:cs="Palatino Linotype"/>
          <w:sz w:val="22"/>
          <w:szCs w:val="22"/>
        </w:rPr>
        <w:t xml:space="preserve"> crore in the previous month.  </w:t>
      </w:r>
    </w:p>
    <w:p w:rsidR="00B05581" w:rsidRPr="00DB7D3F" w:rsidRDefault="00B05581" w:rsidP="00B05581">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At NSE, 5,</w:t>
      </w:r>
      <w:r w:rsidR="001E1FC4">
        <w:rPr>
          <w:rFonts w:ascii="Palatino Linotype" w:eastAsia="Palatino Linotype" w:hAnsi="Palatino Linotype" w:cs="Palatino Linotype"/>
          <w:sz w:val="22"/>
          <w:szCs w:val="22"/>
        </w:rPr>
        <w:t>758</w:t>
      </w:r>
      <w:r w:rsidRPr="00DB7D3F">
        <w:rPr>
          <w:rFonts w:ascii="Palatino Linotype" w:eastAsia="Palatino Linotype" w:hAnsi="Palatino Linotype" w:cs="Palatino Linotype"/>
          <w:sz w:val="22"/>
          <w:szCs w:val="22"/>
        </w:rPr>
        <w:t xml:space="preserve"> trades were recorded with a traded value of </w:t>
      </w:r>
      <w:r w:rsidRPr="00DB7D3F">
        <w:rPr>
          <w:rFonts w:ascii="Times New Roman" w:eastAsia="Palatino Linotype" w:hAnsi="Times New Roman"/>
          <w:sz w:val="22"/>
          <w:szCs w:val="22"/>
        </w:rPr>
        <w:t>₹</w:t>
      </w:r>
      <w:r w:rsidR="001E1FC4">
        <w:rPr>
          <w:rFonts w:ascii="Palatino Linotype" w:eastAsia="Palatino Linotype" w:hAnsi="Palatino Linotype" w:cs="Palatino Linotype"/>
          <w:sz w:val="22"/>
          <w:szCs w:val="22"/>
        </w:rPr>
        <w:t>88,259</w:t>
      </w:r>
      <w:r w:rsidRPr="00DB7D3F">
        <w:rPr>
          <w:rFonts w:ascii="Palatino Linotype" w:eastAsia="Palatino Linotype" w:hAnsi="Palatino Linotype" w:cs="Palatino Linotype"/>
          <w:sz w:val="22"/>
          <w:szCs w:val="22"/>
        </w:rPr>
        <w:t xml:space="preserve"> crore in </w:t>
      </w:r>
      <w:r w:rsidR="001E1FC4">
        <w:rPr>
          <w:rFonts w:ascii="Palatino Linotype" w:eastAsia="Palatino Linotype" w:hAnsi="Palatino Linotype" w:cs="Palatino Linotype"/>
          <w:sz w:val="22"/>
          <w:szCs w:val="22"/>
        </w:rPr>
        <w:t>August</w:t>
      </w:r>
      <w:r w:rsidRPr="00DB7D3F">
        <w:rPr>
          <w:rFonts w:ascii="Palatino Linotype" w:eastAsia="Palatino Linotype" w:hAnsi="Palatino Linotype" w:cs="Palatino Linotype"/>
          <w:sz w:val="22"/>
          <w:szCs w:val="22"/>
        </w:rPr>
        <w:t xml:space="preserve"> 2021 as compared to 5,</w:t>
      </w:r>
      <w:r w:rsidR="001E1FC4">
        <w:rPr>
          <w:rFonts w:ascii="Palatino Linotype" w:eastAsia="Palatino Linotype" w:hAnsi="Palatino Linotype" w:cs="Palatino Linotype"/>
          <w:sz w:val="22"/>
          <w:szCs w:val="22"/>
        </w:rPr>
        <w:t>099</w:t>
      </w:r>
      <w:r w:rsidRPr="00DB7D3F">
        <w:rPr>
          <w:rFonts w:ascii="Palatino Linotype" w:eastAsia="Palatino Linotype" w:hAnsi="Palatino Linotype" w:cs="Palatino Linotype"/>
          <w:sz w:val="22"/>
          <w:szCs w:val="22"/>
        </w:rPr>
        <w:t xml:space="preserve"> trades with a traded value of </w:t>
      </w:r>
      <w:r w:rsidRPr="00DB7D3F">
        <w:rPr>
          <w:rFonts w:ascii="Times New Roman" w:eastAsia="Palatino Linotype" w:hAnsi="Times New Roman"/>
          <w:sz w:val="22"/>
          <w:szCs w:val="22"/>
        </w:rPr>
        <w:t>₹</w:t>
      </w:r>
      <w:r w:rsidR="001E1FC4">
        <w:rPr>
          <w:rFonts w:ascii="Palatino Linotype" w:eastAsia="Palatino Linotype" w:hAnsi="Palatino Linotype" w:cs="Palatino Linotype"/>
          <w:sz w:val="22"/>
          <w:szCs w:val="22"/>
        </w:rPr>
        <w:t>66,272</w:t>
      </w:r>
      <w:r w:rsidRPr="00DB7D3F">
        <w:rPr>
          <w:rFonts w:ascii="Palatino Linotype" w:eastAsia="Palatino Linotype" w:hAnsi="Palatino Linotype" w:cs="Palatino Linotype"/>
          <w:sz w:val="22"/>
          <w:szCs w:val="22"/>
        </w:rPr>
        <w:t xml:space="preserve"> crore in Ju</w:t>
      </w:r>
      <w:r w:rsidR="001E1FC4">
        <w:rPr>
          <w:rFonts w:ascii="Palatino Linotype" w:eastAsia="Palatino Linotype" w:hAnsi="Palatino Linotype" w:cs="Palatino Linotype"/>
          <w:sz w:val="22"/>
          <w:szCs w:val="22"/>
        </w:rPr>
        <w:t xml:space="preserve">ly </w:t>
      </w:r>
      <w:r w:rsidRPr="00DB7D3F">
        <w:rPr>
          <w:rFonts w:ascii="Palatino Linotype" w:eastAsia="Palatino Linotype" w:hAnsi="Palatino Linotype" w:cs="Palatino Linotype"/>
          <w:sz w:val="22"/>
          <w:szCs w:val="22"/>
        </w:rPr>
        <w:t xml:space="preserve">2021. </w:t>
      </w:r>
    </w:p>
    <w:p w:rsidR="00B05581" w:rsidRPr="00DB7D3F" w:rsidRDefault="00B05581" w:rsidP="00980C9E">
      <w:pPr>
        <w:pBdr>
          <w:top w:val="nil"/>
          <w:left w:val="nil"/>
          <w:bottom w:val="nil"/>
          <w:right w:val="nil"/>
          <w:between w:val="nil"/>
        </w:pBdr>
        <w:spacing w:line="276" w:lineRule="auto"/>
        <w:rPr>
          <w:rFonts w:ascii="Palatino Linotype" w:eastAsia="Palatino Linotype" w:hAnsi="Palatino Linotype" w:cs="Palatino Linotype"/>
          <w:b/>
          <w:color w:val="2E74B5"/>
          <w:sz w:val="22"/>
          <w:szCs w:val="22"/>
          <w:highlight w:val="yellow"/>
        </w:rPr>
      </w:pPr>
    </w:p>
    <w:p w:rsidR="00B05581" w:rsidRPr="00DB7D3F" w:rsidRDefault="00B05581" w:rsidP="00B05581">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Figure 10: Trends in Reported Turnover of Corporate Bonds (</w:t>
      </w:r>
      <w:r w:rsidRPr="00DB7D3F">
        <w:rPr>
          <w:rFonts w:ascii="Arial" w:eastAsia="Palatino Linotype" w:hAnsi="Arial" w:cs="Arial"/>
          <w:b/>
          <w:sz w:val="20"/>
          <w:szCs w:val="22"/>
        </w:rPr>
        <w:t>₹</w:t>
      </w:r>
      <w:r w:rsidRPr="00DB7D3F">
        <w:rPr>
          <w:rFonts w:ascii="Palatino Linotype" w:eastAsia="Palatino Linotype" w:hAnsi="Palatino Linotype" w:cs="Palatino Linotype"/>
          <w:b/>
          <w:sz w:val="22"/>
          <w:szCs w:val="22"/>
        </w:rPr>
        <w:t xml:space="preserve"> crore)</w:t>
      </w:r>
    </w:p>
    <w:p w:rsidR="00B05581" w:rsidRPr="00DB7D3F" w:rsidRDefault="00980C9E" w:rsidP="00B05581">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r>
        <w:rPr>
          <w:noProof/>
          <w:lang w:val="en-IN" w:eastAsia="en-IN" w:bidi="hi-IN"/>
        </w:rPr>
        <w:drawing>
          <wp:inline distT="0" distB="0" distL="0" distR="0" wp14:anchorId="243399EF" wp14:editId="5D7D317A">
            <wp:extent cx="4572000" cy="2838450"/>
            <wp:effectExtent l="0" t="0" r="0" b="0"/>
            <wp:docPr id="25" name="Chart 25">
              <a:extLst xmlns:a="http://schemas.openxmlformats.org/drawingml/2006/main">
                <a:ext uri="{FF2B5EF4-FFF2-40B4-BE49-F238E27FC236}">
                  <a16:creationId xmlns:a16="http://schemas.microsoft.com/office/drawing/2014/main" id="{00000000-0008-0000-0A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096C8C" w:rsidRDefault="00980C9E" w:rsidP="00046A06">
      <w:pPr>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00046A06">
        <w:rPr>
          <w:rFonts w:ascii="Palatino Linotype" w:eastAsia="Palatino Linotype" w:hAnsi="Palatino Linotype" w:cs="Palatino Linotype"/>
          <w:b/>
          <w:sz w:val="18"/>
          <w:szCs w:val="18"/>
        </w:rPr>
        <w:t xml:space="preserve">  Source: BSE and NSE</w:t>
      </w:r>
    </w:p>
    <w:p w:rsidR="003C1D4C" w:rsidRDefault="003C1D4C" w:rsidP="00046A06">
      <w:pPr>
        <w:rPr>
          <w:rFonts w:ascii="Palatino Linotype" w:eastAsia="Palatino Linotype" w:hAnsi="Palatino Linotype" w:cs="Palatino Linotype"/>
          <w:b/>
          <w:sz w:val="18"/>
          <w:szCs w:val="18"/>
        </w:rPr>
      </w:pPr>
    </w:p>
    <w:p w:rsidR="003C1D4C" w:rsidRDefault="003C1D4C" w:rsidP="00046A06">
      <w:pPr>
        <w:rPr>
          <w:rFonts w:ascii="Palatino Linotype" w:eastAsia="Palatino Linotype" w:hAnsi="Palatino Linotype" w:cs="Palatino Linotype"/>
          <w:b/>
          <w:sz w:val="18"/>
          <w:szCs w:val="18"/>
        </w:rPr>
      </w:pPr>
    </w:p>
    <w:p w:rsidR="003C1D4C" w:rsidRDefault="003C1D4C" w:rsidP="00046A06">
      <w:pPr>
        <w:rPr>
          <w:rFonts w:ascii="Palatino Linotype" w:eastAsia="Palatino Linotype" w:hAnsi="Palatino Linotype" w:cs="Palatino Linotype"/>
          <w:b/>
          <w:sz w:val="18"/>
          <w:szCs w:val="18"/>
        </w:rPr>
      </w:pPr>
    </w:p>
    <w:p w:rsidR="003C1D4C" w:rsidRDefault="003C1D4C" w:rsidP="00046A06">
      <w:pPr>
        <w:rPr>
          <w:rFonts w:ascii="Palatino Linotype" w:eastAsia="Palatino Linotype" w:hAnsi="Palatino Linotype" w:cs="Palatino Linotype"/>
          <w:b/>
          <w:sz w:val="18"/>
          <w:szCs w:val="18"/>
        </w:rPr>
      </w:pPr>
    </w:p>
    <w:p w:rsidR="003C1D4C" w:rsidRDefault="003C1D4C" w:rsidP="00046A06">
      <w:pPr>
        <w:rPr>
          <w:rFonts w:ascii="Palatino Linotype" w:eastAsia="Palatino Linotype" w:hAnsi="Palatino Linotype" w:cs="Palatino Linotype"/>
          <w:b/>
          <w:sz w:val="18"/>
          <w:szCs w:val="18"/>
        </w:rPr>
      </w:pPr>
    </w:p>
    <w:p w:rsidR="003C1D4C" w:rsidRPr="00046A06" w:rsidRDefault="003C1D4C" w:rsidP="00046A06">
      <w:pPr>
        <w:rPr>
          <w:rFonts w:ascii="Palatino Linotype" w:eastAsia="Palatino Linotype" w:hAnsi="Palatino Linotype" w:cs="Palatino Linotype"/>
          <w:b/>
          <w:sz w:val="18"/>
          <w:szCs w:val="18"/>
        </w:rPr>
      </w:pPr>
    </w:p>
    <w:p w:rsidR="00D33F7C" w:rsidRDefault="00D33F7C" w:rsidP="00D33F7C">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t>Trends in Institutional Investments</w:t>
      </w:r>
    </w:p>
    <w:p w:rsidR="00B05581" w:rsidRDefault="00B05581" w:rsidP="00B05581">
      <w:pPr>
        <w:widowControl w:val="0"/>
        <w:spacing w:line="276" w:lineRule="auto"/>
        <w:ind w:left="567"/>
        <w:rPr>
          <w:rFonts w:ascii="Palatino Linotype" w:eastAsia="Palatino Linotype" w:hAnsi="Palatino Linotype" w:cs="Palatino Linotype"/>
          <w:b/>
          <w:sz w:val="22"/>
          <w:szCs w:val="22"/>
        </w:rPr>
      </w:pPr>
    </w:p>
    <w:p w:rsidR="00B05581" w:rsidRPr="00DB7D3F" w:rsidRDefault="00B05581" w:rsidP="00B05581">
      <w:pPr>
        <w:widowControl w:val="0"/>
        <w:numPr>
          <w:ilvl w:val="0"/>
          <w:numId w:val="4"/>
        </w:numPr>
        <w:tabs>
          <w:tab w:val="left" w:pos="0"/>
        </w:tabs>
        <w:spacing w:line="276" w:lineRule="auto"/>
        <w:ind w:left="567" w:hanging="567"/>
        <w:jc w:val="both"/>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Trends in Fund Mobilisation/Transactions by Mutual Funds</w:t>
      </w:r>
    </w:p>
    <w:p w:rsidR="00D33F7C" w:rsidRPr="00D33F7C" w:rsidRDefault="00D33F7C" w:rsidP="001E1FC4">
      <w:pPr>
        <w:widowControl w:val="0"/>
        <w:spacing w:line="276" w:lineRule="auto"/>
        <w:jc w:val="both"/>
        <w:rPr>
          <w:rFonts w:ascii="Palatino Linotype" w:eastAsia="Palatino Linotype" w:hAnsi="Palatino Linotype" w:cs="Palatino Linotype"/>
          <w:b/>
          <w:sz w:val="22"/>
          <w:szCs w:val="22"/>
          <w:highlight w:val="yellow"/>
        </w:rPr>
      </w:pPr>
    </w:p>
    <w:p w:rsidR="00A429C0" w:rsidRPr="00DB7D3F" w:rsidRDefault="00A429C0" w:rsidP="00A429C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Times New Roman" w:hAnsi="Palatino Linotype" w:cs="Tahoma"/>
          <w:color w:val="000000" w:themeColor="text1"/>
          <w:sz w:val="22"/>
          <w:szCs w:val="22"/>
          <w:lang w:val="en-IN" w:eastAsia="en-IN"/>
        </w:rPr>
        <w:t> </w:t>
      </w:r>
      <w:r w:rsidRPr="00DB7D3F">
        <w:rPr>
          <w:rFonts w:ascii="Palatino Linotype" w:eastAsia="Times New Roman" w:hAnsi="Palatino Linotype" w:cs="Tahoma"/>
          <w:color w:val="000000" w:themeColor="text1"/>
          <w:sz w:val="22"/>
          <w:szCs w:val="22"/>
          <w:lang w:eastAsia="en-IN"/>
        </w:rPr>
        <w:t xml:space="preserve">As at </w:t>
      </w:r>
      <w:r w:rsidRPr="00DB7D3F">
        <w:rPr>
          <w:rFonts w:ascii="Palatino Linotype" w:eastAsia="Palatino Linotype" w:hAnsi="Palatino Linotype" w:cs="Palatino Linotype"/>
          <w:color w:val="000000" w:themeColor="text1"/>
          <w:sz w:val="22"/>
          <w:szCs w:val="22"/>
        </w:rPr>
        <w:t xml:space="preserve">end of </w:t>
      </w:r>
      <w:r w:rsidR="00096C8C">
        <w:rPr>
          <w:rFonts w:ascii="Palatino Linotype" w:eastAsia="Palatino Linotype" w:hAnsi="Palatino Linotype" w:cs="Palatino Linotype"/>
          <w:color w:val="000000" w:themeColor="text1"/>
          <w:sz w:val="22"/>
          <w:szCs w:val="22"/>
        </w:rPr>
        <w:t>August</w:t>
      </w:r>
      <w:r w:rsidRPr="00DB7D3F">
        <w:rPr>
          <w:rFonts w:ascii="Palatino Linotype" w:eastAsia="Palatino Linotype" w:hAnsi="Palatino Linotype" w:cs="Palatino Linotype"/>
          <w:color w:val="000000" w:themeColor="text1"/>
          <w:sz w:val="22"/>
          <w:szCs w:val="22"/>
        </w:rPr>
        <w:t xml:space="preserve"> 2021, there were a total of 1,</w:t>
      </w:r>
      <w:r w:rsidR="00096C8C">
        <w:rPr>
          <w:rFonts w:ascii="Palatino Linotype" w:eastAsia="Palatino Linotype" w:hAnsi="Palatino Linotype" w:cs="Palatino Linotype"/>
          <w:color w:val="000000" w:themeColor="text1"/>
          <w:sz w:val="22"/>
          <w:szCs w:val="22"/>
        </w:rPr>
        <w:t>488</w:t>
      </w:r>
      <w:r w:rsidRPr="00DB7D3F">
        <w:rPr>
          <w:rFonts w:ascii="Palatino Linotype" w:eastAsia="Palatino Linotype" w:hAnsi="Palatino Linotype" w:cs="Palatino Linotype"/>
          <w:color w:val="000000" w:themeColor="text1"/>
          <w:sz w:val="22"/>
          <w:szCs w:val="22"/>
        </w:rPr>
        <w:t xml:space="preserve"> mutual fund schemes in the market, of which 1</w:t>
      </w:r>
      <w:r>
        <w:rPr>
          <w:rFonts w:ascii="Palatino Linotype" w:eastAsia="Palatino Linotype" w:hAnsi="Palatino Linotype" w:cs="Palatino Linotype"/>
          <w:color w:val="000000" w:themeColor="text1"/>
          <w:sz w:val="22"/>
          <w:szCs w:val="22"/>
        </w:rPr>
        <w:t>,</w:t>
      </w:r>
      <w:r w:rsidRPr="00DB7D3F">
        <w:rPr>
          <w:rFonts w:ascii="Palatino Linotype" w:eastAsia="Palatino Linotype" w:hAnsi="Palatino Linotype" w:cs="Palatino Linotype"/>
          <w:color w:val="000000" w:themeColor="text1"/>
          <w:sz w:val="22"/>
          <w:szCs w:val="22"/>
        </w:rPr>
        <w:t>0</w:t>
      </w:r>
      <w:r w:rsidR="00096C8C">
        <w:rPr>
          <w:rFonts w:ascii="Palatino Linotype" w:eastAsia="Palatino Linotype" w:hAnsi="Palatino Linotype" w:cs="Palatino Linotype"/>
          <w:color w:val="000000" w:themeColor="text1"/>
          <w:sz w:val="22"/>
          <w:szCs w:val="22"/>
        </w:rPr>
        <w:t>54</w:t>
      </w:r>
      <w:r w:rsidRPr="00DB7D3F">
        <w:rPr>
          <w:rFonts w:ascii="Palatino Linotype" w:eastAsia="Palatino Linotype" w:hAnsi="Palatino Linotype" w:cs="Palatino Linotype"/>
          <w:color w:val="000000" w:themeColor="text1"/>
          <w:sz w:val="22"/>
          <w:szCs w:val="22"/>
        </w:rPr>
        <w:t xml:space="preserve"> were open-ended schemes, 4</w:t>
      </w:r>
      <w:r w:rsidR="00096C8C">
        <w:rPr>
          <w:rFonts w:ascii="Palatino Linotype" w:eastAsia="Palatino Linotype" w:hAnsi="Palatino Linotype" w:cs="Palatino Linotype"/>
          <w:color w:val="000000" w:themeColor="text1"/>
          <w:sz w:val="22"/>
          <w:szCs w:val="22"/>
        </w:rPr>
        <w:t>13</w:t>
      </w:r>
      <w:r w:rsidRPr="00DB7D3F">
        <w:rPr>
          <w:rFonts w:ascii="Palatino Linotype" w:eastAsia="Palatino Linotype" w:hAnsi="Palatino Linotype" w:cs="Palatino Linotype"/>
          <w:color w:val="000000" w:themeColor="text1"/>
          <w:sz w:val="22"/>
          <w:szCs w:val="22"/>
        </w:rPr>
        <w:t xml:space="preserve"> were close-ended schemes and 21 were interval schemes</w:t>
      </w:r>
      <w:r w:rsidRPr="00DB7D3F">
        <w:rPr>
          <w:rFonts w:ascii="Palatino Linotype" w:eastAsia="Palatino Linotype" w:hAnsi="Palatino Linotype" w:cs="Palatino Linotype"/>
          <w:sz w:val="22"/>
          <w:szCs w:val="22"/>
        </w:rPr>
        <w:t xml:space="preserve">. </w:t>
      </w:r>
    </w:p>
    <w:p w:rsidR="00A429C0" w:rsidRPr="00DB7D3F" w:rsidRDefault="00A429C0" w:rsidP="00F35792">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 xml:space="preserve">The mutual fund industry saw a net inflow of </w:t>
      </w:r>
      <w:r w:rsidRPr="00DB7D3F">
        <w:rPr>
          <w:rFonts w:ascii="Times New Roman" w:eastAsia="Palatino Linotype" w:hAnsi="Times New Roman"/>
          <w:sz w:val="22"/>
          <w:szCs w:val="22"/>
        </w:rPr>
        <w:t>₹</w:t>
      </w:r>
      <w:r w:rsidR="00F35792">
        <w:rPr>
          <w:rFonts w:ascii="Palatino Linotype" w:eastAsia="Palatino Linotype" w:hAnsi="Palatino Linotype" w:cs="Palatino Linotype"/>
          <w:sz w:val="22"/>
          <w:szCs w:val="22"/>
        </w:rPr>
        <w:t>32</w:t>
      </w:r>
      <w:r w:rsidRPr="00DB7D3F">
        <w:rPr>
          <w:rFonts w:ascii="Palatino Linotype" w:eastAsia="Palatino Linotype" w:hAnsi="Palatino Linotype" w:cs="Palatino Linotype"/>
          <w:sz w:val="22"/>
          <w:szCs w:val="22"/>
        </w:rPr>
        <w:t>,</w:t>
      </w:r>
      <w:r w:rsidR="00F35792">
        <w:rPr>
          <w:rFonts w:ascii="Palatino Linotype" w:eastAsia="Palatino Linotype" w:hAnsi="Palatino Linotype" w:cs="Palatino Linotype"/>
          <w:sz w:val="22"/>
          <w:szCs w:val="22"/>
        </w:rPr>
        <w:t>976</w:t>
      </w:r>
      <w:r w:rsidRPr="00DB7D3F">
        <w:rPr>
          <w:rFonts w:ascii="Palatino Linotype" w:eastAsia="Palatino Linotype" w:hAnsi="Palatino Linotype" w:cs="Palatino Linotype"/>
          <w:sz w:val="22"/>
          <w:szCs w:val="22"/>
        </w:rPr>
        <w:t xml:space="preserve"> crore during </w:t>
      </w:r>
      <w:r w:rsidR="00F35792">
        <w:rPr>
          <w:rFonts w:ascii="Palatino Linotype" w:eastAsia="Palatino Linotype" w:hAnsi="Palatino Linotype" w:cs="Palatino Linotype"/>
          <w:sz w:val="22"/>
          <w:szCs w:val="22"/>
        </w:rPr>
        <w:t>August</w:t>
      </w:r>
      <w:r w:rsidRPr="00DB7D3F">
        <w:rPr>
          <w:rFonts w:ascii="Palatino Linotype" w:eastAsia="Palatino Linotype" w:hAnsi="Palatino Linotype" w:cs="Palatino Linotype"/>
          <w:sz w:val="22"/>
          <w:szCs w:val="22"/>
        </w:rPr>
        <w:t xml:space="preserve"> 2021, against a net inflow of </w:t>
      </w:r>
      <w:r w:rsidRPr="00DB7D3F">
        <w:rPr>
          <w:rFonts w:ascii="Times New Roman" w:eastAsia="Palatino Linotype" w:hAnsi="Times New Roman"/>
          <w:sz w:val="22"/>
          <w:szCs w:val="22"/>
        </w:rPr>
        <w:t>₹</w:t>
      </w:r>
      <w:r w:rsidR="00F35792" w:rsidRPr="00F35792">
        <w:rPr>
          <w:rFonts w:ascii="Palatino Linotype" w:eastAsia="Palatino Linotype" w:hAnsi="Palatino Linotype" w:cs="Palatino Linotype"/>
          <w:sz w:val="22"/>
          <w:szCs w:val="22"/>
        </w:rPr>
        <w:t xml:space="preserve">1,14,255 </w:t>
      </w:r>
      <w:r w:rsidRPr="00DB7D3F">
        <w:rPr>
          <w:rFonts w:ascii="Palatino Linotype" w:eastAsia="Palatino Linotype" w:hAnsi="Palatino Linotype" w:cs="Palatino Linotype"/>
          <w:sz w:val="22"/>
          <w:szCs w:val="22"/>
        </w:rPr>
        <w:t>crore during Ju</w:t>
      </w:r>
      <w:r w:rsidR="00F35792">
        <w:rPr>
          <w:rFonts w:ascii="Palatino Linotype" w:eastAsia="Palatino Linotype" w:hAnsi="Palatino Linotype" w:cs="Palatino Linotype"/>
          <w:sz w:val="22"/>
          <w:szCs w:val="22"/>
        </w:rPr>
        <w:t>ly</w:t>
      </w:r>
      <w:r w:rsidRPr="00DB7D3F">
        <w:rPr>
          <w:rFonts w:ascii="Palatino Linotype" w:eastAsia="Palatino Linotype" w:hAnsi="Palatino Linotype" w:cs="Palatino Linotype"/>
          <w:sz w:val="22"/>
          <w:szCs w:val="22"/>
        </w:rPr>
        <w:t xml:space="preserve"> 2021.</w:t>
      </w:r>
    </w:p>
    <w:p w:rsidR="00A429C0" w:rsidRPr="005E6F72" w:rsidRDefault="00A429C0" w:rsidP="00A429C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color w:val="000000" w:themeColor="text1"/>
          <w:sz w:val="22"/>
          <w:szCs w:val="22"/>
        </w:rPr>
      </w:pPr>
      <w:r w:rsidRPr="005E6F72">
        <w:rPr>
          <w:rFonts w:ascii="Palatino Linotype" w:eastAsia="Palatino Linotype" w:hAnsi="Palatino Linotype" w:cs="Palatino Linotype"/>
          <w:color w:val="000000" w:themeColor="text1"/>
          <w:sz w:val="22"/>
          <w:szCs w:val="22"/>
        </w:rPr>
        <w:t xml:space="preserve">The funds mobilised by open-ended schemes during </w:t>
      </w:r>
      <w:r w:rsidR="000475E7" w:rsidRPr="005E6F72">
        <w:rPr>
          <w:rFonts w:ascii="Palatino Linotype" w:eastAsia="Palatino Linotype" w:hAnsi="Palatino Linotype" w:cs="Palatino Linotype"/>
          <w:color w:val="000000" w:themeColor="text1"/>
          <w:sz w:val="22"/>
          <w:szCs w:val="22"/>
        </w:rPr>
        <w:t>August</w:t>
      </w:r>
      <w:r w:rsidRPr="005E6F72">
        <w:rPr>
          <w:rFonts w:ascii="Palatino Linotype" w:eastAsia="Palatino Linotype" w:hAnsi="Palatino Linotype" w:cs="Palatino Linotype"/>
          <w:color w:val="000000" w:themeColor="text1"/>
          <w:sz w:val="22"/>
          <w:szCs w:val="22"/>
        </w:rPr>
        <w:t xml:space="preserve"> 2021 was </w:t>
      </w:r>
      <w:r w:rsidRPr="005E6F72">
        <w:rPr>
          <w:rFonts w:ascii="Times New Roman" w:eastAsia="Palatino Linotype" w:hAnsi="Times New Roman"/>
          <w:color w:val="000000" w:themeColor="text1"/>
          <w:sz w:val="22"/>
          <w:szCs w:val="22"/>
        </w:rPr>
        <w:t>₹</w:t>
      </w:r>
      <w:r w:rsidRPr="005E6F72">
        <w:rPr>
          <w:rFonts w:ascii="Palatino Linotype" w:eastAsia="Palatino Linotype" w:hAnsi="Palatino Linotype" w:cs="Palatino Linotype"/>
          <w:color w:val="000000" w:themeColor="text1"/>
          <w:sz w:val="22"/>
          <w:szCs w:val="22"/>
        </w:rPr>
        <w:t>7,</w:t>
      </w:r>
      <w:r w:rsidR="002819FF" w:rsidRPr="005E6F72">
        <w:rPr>
          <w:rFonts w:ascii="Palatino Linotype" w:eastAsia="Palatino Linotype" w:hAnsi="Palatino Linotype" w:cs="Palatino Linotype"/>
          <w:color w:val="000000" w:themeColor="text1"/>
          <w:sz w:val="22"/>
          <w:szCs w:val="22"/>
        </w:rPr>
        <w:t>68</w:t>
      </w:r>
      <w:r w:rsidRPr="005E6F72">
        <w:rPr>
          <w:rFonts w:ascii="Palatino Linotype" w:eastAsia="Palatino Linotype" w:hAnsi="Palatino Linotype" w:cs="Palatino Linotype"/>
          <w:color w:val="000000" w:themeColor="text1"/>
          <w:sz w:val="22"/>
          <w:szCs w:val="22"/>
        </w:rPr>
        <w:t>,</w:t>
      </w:r>
      <w:r w:rsidR="002819FF" w:rsidRPr="005E6F72">
        <w:rPr>
          <w:rFonts w:ascii="Palatino Linotype" w:eastAsia="Palatino Linotype" w:hAnsi="Palatino Linotype" w:cs="Palatino Linotype"/>
          <w:color w:val="000000" w:themeColor="text1"/>
          <w:sz w:val="22"/>
          <w:szCs w:val="22"/>
        </w:rPr>
        <w:t>164</w:t>
      </w:r>
      <w:r w:rsidRPr="005E6F72">
        <w:rPr>
          <w:rFonts w:ascii="Palatino Linotype" w:eastAsia="Palatino Linotype" w:hAnsi="Palatino Linotype" w:cs="Palatino Linotype"/>
          <w:color w:val="000000" w:themeColor="text1"/>
          <w:sz w:val="22"/>
          <w:szCs w:val="22"/>
        </w:rPr>
        <w:t xml:space="preserve"> crore against redemption/repurchase of </w:t>
      </w:r>
      <w:r w:rsidRPr="005E6F72">
        <w:rPr>
          <w:rFonts w:ascii="Times New Roman" w:eastAsia="Palatino Linotype" w:hAnsi="Times New Roman"/>
          <w:color w:val="000000" w:themeColor="text1"/>
          <w:sz w:val="22"/>
          <w:szCs w:val="22"/>
        </w:rPr>
        <w:t>₹</w:t>
      </w:r>
      <w:r w:rsidR="002819FF" w:rsidRPr="005E6F72">
        <w:rPr>
          <w:rFonts w:ascii="Palatino Linotype" w:eastAsia="Palatino Linotype" w:hAnsi="Palatino Linotype" w:cs="Palatino Linotype"/>
          <w:color w:val="000000" w:themeColor="text1"/>
          <w:sz w:val="22"/>
          <w:szCs w:val="22"/>
        </w:rPr>
        <w:t>7</w:t>
      </w:r>
      <w:r w:rsidRPr="005E6F72">
        <w:rPr>
          <w:rFonts w:ascii="Palatino Linotype" w:eastAsia="Palatino Linotype" w:hAnsi="Palatino Linotype" w:cs="Palatino Linotype"/>
          <w:color w:val="000000" w:themeColor="text1"/>
          <w:sz w:val="22"/>
          <w:szCs w:val="22"/>
        </w:rPr>
        <w:t>,</w:t>
      </w:r>
      <w:r w:rsidR="002819FF" w:rsidRPr="005E6F72">
        <w:rPr>
          <w:rFonts w:ascii="Palatino Linotype" w:eastAsia="Palatino Linotype" w:hAnsi="Palatino Linotype" w:cs="Palatino Linotype"/>
          <w:color w:val="000000" w:themeColor="text1"/>
          <w:sz w:val="22"/>
          <w:szCs w:val="22"/>
        </w:rPr>
        <w:t>28</w:t>
      </w:r>
      <w:r w:rsidRPr="005E6F72">
        <w:rPr>
          <w:rFonts w:ascii="Palatino Linotype" w:eastAsia="Palatino Linotype" w:hAnsi="Palatino Linotype" w:cs="Palatino Linotype"/>
          <w:color w:val="000000" w:themeColor="text1"/>
          <w:sz w:val="22"/>
          <w:szCs w:val="22"/>
        </w:rPr>
        <w:t>,</w:t>
      </w:r>
      <w:r w:rsidR="002819FF" w:rsidRPr="005E6F72">
        <w:rPr>
          <w:rFonts w:ascii="Palatino Linotype" w:eastAsia="Palatino Linotype" w:hAnsi="Palatino Linotype" w:cs="Palatino Linotype"/>
          <w:color w:val="000000" w:themeColor="text1"/>
          <w:sz w:val="22"/>
          <w:szCs w:val="22"/>
        </w:rPr>
        <w:t>096</w:t>
      </w:r>
      <w:r w:rsidRPr="005E6F72">
        <w:rPr>
          <w:rFonts w:ascii="Palatino Linotype" w:eastAsia="Palatino Linotype" w:hAnsi="Palatino Linotype" w:cs="Palatino Linotype"/>
          <w:color w:val="000000" w:themeColor="text1"/>
          <w:sz w:val="22"/>
          <w:szCs w:val="22"/>
        </w:rPr>
        <w:t xml:space="preserve"> crore, resulting in a net inflow of </w:t>
      </w:r>
      <w:r w:rsidRPr="005E6F72">
        <w:rPr>
          <w:rFonts w:ascii="Times New Roman" w:eastAsia="Palatino Linotype" w:hAnsi="Times New Roman"/>
          <w:color w:val="000000" w:themeColor="text1"/>
          <w:sz w:val="22"/>
          <w:szCs w:val="22"/>
        </w:rPr>
        <w:t>₹</w:t>
      </w:r>
      <w:r w:rsidR="002819FF" w:rsidRPr="005E6F72">
        <w:rPr>
          <w:rFonts w:ascii="Times New Roman" w:eastAsia="Palatino Linotype" w:hAnsi="Times New Roman"/>
          <w:color w:val="000000" w:themeColor="text1"/>
          <w:sz w:val="22"/>
          <w:szCs w:val="22"/>
        </w:rPr>
        <w:t>40</w:t>
      </w:r>
      <w:r w:rsidRPr="005E6F72">
        <w:rPr>
          <w:rFonts w:ascii="Palatino Linotype" w:eastAsia="Palatino Linotype" w:hAnsi="Palatino Linotype" w:cs="Palatino Linotype"/>
          <w:color w:val="000000" w:themeColor="text1"/>
          <w:sz w:val="22"/>
          <w:szCs w:val="22"/>
        </w:rPr>
        <w:t>,</w:t>
      </w:r>
      <w:r w:rsidR="002819FF" w:rsidRPr="005E6F72">
        <w:rPr>
          <w:rFonts w:ascii="Palatino Linotype" w:eastAsia="Palatino Linotype" w:hAnsi="Palatino Linotype" w:cs="Palatino Linotype"/>
          <w:color w:val="000000" w:themeColor="text1"/>
          <w:sz w:val="22"/>
          <w:szCs w:val="22"/>
        </w:rPr>
        <w:t>068</w:t>
      </w:r>
      <w:r w:rsidRPr="005E6F72">
        <w:rPr>
          <w:rFonts w:ascii="Palatino Linotype" w:eastAsia="Palatino Linotype" w:hAnsi="Palatino Linotype" w:cs="Palatino Linotype"/>
          <w:color w:val="000000" w:themeColor="text1"/>
          <w:sz w:val="22"/>
          <w:szCs w:val="22"/>
        </w:rPr>
        <w:t xml:space="preserve"> crore to open-ended schemes. Of the total funds mobilised by the open-ended schemes during the month under consideration, </w:t>
      </w:r>
      <w:r w:rsidRPr="005E6F72">
        <w:rPr>
          <w:rFonts w:ascii="Times New Roman" w:eastAsia="Palatino Linotype" w:hAnsi="Times New Roman"/>
          <w:color w:val="000000" w:themeColor="text1"/>
          <w:sz w:val="22"/>
          <w:szCs w:val="22"/>
        </w:rPr>
        <w:t>₹</w:t>
      </w:r>
      <w:r w:rsidR="002819FF" w:rsidRPr="005E6F72">
        <w:rPr>
          <w:rFonts w:ascii="Palatino Linotype" w:eastAsia="Palatino Linotype" w:hAnsi="Palatino Linotype" w:cs="Palatino Linotype"/>
          <w:color w:val="000000" w:themeColor="text1"/>
          <w:sz w:val="22"/>
          <w:szCs w:val="22"/>
        </w:rPr>
        <w:t>6</w:t>
      </w:r>
      <w:r w:rsidRPr="005E6F72">
        <w:rPr>
          <w:rFonts w:ascii="Palatino Linotype" w:eastAsia="Palatino Linotype" w:hAnsi="Palatino Linotype" w:cs="Palatino Linotype"/>
          <w:color w:val="000000" w:themeColor="text1"/>
          <w:sz w:val="22"/>
          <w:szCs w:val="22"/>
        </w:rPr>
        <w:t>,</w:t>
      </w:r>
      <w:r w:rsidR="002819FF" w:rsidRPr="005E6F72">
        <w:rPr>
          <w:rFonts w:ascii="Palatino Linotype" w:eastAsia="Palatino Linotype" w:hAnsi="Palatino Linotype" w:cs="Palatino Linotype"/>
          <w:color w:val="000000" w:themeColor="text1"/>
          <w:sz w:val="22"/>
          <w:szCs w:val="22"/>
        </w:rPr>
        <w:t>79</w:t>
      </w:r>
      <w:r w:rsidRPr="005E6F72">
        <w:rPr>
          <w:rFonts w:ascii="Palatino Linotype" w:eastAsia="Palatino Linotype" w:hAnsi="Palatino Linotype" w:cs="Palatino Linotype"/>
          <w:color w:val="000000" w:themeColor="text1"/>
          <w:sz w:val="22"/>
          <w:szCs w:val="22"/>
        </w:rPr>
        <w:t>,</w:t>
      </w:r>
      <w:r w:rsidR="002819FF" w:rsidRPr="005E6F72">
        <w:rPr>
          <w:rFonts w:ascii="Palatino Linotype" w:eastAsia="Palatino Linotype" w:hAnsi="Palatino Linotype" w:cs="Palatino Linotype"/>
          <w:color w:val="000000" w:themeColor="text1"/>
          <w:sz w:val="22"/>
          <w:szCs w:val="22"/>
        </w:rPr>
        <w:t>066</w:t>
      </w:r>
      <w:r w:rsidRPr="005E6F72">
        <w:rPr>
          <w:rFonts w:ascii="Palatino Linotype" w:eastAsia="Palatino Linotype" w:hAnsi="Palatino Linotype" w:cs="Palatino Linotype"/>
          <w:color w:val="000000" w:themeColor="text1"/>
          <w:sz w:val="22"/>
          <w:szCs w:val="22"/>
        </w:rPr>
        <w:t xml:space="preserve"> crore was mobilised through income/debt oriented schemes, </w:t>
      </w:r>
      <w:r w:rsidRPr="005E6F72">
        <w:rPr>
          <w:rFonts w:ascii="Times New Roman" w:eastAsia="Palatino Linotype" w:hAnsi="Times New Roman"/>
          <w:color w:val="000000" w:themeColor="text1"/>
          <w:sz w:val="22"/>
          <w:szCs w:val="22"/>
        </w:rPr>
        <w:t>₹</w:t>
      </w:r>
      <w:r w:rsidR="002819FF" w:rsidRPr="005E6F72">
        <w:rPr>
          <w:rFonts w:ascii="Palatino Linotype" w:eastAsia="Palatino Linotype" w:hAnsi="Palatino Linotype" w:cs="Palatino Linotype"/>
          <w:color w:val="000000" w:themeColor="text1"/>
          <w:sz w:val="22"/>
          <w:szCs w:val="22"/>
        </w:rPr>
        <w:t>33</w:t>
      </w:r>
      <w:r w:rsidRPr="005E6F72">
        <w:rPr>
          <w:rFonts w:ascii="Palatino Linotype" w:eastAsia="Palatino Linotype" w:hAnsi="Palatino Linotype" w:cs="Palatino Linotype"/>
          <w:color w:val="000000" w:themeColor="text1"/>
          <w:sz w:val="22"/>
          <w:szCs w:val="22"/>
        </w:rPr>
        <w:t>,</w:t>
      </w:r>
      <w:r w:rsidR="002819FF" w:rsidRPr="005E6F72">
        <w:rPr>
          <w:rFonts w:ascii="Palatino Linotype" w:eastAsia="Palatino Linotype" w:hAnsi="Palatino Linotype" w:cs="Palatino Linotype"/>
          <w:color w:val="000000" w:themeColor="text1"/>
          <w:sz w:val="22"/>
          <w:szCs w:val="22"/>
        </w:rPr>
        <w:t>669</w:t>
      </w:r>
      <w:r w:rsidRPr="005E6F72">
        <w:rPr>
          <w:rFonts w:ascii="Palatino Linotype" w:eastAsia="Palatino Linotype" w:hAnsi="Palatino Linotype" w:cs="Palatino Linotype"/>
          <w:color w:val="000000" w:themeColor="text1"/>
          <w:sz w:val="22"/>
          <w:szCs w:val="22"/>
        </w:rPr>
        <w:t xml:space="preserve"> crore through growth/equity oriented schemes, </w:t>
      </w:r>
      <w:r w:rsidRPr="005E6F72">
        <w:rPr>
          <w:rFonts w:ascii="Times New Roman" w:eastAsia="Palatino Linotype" w:hAnsi="Times New Roman"/>
          <w:color w:val="000000" w:themeColor="text1"/>
          <w:sz w:val="22"/>
          <w:szCs w:val="22"/>
        </w:rPr>
        <w:t>₹</w:t>
      </w:r>
      <w:r w:rsidRPr="005E6F72">
        <w:rPr>
          <w:rFonts w:ascii="Palatino Linotype" w:eastAsia="Palatino Linotype" w:hAnsi="Palatino Linotype" w:cs="Palatino Linotype"/>
          <w:color w:val="000000" w:themeColor="text1"/>
          <w:sz w:val="22"/>
          <w:szCs w:val="22"/>
        </w:rPr>
        <w:t>3</w:t>
      </w:r>
      <w:r w:rsidR="002819FF" w:rsidRPr="005E6F72">
        <w:rPr>
          <w:rFonts w:ascii="Palatino Linotype" w:eastAsia="Palatino Linotype" w:hAnsi="Palatino Linotype" w:cs="Palatino Linotype"/>
          <w:color w:val="000000" w:themeColor="text1"/>
          <w:sz w:val="22"/>
          <w:szCs w:val="22"/>
        </w:rPr>
        <w:t>8</w:t>
      </w:r>
      <w:r w:rsidRPr="005E6F72">
        <w:rPr>
          <w:rFonts w:ascii="Palatino Linotype" w:eastAsia="Palatino Linotype" w:hAnsi="Palatino Linotype" w:cs="Palatino Linotype"/>
          <w:color w:val="000000" w:themeColor="text1"/>
          <w:sz w:val="22"/>
          <w:szCs w:val="22"/>
        </w:rPr>
        <w:t>,</w:t>
      </w:r>
      <w:r w:rsidR="002819FF" w:rsidRPr="005E6F72">
        <w:rPr>
          <w:rFonts w:ascii="Palatino Linotype" w:eastAsia="Palatino Linotype" w:hAnsi="Palatino Linotype" w:cs="Palatino Linotype"/>
          <w:color w:val="000000" w:themeColor="text1"/>
          <w:sz w:val="22"/>
          <w:szCs w:val="22"/>
        </w:rPr>
        <w:t>764</w:t>
      </w:r>
      <w:r w:rsidRPr="005E6F72">
        <w:rPr>
          <w:rFonts w:ascii="Palatino Linotype" w:eastAsia="Palatino Linotype" w:hAnsi="Palatino Linotype" w:cs="Palatino Linotype"/>
          <w:color w:val="000000" w:themeColor="text1"/>
          <w:sz w:val="22"/>
          <w:szCs w:val="22"/>
        </w:rPr>
        <w:t xml:space="preserve"> crore through hybrid schemes, </w:t>
      </w:r>
      <w:r w:rsidRPr="005E6F72">
        <w:rPr>
          <w:rFonts w:ascii="Times New Roman" w:eastAsia="Palatino Linotype" w:hAnsi="Times New Roman"/>
          <w:color w:val="000000" w:themeColor="text1"/>
          <w:sz w:val="22"/>
          <w:szCs w:val="22"/>
        </w:rPr>
        <w:t>₹</w:t>
      </w:r>
      <w:r w:rsidRPr="005E6F72">
        <w:rPr>
          <w:rFonts w:ascii="Palatino Linotype" w:eastAsia="Palatino Linotype" w:hAnsi="Palatino Linotype" w:cs="Palatino Linotype"/>
          <w:color w:val="000000" w:themeColor="text1"/>
          <w:sz w:val="22"/>
          <w:szCs w:val="22"/>
        </w:rPr>
        <w:t>2</w:t>
      </w:r>
      <w:r w:rsidR="002819FF" w:rsidRPr="005E6F72">
        <w:rPr>
          <w:rFonts w:ascii="Palatino Linotype" w:eastAsia="Palatino Linotype" w:hAnsi="Palatino Linotype" w:cs="Palatino Linotype"/>
          <w:color w:val="000000" w:themeColor="text1"/>
          <w:sz w:val="22"/>
          <w:szCs w:val="22"/>
        </w:rPr>
        <w:t>73</w:t>
      </w:r>
      <w:r w:rsidRPr="005E6F72">
        <w:rPr>
          <w:rFonts w:ascii="Palatino Linotype" w:eastAsia="Palatino Linotype" w:hAnsi="Palatino Linotype" w:cs="Palatino Linotype"/>
          <w:color w:val="000000" w:themeColor="text1"/>
          <w:sz w:val="22"/>
          <w:szCs w:val="22"/>
        </w:rPr>
        <w:t xml:space="preserve"> crore through solution oriented schemes and </w:t>
      </w:r>
      <w:r w:rsidRPr="005E6F72">
        <w:rPr>
          <w:rFonts w:ascii="Times New Roman" w:eastAsia="Palatino Linotype" w:hAnsi="Times New Roman"/>
          <w:color w:val="000000" w:themeColor="text1"/>
          <w:sz w:val="22"/>
          <w:szCs w:val="22"/>
        </w:rPr>
        <w:t>₹</w:t>
      </w:r>
      <w:r w:rsidRPr="005E6F72">
        <w:rPr>
          <w:rFonts w:ascii="Palatino Linotype" w:eastAsia="Palatino Linotype" w:hAnsi="Palatino Linotype" w:cs="Palatino Linotype"/>
          <w:color w:val="000000" w:themeColor="text1"/>
          <w:sz w:val="22"/>
          <w:szCs w:val="22"/>
        </w:rPr>
        <w:t>1</w:t>
      </w:r>
      <w:r w:rsidR="002819FF" w:rsidRPr="005E6F72">
        <w:rPr>
          <w:rFonts w:ascii="Palatino Linotype" w:eastAsia="Palatino Linotype" w:hAnsi="Palatino Linotype" w:cs="Palatino Linotype"/>
          <w:color w:val="000000" w:themeColor="text1"/>
          <w:sz w:val="22"/>
          <w:szCs w:val="22"/>
        </w:rPr>
        <w:t>6</w:t>
      </w:r>
      <w:r w:rsidRPr="005E6F72">
        <w:rPr>
          <w:rFonts w:ascii="Palatino Linotype" w:eastAsia="Palatino Linotype" w:hAnsi="Palatino Linotype" w:cs="Palatino Linotype"/>
          <w:color w:val="000000" w:themeColor="text1"/>
          <w:sz w:val="22"/>
          <w:szCs w:val="22"/>
        </w:rPr>
        <w:t>,</w:t>
      </w:r>
      <w:r w:rsidR="002819FF" w:rsidRPr="005E6F72">
        <w:rPr>
          <w:rFonts w:ascii="Palatino Linotype" w:eastAsia="Palatino Linotype" w:hAnsi="Palatino Linotype" w:cs="Palatino Linotype"/>
          <w:color w:val="000000" w:themeColor="text1"/>
          <w:sz w:val="22"/>
          <w:szCs w:val="22"/>
        </w:rPr>
        <w:t>393</w:t>
      </w:r>
      <w:r w:rsidRPr="005E6F72">
        <w:rPr>
          <w:rFonts w:ascii="Palatino Linotype" w:eastAsia="Palatino Linotype" w:hAnsi="Palatino Linotype" w:cs="Palatino Linotype"/>
          <w:color w:val="000000" w:themeColor="text1"/>
          <w:sz w:val="22"/>
          <w:szCs w:val="22"/>
        </w:rPr>
        <w:t xml:space="preserve"> crore through other schemes. </w:t>
      </w:r>
    </w:p>
    <w:p w:rsidR="00A429C0" w:rsidRPr="005E6F72" w:rsidRDefault="00A429C0" w:rsidP="00A429C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color w:val="000000" w:themeColor="text1"/>
          <w:sz w:val="22"/>
          <w:szCs w:val="22"/>
        </w:rPr>
      </w:pPr>
      <w:r w:rsidRPr="005E6F72">
        <w:rPr>
          <w:rFonts w:ascii="Palatino Linotype" w:eastAsia="Palatino Linotype" w:hAnsi="Palatino Linotype" w:cs="Palatino Linotype"/>
          <w:color w:val="000000" w:themeColor="text1"/>
          <w:sz w:val="22"/>
          <w:szCs w:val="22"/>
        </w:rPr>
        <w:t xml:space="preserve">During </w:t>
      </w:r>
      <w:r w:rsidR="000475E7" w:rsidRPr="005E6F72">
        <w:rPr>
          <w:rFonts w:ascii="Palatino Linotype" w:eastAsia="Palatino Linotype" w:hAnsi="Palatino Linotype" w:cs="Palatino Linotype"/>
          <w:color w:val="000000" w:themeColor="text1"/>
          <w:sz w:val="22"/>
          <w:szCs w:val="22"/>
        </w:rPr>
        <w:t>August</w:t>
      </w:r>
      <w:r w:rsidRPr="005E6F72">
        <w:rPr>
          <w:rFonts w:ascii="Palatino Linotype" w:eastAsia="Palatino Linotype" w:hAnsi="Palatino Linotype" w:cs="Palatino Linotype"/>
          <w:color w:val="000000" w:themeColor="text1"/>
          <w:sz w:val="22"/>
          <w:szCs w:val="22"/>
        </w:rPr>
        <w:t xml:space="preserve"> 2021, </w:t>
      </w:r>
      <w:r w:rsidRPr="005E6F72">
        <w:rPr>
          <w:rFonts w:ascii="Times New Roman" w:eastAsia="Palatino Linotype" w:hAnsi="Times New Roman"/>
          <w:color w:val="000000" w:themeColor="text1"/>
          <w:sz w:val="22"/>
          <w:szCs w:val="22"/>
        </w:rPr>
        <w:t>₹</w:t>
      </w:r>
      <w:r w:rsidR="0047416D" w:rsidRPr="005E6F72">
        <w:rPr>
          <w:rFonts w:ascii="Palatino Linotype" w:eastAsia="Palatino Linotype" w:hAnsi="Palatino Linotype" w:cs="Palatino Linotype"/>
          <w:color w:val="000000" w:themeColor="text1"/>
          <w:sz w:val="22"/>
          <w:szCs w:val="22"/>
        </w:rPr>
        <w:t>7</w:t>
      </w:r>
      <w:r w:rsidRPr="005E6F72">
        <w:rPr>
          <w:rFonts w:ascii="Palatino Linotype" w:eastAsia="Palatino Linotype" w:hAnsi="Palatino Linotype" w:cs="Palatino Linotype"/>
          <w:color w:val="000000" w:themeColor="text1"/>
          <w:sz w:val="22"/>
          <w:szCs w:val="22"/>
        </w:rPr>
        <w:t>,</w:t>
      </w:r>
      <w:r w:rsidR="0047416D" w:rsidRPr="005E6F72">
        <w:rPr>
          <w:rFonts w:ascii="Palatino Linotype" w:eastAsia="Palatino Linotype" w:hAnsi="Palatino Linotype" w:cs="Palatino Linotype"/>
          <w:color w:val="000000" w:themeColor="text1"/>
          <w:sz w:val="22"/>
          <w:szCs w:val="22"/>
        </w:rPr>
        <w:t>393</w:t>
      </w:r>
      <w:r w:rsidRPr="005E6F72">
        <w:rPr>
          <w:rFonts w:ascii="Palatino Linotype" w:eastAsia="Palatino Linotype" w:hAnsi="Palatino Linotype" w:cs="Palatino Linotype"/>
          <w:color w:val="000000" w:themeColor="text1"/>
          <w:sz w:val="22"/>
          <w:szCs w:val="22"/>
        </w:rPr>
        <w:t xml:space="preserve"> crore were matured/ repurchased</w:t>
      </w:r>
      <w:r w:rsidRPr="005E6F72">
        <w:rPr>
          <w:rFonts w:ascii="Palatino Linotype" w:eastAsia="Palatino Linotype" w:hAnsi="Palatino Linotype" w:cs="Palatino Linotype"/>
          <w:color w:val="000000" w:themeColor="text1"/>
          <w:sz w:val="22"/>
          <w:szCs w:val="22"/>
          <w:vertAlign w:val="superscript"/>
        </w:rPr>
        <w:footnoteReference w:id="1"/>
      </w:r>
      <w:r w:rsidRPr="005E6F72">
        <w:rPr>
          <w:rFonts w:ascii="Palatino Linotype" w:eastAsia="Palatino Linotype" w:hAnsi="Palatino Linotype" w:cs="Palatino Linotype"/>
          <w:color w:val="000000" w:themeColor="text1"/>
          <w:sz w:val="22"/>
          <w:szCs w:val="22"/>
        </w:rPr>
        <w:t xml:space="preserve"> by close-ended schemes.  In the interval schemes amount worth </w:t>
      </w:r>
      <w:r w:rsidRPr="005E6F72">
        <w:rPr>
          <w:rFonts w:ascii="Times New Roman" w:eastAsia="Palatino Linotype" w:hAnsi="Times New Roman"/>
          <w:color w:val="000000" w:themeColor="text1"/>
          <w:sz w:val="22"/>
          <w:szCs w:val="22"/>
        </w:rPr>
        <w:t>₹</w:t>
      </w:r>
      <w:r w:rsidR="0047416D" w:rsidRPr="005E6F72">
        <w:rPr>
          <w:rFonts w:ascii="Palatino Linotype" w:eastAsia="Palatino Linotype" w:hAnsi="Palatino Linotype" w:cs="Tahoma"/>
          <w:color w:val="000000" w:themeColor="text1"/>
          <w:sz w:val="22"/>
          <w:szCs w:val="22"/>
        </w:rPr>
        <w:t>3</w:t>
      </w:r>
      <w:r w:rsidRPr="005E6F72">
        <w:rPr>
          <w:rFonts w:ascii="Palatino Linotype" w:eastAsia="Palatino Linotype" w:hAnsi="Palatino Linotype" w:cs="Tahoma"/>
          <w:color w:val="000000" w:themeColor="text1"/>
          <w:sz w:val="22"/>
          <w:szCs w:val="22"/>
        </w:rPr>
        <w:t>.</w:t>
      </w:r>
      <w:r w:rsidR="0047416D" w:rsidRPr="005E6F72">
        <w:rPr>
          <w:rFonts w:ascii="Palatino Linotype" w:eastAsia="Palatino Linotype" w:hAnsi="Palatino Linotype" w:cs="Tahoma"/>
          <w:color w:val="000000" w:themeColor="text1"/>
          <w:sz w:val="22"/>
          <w:szCs w:val="22"/>
        </w:rPr>
        <w:t>7</w:t>
      </w:r>
      <w:r w:rsidRPr="005E6F72">
        <w:rPr>
          <w:rFonts w:ascii="Palatino Linotype" w:eastAsia="Palatino Linotype" w:hAnsi="Palatino Linotype" w:cs="Palatino Linotype"/>
          <w:color w:val="000000" w:themeColor="text1"/>
          <w:sz w:val="22"/>
          <w:szCs w:val="22"/>
        </w:rPr>
        <w:t xml:space="preserve"> crore were matured/redeemed during the period.  </w:t>
      </w:r>
    </w:p>
    <w:p w:rsidR="00A429C0" w:rsidRPr="00DB7D3F" w:rsidRDefault="00A429C0" w:rsidP="00A429C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color w:val="000000" w:themeColor="text1"/>
          <w:sz w:val="22"/>
          <w:szCs w:val="22"/>
        </w:rPr>
      </w:pPr>
      <w:r w:rsidRPr="00DB7D3F">
        <w:rPr>
          <w:rFonts w:ascii="Palatino Linotype" w:eastAsia="Palatino Linotype" w:hAnsi="Palatino Linotype" w:cs="Palatino Linotype"/>
          <w:color w:val="000000" w:themeColor="text1"/>
          <w:sz w:val="22"/>
          <w:szCs w:val="22"/>
        </w:rPr>
        <w:t xml:space="preserve">The net assets under management of mutual funds stood at </w:t>
      </w:r>
      <w:r w:rsidRPr="00DB7D3F">
        <w:rPr>
          <w:rFonts w:ascii="Times New Roman" w:eastAsia="Palatino Linotype" w:hAnsi="Times New Roman"/>
          <w:color w:val="000000" w:themeColor="text1"/>
          <w:sz w:val="22"/>
          <w:szCs w:val="22"/>
        </w:rPr>
        <w:t>₹</w:t>
      </w:r>
      <w:r w:rsidRPr="00DB7D3F">
        <w:rPr>
          <w:rFonts w:ascii="Palatino Linotype" w:eastAsia="Palatino Linotype" w:hAnsi="Palatino Linotype" w:cs="Palatino Linotype"/>
          <w:color w:val="000000" w:themeColor="text1"/>
          <w:sz w:val="22"/>
          <w:szCs w:val="22"/>
        </w:rPr>
        <w:t>3</w:t>
      </w:r>
      <w:r w:rsidR="00F35792">
        <w:rPr>
          <w:rFonts w:ascii="Palatino Linotype" w:eastAsia="Palatino Linotype" w:hAnsi="Palatino Linotype" w:cs="Palatino Linotype"/>
          <w:color w:val="000000" w:themeColor="text1"/>
          <w:sz w:val="22"/>
          <w:szCs w:val="22"/>
        </w:rPr>
        <w:t>6</w:t>
      </w:r>
      <w:r w:rsidRPr="00DB7D3F">
        <w:rPr>
          <w:rFonts w:ascii="Palatino Linotype" w:eastAsia="Palatino Linotype" w:hAnsi="Palatino Linotype" w:cs="Palatino Linotype"/>
          <w:color w:val="000000" w:themeColor="text1"/>
          <w:sz w:val="22"/>
          <w:szCs w:val="22"/>
        </w:rPr>
        <w:t>.</w:t>
      </w:r>
      <w:r w:rsidR="00F35792">
        <w:rPr>
          <w:rFonts w:ascii="Palatino Linotype" w:eastAsia="Palatino Linotype" w:hAnsi="Palatino Linotype" w:cs="Palatino Linotype"/>
          <w:color w:val="000000" w:themeColor="text1"/>
          <w:sz w:val="22"/>
          <w:szCs w:val="22"/>
        </w:rPr>
        <w:t>59</w:t>
      </w:r>
      <w:r w:rsidRPr="00DB7D3F">
        <w:rPr>
          <w:rFonts w:ascii="Palatino Linotype" w:eastAsia="Palatino Linotype" w:hAnsi="Palatino Linotype" w:cs="Palatino Linotype"/>
          <w:color w:val="000000" w:themeColor="text1"/>
          <w:sz w:val="22"/>
          <w:szCs w:val="22"/>
        </w:rPr>
        <w:t xml:space="preserve"> lakh crore as at the end of </w:t>
      </w:r>
      <w:r w:rsidR="00F35792">
        <w:rPr>
          <w:rFonts w:ascii="Palatino Linotype" w:eastAsia="Palatino Linotype" w:hAnsi="Palatino Linotype" w:cs="Palatino Linotype"/>
          <w:color w:val="000000" w:themeColor="text1"/>
          <w:sz w:val="22"/>
          <w:szCs w:val="22"/>
        </w:rPr>
        <w:t>August</w:t>
      </w:r>
      <w:r w:rsidRPr="00DB7D3F">
        <w:rPr>
          <w:rFonts w:ascii="Palatino Linotype" w:eastAsia="Palatino Linotype" w:hAnsi="Palatino Linotype" w:cs="Palatino Linotype"/>
          <w:color w:val="000000" w:themeColor="text1"/>
          <w:sz w:val="22"/>
          <w:szCs w:val="22"/>
        </w:rPr>
        <w:t xml:space="preserve"> 2021, an increase of </w:t>
      </w:r>
      <w:r w:rsidR="00F35792">
        <w:rPr>
          <w:rFonts w:ascii="Palatino Linotype" w:eastAsia="Palatino Linotype" w:hAnsi="Palatino Linotype" w:cs="Palatino Linotype"/>
          <w:color w:val="000000" w:themeColor="text1"/>
          <w:sz w:val="22"/>
          <w:szCs w:val="22"/>
        </w:rPr>
        <w:t>3</w:t>
      </w:r>
      <w:r w:rsidRPr="00DB7D3F">
        <w:rPr>
          <w:rFonts w:ascii="Palatino Linotype" w:eastAsia="Palatino Linotype" w:hAnsi="Palatino Linotype" w:cs="Palatino Linotype"/>
          <w:color w:val="000000" w:themeColor="text1"/>
          <w:sz w:val="22"/>
          <w:szCs w:val="22"/>
        </w:rPr>
        <w:t>.</w:t>
      </w:r>
      <w:r w:rsidR="00F722D4">
        <w:rPr>
          <w:rFonts w:ascii="Palatino Linotype" w:eastAsia="Palatino Linotype" w:hAnsi="Palatino Linotype" w:cs="Palatino Linotype"/>
          <w:color w:val="000000" w:themeColor="text1"/>
          <w:sz w:val="22"/>
          <w:szCs w:val="22"/>
        </w:rPr>
        <w:t>6</w:t>
      </w:r>
      <w:r w:rsidRPr="00DB7D3F">
        <w:rPr>
          <w:rFonts w:ascii="Palatino Linotype" w:eastAsia="Palatino Linotype" w:hAnsi="Palatino Linotype" w:cs="Palatino Linotype"/>
          <w:color w:val="000000" w:themeColor="text1"/>
          <w:sz w:val="22"/>
          <w:szCs w:val="22"/>
        </w:rPr>
        <w:t xml:space="preserve"> per cent from </w:t>
      </w:r>
      <w:r w:rsidRPr="006659D3">
        <w:rPr>
          <w:rFonts w:ascii="Times New Roman" w:eastAsia="Palatino Linotype" w:hAnsi="Times New Roman"/>
          <w:color w:val="000000" w:themeColor="text1"/>
          <w:sz w:val="22"/>
          <w:szCs w:val="22"/>
        </w:rPr>
        <w:t>₹</w:t>
      </w:r>
      <w:r w:rsidRPr="00DB7D3F">
        <w:rPr>
          <w:rFonts w:ascii="Palatino Linotype" w:eastAsia="Palatino Linotype" w:hAnsi="Palatino Linotype" w:cs="Palatino Linotype"/>
          <w:color w:val="000000" w:themeColor="text1"/>
          <w:sz w:val="22"/>
          <w:szCs w:val="22"/>
        </w:rPr>
        <w:t>3</w:t>
      </w:r>
      <w:r w:rsidR="00F35792">
        <w:rPr>
          <w:rFonts w:ascii="Palatino Linotype" w:eastAsia="Palatino Linotype" w:hAnsi="Palatino Linotype" w:cs="Palatino Linotype"/>
          <w:color w:val="000000" w:themeColor="text1"/>
          <w:sz w:val="22"/>
          <w:szCs w:val="22"/>
        </w:rPr>
        <w:t>5</w:t>
      </w:r>
      <w:r w:rsidRPr="00DB7D3F">
        <w:rPr>
          <w:rFonts w:ascii="Palatino Linotype" w:eastAsia="Palatino Linotype" w:hAnsi="Palatino Linotype" w:cs="Palatino Linotype"/>
          <w:color w:val="000000" w:themeColor="text1"/>
          <w:sz w:val="22"/>
          <w:szCs w:val="22"/>
        </w:rPr>
        <w:t>.</w:t>
      </w:r>
      <w:r w:rsidR="00F35792">
        <w:rPr>
          <w:rFonts w:ascii="Palatino Linotype" w:eastAsia="Palatino Linotype" w:hAnsi="Palatino Linotype" w:cs="Palatino Linotype"/>
          <w:color w:val="000000" w:themeColor="text1"/>
          <w:sz w:val="22"/>
          <w:szCs w:val="22"/>
        </w:rPr>
        <w:t>32</w:t>
      </w:r>
      <w:r w:rsidRPr="00DB7D3F">
        <w:rPr>
          <w:rFonts w:ascii="Palatino Linotype" w:eastAsia="Palatino Linotype" w:hAnsi="Palatino Linotype" w:cs="Palatino Linotype"/>
          <w:color w:val="000000" w:themeColor="text1"/>
          <w:sz w:val="22"/>
          <w:szCs w:val="22"/>
        </w:rPr>
        <w:t xml:space="preserve"> </w:t>
      </w:r>
      <w:r w:rsidRPr="00D0104F">
        <w:rPr>
          <w:rFonts w:ascii="Palatino Linotype" w:eastAsia="Palatino Linotype" w:hAnsi="Palatino Linotype" w:cs="Palatino Linotype"/>
          <w:color w:val="000000" w:themeColor="text1"/>
          <w:sz w:val="22"/>
          <w:szCs w:val="22"/>
        </w:rPr>
        <w:t>lakh crore as at the end of Ju</w:t>
      </w:r>
      <w:r w:rsidR="00F35792">
        <w:rPr>
          <w:rFonts w:ascii="Palatino Linotype" w:eastAsia="Palatino Linotype" w:hAnsi="Palatino Linotype" w:cs="Palatino Linotype"/>
          <w:color w:val="000000" w:themeColor="text1"/>
          <w:sz w:val="22"/>
          <w:szCs w:val="22"/>
        </w:rPr>
        <w:t>ly</w:t>
      </w:r>
      <w:r w:rsidRPr="00D0104F">
        <w:rPr>
          <w:rFonts w:ascii="Palatino Linotype" w:eastAsia="Palatino Linotype" w:hAnsi="Palatino Linotype" w:cs="Palatino Linotype"/>
          <w:color w:val="000000" w:themeColor="text1"/>
          <w:sz w:val="22"/>
          <w:szCs w:val="22"/>
        </w:rPr>
        <w:t xml:space="preserve"> 2021</w:t>
      </w:r>
      <w:r w:rsidRPr="00DB7D3F">
        <w:rPr>
          <w:rFonts w:ascii="Palatino Linotype" w:eastAsia="Palatino Linotype" w:hAnsi="Palatino Linotype" w:cs="Palatino Linotype"/>
          <w:color w:val="000000" w:themeColor="text1"/>
          <w:sz w:val="22"/>
          <w:szCs w:val="22"/>
        </w:rPr>
        <w:t xml:space="preserve">. </w:t>
      </w:r>
    </w:p>
    <w:p w:rsidR="00A429C0" w:rsidRPr="002B10BE" w:rsidRDefault="00A429C0" w:rsidP="00A429C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B10BE">
        <w:rPr>
          <w:rFonts w:ascii="Palatino Linotype" w:eastAsia="Palatino Linotype" w:hAnsi="Palatino Linotype" w:cs="Palatino Linotype"/>
          <w:sz w:val="22"/>
          <w:szCs w:val="22"/>
        </w:rPr>
        <w:t xml:space="preserve">In the secondary market transactions, during </w:t>
      </w:r>
      <w:r w:rsidR="002B10BE" w:rsidRPr="002B10BE">
        <w:rPr>
          <w:rFonts w:ascii="Palatino Linotype" w:eastAsia="Palatino Linotype" w:hAnsi="Palatino Linotype" w:cs="Palatino Linotype"/>
          <w:sz w:val="22"/>
          <w:szCs w:val="22"/>
        </w:rPr>
        <w:t>August</w:t>
      </w:r>
      <w:r w:rsidRPr="002B10BE">
        <w:rPr>
          <w:rFonts w:ascii="Palatino Linotype" w:eastAsia="Palatino Linotype" w:hAnsi="Palatino Linotype" w:cs="Palatino Linotype"/>
          <w:sz w:val="22"/>
          <w:szCs w:val="22"/>
        </w:rPr>
        <w:t xml:space="preserve"> 2021, mutual funds deployed </w:t>
      </w:r>
      <w:r w:rsidRPr="002B10BE">
        <w:rPr>
          <w:rFonts w:ascii="Times New Roman" w:eastAsia="Palatino Linotype" w:hAnsi="Times New Roman"/>
          <w:sz w:val="22"/>
          <w:szCs w:val="22"/>
        </w:rPr>
        <w:t>₹</w:t>
      </w:r>
      <w:r w:rsidR="000F6B02" w:rsidRPr="002B10BE">
        <w:rPr>
          <w:rFonts w:ascii="Times New Roman" w:eastAsia="Palatino Linotype" w:hAnsi="Times New Roman"/>
          <w:sz w:val="22"/>
          <w:szCs w:val="22"/>
        </w:rPr>
        <w:t>1</w:t>
      </w:r>
      <w:r w:rsidRPr="002B10BE">
        <w:rPr>
          <w:rFonts w:ascii="Palatino Linotype" w:eastAsia="Palatino Linotype" w:hAnsi="Palatino Linotype" w:cs="Palatino Linotype"/>
          <w:sz w:val="22"/>
          <w:szCs w:val="22"/>
        </w:rPr>
        <w:t>1,</w:t>
      </w:r>
      <w:r w:rsidR="000F6B02" w:rsidRPr="002B10BE">
        <w:rPr>
          <w:rFonts w:ascii="Palatino Linotype" w:eastAsia="Palatino Linotype" w:hAnsi="Palatino Linotype" w:cs="Palatino Linotype"/>
          <w:sz w:val="22"/>
          <w:szCs w:val="22"/>
        </w:rPr>
        <w:t>546</w:t>
      </w:r>
      <w:r w:rsidRPr="002B10BE">
        <w:rPr>
          <w:rFonts w:ascii="Palatino Linotype" w:eastAsia="Palatino Linotype" w:hAnsi="Palatino Linotype" w:cs="Palatino Linotype"/>
          <w:sz w:val="22"/>
          <w:szCs w:val="22"/>
        </w:rPr>
        <w:t xml:space="preserve"> crore in equity schemes and </w:t>
      </w:r>
      <w:r w:rsidRPr="002B10BE">
        <w:rPr>
          <w:rFonts w:ascii="Times New Roman" w:eastAsia="Palatino Linotype" w:hAnsi="Times New Roman"/>
          <w:sz w:val="22"/>
          <w:szCs w:val="22"/>
        </w:rPr>
        <w:t>₹</w:t>
      </w:r>
      <w:r w:rsidR="000F6B02" w:rsidRPr="002B10BE">
        <w:rPr>
          <w:rFonts w:ascii="Palatino Linotype" w:eastAsia="Palatino Linotype" w:hAnsi="Palatino Linotype" w:cs="Palatino Linotype"/>
          <w:sz w:val="22"/>
          <w:szCs w:val="22"/>
        </w:rPr>
        <w:t>21</w:t>
      </w:r>
      <w:r w:rsidRPr="002B10BE">
        <w:rPr>
          <w:rFonts w:ascii="Palatino Linotype" w:eastAsia="Palatino Linotype" w:hAnsi="Palatino Linotype" w:cs="Palatino Linotype"/>
          <w:sz w:val="22"/>
          <w:szCs w:val="22"/>
        </w:rPr>
        <w:t>,</w:t>
      </w:r>
      <w:r w:rsidR="000F6B02" w:rsidRPr="002B10BE">
        <w:rPr>
          <w:rFonts w:ascii="Palatino Linotype" w:eastAsia="Palatino Linotype" w:hAnsi="Palatino Linotype" w:cs="Palatino Linotype"/>
          <w:sz w:val="22"/>
          <w:szCs w:val="22"/>
        </w:rPr>
        <w:t>094</w:t>
      </w:r>
      <w:r w:rsidRPr="002B10BE">
        <w:rPr>
          <w:rFonts w:ascii="Palatino Linotype" w:eastAsia="Palatino Linotype" w:hAnsi="Palatino Linotype" w:cs="Palatino Linotype"/>
          <w:sz w:val="22"/>
          <w:szCs w:val="22"/>
        </w:rPr>
        <w:t xml:space="preserve"> crore in debt schemes. </w:t>
      </w:r>
    </w:p>
    <w:p w:rsidR="00A429C0" w:rsidRPr="00DB7D3F" w:rsidRDefault="00A429C0" w:rsidP="00A429C0">
      <w:pPr>
        <w:pBdr>
          <w:top w:val="nil"/>
          <w:left w:val="nil"/>
          <w:bottom w:val="nil"/>
          <w:right w:val="nil"/>
          <w:between w:val="nil"/>
        </w:pBdr>
        <w:spacing w:line="276" w:lineRule="auto"/>
        <w:rPr>
          <w:rFonts w:ascii="Palatino Linotype" w:eastAsia="Palatino Linotype" w:hAnsi="Palatino Linotype" w:cs="Palatino Linotype"/>
          <w:b/>
          <w:color w:val="2E74B5"/>
          <w:sz w:val="22"/>
          <w:szCs w:val="22"/>
          <w:highlight w:val="yellow"/>
        </w:rPr>
      </w:pPr>
    </w:p>
    <w:p w:rsidR="00A429C0" w:rsidRPr="00DB7D3F" w:rsidRDefault="00A429C0" w:rsidP="00A429C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Figure 11: Trends in Mutual Funds Transactions in Secondary Market (</w:t>
      </w:r>
      <w:r w:rsidRPr="00DB7D3F">
        <w:rPr>
          <w:rFonts w:ascii="Arial" w:eastAsia="Palatino Linotype" w:hAnsi="Arial" w:cs="Arial"/>
          <w:b/>
          <w:sz w:val="20"/>
          <w:szCs w:val="22"/>
        </w:rPr>
        <w:t>₹</w:t>
      </w:r>
      <w:r w:rsidRPr="00DB7D3F">
        <w:rPr>
          <w:rFonts w:ascii="Palatino Linotype" w:eastAsia="Palatino Linotype" w:hAnsi="Palatino Linotype" w:cs="Palatino Linotype"/>
          <w:b/>
          <w:sz w:val="22"/>
          <w:szCs w:val="22"/>
        </w:rPr>
        <w:t xml:space="preserve"> crore)</w:t>
      </w:r>
    </w:p>
    <w:p w:rsidR="00A429C0" w:rsidRPr="00DB7D3F" w:rsidRDefault="00314E26" w:rsidP="00A429C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Pr>
          <w:noProof/>
          <w:lang w:val="en-IN" w:eastAsia="en-IN" w:bidi="hi-IN"/>
        </w:rPr>
        <w:drawing>
          <wp:inline distT="0" distB="0" distL="0" distR="0" wp14:anchorId="12EC12A2" wp14:editId="0634689B">
            <wp:extent cx="5715000" cy="2819400"/>
            <wp:effectExtent l="0" t="0" r="0" b="0"/>
            <wp:docPr id="12" name="Chart 12">
              <a:extLst xmlns:a="http://schemas.openxmlformats.org/drawingml/2006/main">
                <a:ext uri="{FF2B5EF4-FFF2-40B4-BE49-F238E27FC236}">
                  <a16:creationId xmlns:a16="http://schemas.microsoft.com/office/drawing/2014/main" id="{00000000-0008-0000-0C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D33F7C" w:rsidRPr="00D33F7C" w:rsidRDefault="00D33F7C" w:rsidP="00D33F7C">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D33F7C" w:rsidRPr="00D33F7C" w:rsidRDefault="00D33F7C" w:rsidP="00D33F7C">
      <w:pPr>
        <w:widowControl w:val="0"/>
        <w:numPr>
          <w:ilvl w:val="0"/>
          <w:numId w:val="4"/>
        </w:numPr>
        <w:tabs>
          <w:tab w:val="left" w:pos="0"/>
        </w:tabs>
        <w:spacing w:line="276" w:lineRule="auto"/>
        <w:ind w:left="567" w:hanging="567"/>
        <w:jc w:val="both"/>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t>Trends in Investments by the Foreign Portfolio Investors (FPIs)</w:t>
      </w:r>
    </w:p>
    <w:p w:rsidR="00D33F7C" w:rsidRPr="00D33F7C" w:rsidRDefault="00D33F7C" w:rsidP="00D33F7C">
      <w:pPr>
        <w:widowControl w:val="0"/>
        <w:tabs>
          <w:tab w:val="left" w:pos="0"/>
        </w:tabs>
        <w:spacing w:line="276" w:lineRule="auto"/>
        <w:ind w:left="360"/>
        <w:jc w:val="both"/>
        <w:rPr>
          <w:rFonts w:ascii="Palatino Linotype" w:eastAsia="Palatino Linotype" w:hAnsi="Palatino Linotype" w:cs="Palatino Linotype"/>
          <w:b/>
          <w:sz w:val="22"/>
          <w:szCs w:val="22"/>
        </w:rPr>
      </w:pPr>
    </w:p>
    <w:p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 xml:space="preserve">During </w:t>
      </w:r>
      <w:r w:rsidR="004F754E">
        <w:rPr>
          <w:rFonts w:ascii="Palatino Linotype" w:eastAsia="Palatino Linotype" w:hAnsi="Palatino Linotype" w:cs="Palatino Linotype"/>
          <w:sz w:val="22"/>
          <w:szCs w:val="22"/>
        </w:rPr>
        <w:t>August</w:t>
      </w:r>
      <w:r w:rsidRPr="00D33F7C">
        <w:rPr>
          <w:rFonts w:ascii="Palatino Linotype" w:eastAsia="Palatino Linotype" w:hAnsi="Palatino Linotype" w:cs="Palatino Linotype"/>
          <w:sz w:val="22"/>
          <w:szCs w:val="22"/>
        </w:rPr>
        <w:t xml:space="preserve"> 2021, FPIs invested a total of </w:t>
      </w:r>
      <w:r w:rsidRPr="00D33F7C">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1</w:t>
      </w:r>
      <w:r w:rsidR="004F754E">
        <w:rPr>
          <w:rFonts w:ascii="Palatino Linotype" w:eastAsia="Palatino Linotype" w:hAnsi="Palatino Linotype" w:cs="Palatino Linotype"/>
          <w:sz w:val="22"/>
          <w:szCs w:val="22"/>
        </w:rPr>
        <w:t>6</w:t>
      </w:r>
      <w:r w:rsidRPr="00D33F7C">
        <w:rPr>
          <w:rFonts w:ascii="Palatino Linotype" w:eastAsia="Palatino Linotype" w:hAnsi="Palatino Linotype" w:cs="Palatino Linotype"/>
          <w:sz w:val="22"/>
          <w:szCs w:val="22"/>
        </w:rPr>
        <w:t>,</w:t>
      </w:r>
      <w:r w:rsidR="004F754E">
        <w:rPr>
          <w:rFonts w:ascii="Palatino Linotype" w:eastAsia="Palatino Linotype" w:hAnsi="Palatino Linotype" w:cs="Palatino Linotype"/>
          <w:sz w:val="22"/>
          <w:szCs w:val="22"/>
        </w:rPr>
        <w:t>556</w:t>
      </w:r>
      <w:r w:rsidRPr="00D33F7C">
        <w:rPr>
          <w:rFonts w:ascii="Palatino Linotype" w:eastAsia="Palatino Linotype" w:hAnsi="Palatino Linotype" w:cs="Palatino Linotype"/>
          <w:sz w:val="22"/>
          <w:szCs w:val="22"/>
        </w:rPr>
        <w:t xml:space="preserve"> crore </w:t>
      </w:r>
      <w:r w:rsidR="003323D9">
        <w:rPr>
          <w:rFonts w:ascii="Palatino Linotype" w:eastAsia="Palatino Linotype" w:hAnsi="Palatino Linotype" w:cs="Palatino Linotype"/>
          <w:sz w:val="22"/>
          <w:szCs w:val="22"/>
        </w:rPr>
        <w:t>in</w:t>
      </w:r>
      <w:r w:rsidRPr="00D33F7C">
        <w:rPr>
          <w:rFonts w:ascii="Palatino Linotype" w:eastAsia="Palatino Linotype" w:hAnsi="Palatino Linotype" w:cs="Palatino Linotype"/>
          <w:sz w:val="22"/>
          <w:szCs w:val="22"/>
        </w:rPr>
        <w:t xml:space="preserve"> the Indian securities market compared to a withdrawal of </w:t>
      </w:r>
      <w:r w:rsidRPr="00D33F7C">
        <w:rPr>
          <w:rFonts w:ascii="Times New Roman" w:eastAsia="Palatino Linotype" w:hAnsi="Times New Roman"/>
          <w:sz w:val="22"/>
          <w:szCs w:val="22"/>
        </w:rPr>
        <w:t>₹</w:t>
      </w:r>
      <w:r w:rsidR="004F754E">
        <w:rPr>
          <w:rFonts w:ascii="Times New Roman" w:eastAsia="Palatino Linotype" w:hAnsi="Times New Roman"/>
          <w:sz w:val="22"/>
          <w:szCs w:val="22"/>
        </w:rPr>
        <w:t>7</w:t>
      </w:r>
      <w:r w:rsidRPr="00D33F7C">
        <w:rPr>
          <w:rFonts w:ascii="Palatino Linotype" w:eastAsia="Palatino Linotype" w:hAnsi="Palatino Linotype" w:cs="Palatino Linotype"/>
          <w:sz w:val="22"/>
          <w:szCs w:val="22"/>
        </w:rPr>
        <w:t>,</w:t>
      </w:r>
      <w:r w:rsidR="004F754E">
        <w:rPr>
          <w:rFonts w:ascii="Palatino Linotype" w:eastAsia="Palatino Linotype" w:hAnsi="Palatino Linotype" w:cs="Palatino Linotype"/>
          <w:sz w:val="22"/>
          <w:szCs w:val="22"/>
        </w:rPr>
        <w:t>410</w:t>
      </w:r>
      <w:r w:rsidRPr="00D33F7C">
        <w:rPr>
          <w:rFonts w:ascii="Palatino Linotype" w:eastAsia="Palatino Linotype" w:hAnsi="Palatino Linotype" w:cs="Palatino Linotype"/>
          <w:sz w:val="22"/>
          <w:szCs w:val="22"/>
        </w:rPr>
        <w:t xml:space="preserve"> </w:t>
      </w:r>
      <w:r w:rsidRPr="00D33F7C">
        <w:rPr>
          <w:rFonts w:ascii="Times New Roman" w:eastAsia="Palatino Linotype" w:hAnsi="Times New Roman"/>
          <w:sz w:val="22"/>
          <w:szCs w:val="22"/>
        </w:rPr>
        <w:t xml:space="preserve">crore </w:t>
      </w:r>
      <w:r w:rsidRPr="00D33F7C">
        <w:rPr>
          <w:rFonts w:ascii="Palatino Linotype" w:eastAsia="Palatino Linotype" w:hAnsi="Palatino Linotype" w:cs="Palatino Linotype"/>
          <w:sz w:val="22"/>
          <w:szCs w:val="22"/>
        </w:rPr>
        <w:t xml:space="preserve">in </w:t>
      </w:r>
      <w:r w:rsidR="004F754E">
        <w:rPr>
          <w:rFonts w:ascii="Palatino Linotype" w:eastAsia="Palatino Linotype" w:hAnsi="Palatino Linotype" w:cs="Palatino Linotype"/>
          <w:sz w:val="22"/>
          <w:szCs w:val="22"/>
        </w:rPr>
        <w:t>July</w:t>
      </w:r>
      <w:r w:rsidRPr="00D33F7C">
        <w:rPr>
          <w:rFonts w:ascii="Palatino Linotype" w:eastAsia="Palatino Linotype" w:hAnsi="Palatino Linotype" w:cs="Palatino Linotype"/>
          <w:sz w:val="22"/>
          <w:szCs w:val="22"/>
        </w:rPr>
        <w:t xml:space="preserve"> 2021. During </w:t>
      </w:r>
      <w:r w:rsidR="004F754E">
        <w:rPr>
          <w:rFonts w:ascii="Palatino Linotype" w:eastAsia="Palatino Linotype" w:hAnsi="Palatino Linotype" w:cs="Palatino Linotype"/>
          <w:sz w:val="22"/>
          <w:szCs w:val="22"/>
        </w:rPr>
        <w:t>August</w:t>
      </w:r>
      <w:r w:rsidRPr="00D33F7C">
        <w:rPr>
          <w:rFonts w:ascii="Palatino Linotype" w:eastAsia="Palatino Linotype" w:hAnsi="Palatino Linotype" w:cs="Palatino Linotype"/>
          <w:sz w:val="22"/>
          <w:szCs w:val="22"/>
        </w:rPr>
        <w:t xml:space="preserve"> 2021, FPIs invested </w:t>
      </w:r>
      <w:r w:rsidRPr="00D33F7C">
        <w:rPr>
          <w:rFonts w:ascii="Times New Roman" w:eastAsia="Palatino Linotype" w:hAnsi="Times New Roman"/>
          <w:sz w:val="22"/>
          <w:szCs w:val="22"/>
        </w:rPr>
        <w:t>₹</w:t>
      </w:r>
      <w:r w:rsidR="004F754E">
        <w:rPr>
          <w:rFonts w:ascii="Times New Roman" w:eastAsia="Palatino Linotype" w:hAnsi="Times New Roman"/>
          <w:sz w:val="22"/>
          <w:szCs w:val="22"/>
        </w:rPr>
        <w:t>2</w:t>
      </w:r>
      <w:r w:rsidRPr="00D33F7C">
        <w:rPr>
          <w:rFonts w:ascii="Palatino Linotype" w:eastAsia="Palatino Linotype" w:hAnsi="Palatino Linotype" w:cs="Palatino Linotype"/>
          <w:sz w:val="22"/>
          <w:szCs w:val="22"/>
        </w:rPr>
        <w:t>,</w:t>
      </w:r>
      <w:r w:rsidR="004F754E">
        <w:rPr>
          <w:rFonts w:ascii="Palatino Linotype" w:eastAsia="Palatino Linotype" w:hAnsi="Palatino Linotype" w:cs="Palatino Linotype"/>
          <w:sz w:val="22"/>
          <w:szCs w:val="22"/>
        </w:rPr>
        <w:t>083</w:t>
      </w:r>
      <w:r w:rsidRPr="00D33F7C">
        <w:rPr>
          <w:rFonts w:ascii="Palatino Linotype" w:eastAsia="Palatino Linotype" w:hAnsi="Palatino Linotype" w:cs="Palatino Linotype"/>
          <w:sz w:val="22"/>
          <w:szCs w:val="22"/>
        </w:rPr>
        <w:t xml:space="preserve"> crore in equity </w:t>
      </w:r>
      <w:r w:rsidR="003323D9">
        <w:rPr>
          <w:rFonts w:ascii="Palatino Linotype" w:eastAsia="Palatino Linotype" w:hAnsi="Palatino Linotype" w:cs="Palatino Linotype"/>
          <w:sz w:val="22"/>
          <w:szCs w:val="22"/>
        </w:rPr>
        <w:t>,</w:t>
      </w:r>
      <w:r w:rsidR="004F754E">
        <w:rPr>
          <w:rFonts w:ascii="Palatino Linotype" w:eastAsia="Palatino Linotype" w:hAnsi="Palatino Linotype" w:cs="Palatino Linotype"/>
          <w:sz w:val="22"/>
          <w:szCs w:val="22"/>
        </w:rPr>
        <w:t xml:space="preserve"> </w:t>
      </w:r>
      <w:r w:rsidRPr="00D33F7C">
        <w:rPr>
          <w:rFonts w:ascii="Arial" w:eastAsia="Palatino Linotype" w:hAnsi="Arial" w:cs="Arial"/>
          <w:b/>
          <w:sz w:val="20"/>
          <w:szCs w:val="22"/>
        </w:rPr>
        <w:t>₹</w:t>
      </w:r>
      <w:r w:rsidR="004F754E">
        <w:rPr>
          <w:rFonts w:ascii="Palatino Linotype" w:eastAsia="Palatino Linotype" w:hAnsi="Palatino Linotype" w:cs="Palatino Linotype"/>
          <w:sz w:val="22"/>
          <w:szCs w:val="22"/>
        </w:rPr>
        <w:t>12</w:t>
      </w:r>
      <w:r w:rsidRPr="00D33F7C">
        <w:rPr>
          <w:rFonts w:ascii="Palatino Linotype" w:eastAsia="Palatino Linotype" w:hAnsi="Palatino Linotype" w:cs="Palatino Linotype"/>
          <w:sz w:val="22"/>
          <w:szCs w:val="22"/>
        </w:rPr>
        <w:t>,</w:t>
      </w:r>
      <w:r w:rsidR="004F754E">
        <w:rPr>
          <w:rFonts w:ascii="Palatino Linotype" w:eastAsia="Palatino Linotype" w:hAnsi="Palatino Linotype" w:cs="Palatino Linotype"/>
          <w:sz w:val="22"/>
          <w:szCs w:val="22"/>
        </w:rPr>
        <w:t>144</w:t>
      </w:r>
      <w:r w:rsidRPr="00D33F7C">
        <w:rPr>
          <w:rFonts w:ascii="Palatino Linotype" w:eastAsia="Palatino Linotype" w:hAnsi="Palatino Linotype" w:cs="Palatino Linotype"/>
          <w:sz w:val="22"/>
          <w:szCs w:val="22"/>
        </w:rPr>
        <w:t xml:space="preserve"> crore </w:t>
      </w:r>
      <w:r w:rsidR="004F754E">
        <w:rPr>
          <w:rFonts w:ascii="Palatino Linotype" w:eastAsia="Palatino Linotype" w:hAnsi="Palatino Linotype" w:cs="Palatino Linotype"/>
          <w:sz w:val="22"/>
          <w:szCs w:val="22"/>
        </w:rPr>
        <w:t xml:space="preserve">in </w:t>
      </w:r>
      <w:r w:rsidRPr="00D33F7C">
        <w:rPr>
          <w:rFonts w:ascii="Palatino Linotype" w:eastAsia="Palatino Linotype" w:hAnsi="Palatino Linotype" w:cs="Palatino Linotype"/>
          <w:sz w:val="22"/>
          <w:szCs w:val="22"/>
        </w:rPr>
        <w:t xml:space="preserve">debt securities </w:t>
      </w:r>
      <w:r w:rsidRPr="00D33F7C">
        <w:rPr>
          <w:rFonts w:ascii="Arial" w:eastAsia="Palatino Linotype" w:hAnsi="Arial" w:cs="Arial"/>
          <w:b/>
          <w:sz w:val="20"/>
          <w:szCs w:val="22"/>
        </w:rPr>
        <w:t>₹</w:t>
      </w:r>
      <w:r w:rsidRPr="00D33F7C">
        <w:rPr>
          <w:rFonts w:ascii="Palatino Linotype" w:eastAsia="Palatino Linotype" w:hAnsi="Palatino Linotype" w:cs="Palatino Linotype"/>
          <w:sz w:val="22"/>
          <w:szCs w:val="22"/>
        </w:rPr>
        <w:t>9</w:t>
      </w:r>
      <w:r w:rsidR="004F754E">
        <w:rPr>
          <w:rFonts w:ascii="Palatino Linotype" w:eastAsia="Palatino Linotype" w:hAnsi="Palatino Linotype" w:cs="Palatino Linotype"/>
          <w:sz w:val="22"/>
          <w:szCs w:val="22"/>
        </w:rPr>
        <w:t>7</w:t>
      </w:r>
      <w:r w:rsidRPr="00D33F7C">
        <w:rPr>
          <w:rFonts w:ascii="Palatino Linotype" w:eastAsia="Palatino Linotype" w:hAnsi="Palatino Linotype" w:cs="Palatino Linotype"/>
          <w:sz w:val="22"/>
          <w:szCs w:val="22"/>
        </w:rPr>
        <w:t xml:space="preserve"> crore in hybrid securities </w:t>
      </w:r>
      <w:r w:rsidR="004F754E">
        <w:rPr>
          <w:rFonts w:ascii="Palatino Linotype" w:eastAsia="Palatino Linotype" w:hAnsi="Palatino Linotype" w:cs="Palatino Linotype"/>
          <w:sz w:val="22"/>
          <w:szCs w:val="22"/>
        </w:rPr>
        <w:t xml:space="preserve">and </w:t>
      </w:r>
      <w:r w:rsidRPr="00D33F7C">
        <w:rPr>
          <w:rFonts w:ascii="Arial" w:eastAsia="Palatino Linotype" w:hAnsi="Arial" w:cs="Arial"/>
          <w:b/>
          <w:sz w:val="20"/>
          <w:szCs w:val="22"/>
        </w:rPr>
        <w:t>₹</w:t>
      </w:r>
      <w:r w:rsidR="004F754E">
        <w:rPr>
          <w:rFonts w:ascii="Palatino Linotype" w:eastAsia="Palatino Linotype" w:hAnsi="Palatino Linotype" w:cs="Palatino Linotype"/>
          <w:sz w:val="22"/>
          <w:szCs w:val="22"/>
        </w:rPr>
        <w:t>2,2</w:t>
      </w:r>
      <w:r w:rsidRPr="00D33F7C">
        <w:rPr>
          <w:rFonts w:ascii="Palatino Linotype" w:eastAsia="Palatino Linotype" w:hAnsi="Palatino Linotype" w:cs="Palatino Linotype"/>
          <w:sz w:val="22"/>
          <w:szCs w:val="22"/>
        </w:rPr>
        <w:t>83 cr</w:t>
      </w:r>
      <w:r w:rsidR="003323D9">
        <w:rPr>
          <w:rFonts w:ascii="Palatino Linotype" w:eastAsia="Palatino Linotype" w:hAnsi="Palatino Linotype" w:cs="Palatino Linotype"/>
          <w:sz w:val="22"/>
          <w:szCs w:val="22"/>
        </w:rPr>
        <w:t>ore through debt-voluntary retention route.</w:t>
      </w:r>
    </w:p>
    <w:p w:rsidR="00D33F7C" w:rsidRPr="00D33F7C" w:rsidRDefault="00D33F7C" w:rsidP="00D33F7C">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highlight w:val="yellow"/>
        </w:rPr>
      </w:pPr>
    </w:p>
    <w:p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 xml:space="preserve">The </w:t>
      </w:r>
      <w:r w:rsidRPr="00D33F7C">
        <w:rPr>
          <w:rFonts w:ascii="Palatino Linotype" w:eastAsia="Palatino Linotype" w:hAnsi="Palatino Linotype" w:cs="Palatino Linotype"/>
          <w:color w:val="000000" w:themeColor="text1"/>
          <w:sz w:val="22"/>
          <w:szCs w:val="22"/>
        </w:rPr>
        <w:t xml:space="preserve">assets of FPIs in India, as reported by custodians, as at the end of </w:t>
      </w:r>
      <w:r w:rsidR="000C2077">
        <w:rPr>
          <w:rFonts w:ascii="Palatino Linotype" w:eastAsia="Palatino Linotype" w:hAnsi="Palatino Linotype" w:cs="Palatino Linotype"/>
          <w:color w:val="000000" w:themeColor="text1"/>
          <w:sz w:val="22"/>
          <w:szCs w:val="22"/>
        </w:rPr>
        <w:t>August</w:t>
      </w:r>
      <w:r w:rsidRPr="00D33F7C">
        <w:rPr>
          <w:rFonts w:ascii="Palatino Linotype" w:eastAsia="Palatino Linotype" w:hAnsi="Palatino Linotype" w:cs="Palatino Linotype"/>
          <w:color w:val="000000" w:themeColor="text1"/>
          <w:sz w:val="22"/>
          <w:szCs w:val="22"/>
        </w:rPr>
        <w:t xml:space="preserve"> 2021 was </w:t>
      </w:r>
      <w:r w:rsidRPr="00D33F7C">
        <w:rPr>
          <w:rFonts w:ascii="Times New Roman" w:eastAsia="Palatino Linotype" w:hAnsi="Times New Roman"/>
          <w:color w:val="000000" w:themeColor="text1"/>
          <w:sz w:val="22"/>
          <w:szCs w:val="22"/>
        </w:rPr>
        <w:t>₹</w:t>
      </w:r>
      <w:r w:rsidR="000C2077">
        <w:rPr>
          <w:rFonts w:ascii="Palatino Linotype" w:eastAsia="Palatino Linotype" w:hAnsi="Palatino Linotype" w:cs="Palatino Linotype"/>
          <w:color w:val="000000" w:themeColor="text1"/>
          <w:sz w:val="22"/>
          <w:szCs w:val="22"/>
        </w:rPr>
        <w:t>51</w:t>
      </w:r>
      <w:r w:rsidRPr="00D33F7C">
        <w:rPr>
          <w:rFonts w:ascii="Palatino Linotype" w:eastAsia="Palatino Linotype" w:hAnsi="Palatino Linotype" w:cs="Palatino Linotype"/>
          <w:color w:val="000000" w:themeColor="text1"/>
          <w:sz w:val="22"/>
          <w:szCs w:val="22"/>
        </w:rPr>
        <w:t>,</w:t>
      </w:r>
      <w:r w:rsidR="000C2077">
        <w:rPr>
          <w:rFonts w:ascii="Palatino Linotype" w:eastAsia="Palatino Linotype" w:hAnsi="Palatino Linotype" w:cs="Palatino Linotype"/>
          <w:color w:val="000000" w:themeColor="text1"/>
          <w:sz w:val="22"/>
          <w:szCs w:val="22"/>
        </w:rPr>
        <w:t>99</w:t>
      </w:r>
      <w:r w:rsidRPr="00D33F7C">
        <w:rPr>
          <w:rFonts w:ascii="Palatino Linotype" w:eastAsia="Palatino Linotype" w:hAnsi="Palatino Linotype" w:cs="Palatino Linotype"/>
          <w:color w:val="000000" w:themeColor="text1"/>
          <w:sz w:val="22"/>
          <w:szCs w:val="22"/>
        </w:rPr>
        <w:t>,</w:t>
      </w:r>
      <w:r w:rsidR="000C2077">
        <w:rPr>
          <w:rFonts w:ascii="Palatino Linotype" w:eastAsia="Palatino Linotype" w:hAnsi="Palatino Linotype" w:cs="Palatino Linotype"/>
          <w:color w:val="000000" w:themeColor="text1"/>
          <w:sz w:val="22"/>
          <w:szCs w:val="22"/>
        </w:rPr>
        <w:t>465</w:t>
      </w:r>
      <w:r w:rsidRPr="00D33F7C">
        <w:rPr>
          <w:rFonts w:ascii="Palatino Linotype" w:eastAsia="Palatino Linotype" w:hAnsi="Palatino Linotype" w:cs="Palatino Linotype"/>
          <w:color w:val="000000" w:themeColor="text1"/>
          <w:sz w:val="22"/>
          <w:szCs w:val="22"/>
        </w:rPr>
        <w:t xml:space="preserve"> crore, out of which the notional value of offshore derivative instruments (ODIs) (including ODIs on derivatives) was </w:t>
      </w:r>
      <w:r w:rsidRPr="00D33F7C">
        <w:rPr>
          <w:rFonts w:ascii="Times New Roman" w:eastAsia="Palatino Linotype" w:hAnsi="Times New Roman"/>
          <w:color w:val="000000" w:themeColor="text1"/>
          <w:sz w:val="22"/>
          <w:szCs w:val="22"/>
        </w:rPr>
        <w:t>₹</w:t>
      </w:r>
      <w:r w:rsidR="00DF6F41">
        <w:rPr>
          <w:rFonts w:ascii="Times New Roman" w:eastAsia="Palatino Linotype" w:hAnsi="Times New Roman"/>
          <w:color w:val="000000" w:themeColor="text1"/>
          <w:sz w:val="22"/>
          <w:szCs w:val="22"/>
        </w:rPr>
        <w:t xml:space="preserve"> </w:t>
      </w:r>
      <w:r w:rsidRPr="00DF6F41">
        <w:rPr>
          <w:rFonts w:ascii="Palatino Linotype" w:eastAsia="Palatino Linotype" w:hAnsi="Palatino Linotype" w:cs="Palatino Linotype"/>
          <w:sz w:val="22"/>
          <w:szCs w:val="22"/>
        </w:rPr>
        <w:t>9</w:t>
      </w:r>
      <w:r w:rsidR="00DF6F41" w:rsidRPr="00DF6F41">
        <w:rPr>
          <w:rFonts w:ascii="Palatino Linotype" w:eastAsia="Palatino Linotype" w:hAnsi="Palatino Linotype" w:cs="Palatino Linotype"/>
          <w:sz w:val="22"/>
          <w:szCs w:val="22"/>
        </w:rPr>
        <w:t>7</w:t>
      </w:r>
      <w:r w:rsidRPr="00DF6F41">
        <w:rPr>
          <w:rFonts w:ascii="Palatino Linotype" w:eastAsia="Palatino Linotype" w:hAnsi="Palatino Linotype" w:cs="Palatino Linotype"/>
          <w:sz w:val="22"/>
          <w:szCs w:val="22"/>
        </w:rPr>
        <w:t>,</w:t>
      </w:r>
      <w:r w:rsidR="00DF6F41" w:rsidRPr="00DF6F41">
        <w:rPr>
          <w:rFonts w:ascii="Palatino Linotype" w:eastAsia="Palatino Linotype" w:hAnsi="Palatino Linotype" w:cs="Palatino Linotype"/>
          <w:sz w:val="22"/>
          <w:szCs w:val="22"/>
        </w:rPr>
        <w:t>744</w:t>
      </w:r>
      <w:r w:rsidRPr="00DF6F41">
        <w:rPr>
          <w:rFonts w:ascii="Palatino Linotype" w:eastAsia="Palatino Linotype" w:hAnsi="Palatino Linotype" w:cs="Palatino Linotype"/>
          <w:sz w:val="22"/>
          <w:szCs w:val="22"/>
        </w:rPr>
        <w:t xml:space="preserve"> </w:t>
      </w:r>
      <w:r w:rsidRPr="00D33F7C">
        <w:rPr>
          <w:rFonts w:ascii="Palatino Linotype" w:eastAsia="Palatino Linotype" w:hAnsi="Palatino Linotype" w:cs="Palatino Linotype"/>
          <w:color w:val="000000" w:themeColor="text1"/>
          <w:sz w:val="22"/>
          <w:szCs w:val="22"/>
        </w:rPr>
        <w:t xml:space="preserve">crore which is 1.9 per cent of total assets of FPIs.  </w:t>
      </w:r>
    </w:p>
    <w:p w:rsidR="00D33F7C" w:rsidRDefault="00D33F7C" w:rsidP="00D33F7C">
      <w:pPr>
        <w:pBdr>
          <w:top w:val="nil"/>
          <w:left w:val="nil"/>
          <w:bottom w:val="nil"/>
          <w:right w:val="nil"/>
          <w:between w:val="nil"/>
        </w:pBdr>
        <w:spacing w:line="276" w:lineRule="auto"/>
        <w:ind w:left="720"/>
        <w:rPr>
          <w:rFonts w:ascii="Palatino Linotype" w:eastAsia="Palatino Linotype" w:hAnsi="Palatino Linotype" w:cs="Palatino Linotype"/>
          <w:b/>
          <w:sz w:val="22"/>
          <w:szCs w:val="22"/>
        </w:rPr>
      </w:pPr>
    </w:p>
    <w:p w:rsidR="00D33F7C" w:rsidRPr="00D33F7C" w:rsidRDefault="00D33F7C" w:rsidP="00D33F7C">
      <w:pPr>
        <w:pBdr>
          <w:top w:val="nil"/>
          <w:left w:val="nil"/>
          <w:bottom w:val="nil"/>
          <w:right w:val="nil"/>
          <w:between w:val="nil"/>
        </w:pBdr>
        <w:spacing w:line="276" w:lineRule="auto"/>
        <w:ind w:left="720"/>
        <w:rPr>
          <w:rFonts w:ascii="Palatino Linotype" w:eastAsia="Palatino Linotype" w:hAnsi="Palatino Linotype" w:cs="Palatino Linotype"/>
          <w:b/>
          <w:sz w:val="22"/>
          <w:szCs w:val="22"/>
          <w:highlight w:val="yellow"/>
        </w:rPr>
      </w:pPr>
      <w:r w:rsidRPr="00D33F7C">
        <w:rPr>
          <w:rFonts w:ascii="Palatino Linotype" w:eastAsia="Palatino Linotype" w:hAnsi="Palatino Linotype" w:cs="Palatino Linotype"/>
          <w:b/>
          <w:sz w:val="22"/>
          <w:szCs w:val="22"/>
        </w:rPr>
        <w:t>Figure 12: Trends in FPIs’ Investments</w:t>
      </w:r>
    </w:p>
    <w:p w:rsidR="00D33F7C" w:rsidRPr="00D33F7C" w:rsidRDefault="004F754E" w:rsidP="00D33F7C">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r>
        <w:rPr>
          <w:noProof/>
          <w:lang w:val="en-IN" w:eastAsia="en-IN" w:bidi="hi-IN"/>
        </w:rPr>
        <w:drawing>
          <wp:inline distT="0" distB="0" distL="0" distR="0" wp14:anchorId="5B92E655" wp14:editId="3ECEE837">
            <wp:extent cx="6278880" cy="2484755"/>
            <wp:effectExtent l="0" t="0" r="7620" b="10795"/>
            <wp:docPr id="2" name="Chart 2">
              <a:extLst xmlns:a="http://schemas.openxmlformats.org/drawingml/2006/main">
                <a:ext uri="{FF2B5EF4-FFF2-40B4-BE49-F238E27FC236}">
                  <a16:creationId xmlns:a16="http://schemas.microsoft.com/office/drawing/2014/main" id="{00000000-0008-0000-0D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D33F7C" w:rsidRPr="00D33F7C" w:rsidRDefault="00D33F7C" w:rsidP="00D33F7C">
      <w:pPr>
        <w:rPr>
          <w:rFonts w:ascii="Palatino Linotype" w:eastAsia="Palatino Linotype" w:hAnsi="Palatino Linotype" w:cs="Palatino Linotype"/>
          <w:b/>
          <w:sz w:val="18"/>
          <w:szCs w:val="18"/>
        </w:rPr>
      </w:pPr>
      <w:r w:rsidRPr="00D33F7C">
        <w:rPr>
          <w:rFonts w:ascii="Palatino Linotype" w:eastAsia="Palatino Linotype" w:hAnsi="Palatino Linotype" w:cs="Palatino Linotype"/>
          <w:b/>
          <w:sz w:val="18"/>
          <w:szCs w:val="18"/>
        </w:rPr>
        <w:t xml:space="preserve">  Source: CDSL and NSDL</w:t>
      </w:r>
    </w:p>
    <w:p w:rsidR="00D33F7C" w:rsidRPr="00D33F7C" w:rsidRDefault="00D33F7C" w:rsidP="00D33F7C">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p>
    <w:p w:rsidR="00D33F7C" w:rsidRPr="00D33F7C" w:rsidRDefault="00D33F7C" w:rsidP="00D33F7C">
      <w:pPr>
        <w:pBdr>
          <w:top w:val="nil"/>
          <w:left w:val="nil"/>
          <w:bottom w:val="nil"/>
          <w:right w:val="nil"/>
          <w:between w:val="nil"/>
        </w:pBdr>
        <w:spacing w:line="276" w:lineRule="auto"/>
        <w:ind w:left="720" w:hanging="720"/>
        <w:rPr>
          <w:rFonts w:ascii="Palatino Linotype" w:eastAsia="Palatino Linotype" w:hAnsi="Palatino Linotype" w:cs="Palatino Linotype"/>
          <w:b/>
          <w:color w:val="222A35"/>
          <w:sz w:val="22"/>
          <w:szCs w:val="22"/>
          <w:highlight w:val="yellow"/>
        </w:rPr>
      </w:pPr>
      <w:bookmarkStart w:id="1" w:name="_30j0zll" w:colFirst="0" w:colLast="0"/>
      <w:bookmarkEnd w:id="1"/>
    </w:p>
    <w:p w:rsidR="00D33F7C" w:rsidRPr="00D33F7C" w:rsidRDefault="00D33F7C" w:rsidP="00D33F7C">
      <w:pPr>
        <w:widowControl w:val="0"/>
        <w:numPr>
          <w:ilvl w:val="0"/>
          <w:numId w:val="2"/>
        </w:numPr>
        <w:spacing w:line="276" w:lineRule="auto"/>
        <w:ind w:left="567" w:hanging="567"/>
        <w:jc w:val="both"/>
        <w:rPr>
          <w:rFonts w:ascii="Palatino Linotype" w:eastAsia="Palatino Linotype" w:hAnsi="Palatino Linotype" w:cs="Palatino Linotype"/>
          <w:b/>
          <w:color w:val="222A35"/>
          <w:sz w:val="22"/>
          <w:szCs w:val="22"/>
        </w:rPr>
      </w:pPr>
      <w:r w:rsidRPr="00D33F7C">
        <w:rPr>
          <w:rFonts w:ascii="Palatino Linotype" w:eastAsia="Palatino Linotype" w:hAnsi="Palatino Linotype" w:cs="Palatino Linotype"/>
          <w:b/>
          <w:color w:val="222A35"/>
          <w:sz w:val="22"/>
          <w:szCs w:val="22"/>
        </w:rPr>
        <w:t xml:space="preserve">Trends in Portfolio Management Services </w:t>
      </w:r>
    </w:p>
    <w:p w:rsidR="00D50FD9" w:rsidRDefault="00D50FD9" w:rsidP="00D50FD9">
      <w:pPr>
        <w:pBdr>
          <w:top w:val="nil"/>
          <w:left w:val="nil"/>
          <w:bottom w:val="nil"/>
          <w:right w:val="nil"/>
          <w:between w:val="nil"/>
        </w:pBdr>
        <w:spacing w:line="276" w:lineRule="auto"/>
        <w:ind w:left="720"/>
        <w:jc w:val="both"/>
        <w:rPr>
          <w:rFonts w:ascii="Palatino Linotype" w:eastAsia="Palatino Linotype" w:hAnsi="Palatino Linotype" w:cs="Palatino Linotype"/>
          <w:color w:val="000000" w:themeColor="text1"/>
          <w:sz w:val="22"/>
          <w:szCs w:val="22"/>
        </w:rPr>
      </w:pPr>
    </w:p>
    <w:p w:rsidR="00D50FD9" w:rsidRPr="00D50FD9" w:rsidRDefault="00D50FD9" w:rsidP="00D50FD9">
      <w:pPr>
        <w:pStyle w:val="ListParagraph"/>
        <w:numPr>
          <w:ilvl w:val="0"/>
          <w:numId w:val="17"/>
        </w:numPr>
        <w:pBdr>
          <w:top w:val="nil"/>
          <w:left w:val="nil"/>
          <w:bottom w:val="nil"/>
          <w:right w:val="nil"/>
          <w:between w:val="nil"/>
        </w:pBdr>
        <w:ind w:left="851" w:hanging="284"/>
        <w:jc w:val="both"/>
        <w:rPr>
          <w:rFonts w:ascii="Palatino Linotype" w:eastAsia="Palatino Linotype" w:hAnsi="Palatino Linotype" w:cs="Palatino Linotype"/>
          <w:color w:val="000000" w:themeColor="text1"/>
          <w:sz w:val="22"/>
          <w:szCs w:val="22"/>
        </w:rPr>
      </w:pPr>
      <w:r w:rsidRPr="00D50FD9">
        <w:rPr>
          <w:rFonts w:ascii="Palatino Linotype" w:eastAsia="Palatino Linotype" w:hAnsi="Palatino Linotype" w:cs="Palatino Linotype"/>
          <w:color w:val="000000" w:themeColor="text1"/>
          <w:sz w:val="22"/>
          <w:szCs w:val="22"/>
        </w:rPr>
        <w:t xml:space="preserve">As at end of </w:t>
      </w:r>
      <w:r>
        <w:rPr>
          <w:rFonts w:ascii="Palatino Linotype" w:eastAsia="Palatino Linotype" w:hAnsi="Palatino Linotype" w:cs="Palatino Linotype"/>
          <w:color w:val="000000" w:themeColor="text1"/>
          <w:sz w:val="22"/>
          <w:szCs w:val="22"/>
        </w:rPr>
        <w:t>August</w:t>
      </w:r>
      <w:r w:rsidRPr="00D50FD9">
        <w:rPr>
          <w:rFonts w:ascii="Palatino Linotype" w:eastAsia="Palatino Linotype" w:hAnsi="Palatino Linotype" w:cs="Palatino Linotype"/>
          <w:color w:val="000000" w:themeColor="text1"/>
          <w:sz w:val="22"/>
          <w:szCs w:val="22"/>
        </w:rPr>
        <w:t xml:space="preserve"> 2021, AUM of the portfolio management industry stood at </w:t>
      </w:r>
      <w:r w:rsidRPr="00D50FD9">
        <w:rPr>
          <w:rFonts w:ascii="Times New Roman" w:eastAsia="Palatino Linotype" w:hAnsi="Times New Roman"/>
          <w:color w:val="000000" w:themeColor="text1"/>
          <w:sz w:val="22"/>
          <w:szCs w:val="22"/>
        </w:rPr>
        <w:t>₹</w:t>
      </w:r>
      <w:r w:rsidRPr="00D50FD9">
        <w:rPr>
          <w:rFonts w:ascii="Palatino Linotype" w:eastAsia="Palatino Linotype" w:hAnsi="Palatino Linotype" w:cs="Palatino Linotype"/>
          <w:color w:val="000000" w:themeColor="text1"/>
          <w:sz w:val="22"/>
          <w:szCs w:val="22"/>
        </w:rPr>
        <w:t>2</w:t>
      </w:r>
      <w:r>
        <w:rPr>
          <w:rFonts w:ascii="Palatino Linotype" w:eastAsia="Palatino Linotype" w:hAnsi="Palatino Linotype" w:cs="Palatino Linotype"/>
          <w:color w:val="000000" w:themeColor="text1"/>
          <w:sz w:val="22"/>
          <w:szCs w:val="22"/>
        </w:rPr>
        <w:t>2</w:t>
      </w:r>
      <w:r w:rsidRPr="00D50FD9">
        <w:rPr>
          <w:rFonts w:ascii="Palatino Linotype" w:eastAsia="Palatino Linotype" w:hAnsi="Palatino Linotype" w:cs="Palatino Linotype"/>
          <w:color w:val="000000" w:themeColor="text1"/>
          <w:sz w:val="22"/>
          <w:szCs w:val="22"/>
        </w:rPr>
        <w:t>.</w:t>
      </w:r>
      <w:r>
        <w:rPr>
          <w:rFonts w:ascii="Palatino Linotype" w:eastAsia="Palatino Linotype" w:hAnsi="Palatino Linotype" w:cs="Palatino Linotype"/>
          <w:color w:val="000000" w:themeColor="text1"/>
          <w:sz w:val="22"/>
          <w:szCs w:val="22"/>
        </w:rPr>
        <w:t>13</w:t>
      </w:r>
      <w:r w:rsidRPr="00D50FD9">
        <w:rPr>
          <w:rFonts w:ascii="Palatino Linotype" w:eastAsia="Palatino Linotype" w:hAnsi="Palatino Linotype" w:cs="Palatino Linotype"/>
          <w:color w:val="000000" w:themeColor="text1"/>
          <w:sz w:val="22"/>
          <w:szCs w:val="22"/>
        </w:rPr>
        <w:t xml:space="preserve"> lakh crore compared to </w:t>
      </w:r>
      <w:r w:rsidRPr="00D50FD9">
        <w:rPr>
          <w:rFonts w:ascii="Times New Roman" w:eastAsia="Palatino Linotype" w:hAnsi="Times New Roman"/>
          <w:color w:val="000000" w:themeColor="text1"/>
          <w:sz w:val="22"/>
          <w:szCs w:val="22"/>
        </w:rPr>
        <w:t>₹</w:t>
      </w:r>
      <w:r w:rsidRPr="00D50FD9">
        <w:rPr>
          <w:rFonts w:ascii="Palatino Linotype" w:eastAsia="Palatino Linotype" w:hAnsi="Palatino Linotype" w:cs="Palatino Linotype"/>
          <w:color w:val="000000" w:themeColor="text1"/>
          <w:sz w:val="22"/>
          <w:szCs w:val="22"/>
        </w:rPr>
        <w:t>21.</w:t>
      </w:r>
      <w:r>
        <w:rPr>
          <w:rFonts w:ascii="Palatino Linotype" w:eastAsia="Palatino Linotype" w:hAnsi="Palatino Linotype" w:cs="Palatino Linotype"/>
          <w:color w:val="000000" w:themeColor="text1"/>
          <w:sz w:val="22"/>
          <w:szCs w:val="22"/>
        </w:rPr>
        <w:t>77</w:t>
      </w:r>
      <w:r w:rsidRPr="00D50FD9">
        <w:rPr>
          <w:rFonts w:ascii="Palatino Linotype" w:eastAsia="Palatino Linotype" w:hAnsi="Palatino Linotype" w:cs="Palatino Linotype"/>
          <w:color w:val="000000" w:themeColor="text1"/>
          <w:sz w:val="22"/>
          <w:szCs w:val="22"/>
        </w:rPr>
        <w:t xml:space="preserve"> lakh crore at the end of Ju</w:t>
      </w:r>
      <w:r>
        <w:rPr>
          <w:rFonts w:ascii="Palatino Linotype" w:eastAsia="Palatino Linotype" w:hAnsi="Palatino Linotype" w:cs="Palatino Linotype"/>
          <w:color w:val="000000" w:themeColor="text1"/>
          <w:sz w:val="22"/>
          <w:szCs w:val="22"/>
        </w:rPr>
        <w:t>ly</w:t>
      </w:r>
      <w:r w:rsidRPr="00D50FD9">
        <w:rPr>
          <w:rFonts w:ascii="Palatino Linotype" w:eastAsia="Palatino Linotype" w:hAnsi="Palatino Linotype" w:cs="Palatino Linotype"/>
          <w:color w:val="000000" w:themeColor="text1"/>
          <w:sz w:val="22"/>
          <w:szCs w:val="22"/>
        </w:rPr>
        <w:t xml:space="preserve"> 2021. </w:t>
      </w:r>
    </w:p>
    <w:p w:rsidR="00D50FD9" w:rsidRPr="00D50FD9" w:rsidRDefault="00D50FD9" w:rsidP="00D50FD9">
      <w:pPr>
        <w:pBdr>
          <w:top w:val="nil"/>
          <w:left w:val="nil"/>
          <w:bottom w:val="nil"/>
          <w:right w:val="nil"/>
          <w:between w:val="nil"/>
        </w:pBdr>
        <w:spacing w:line="276" w:lineRule="auto"/>
        <w:ind w:left="851" w:hanging="284"/>
        <w:jc w:val="both"/>
        <w:rPr>
          <w:rFonts w:ascii="Palatino Linotype" w:eastAsia="Palatino Linotype" w:hAnsi="Palatino Linotype" w:cs="Palatino Linotype"/>
          <w:color w:val="000000" w:themeColor="text1"/>
          <w:sz w:val="22"/>
          <w:szCs w:val="22"/>
        </w:rPr>
      </w:pPr>
    </w:p>
    <w:p w:rsidR="00D50FD9" w:rsidRPr="00D50FD9" w:rsidRDefault="00D50FD9" w:rsidP="00D50FD9">
      <w:pPr>
        <w:pStyle w:val="ListParagraph"/>
        <w:numPr>
          <w:ilvl w:val="0"/>
          <w:numId w:val="17"/>
        </w:numPr>
        <w:pBdr>
          <w:top w:val="nil"/>
          <w:left w:val="nil"/>
          <w:bottom w:val="nil"/>
          <w:right w:val="nil"/>
          <w:between w:val="nil"/>
        </w:pBdr>
        <w:ind w:left="851" w:hanging="284"/>
        <w:jc w:val="both"/>
        <w:rPr>
          <w:rFonts w:ascii="Palatino Linotype" w:eastAsia="Palatino Linotype" w:hAnsi="Palatino Linotype" w:cs="Palatino Linotype"/>
          <w:color w:val="000000" w:themeColor="text1"/>
          <w:sz w:val="22"/>
          <w:szCs w:val="22"/>
        </w:rPr>
      </w:pPr>
      <w:r w:rsidRPr="00D50FD9">
        <w:rPr>
          <w:rFonts w:ascii="Palatino Linotype" w:eastAsia="Palatino Linotype" w:hAnsi="Palatino Linotype" w:cs="Palatino Linotype"/>
          <w:color w:val="000000" w:themeColor="text1"/>
          <w:sz w:val="22"/>
          <w:szCs w:val="22"/>
        </w:rPr>
        <w:t>There were 1,</w:t>
      </w:r>
      <w:r>
        <w:rPr>
          <w:rFonts w:ascii="Palatino Linotype" w:eastAsia="Palatino Linotype" w:hAnsi="Palatino Linotype" w:cs="Palatino Linotype"/>
          <w:color w:val="000000" w:themeColor="text1"/>
          <w:sz w:val="22"/>
          <w:szCs w:val="22"/>
        </w:rPr>
        <w:t>30</w:t>
      </w:r>
      <w:r w:rsidRPr="00D50FD9">
        <w:rPr>
          <w:rFonts w:ascii="Palatino Linotype" w:eastAsia="Palatino Linotype" w:hAnsi="Palatino Linotype" w:cs="Palatino Linotype"/>
          <w:color w:val="000000" w:themeColor="text1"/>
          <w:sz w:val="22"/>
          <w:szCs w:val="22"/>
        </w:rPr>
        <w:t>,</w:t>
      </w:r>
      <w:r>
        <w:rPr>
          <w:rFonts w:ascii="Palatino Linotype" w:eastAsia="Palatino Linotype" w:hAnsi="Palatino Linotype" w:cs="Palatino Linotype"/>
          <w:color w:val="000000" w:themeColor="text1"/>
          <w:sz w:val="22"/>
          <w:szCs w:val="22"/>
        </w:rPr>
        <w:t>526</w:t>
      </w:r>
      <w:r w:rsidRPr="00D50FD9">
        <w:rPr>
          <w:rFonts w:ascii="Palatino Linotype" w:eastAsia="Palatino Linotype" w:hAnsi="Palatino Linotype" w:cs="Palatino Linotype"/>
          <w:color w:val="000000" w:themeColor="text1"/>
          <w:sz w:val="22"/>
          <w:szCs w:val="22"/>
        </w:rPr>
        <w:t xml:space="preserve"> clients in portfolio management industry as at the end of </w:t>
      </w:r>
      <w:r>
        <w:rPr>
          <w:rFonts w:ascii="Palatino Linotype" w:eastAsia="Palatino Linotype" w:hAnsi="Palatino Linotype" w:cs="Palatino Linotype"/>
          <w:color w:val="000000" w:themeColor="text1"/>
          <w:sz w:val="22"/>
          <w:szCs w:val="22"/>
        </w:rPr>
        <w:t>August</w:t>
      </w:r>
      <w:r w:rsidRPr="00D50FD9">
        <w:rPr>
          <w:rFonts w:ascii="Palatino Linotype" w:eastAsia="Palatino Linotype" w:hAnsi="Palatino Linotype" w:cs="Palatino Linotype"/>
          <w:color w:val="000000" w:themeColor="text1"/>
          <w:sz w:val="22"/>
          <w:szCs w:val="22"/>
        </w:rPr>
        <w:t xml:space="preserve"> 2021, of which </w:t>
      </w:r>
      <w:r>
        <w:rPr>
          <w:rFonts w:ascii="Palatino Linotype" w:eastAsia="Palatino Linotype" w:hAnsi="Palatino Linotype" w:cs="Palatino Linotype"/>
          <w:color w:val="000000" w:themeColor="text1"/>
          <w:sz w:val="22"/>
          <w:szCs w:val="22"/>
        </w:rPr>
        <w:t>1,20,790</w:t>
      </w:r>
      <w:r w:rsidRPr="00D50FD9">
        <w:rPr>
          <w:rFonts w:ascii="Palatino Linotype" w:eastAsia="Palatino Linotype" w:hAnsi="Palatino Linotype" w:cs="Palatino Linotype"/>
          <w:color w:val="000000" w:themeColor="text1"/>
          <w:sz w:val="22"/>
          <w:szCs w:val="22"/>
        </w:rPr>
        <w:t xml:space="preserve"> clients belong to discretionary services category, </w:t>
      </w:r>
      <w:r>
        <w:rPr>
          <w:rFonts w:ascii="Palatino Linotype" w:eastAsia="Palatino Linotype" w:hAnsi="Palatino Linotype" w:cs="Palatino Linotype"/>
          <w:color w:val="000000" w:themeColor="text1"/>
          <w:sz w:val="22"/>
          <w:szCs w:val="22"/>
        </w:rPr>
        <w:t>7,981</w:t>
      </w:r>
      <w:r w:rsidRPr="00D50FD9">
        <w:rPr>
          <w:rFonts w:ascii="Palatino Linotype" w:eastAsia="Palatino Linotype" w:hAnsi="Palatino Linotype" w:cs="Palatino Linotype"/>
          <w:color w:val="000000" w:themeColor="text1"/>
          <w:sz w:val="22"/>
          <w:szCs w:val="22"/>
        </w:rPr>
        <w:t xml:space="preserve"> clients belong to non-discretionary services category and 1,7</w:t>
      </w:r>
      <w:r>
        <w:rPr>
          <w:rFonts w:ascii="Palatino Linotype" w:eastAsia="Palatino Linotype" w:hAnsi="Palatino Linotype" w:cs="Palatino Linotype"/>
          <w:color w:val="000000" w:themeColor="text1"/>
          <w:sz w:val="22"/>
          <w:szCs w:val="22"/>
        </w:rPr>
        <w:t>55</w:t>
      </w:r>
      <w:r w:rsidRPr="00D50FD9">
        <w:rPr>
          <w:rFonts w:ascii="Palatino Linotype" w:eastAsia="Palatino Linotype" w:hAnsi="Palatino Linotype" w:cs="Palatino Linotype"/>
          <w:color w:val="000000" w:themeColor="text1"/>
          <w:sz w:val="22"/>
          <w:szCs w:val="22"/>
        </w:rPr>
        <w:t xml:space="preserve"> clients belong to advisory services category of portfolio management services.</w:t>
      </w:r>
    </w:p>
    <w:p w:rsidR="00D33F7C" w:rsidRDefault="00D33F7C" w:rsidP="00D33F7C">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rsidR="00046A06" w:rsidRDefault="00046A06" w:rsidP="00D33F7C">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rsidR="00046A06" w:rsidRPr="00D33F7C" w:rsidRDefault="00046A06" w:rsidP="00D33F7C">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rsidR="00D33F7C" w:rsidRPr="00D33F7C" w:rsidRDefault="00D33F7C" w:rsidP="00D33F7C">
      <w:pPr>
        <w:widowControl w:val="0"/>
        <w:numPr>
          <w:ilvl w:val="0"/>
          <w:numId w:val="2"/>
        </w:numPr>
        <w:spacing w:line="276" w:lineRule="auto"/>
        <w:ind w:left="567" w:hanging="567"/>
        <w:rPr>
          <w:rFonts w:ascii="Palatino Linotype" w:eastAsia="Palatino Linotype" w:hAnsi="Palatino Linotype" w:cs="Palatino Linotype"/>
          <w:b/>
          <w:color w:val="222A35"/>
          <w:sz w:val="22"/>
          <w:szCs w:val="22"/>
        </w:rPr>
      </w:pPr>
      <w:r w:rsidRPr="00D33F7C">
        <w:rPr>
          <w:rFonts w:ascii="Palatino Linotype" w:eastAsia="Palatino Linotype" w:hAnsi="Palatino Linotype" w:cs="Palatino Linotype"/>
          <w:b/>
          <w:color w:val="222A35"/>
          <w:sz w:val="22"/>
          <w:szCs w:val="22"/>
        </w:rPr>
        <w:t>Trends in Substantial Acquisition of Shares and Takeovers</w:t>
      </w:r>
    </w:p>
    <w:p w:rsidR="00D33F7C" w:rsidRDefault="00D33F7C" w:rsidP="00D33F7C">
      <w:pPr>
        <w:jc w:val="both"/>
        <w:rPr>
          <w:rFonts w:ascii="Palatino Linotype" w:eastAsia="Times New Roman" w:hAnsi="Palatino Linotype" w:cs="Garamond"/>
          <w:sz w:val="22"/>
          <w:szCs w:val="22"/>
        </w:rPr>
      </w:pPr>
      <w:r w:rsidRPr="00C4396C">
        <w:rPr>
          <w:rFonts w:ascii="Palatino Linotype" w:eastAsia="Palatino Linotype" w:hAnsi="Palatino Linotype" w:cs="Palatino Linotype"/>
          <w:sz w:val="22"/>
          <w:szCs w:val="22"/>
        </w:rPr>
        <w:t xml:space="preserve">During </w:t>
      </w:r>
      <w:r w:rsidR="00904041">
        <w:rPr>
          <w:rFonts w:ascii="Palatino Linotype" w:eastAsia="Palatino Linotype" w:hAnsi="Palatino Linotype" w:cs="Palatino Linotype"/>
          <w:sz w:val="22"/>
          <w:szCs w:val="22"/>
        </w:rPr>
        <w:t xml:space="preserve">August </w:t>
      </w:r>
      <w:r w:rsidRPr="00C4396C">
        <w:rPr>
          <w:rFonts w:ascii="Palatino Linotype" w:eastAsia="Palatino Linotype" w:hAnsi="Palatino Linotype" w:cs="Palatino Linotype"/>
          <w:sz w:val="22"/>
          <w:szCs w:val="22"/>
        </w:rPr>
        <w:t xml:space="preserve">2021, </w:t>
      </w:r>
      <w:r w:rsidR="00904041">
        <w:rPr>
          <w:rFonts w:ascii="Palatino Linotype" w:eastAsia="Palatino Linotype" w:hAnsi="Palatino Linotype" w:cs="Palatino Linotype"/>
          <w:sz w:val="22"/>
          <w:szCs w:val="22"/>
        </w:rPr>
        <w:t>eight</w:t>
      </w:r>
      <w:r w:rsidRPr="00C4396C">
        <w:rPr>
          <w:rFonts w:ascii="Palatino Linotype" w:eastAsia="Palatino Linotype" w:hAnsi="Palatino Linotype" w:cs="Palatino Linotype"/>
          <w:sz w:val="22"/>
          <w:szCs w:val="22"/>
        </w:rPr>
        <w:t xml:space="preserve"> open offers with offer value of </w:t>
      </w:r>
      <w:r w:rsidRPr="00C4396C">
        <w:rPr>
          <w:rFonts w:ascii="Times New Roman" w:eastAsia="Palatino Linotype" w:hAnsi="Times New Roman"/>
          <w:sz w:val="22"/>
          <w:szCs w:val="22"/>
        </w:rPr>
        <w:t>₹</w:t>
      </w:r>
      <w:r w:rsidR="00904041">
        <w:rPr>
          <w:rFonts w:ascii="Times New Roman" w:eastAsia="Palatino Linotype" w:hAnsi="Times New Roman"/>
          <w:sz w:val="22"/>
          <w:szCs w:val="22"/>
        </w:rPr>
        <w:t>2,0</w:t>
      </w:r>
      <w:r w:rsidRPr="00C4396C">
        <w:rPr>
          <w:rFonts w:ascii="Palatino Linotype" w:eastAsia="Palatino Linotype" w:hAnsi="Palatino Linotype" w:cs="Palatino Linotype"/>
          <w:sz w:val="22"/>
          <w:szCs w:val="22"/>
        </w:rPr>
        <w:t xml:space="preserve">82 crore were closed under SEBI (Substantial Acquisition of Shares and Takeover) Regulations, 2011 (SAST Regulations) as against </w:t>
      </w:r>
      <w:r w:rsidR="00C4396C" w:rsidRPr="00C4396C">
        <w:rPr>
          <w:rFonts w:ascii="Palatino Linotype" w:eastAsia="Palatino Linotype" w:hAnsi="Palatino Linotype" w:cs="Palatino Linotype"/>
          <w:sz w:val="22"/>
          <w:szCs w:val="22"/>
        </w:rPr>
        <w:t>f</w:t>
      </w:r>
      <w:r w:rsidR="00904041">
        <w:rPr>
          <w:rFonts w:ascii="Palatino Linotype" w:eastAsia="Palatino Linotype" w:hAnsi="Palatino Linotype" w:cs="Palatino Linotype"/>
          <w:sz w:val="22"/>
          <w:szCs w:val="22"/>
        </w:rPr>
        <w:t>ive</w:t>
      </w:r>
      <w:r w:rsidRPr="00C4396C">
        <w:rPr>
          <w:rFonts w:ascii="Palatino Linotype" w:eastAsia="Palatino Linotype" w:hAnsi="Palatino Linotype" w:cs="Palatino Linotype"/>
          <w:sz w:val="22"/>
          <w:szCs w:val="22"/>
        </w:rPr>
        <w:t xml:space="preserve"> open offers with offer value of </w:t>
      </w:r>
      <w:r w:rsidRPr="00C4396C">
        <w:rPr>
          <w:rFonts w:ascii="Times New Roman" w:eastAsia="Palatino Linotype" w:hAnsi="Times New Roman"/>
          <w:sz w:val="22"/>
          <w:szCs w:val="22"/>
        </w:rPr>
        <w:t>₹</w:t>
      </w:r>
      <w:r w:rsidR="00904041">
        <w:rPr>
          <w:rFonts w:ascii="Times New Roman" w:eastAsia="Palatino Linotype" w:hAnsi="Times New Roman"/>
          <w:sz w:val="22"/>
          <w:szCs w:val="22"/>
        </w:rPr>
        <w:t>8,267</w:t>
      </w:r>
      <w:r w:rsidRPr="00C4396C">
        <w:rPr>
          <w:rFonts w:ascii="Palatino Linotype" w:eastAsia="Palatino Linotype" w:hAnsi="Palatino Linotype" w:cs="Palatino Linotype"/>
          <w:sz w:val="22"/>
          <w:szCs w:val="22"/>
        </w:rPr>
        <w:t xml:space="preserve"> crore closed in </w:t>
      </w:r>
      <w:r w:rsidR="00904041">
        <w:rPr>
          <w:rFonts w:ascii="Palatino Linotype" w:eastAsia="Palatino Linotype" w:hAnsi="Palatino Linotype" w:cs="Palatino Linotype"/>
          <w:sz w:val="22"/>
          <w:szCs w:val="22"/>
        </w:rPr>
        <w:t>July</w:t>
      </w:r>
      <w:r w:rsidRPr="00C4396C">
        <w:rPr>
          <w:rFonts w:ascii="Palatino Linotype" w:eastAsia="Palatino Linotype" w:hAnsi="Palatino Linotype" w:cs="Palatino Linotype"/>
          <w:sz w:val="22"/>
          <w:szCs w:val="22"/>
        </w:rPr>
        <w:t xml:space="preserve"> 2021. </w:t>
      </w:r>
    </w:p>
    <w:p w:rsidR="00D50FD9" w:rsidRPr="00C4396C" w:rsidRDefault="00D50FD9" w:rsidP="00D33F7C">
      <w:pPr>
        <w:jc w:val="both"/>
        <w:rPr>
          <w:rFonts w:ascii="Palatino Linotype" w:eastAsia="Times New Roman" w:hAnsi="Palatino Linotype" w:cs="Garamond"/>
          <w:sz w:val="22"/>
          <w:szCs w:val="22"/>
        </w:rPr>
      </w:pPr>
    </w:p>
    <w:p w:rsidR="00D33F7C" w:rsidRPr="00D33F7C" w:rsidRDefault="00D33F7C" w:rsidP="00D33F7C">
      <w:pPr>
        <w:jc w:val="center"/>
        <w:rPr>
          <w:rFonts w:ascii="Palatino Linotype" w:eastAsia="Palatino Linotype" w:hAnsi="Palatino Linotype" w:cs="Palatino Linotype"/>
          <w:b/>
          <w:color w:val="222A35"/>
          <w:sz w:val="22"/>
          <w:szCs w:val="22"/>
        </w:rPr>
      </w:pPr>
      <w:r w:rsidRPr="00D33F7C">
        <w:rPr>
          <w:rFonts w:ascii="Palatino Linotype" w:eastAsia="Palatino Linotype" w:hAnsi="Palatino Linotype" w:cs="Palatino Linotype"/>
          <w:b/>
          <w:color w:val="222A35"/>
          <w:sz w:val="22"/>
          <w:szCs w:val="22"/>
        </w:rPr>
        <w:t>Figure 13: Details of Open Offers Closed under the SEBI (SAST) Regulations</w:t>
      </w:r>
    </w:p>
    <w:p w:rsidR="00D33F7C" w:rsidRPr="00D33F7C" w:rsidRDefault="00904041" w:rsidP="00D33F7C">
      <w:pPr>
        <w:spacing w:line="276" w:lineRule="auto"/>
        <w:jc w:val="center"/>
        <w:rPr>
          <w:rFonts w:ascii="Palatino Linotype" w:eastAsia="Palatino Linotype" w:hAnsi="Palatino Linotype" w:cs="Palatino Linotype"/>
          <w:b/>
          <w:color w:val="222A35"/>
          <w:sz w:val="22"/>
          <w:szCs w:val="22"/>
          <w:highlight w:val="yellow"/>
        </w:rPr>
      </w:pPr>
      <w:r>
        <w:rPr>
          <w:noProof/>
          <w:lang w:val="en-IN" w:eastAsia="en-IN" w:bidi="hi-IN"/>
        </w:rPr>
        <w:drawing>
          <wp:inline distT="0" distB="0" distL="0" distR="0" wp14:anchorId="35F72C28" wp14:editId="3EA12925">
            <wp:extent cx="5600700" cy="2743200"/>
            <wp:effectExtent l="0" t="0" r="0" b="0"/>
            <wp:docPr id="1" name="Chart 1">
              <a:extLst xmlns:a="http://schemas.openxmlformats.org/drawingml/2006/main">
                <a:ext uri="{FF2B5EF4-FFF2-40B4-BE49-F238E27FC236}">
                  <a16:creationId xmlns:a16="http://schemas.microsoft.com/office/drawing/2014/main" id="{00000000-0008-0000-0E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3B1F08" w:rsidRDefault="003B1F08" w:rsidP="003F4581">
      <w:pPr>
        <w:widowControl w:val="0"/>
        <w:ind w:left="-284"/>
        <w:jc w:val="both"/>
        <w:rPr>
          <w:rFonts w:ascii="Palatino Linotype" w:hAnsi="Palatino Linotype"/>
          <w:b/>
          <w:color w:val="0F0684"/>
        </w:rPr>
      </w:pPr>
    </w:p>
    <w:p w:rsidR="003B1F08" w:rsidRDefault="003B1F08" w:rsidP="003F4581">
      <w:pPr>
        <w:widowControl w:val="0"/>
        <w:ind w:left="-284"/>
        <w:jc w:val="both"/>
        <w:rPr>
          <w:rFonts w:ascii="Palatino Linotype" w:hAnsi="Palatino Linotype"/>
          <w:b/>
          <w:color w:val="0F0684"/>
        </w:rPr>
      </w:pPr>
    </w:p>
    <w:p w:rsidR="003B1F08" w:rsidRDefault="003B1F08" w:rsidP="003F4581">
      <w:pPr>
        <w:widowControl w:val="0"/>
        <w:ind w:left="-284"/>
        <w:jc w:val="both"/>
        <w:rPr>
          <w:rFonts w:ascii="Palatino Linotype" w:hAnsi="Palatino Linotype"/>
          <w:b/>
          <w:color w:val="0F0684"/>
        </w:rPr>
      </w:pPr>
    </w:p>
    <w:p w:rsidR="003F4581" w:rsidRPr="00B92D2D" w:rsidRDefault="003F4581" w:rsidP="003F4581">
      <w:pPr>
        <w:widowControl w:val="0"/>
        <w:ind w:left="-284"/>
        <w:jc w:val="both"/>
        <w:rPr>
          <w:rFonts w:ascii="Palatino Linotype" w:eastAsia="Times New Roman" w:hAnsi="Palatino Linotype"/>
          <w:b/>
          <w:color w:val="0F0684"/>
        </w:rPr>
      </w:pPr>
      <w:r w:rsidRPr="00B92D2D">
        <w:rPr>
          <w:rFonts w:ascii="Palatino Linotype" w:hAnsi="Palatino Linotype"/>
          <w:b/>
          <w:color w:val="0F0684"/>
        </w:rPr>
        <w:t>IX.</w:t>
      </w:r>
      <w:r>
        <w:rPr>
          <w:rFonts w:ascii="Palatino Linotype" w:hAnsi="Palatino Linotype"/>
          <w:b/>
          <w:color w:val="0F0684"/>
        </w:rPr>
        <w:t xml:space="preserve">     Commodity </w:t>
      </w:r>
      <w:r w:rsidRPr="00B92D2D">
        <w:rPr>
          <w:rFonts w:ascii="Palatino Linotype" w:hAnsi="Palatino Linotype"/>
          <w:b/>
          <w:color w:val="0F0684"/>
        </w:rPr>
        <w:t>Derivatives Markets</w:t>
      </w:r>
    </w:p>
    <w:p w:rsidR="003F4581" w:rsidRPr="00B92D2D" w:rsidRDefault="003F4581" w:rsidP="003F4581">
      <w:pPr>
        <w:pStyle w:val="ListParagraph"/>
        <w:spacing w:after="0" w:line="240" w:lineRule="auto"/>
        <w:jc w:val="both"/>
        <w:rPr>
          <w:rFonts w:ascii="Palatino Linotype" w:eastAsia="Times New Roman" w:hAnsi="Palatino Linotype"/>
          <w:b/>
          <w:color w:val="000000"/>
          <w:sz w:val="22"/>
          <w:szCs w:val="22"/>
        </w:rPr>
      </w:pPr>
    </w:p>
    <w:p w:rsidR="00523DB5" w:rsidRPr="00C84AE1" w:rsidRDefault="00523DB5" w:rsidP="00523DB5">
      <w:pPr>
        <w:pStyle w:val="ListParagraph"/>
        <w:numPr>
          <w:ilvl w:val="0"/>
          <w:numId w:val="11"/>
        </w:numPr>
        <w:tabs>
          <w:tab w:val="left" w:pos="567"/>
        </w:tabs>
        <w:spacing w:after="0" w:line="240" w:lineRule="auto"/>
        <w:ind w:left="0" w:firstLine="0"/>
        <w:jc w:val="both"/>
        <w:rPr>
          <w:rFonts w:ascii="Palatino Linotype" w:eastAsia="Times New Roman" w:hAnsi="Palatino Linotype"/>
          <w:b/>
          <w:color w:val="000000"/>
          <w:sz w:val="22"/>
          <w:szCs w:val="22"/>
        </w:rPr>
      </w:pPr>
      <w:r w:rsidRPr="00C84AE1">
        <w:rPr>
          <w:rFonts w:ascii="Palatino Linotype" w:eastAsia="Times New Roman" w:hAnsi="Palatino Linotype"/>
          <w:b/>
          <w:color w:val="000000"/>
          <w:sz w:val="22"/>
          <w:szCs w:val="22"/>
        </w:rPr>
        <w:t>Market Trends</w:t>
      </w:r>
    </w:p>
    <w:p w:rsidR="00523DB5" w:rsidRDefault="00523DB5" w:rsidP="00523DB5">
      <w:pPr>
        <w:pStyle w:val="ListParagraph"/>
        <w:spacing w:after="0" w:line="240" w:lineRule="auto"/>
        <w:ind w:left="567"/>
        <w:jc w:val="both"/>
        <w:rPr>
          <w:rFonts w:ascii="Palatino Linotype" w:hAnsi="Palatino Linotype"/>
          <w:sz w:val="22"/>
          <w:szCs w:val="22"/>
        </w:rPr>
      </w:pPr>
    </w:p>
    <w:p w:rsidR="00523DB5" w:rsidRPr="002C60C6" w:rsidRDefault="00523DB5" w:rsidP="00523DB5">
      <w:pPr>
        <w:pStyle w:val="ListParagraph"/>
        <w:numPr>
          <w:ilvl w:val="0"/>
          <w:numId w:val="12"/>
        </w:numPr>
        <w:spacing w:after="0" w:line="240" w:lineRule="auto"/>
        <w:ind w:left="567" w:hanging="526"/>
        <w:jc w:val="both"/>
        <w:rPr>
          <w:rFonts w:ascii="Palatino Linotype" w:hAnsi="Palatino Linotype"/>
          <w:sz w:val="22"/>
          <w:szCs w:val="22"/>
        </w:rPr>
      </w:pPr>
      <w:r w:rsidRPr="002C60C6">
        <w:rPr>
          <w:rFonts w:ascii="Palatino Linotype" w:hAnsi="Palatino Linotype"/>
          <w:sz w:val="22"/>
          <w:szCs w:val="22"/>
        </w:rPr>
        <w:t xml:space="preserve">During </w:t>
      </w:r>
      <w:r>
        <w:rPr>
          <w:rFonts w:ascii="Palatino Linotype" w:hAnsi="Palatino Linotype"/>
          <w:sz w:val="22"/>
          <w:szCs w:val="22"/>
        </w:rPr>
        <w:t>August</w:t>
      </w:r>
      <w:r w:rsidRPr="002C60C6">
        <w:rPr>
          <w:rFonts w:ascii="Palatino Linotype" w:hAnsi="Palatino Linotype"/>
          <w:sz w:val="22"/>
          <w:szCs w:val="22"/>
        </w:rPr>
        <w:t xml:space="preserve"> 2021, MCX iCOMDEX composite index </w:t>
      </w:r>
      <w:r>
        <w:rPr>
          <w:rFonts w:ascii="Palatino Linotype" w:hAnsi="Palatino Linotype"/>
          <w:sz w:val="22"/>
          <w:szCs w:val="22"/>
        </w:rPr>
        <w:t xml:space="preserve">decreased by 3.3 </w:t>
      </w:r>
      <w:r w:rsidRPr="002C60C6">
        <w:rPr>
          <w:rFonts w:ascii="Palatino Linotype" w:hAnsi="Palatino Linotype"/>
          <w:sz w:val="22"/>
          <w:szCs w:val="22"/>
        </w:rPr>
        <w:t xml:space="preserve">per cent (M-o-M).  This </w:t>
      </w:r>
      <w:r>
        <w:rPr>
          <w:rFonts w:ascii="Palatino Linotype" w:hAnsi="Palatino Linotype"/>
          <w:sz w:val="22"/>
          <w:szCs w:val="22"/>
        </w:rPr>
        <w:t xml:space="preserve">decrease </w:t>
      </w:r>
      <w:r w:rsidRPr="002C60C6">
        <w:rPr>
          <w:rFonts w:ascii="Palatino Linotype" w:hAnsi="Palatino Linotype"/>
          <w:sz w:val="22"/>
          <w:szCs w:val="22"/>
        </w:rPr>
        <w:t xml:space="preserve">was mainly driven by </w:t>
      </w:r>
      <w:r>
        <w:rPr>
          <w:rFonts w:ascii="Palatino Linotype" w:hAnsi="Palatino Linotype"/>
          <w:sz w:val="22"/>
          <w:szCs w:val="22"/>
        </w:rPr>
        <w:t xml:space="preserve">decrease in futures prices </w:t>
      </w:r>
      <w:r w:rsidR="00195FEB">
        <w:rPr>
          <w:rFonts w:ascii="Palatino Linotype" w:hAnsi="Palatino Linotype"/>
          <w:sz w:val="22"/>
          <w:szCs w:val="22"/>
        </w:rPr>
        <w:t xml:space="preserve">of </w:t>
      </w:r>
      <w:r>
        <w:rPr>
          <w:rFonts w:ascii="Palatino Linotype" w:hAnsi="Palatino Linotype"/>
          <w:sz w:val="22"/>
          <w:szCs w:val="22"/>
        </w:rPr>
        <w:t>crude oil, silver, and ba</w:t>
      </w:r>
      <w:r w:rsidR="00195FEB">
        <w:rPr>
          <w:rFonts w:ascii="Palatino Linotype" w:hAnsi="Palatino Linotype"/>
          <w:sz w:val="22"/>
          <w:szCs w:val="22"/>
        </w:rPr>
        <w:t>s</w:t>
      </w:r>
      <w:r>
        <w:rPr>
          <w:rFonts w:ascii="Palatino Linotype" w:hAnsi="Palatino Linotype"/>
          <w:sz w:val="22"/>
          <w:szCs w:val="22"/>
        </w:rPr>
        <w:t>e metals.</w:t>
      </w:r>
      <w:r w:rsidRPr="002C60C6">
        <w:rPr>
          <w:rFonts w:ascii="Palatino Linotype" w:hAnsi="Palatino Linotype"/>
          <w:sz w:val="22"/>
          <w:szCs w:val="22"/>
        </w:rPr>
        <w:t xml:space="preserve"> O</w:t>
      </w:r>
      <w:r w:rsidRPr="002C60C6">
        <w:rPr>
          <w:rFonts w:ascii="Palatino Linotype" w:eastAsia="Times New Roman" w:hAnsi="Palatino Linotype"/>
          <w:color w:val="000000"/>
          <w:sz w:val="22"/>
          <w:szCs w:val="22"/>
        </w:rPr>
        <w:t xml:space="preserve">n Y-o-Y basis, MCX iCOMDEX composite index </w:t>
      </w:r>
      <w:r>
        <w:rPr>
          <w:rFonts w:ascii="Palatino Linotype" w:eastAsia="Times New Roman" w:hAnsi="Palatino Linotype"/>
          <w:color w:val="000000"/>
          <w:sz w:val="22"/>
          <w:szCs w:val="22"/>
        </w:rPr>
        <w:t>remained in positive territory with returns of 10.4</w:t>
      </w:r>
      <w:r w:rsidRPr="002C60C6">
        <w:rPr>
          <w:rFonts w:ascii="Palatino Linotype" w:eastAsia="Times New Roman" w:hAnsi="Palatino Linotype"/>
          <w:color w:val="000000"/>
          <w:sz w:val="22"/>
          <w:szCs w:val="22"/>
        </w:rPr>
        <w:t xml:space="preserve"> per cent. </w:t>
      </w:r>
    </w:p>
    <w:p w:rsidR="0083353C" w:rsidRPr="002C60C6" w:rsidRDefault="0083353C" w:rsidP="0083353C">
      <w:pPr>
        <w:pStyle w:val="ListParagraph"/>
        <w:numPr>
          <w:ilvl w:val="0"/>
          <w:numId w:val="12"/>
        </w:numPr>
        <w:spacing w:after="0" w:line="240" w:lineRule="auto"/>
        <w:ind w:left="567" w:hanging="526"/>
        <w:jc w:val="both"/>
        <w:rPr>
          <w:rFonts w:ascii="Palatino Linotype" w:eastAsia="Times New Roman" w:hAnsi="Palatino Linotype"/>
          <w:color w:val="000000"/>
          <w:sz w:val="22"/>
          <w:szCs w:val="22"/>
        </w:rPr>
      </w:pPr>
      <w:r w:rsidRPr="000164B5">
        <w:rPr>
          <w:rFonts w:ascii="Palatino Linotype" w:eastAsia="Times New Roman" w:hAnsi="Palatino Linotype"/>
          <w:color w:val="000000"/>
          <w:sz w:val="22"/>
          <w:szCs w:val="22"/>
        </w:rPr>
        <w:t>Amongst</w:t>
      </w:r>
      <w:r w:rsidRPr="002C60C6">
        <w:rPr>
          <w:rFonts w:ascii="Palatino Linotype" w:hAnsi="Palatino Linotype"/>
          <w:sz w:val="22"/>
          <w:szCs w:val="22"/>
        </w:rPr>
        <w:t xml:space="preserve"> sectorial indices, </w:t>
      </w:r>
      <w:r w:rsidRPr="006F193D">
        <w:rPr>
          <w:rFonts w:ascii="Palatino Linotype" w:hAnsi="Palatino Linotype"/>
          <w:sz w:val="22"/>
          <w:szCs w:val="22"/>
        </w:rPr>
        <w:t xml:space="preserve">MCX iCOMDEX </w:t>
      </w:r>
      <w:r>
        <w:rPr>
          <w:rFonts w:ascii="Palatino Linotype" w:hAnsi="Palatino Linotype"/>
          <w:sz w:val="22"/>
          <w:szCs w:val="22"/>
        </w:rPr>
        <w:t xml:space="preserve">Energy Index decreased most by 6.0 percent, followed by </w:t>
      </w:r>
      <w:r w:rsidRPr="002C60C6">
        <w:rPr>
          <w:rFonts w:ascii="Palatino Linotype" w:hAnsi="Palatino Linotype"/>
          <w:sz w:val="22"/>
          <w:szCs w:val="22"/>
        </w:rPr>
        <w:t xml:space="preserve">MCX iCOMDEX </w:t>
      </w:r>
      <w:r>
        <w:rPr>
          <w:rFonts w:ascii="Palatino Linotype" w:hAnsi="Palatino Linotype"/>
          <w:sz w:val="22"/>
          <w:szCs w:val="22"/>
        </w:rPr>
        <w:t xml:space="preserve">Bullion </w:t>
      </w:r>
      <w:r w:rsidRPr="002C60C6">
        <w:rPr>
          <w:rFonts w:ascii="Palatino Linotype" w:hAnsi="Palatino Linotype"/>
          <w:sz w:val="22"/>
          <w:szCs w:val="22"/>
        </w:rPr>
        <w:t>index (</w:t>
      </w:r>
      <w:r>
        <w:rPr>
          <w:rFonts w:ascii="Palatino Linotype" w:hAnsi="Palatino Linotype"/>
          <w:sz w:val="22"/>
          <w:szCs w:val="22"/>
        </w:rPr>
        <w:t>-3.4</w:t>
      </w:r>
      <w:r w:rsidRPr="002C60C6">
        <w:rPr>
          <w:rFonts w:ascii="Palatino Linotype" w:hAnsi="Palatino Linotype"/>
          <w:sz w:val="22"/>
          <w:szCs w:val="22"/>
        </w:rPr>
        <w:t xml:space="preserve"> per cent) and </w:t>
      </w:r>
      <w:r>
        <w:rPr>
          <w:rFonts w:ascii="Palatino Linotype" w:hAnsi="Palatino Linotype"/>
          <w:sz w:val="22"/>
          <w:szCs w:val="22"/>
        </w:rPr>
        <w:t>MCX iCOMDEX Base Metal (-1.5 per cent)</w:t>
      </w:r>
      <w:r w:rsidRPr="002C60C6">
        <w:rPr>
          <w:rFonts w:ascii="Palatino Linotype" w:hAnsi="Palatino Linotype"/>
          <w:sz w:val="22"/>
          <w:szCs w:val="22"/>
        </w:rPr>
        <w:t>.</w:t>
      </w:r>
      <w:r w:rsidRPr="002C60C6">
        <w:rPr>
          <w:rFonts w:ascii="Palatino Linotype" w:eastAsia="Times New Roman" w:hAnsi="Palatino Linotype"/>
          <w:color w:val="000000"/>
          <w:sz w:val="22"/>
          <w:szCs w:val="22"/>
        </w:rPr>
        <w:t xml:space="preserve"> </w:t>
      </w:r>
      <w:r w:rsidRPr="002C60C6">
        <w:rPr>
          <w:rFonts w:ascii="Palatino Linotype" w:hAnsi="Palatino Linotype"/>
          <w:sz w:val="22"/>
          <w:szCs w:val="22"/>
        </w:rPr>
        <w:t xml:space="preserve">Year on Year, MCX iCOMDEX </w:t>
      </w:r>
      <w:r w:rsidRPr="00FF0C9A">
        <w:rPr>
          <w:rFonts w:ascii="Palatino Linotype" w:hAnsi="Palatino Linotype"/>
          <w:sz w:val="22"/>
          <w:szCs w:val="22"/>
        </w:rPr>
        <w:t>Energy index</w:t>
      </w:r>
      <w:r w:rsidRPr="002C60C6">
        <w:rPr>
          <w:rFonts w:ascii="Palatino Linotype" w:hAnsi="Palatino Linotype"/>
          <w:sz w:val="22"/>
          <w:szCs w:val="22"/>
        </w:rPr>
        <w:t xml:space="preserve"> and </w:t>
      </w:r>
      <w:r>
        <w:rPr>
          <w:rFonts w:ascii="Palatino Linotype" w:hAnsi="Palatino Linotype"/>
          <w:sz w:val="22"/>
          <w:szCs w:val="22"/>
        </w:rPr>
        <w:t>Base M</w:t>
      </w:r>
      <w:r w:rsidRPr="002C60C6">
        <w:rPr>
          <w:rFonts w:ascii="Palatino Linotype" w:hAnsi="Palatino Linotype"/>
          <w:sz w:val="22"/>
          <w:szCs w:val="22"/>
        </w:rPr>
        <w:t xml:space="preserve">etal index </w:t>
      </w:r>
      <w:r>
        <w:rPr>
          <w:rFonts w:ascii="Palatino Linotype" w:hAnsi="Palatino Linotype"/>
          <w:sz w:val="22"/>
          <w:szCs w:val="22"/>
        </w:rPr>
        <w:t>were higher by 40.8</w:t>
      </w:r>
      <w:r w:rsidRPr="002C60C6">
        <w:rPr>
          <w:rFonts w:ascii="Palatino Linotype" w:hAnsi="Palatino Linotype"/>
          <w:sz w:val="22"/>
          <w:szCs w:val="22"/>
        </w:rPr>
        <w:t xml:space="preserve"> per cent and </w:t>
      </w:r>
      <w:r>
        <w:rPr>
          <w:rFonts w:ascii="Palatino Linotype" w:hAnsi="Palatino Linotype"/>
          <w:sz w:val="22"/>
          <w:szCs w:val="22"/>
        </w:rPr>
        <w:t>31.6</w:t>
      </w:r>
      <w:r w:rsidRPr="002C60C6">
        <w:rPr>
          <w:rFonts w:ascii="Palatino Linotype" w:hAnsi="Palatino Linotype"/>
          <w:sz w:val="22"/>
          <w:szCs w:val="22"/>
        </w:rPr>
        <w:t xml:space="preserve"> per cent, respectively, at the end of </w:t>
      </w:r>
      <w:r>
        <w:rPr>
          <w:rFonts w:ascii="Palatino Linotype" w:hAnsi="Palatino Linotype"/>
          <w:sz w:val="22"/>
          <w:szCs w:val="22"/>
        </w:rPr>
        <w:t>August</w:t>
      </w:r>
      <w:r w:rsidRPr="002C60C6">
        <w:rPr>
          <w:rFonts w:ascii="Palatino Linotype" w:hAnsi="Palatino Linotype"/>
          <w:sz w:val="22"/>
          <w:szCs w:val="22"/>
        </w:rPr>
        <w:t xml:space="preserve"> 2021, whereas MCX iCOMDEX bullion index decreased </w:t>
      </w:r>
      <w:r>
        <w:rPr>
          <w:rFonts w:ascii="Palatino Linotype" w:hAnsi="Palatino Linotype"/>
          <w:sz w:val="22"/>
          <w:szCs w:val="22"/>
        </w:rPr>
        <w:t>to 13.3</w:t>
      </w:r>
      <w:r w:rsidRPr="002C60C6">
        <w:rPr>
          <w:rFonts w:ascii="Palatino Linotype" w:hAnsi="Palatino Linotype"/>
          <w:sz w:val="22"/>
          <w:szCs w:val="22"/>
        </w:rPr>
        <w:t xml:space="preserve"> per cent.</w:t>
      </w:r>
    </w:p>
    <w:p w:rsidR="00523DB5" w:rsidRPr="002C60C6" w:rsidRDefault="00523DB5" w:rsidP="00523DB5">
      <w:pPr>
        <w:pStyle w:val="ListParagraph"/>
        <w:numPr>
          <w:ilvl w:val="0"/>
          <w:numId w:val="12"/>
        </w:numPr>
        <w:spacing w:after="0" w:line="240" w:lineRule="auto"/>
        <w:ind w:left="567" w:hanging="526"/>
        <w:jc w:val="both"/>
        <w:rPr>
          <w:rFonts w:ascii="Palatino Linotype" w:eastAsia="Times New Roman" w:hAnsi="Palatino Linotype"/>
          <w:color w:val="000000"/>
          <w:sz w:val="22"/>
          <w:szCs w:val="22"/>
        </w:rPr>
      </w:pPr>
      <w:r w:rsidRPr="002C60C6">
        <w:rPr>
          <w:rFonts w:ascii="Palatino Linotype" w:hAnsi="Palatino Linotype"/>
          <w:sz w:val="22"/>
          <w:szCs w:val="22"/>
        </w:rPr>
        <w:t xml:space="preserve">NCDEX NKrishi </w:t>
      </w:r>
      <w:r w:rsidRPr="002C60C6">
        <w:rPr>
          <w:rFonts w:ascii="Palatino Linotype" w:eastAsia="Times New Roman" w:hAnsi="Palatino Linotype"/>
          <w:color w:val="000000"/>
          <w:sz w:val="22"/>
          <w:szCs w:val="22"/>
        </w:rPr>
        <w:t>index</w:t>
      </w:r>
      <w:r w:rsidRPr="002C60C6">
        <w:rPr>
          <w:rFonts w:ascii="Palatino Linotype" w:hAnsi="Palatino Linotype"/>
          <w:sz w:val="22"/>
          <w:szCs w:val="22"/>
        </w:rPr>
        <w:t xml:space="preserve"> increased by </w:t>
      </w:r>
      <w:r>
        <w:rPr>
          <w:rFonts w:ascii="Palatino Linotype" w:hAnsi="Palatino Linotype"/>
          <w:sz w:val="22"/>
          <w:szCs w:val="22"/>
        </w:rPr>
        <w:t>2.7</w:t>
      </w:r>
      <w:r w:rsidRPr="002C60C6">
        <w:rPr>
          <w:rFonts w:ascii="Palatino Linotype" w:hAnsi="Palatino Linotype"/>
          <w:sz w:val="22"/>
          <w:szCs w:val="22"/>
        </w:rPr>
        <w:t xml:space="preserve"> per cent (M-o-M) as prices of </w:t>
      </w:r>
      <w:r>
        <w:rPr>
          <w:rFonts w:ascii="Palatino Linotype" w:hAnsi="Palatino Linotype"/>
          <w:sz w:val="22"/>
          <w:szCs w:val="22"/>
        </w:rPr>
        <w:t xml:space="preserve">eight </w:t>
      </w:r>
      <w:r w:rsidRPr="002C60C6">
        <w:rPr>
          <w:rFonts w:ascii="Palatino Linotype" w:hAnsi="Palatino Linotype"/>
          <w:sz w:val="22"/>
          <w:szCs w:val="22"/>
        </w:rPr>
        <w:t xml:space="preserve">out of ten constituent commodities recorded increase in prices. Among constituents of </w:t>
      </w:r>
      <w:r w:rsidRPr="00AA0A1C">
        <w:rPr>
          <w:rFonts w:ascii="Palatino Linotype" w:hAnsi="Palatino Linotype"/>
          <w:sz w:val="22"/>
          <w:szCs w:val="22"/>
        </w:rPr>
        <w:t xml:space="preserve">NKrishi, the prices of </w:t>
      </w:r>
      <w:r w:rsidRPr="00BD73FB">
        <w:rPr>
          <w:rFonts w:ascii="Palatino Linotype" w:hAnsi="Palatino Linotype"/>
          <w:sz w:val="22"/>
          <w:szCs w:val="22"/>
        </w:rPr>
        <w:t xml:space="preserve">Guar </w:t>
      </w:r>
      <w:r>
        <w:rPr>
          <w:rFonts w:ascii="Palatino Linotype" w:hAnsi="Palatino Linotype"/>
          <w:sz w:val="22"/>
          <w:szCs w:val="22"/>
        </w:rPr>
        <w:t xml:space="preserve">seed </w:t>
      </w:r>
      <w:r w:rsidRPr="00AA0A1C">
        <w:rPr>
          <w:rFonts w:ascii="Palatino Linotype" w:hAnsi="Palatino Linotype"/>
          <w:sz w:val="22"/>
          <w:szCs w:val="22"/>
        </w:rPr>
        <w:t xml:space="preserve">increased the most by </w:t>
      </w:r>
      <w:r>
        <w:rPr>
          <w:rFonts w:ascii="Palatino Linotype" w:hAnsi="Palatino Linotype"/>
          <w:sz w:val="22"/>
          <w:szCs w:val="22"/>
        </w:rPr>
        <w:t xml:space="preserve">37.4 </w:t>
      </w:r>
      <w:r w:rsidRPr="00AA0A1C">
        <w:rPr>
          <w:rFonts w:ascii="Palatino Linotype" w:hAnsi="Palatino Linotype"/>
          <w:sz w:val="22"/>
          <w:szCs w:val="22"/>
        </w:rPr>
        <w:t xml:space="preserve">per cent month on month, followed by </w:t>
      </w:r>
      <w:r w:rsidRPr="00BD73FB">
        <w:rPr>
          <w:rFonts w:ascii="Palatino Linotype" w:hAnsi="Palatino Linotype"/>
          <w:sz w:val="22"/>
          <w:szCs w:val="22"/>
        </w:rPr>
        <w:t>Coriander</w:t>
      </w:r>
      <w:r w:rsidRPr="00AA0A1C">
        <w:rPr>
          <w:rFonts w:ascii="Palatino Linotype" w:hAnsi="Palatino Linotype"/>
          <w:sz w:val="22"/>
          <w:szCs w:val="22"/>
        </w:rPr>
        <w:t xml:space="preserve"> (</w:t>
      </w:r>
      <w:r>
        <w:rPr>
          <w:rFonts w:ascii="Palatino Linotype" w:hAnsi="Palatino Linotype"/>
          <w:sz w:val="22"/>
          <w:szCs w:val="22"/>
        </w:rPr>
        <w:t>18.7</w:t>
      </w:r>
      <w:r w:rsidRPr="00AA0A1C">
        <w:rPr>
          <w:rFonts w:ascii="Palatino Linotype" w:hAnsi="Palatino Linotype"/>
          <w:sz w:val="22"/>
          <w:szCs w:val="22"/>
        </w:rPr>
        <w:t xml:space="preserve"> per cent)</w:t>
      </w:r>
      <w:r>
        <w:rPr>
          <w:rFonts w:ascii="Palatino Linotype" w:hAnsi="Palatino Linotype"/>
          <w:sz w:val="22"/>
          <w:szCs w:val="22"/>
        </w:rPr>
        <w:t>, Turmeric (8.8 per cent), Jeera (8.7 per cent) and RM Seed (6.3 per cent)</w:t>
      </w:r>
      <w:r w:rsidRPr="00AA0A1C">
        <w:rPr>
          <w:rFonts w:ascii="Palatino Linotype" w:hAnsi="Palatino Linotype"/>
          <w:sz w:val="22"/>
          <w:szCs w:val="22"/>
        </w:rPr>
        <w:t xml:space="preserve">.  </w:t>
      </w:r>
      <w:r w:rsidRPr="00AA0A1C">
        <w:rPr>
          <w:rFonts w:ascii="Palatino Linotype" w:eastAsia="Times New Roman" w:hAnsi="Palatino Linotype"/>
          <w:color w:val="000000"/>
          <w:sz w:val="22"/>
          <w:szCs w:val="22"/>
        </w:rPr>
        <w:t xml:space="preserve">On Y-o-Y basis, NKrishi index increased </w:t>
      </w:r>
      <w:r>
        <w:rPr>
          <w:rFonts w:ascii="Palatino Linotype" w:eastAsia="Times New Roman" w:hAnsi="Palatino Linotype"/>
          <w:color w:val="000000"/>
          <w:sz w:val="22"/>
          <w:szCs w:val="22"/>
        </w:rPr>
        <w:t xml:space="preserve">to </w:t>
      </w:r>
      <w:r w:rsidRPr="003C4826">
        <w:rPr>
          <w:rFonts w:ascii="Palatino Linotype" w:eastAsia="Times New Roman" w:hAnsi="Palatino Linotype"/>
          <w:color w:val="000000"/>
          <w:sz w:val="22"/>
          <w:szCs w:val="22"/>
        </w:rPr>
        <w:t>46.4</w:t>
      </w:r>
      <w:r w:rsidRPr="00AA0A1C">
        <w:rPr>
          <w:rFonts w:ascii="Palatino Linotype" w:eastAsia="Times New Roman" w:hAnsi="Palatino Linotype"/>
          <w:color w:val="000000"/>
          <w:sz w:val="22"/>
          <w:szCs w:val="22"/>
        </w:rPr>
        <w:t xml:space="preserve"> per cent. </w:t>
      </w:r>
    </w:p>
    <w:p w:rsidR="00523DB5" w:rsidRPr="002C60C6" w:rsidRDefault="00523DB5" w:rsidP="00523DB5">
      <w:pPr>
        <w:pStyle w:val="ListParagraph"/>
        <w:numPr>
          <w:ilvl w:val="0"/>
          <w:numId w:val="12"/>
        </w:numPr>
        <w:spacing w:after="0" w:line="240" w:lineRule="auto"/>
        <w:ind w:left="567" w:hanging="526"/>
        <w:jc w:val="both"/>
        <w:rPr>
          <w:rFonts w:ascii="Palatino Linotype" w:eastAsia="Times New Roman" w:hAnsi="Palatino Linotype"/>
          <w:color w:val="000000"/>
          <w:sz w:val="22"/>
          <w:szCs w:val="22"/>
        </w:rPr>
      </w:pPr>
      <w:r w:rsidRPr="002C60C6">
        <w:rPr>
          <w:rFonts w:ascii="Palatino Linotype" w:eastAsia="Times New Roman" w:hAnsi="Palatino Linotype"/>
          <w:color w:val="000000"/>
          <w:sz w:val="22"/>
          <w:szCs w:val="22"/>
        </w:rPr>
        <w:t xml:space="preserve">Movement in MCX iCOMDEX composite Index and NKrishi Index during </w:t>
      </w:r>
      <w:r>
        <w:rPr>
          <w:rFonts w:ascii="Palatino Linotype" w:eastAsia="Times New Roman" w:hAnsi="Palatino Linotype"/>
          <w:color w:val="000000"/>
          <w:sz w:val="22"/>
          <w:szCs w:val="22"/>
        </w:rPr>
        <w:t xml:space="preserve">August </w:t>
      </w:r>
      <w:r w:rsidRPr="002C60C6">
        <w:rPr>
          <w:rFonts w:ascii="Palatino Linotype" w:eastAsia="Times New Roman" w:hAnsi="Palatino Linotype"/>
          <w:color w:val="000000"/>
          <w:sz w:val="22"/>
          <w:szCs w:val="22"/>
        </w:rPr>
        <w:t xml:space="preserve">2021 is given in </w:t>
      </w:r>
      <w:r w:rsidRPr="002C60C6">
        <w:rPr>
          <w:rFonts w:ascii="Palatino Linotype" w:eastAsia="Times New Roman" w:hAnsi="Palatino Linotype"/>
          <w:b/>
          <w:bCs/>
          <w:i/>
          <w:iCs/>
          <w:color w:val="000000"/>
          <w:sz w:val="22"/>
          <w:szCs w:val="22"/>
        </w:rPr>
        <w:t>Figure 14</w:t>
      </w:r>
      <w:r w:rsidRPr="002C60C6">
        <w:rPr>
          <w:rFonts w:ascii="Palatino Linotype" w:eastAsia="Times New Roman" w:hAnsi="Palatino Linotype"/>
          <w:color w:val="000000"/>
          <w:sz w:val="22"/>
          <w:szCs w:val="22"/>
        </w:rPr>
        <w:t xml:space="preserve"> and the monthly data of these indices is provided in </w:t>
      </w:r>
      <w:r w:rsidRPr="002C60C6">
        <w:rPr>
          <w:rFonts w:ascii="Palatino Linotype" w:eastAsia="Times New Roman" w:hAnsi="Palatino Linotype"/>
          <w:b/>
          <w:bCs/>
          <w:i/>
          <w:iCs/>
          <w:color w:val="000000"/>
          <w:sz w:val="22"/>
          <w:szCs w:val="22"/>
        </w:rPr>
        <w:t>Table 64.</w:t>
      </w:r>
    </w:p>
    <w:p w:rsidR="00523DB5" w:rsidRPr="009803F8" w:rsidRDefault="00523DB5" w:rsidP="00523DB5">
      <w:pPr>
        <w:rPr>
          <w:rFonts w:ascii="Palatino Linotype" w:eastAsia="Times New Roman" w:hAnsi="Palatino Linotype"/>
          <w:b/>
          <w:color w:val="2E74B5"/>
        </w:rPr>
      </w:pPr>
    </w:p>
    <w:p w:rsidR="00523DB5" w:rsidRDefault="00523DB5" w:rsidP="00523DB5">
      <w:pPr>
        <w:pStyle w:val="ListParagraph"/>
        <w:spacing w:after="0" w:line="240" w:lineRule="auto"/>
        <w:ind w:left="0"/>
        <w:rPr>
          <w:rFonts w:ascii="Palatino Linotype" w:eastAsia="Times New Roman" w:hAnsi="Palatino Linotype"/>
          <w:b/>
          <w:sz w:val="22"/>
          <w:szCs w:val="22"/>
        </w:rPr>
      </w:pPr>
      <w:r w:rsidRPr="009803F8">
        <w:rPr>
          <w:rFonts w:ascii="Palatino Linotype" w:eastAsia="Times New Roman" w:hAnsi="Palatino Linotype"/>
          <w:b/>
          <w:sz w:val="22"/>
          <w:szCs w:val="22"/>
        </w:rPr>
        <w:t xml:space="preserve">Figure 14: Movement of Commodity Derivatives Market Indices during </w:t>
      </w:r>
      <w:r>
        <w:rPr>
          <w:rFonts w:ascii="Palatino Linotype" w:eastAsia="Times New Roman" w:hAnsi="Palatino Linotype"/>
          <w:b/>
          <w:sz w:val="22"/>
          <w:szCs w:val="22"/>
        </w:rPr>
        <w:t xml:space="preserve">August </w:t>
      </w:r>
      <w:r w:rsidRPr="009803F8">
        <w:rPr>
          <w:rFonts w:ascii="Palatino Linotype" w:eastAsia="Times New Roman" w:hAnsi="Palatino Linotype"/>
          <w:b/>
          <w:sz w:val="22"/>
          <w:szCs w:val="22"/>
        </w:rPr>
        <w:t>2021</w:t>
      </w:r>
    </w:p>
    <w:p w:rsidR="00523DB5" w:rsidRPr="00DA4621" w:rsidRDefault="00523DB5" w:rsidP="00523DB5">
      <w:pPr>
        <w:pStyle w:val="ListParagraph"/>
        <w:spacing w:after="0" w:line="240" w:lineRule="auto"/>
        <w:ind w:left="142" w:hanging="142"/>
        <w:jc w:val="center"/>
        <w:rPr>
          <w:rFonts w:ascii="Palatino Linotype" w:eastAsia="Times New Roman" w:hAnsi="Palatino Linotype"/>
          <w:b/>
          <w:color w:val="2E74B5"/>
          <w:sz w:val="22"/>
          <w:szCs w:val="22"/>
        </w:rPr>
      </w:pPr>
    </w:p>
    <w:p w:rsidR="00523DB5" w:rsidRDefault="00523DB5" w:rsidP="00523DB5">
      <w:pPr>
        <w:pStyle w:val="ListParagraph"/>
        <w:spacing w:after="0" w:line="480" w:lineRule="auto"/>
        <w:ind w:left="-426"/>
        <w:rPr>
          <w:rFonts w:ascii="Palatino Linotype" w:hAnsi="Palatino Linotype" w:cs="Arial"/>
          <w:b/>
          <w:bCs/>
          <w:sz w:val="22"/>
          <w:szCs w:val="22"/>
        </w:rPr>
      </w:pPr>
      <w:r w:rsidRPr="00B92D2D">
        <w:rPr>
          <w:rFonts w:ascii="Palatino Linotype" w:hAnsi="Palatino Linotype" w:cs="Arial"/>
          <w:b/>
          <w:bCs/>
          <w:sz w:val="22"/>
          <w:szCs w:val="22"/>
        </w:rPr>
        <w:t xml:space="preserve">             </w:t>
      </w:r>
      <w:r>
        <w:rPr>
          <w:rFonts w:ascii="Palatino Linotype" w:hAnsi="Palatino Linotype" w:cs="Arial"/>
          <w:b/>
          <w:bCs/>
          <w:sz w:val="22"/>
          <w:szCs w:val="22"/>
        </w:rPr>
        <w:t xml:space="preserve">    </w:t>
      </w:r>
      <w:r w:rsidRPr="005A0E00">
        <w:rPr>
          <w:noProof/>
          <w:lang w:val="en-IN" w:eastAsia="en-IN" w:bidi="hi-IN"/>
        </w:rPr>
        <w:drawing>
          <wp:inline distT="0" distB="0" distL="0" distR="0" wp14:anchorId="09A1BBE0" wp14:editId="2DFDF919">
            <wp:extent cx="4471035" cy="3026410"/>
            <wp:effectExtent l="0" t="0" r="5715" b="2540"/>
            <wp:docPr id="9" name="Chart 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r>
        <w:rPr>
          <w:rFonts w:ascii="Palatino Linotype" w:hAnsi="Palatino Linotype" w:cs="Arial"/>
          <w:b/>
          <w:bCs/>
          <w:sz w:val="22"/>
          <w:szCs w:val="22"/>
        </w:rPr>
        <w:t xml:space="preserve">         </w:t>
      </w:r>
    </w:p>
    <w:p w:rsidR="00523DB5" w:rsidRDefault="00523DB5" w:rsidP="00523DB5">
      <w:pPr>
        <w:pStyle w:val="ListParagraph"/>
        <w:spacing w:after="0" w:line="480" w:lineRule="auto"/>
        <w:ind w:left="-426"/>
        <w:rPr>
          <w:rFonts w:ascii="Palatino Linotype" w:hAnsi="Palatino Linotype" w:cs="Arial"/>
          <w:b/>
          <w:bCs/>
          <w:sz w:val="22"/>
          <w:szCs w:val="22"/>
        </w:rPr>
      </w:pPr>
      <w:r w:rsidRPr="009B2971">
        <w:rPr>
          <w:rFonts w:ascii="Palatino Linotype" w:hAnsi="Palatino Linotype" w:cs="Arial"/>
          <w:b/>
          <w:bCs/>
          <w:sz w:val="18"/>
          <w:szCs w:val="18"/>
        </w:rPr>
        <w:t>Source: MCX and NCDEX</w:t>
      </w:r>
    </w:p>
    <w:p w:rsidR="00523DB5" w:rsidRDefault="00523DB5" w:rsidP="00523DB5">
      <w:pPr>
        <w:pStyle w:val="ListParagraph"/>
        <w:tabs>
          <w:tab w:val="left" w:pos="3360"/>
        </w:tabs>
        <w:spacing w:after="0" w:line="480" w:lineRule="auto"/>
        <w:ind w:left="-426"/>
        <w:rPr>
          <w:rFonts w:ascii="Palatino Linotype" w:hAnsi="Palatino Linotype" w:cs="Arial"/>
          <w:b/>
          <w:bCs/>
          <w:sz w:val="22"/>
          <w:szCs w:val="22"/>
        </w:rPr>
      </w:pPr>
      <w:r>
        <w:rPr>
          <w:rFonts w:ascii="Palatino Linotype" w:hAnsi="Palatino Linotype" w:cs="Arial"/>
          <w:b/>
          <w:bCs/>
          <w:sz w:val="22"/>
          <w:szCs w:val="22"/>
        </w:rPr>
        <w:tab/>
      </w:r>
    </w:p>
    <w:p w:rsidR="00523DB5" w:rsidRDefault="00523DB5" w:rsidP="00523DB5">
      <w:pPr>
        <w:rPr>
          <w:rFonts w:ascii="Palatino Linotype" w:hAnsi="Palatino Linotype" w:cs="Arial"/>
          <w:b/>
          <w:bCs/>
        </w:rPr>
      </w:pPr>
      <w:r>
        <w:rPr>
          <w:rFonts w:ascii="Palatino Linotype" w:hAnsi="Palatino Linotype" w:cs="Arial"/>
          <w:b/>
          <w:bCs/>
        </w:rPr>
        <w:br w:type="page"/>
      </w:r>
    </w:p>
    <w:p w:rsidR="00523DB5" w:rsidRDefault="00523DB5" w:rsidP="00523DB5">
      <w:pPr>
        <w:jc w:val="both"/>
        <w:rPr>
          <w:rFonts w:ascii="Palatino Linotype" w:hAnsi="Palatino Linotype" w:cs="Arial"/>
          <w:b/>
          <w:bCs/>
        </w:rPr>
      </w:pPr>
      <w:r>
        <w:rPr>
          <w:rFonts w:ascii="Palatino Linotype" w:hAnsi="Palatino Linotype" w:cs="Arial"/>
          <w:b/>
          <w:bCs/>
        </w:rPr>
        <w:t xml:space="preserve">             </w:t>
      </w:r>
      <w:r w:rsidRPr="00D45369">
        <w:rPr>
          <w:rFonts w:ascii="Palatino Linotype" w:hAnsi="Palatino Linotype" w:cs="Arial"/>
          <w:b/>
          <w:bCs/>
        </w:rPr>
        <w:t>Table 4: Snapshot of Indian Commodity Derivatives Markets</w:t>
      </w:r>
    </w:p>
    <w:tbl>
      <w:tblPr>
        <w:tblW w:w="8529" w:type="dxa"/>
        <w:tblInd w:w="113" w:type="dxa"/>
        <w:tblLook w:val="04A0" w:firstRow="1" w:lastRow="0" w:firstColumn="1" w:lastColumn="0" w:noHBand="0" w:noVBand="1"/>
      </w:tblPr>
      <w:tblGrid>
        <w:gridCol w:w="4418"/>
        <w:gridCol w:w="1418"/>
        <w:gridCol w:w="1276"/>
        <w:gridCol w:w="1417"/>
      </w:tblGrid>
      <w:tr w:rsidR="00A963A6" w:rsidRPr="005F748A" w:rsidTr="00A963A6">
        <w:trPr>
          <w:trHeight w:val="936"/>
        </w:trPr>
        <w:tc>
          <w:tcPr>
            <w:tcW w:w="44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963A6" w:rsidRPr="005F748A" w:rsidRDefault="00A963A6" w:rsidP="003D4466">
            <w:pPr>
              <w:jc w:val="center"/>
              <w:rPr>
                <w:rFonts w:ascii="Palatino Linotype" w:eastAsia="Times New Roman" w:hAnsi="Palatino Linotype" w:cs="Calibri"/>
                <w:b/>
                <w:bCs/>
                <w:color w:val="000000"/>
                <w:lang w:val="en-IN" w:eastAsia="en-IN" w:bidi="hi-IN"/>
              </w:rPr>
            </w:pPr>
            <w:r w:rsidRPr="005F748A">
              <w:rPr>
                <w:rFonts w:ascii="Palatino Linotype" w:eastAsia="Times New Roman" w:hAnsi="Palatino Linotype" w:cs="Calibri"/>
                <w:b/>
                <w:bCs/>
                <w:color w:val="000000"/>
                <w:lang w:val="en-IN" w:eastAsia="en-IN" w:bidi="hi-IN"/>
              </w:rPr>
              <w:t>Items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sidR="00A963A6" w:rsidRPr="005F748A" w:rsidRDefault="00A963A6" w:rsidP="003D4466">
            <w:pPr>
              <w:jc w:val="center"/>
              <w:rPr>
                <w:rFonts w:ascii="Palatino Linotype" w:eastAsia="Times New Roman" w:hAnsi="Palatino Linotype" w:cs="Calibri"/>
                <w:b/>
                <w:bCs/>
                <w:lang w:val="en-IN" w:eastAsia="en-IN" w:bidi="hi-IN"/>
              </w:rPr>
            </w:pPr>
            <w:r w:rsidRPr="005F748A">
              <w:rPr>
                <w:rFonts w:ascii="Palatino Linotype" w:eastAsia="Times New Roman" w:hAnsi="Palatino Linotype" w:cs="Calibri"/>
                <w:b/>
                <w:bCs/>
                <w:lang w:val="en-IN" w:eastAsia="en-IN" w:bidi="hi-IN"/>
              </w:rPr>
              <w:t>Jul-21</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A963A6" w:rsidRPr="005F748A" w:rsidRDefault="00A963A6" w:rsidP="003D4466">
            <w:pPr>
              <w:jc w:val="center"/>
              <w:rPr>
                <w:rFonts w:ascii="Palatino Linotype" w:eastAsia="Times New Roman" w:hAnsi="Palatino Linotype" w:cs="Calibri"/>
                <w:b/>
                <w:bCs/>
                <w:lang w:val="en-IN" w:eastAsia="en-IN" w:bidi="hi-IN"/>
              </w:rPr>
            </w:pPr>
            <w:r w:rsidRPr="005F748A">
              <w:rPr>
                <w:rFonts w:ascii="Palatino Linotype" w:eastAsia="Times New Roman" w:hAnsi="Palatino Linotype" w:cs="Calibri"/>
                <w:b/>
                <w:bCs/>
                <w:lang w:val="en-IN" w:eastAsia="en-IN" w:bidi="hi-IN"/>
              </w:rPr>
              <w:t>Aug-21</w:t>
            </w:r>
          </w:p>
        </w:tc>
        <w:tc>
          <w:tcPr>
            <w:tcW w:w="1417" w:type="dxa"/>
            <w:tcBorders>
              <w:top w:val="single" w:sz="4" w:space="0" w:color="auto"/>
              <w:left w:val="nil"/>
              <w:bottom w:val="nil"/>
              <w:right w:val="single" w:sz="4" w:space="0" w:color="auto"/>
            </w:tcBorders>
            <w:shd w:val="clear" w:color="auto" w:fill="auto"/>
            <w:vAlign w:val="center"/>
            <w:hideMark/>
          </w:tcPr>
          <w:p w:rsidR="00A963A6" w:rsidRPr="005F748A" w:rsidRDefault="00A963A6" w:rsidP="003D4466">
            <w:pPr>
              <w:jc w:val="center"/>
              <w:rPr>
                <w:rFonts w:ascii="Palatino Linotype" w:eastAsia="Times New Roman" w:hAnsi="Palatino Linotype" w:cs="Calibri"/>
                <w:b/>
                <w:bCs/>
                <w:color w:val="000000"/>
                <w:lang w:val="en-IN" w:eastAsia="en-IN" w:bidi="hi-IN"/>
              </w:rPr>
            </w:pPr>
            <w:r>
              <w:rPr>
                <w:rFonts w:ascii="Palatino Linotype" w:eastAsia="Times New Roman" w:hAnsi="Palatino Linotype" w:cs="Calibri"/>
                <w:b/>
                <w:bCs/>
                <w:color w:val="000000"/>
                <w:lang w:val="en-IN" w:eastAsia="en-IN" w:bidi="hi-IN"/>
              </w:rPr>
              <w:t>Percentage variation    M-o</w:t>
            </w:r>
            <w:r w:rsidRPr="005F748A">
              <w:rPr>
                <w:rFonts w:ascii="Palatino Linotype" w:eastAsia="Times New Roman" w:hAnsi="Palatino Linotype" w:cs="Calibri"/>
                <w:b/>
                <w:bCs/>
                <w:color w:val="000000"/>
                <w:lang w:val="en-IN" w:eastAsia="en-IN" w:bidi="hi-IN"/>
              </w:rPr>
              <w:t>-M</w:t>
            </w:r>
          </w:p>
        </w:tc>
      </w:tr>
      <w:tr w:rsidR="00A963A6" w:rsidRPr="005F748A" w:rsidTr="00A963A6">
        <w:trPr>
          <w:trHeight w:val="312"/>
        </w:trPr>
        <w:tc>
          <w:tcPr>
            <w:tcW w:w="4418" w:type="dxa"/>
            <w:tcBorders>
              <w:top w:val="nil"/>
              <w:left w:val="single" w:sz="4" w:space="0" w:color="auto"/>
              <w:bottom w:val="single" w:sz="4" w:space="0" w:color="auto"/>
              <w:right w:val="nil"/>
            </w:tcBorders>
            <w:shd w:val="clear" w:color="auto" w:fill="auto"/>
            <w:vAlign w:val="center"/>
            <w:hideMark/>
          </w:tcPr>
          <w:p w:rsidR="00A963A6" w:rsidRPr="005F748A" w:rsidRDefault="00A963A6" w:rsidP="003D4466">
            <w:pPr>
              <w:rPr>
                <w:rFonts w:ascii="Palatino Linotype" w:eastAsia="Times New Roman" w:hAnsi="Palatino Linotype" w:cs="Calibri"/>
                <w:b/>
                <w:bCs/>
                <w:color w:val="000000"/>
                <w:lang w:val="en-IN" w:eastAsia="en-IN" w:bidi="hi-IN"/>
              </w:rPr>
            </w:pPr>
            <w:r w:rsidRPr="005F748A">
              <w:rPr>
                <w:rFonts w:ascii="Palatino Linotype" w:eastAsia="Times New Roman" w:hAnsi="Palatino Linotype" w:cs="Calibri"/>
                <w:b/>
                <w:bCs/>
                <w:color w:val="000000"/>
                <w:lang w:val="en-IN" w:eastAsia="en-IN" w:bidi="hi-IN"/>
              </w:rPr>
              <w:t>A. Indices</w:t>
            </w:r>
          </w:p>
        </w:tc>
        <w:tc>
          <w:tcPr>
            <w:tcW w:w="1418" w:type="dxa"/>
            <w:tcBorders>
              <w:top w:val="nil"/>
              <w:left w:val="nil"/>
              <w:bottom w:val="single" w:sz="4" w:space="0" w:color="auto"/>
              <w:right w:val="nil"/>
            </w:tcBorders>
            <w:shd w:val="clear" w:color="auto" w:fill="auto"/>
            <w:vAlign w:val="center"/>
            <w:hideMark/>
          </w:tcPr>
          <w:p w:rsidR="00A963A6" w:rsidRPr="005F748A" w:rsidRDefault="00A963A6" w:rsidP="003D4466">
            <w:pPr>
              <w:rPr>
                <w:rFonts w:ascii="Palatino Linotype" w:eastAsia="Times New Roman" w:hAnsi="Palatino Linotype" w:cs="Calibri"/>
                <w:b/>
                <w:bCs/>
                <w:color w:val="000000"/>
                <w:lang w:val="en-IN" w:eastAsia="en-IN" w:bidi="hi-IN"/>
              </w:rPr>
            </w:pPr>
            <w:r w:rsidRPr="005F748A">
              <w:rPr>
                <w:rFonts w:ascii="Palatino Linotype" w:eastAsia="Times New Roman" w:hAnsi="Palatino Linotype" w:cs="Calibri"/>
                <w:b/>
                <w:bCs/>
                <w:color w:val="000000"/>
                <w:lang w:val="en-IN" w:eastAsia="en-IN" w:bidi="hi-IN"/>
              </w:rPr>
              <w:t> </w:t>
            </w:r>
          </w:p>
        </w:tc>
        <w:tc>
          <w:tcPr>
            <w:tcW w:w="1276" w:type="dxa"/>
            <w:tcBorders>
              <w:top w:val="nil"/>
              <w:left w:val="nil"/>
              <w:bottom w:val="single" w:sz="4" w:space="0" w:color="auto"/>
              <w:right w:val="nil"/>
            </w:tcBorders>
            <w:shd w:val="clear" w:color="auto" w:fill="auto"/>
            <w:vAlign w:val="center"/>
            <w:hideMark/>
          </w:tcPr>
          <w:p w:rsidR="00A963A6" w:rsidRPr="005F748A" w:rsidRDefault="00A963A6" w:rsidP="003D4466">
            <w:pPr>
              <w:rPr>
                <w:rFonts w:ascii="Palatino Linotype" w:eastAsia="Times New Roman" w:hAnsi="Palatino Linotype" w:cs="Calibri"/>
                <w:b/>
                <w:bCs/>
                <w:color w:val="000000"/>
                <w:lang w:val="en-IN" w:eastAsia="en-IN" w:bidi="hi-IN"/>
              </w:rPr>
            </w:pPr>
            <w:r w:rsidRPr="005F748A">
              <w:rPr>
                <w:rFonts w:ascii="Palatino Linotype" w:eastAsia="Times New Roman" w:hAnsi="Palatino Linotype" w:cs="Calibri"/>
                <w:b/>
                <w:bCs/>
                <w:color w:val="000000"/>
                <w:lang w:val="en-IN" w:eastAsia="en-IN" w:bidi="hi-IN"/>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A963A6" w:rsidRPr="005F748A" w:rsidRDefault="00A963A6" w:rsidP="003D4466">
            <w:pPr>
              <w:rPr>
                <w:rFonts w:ascii="Palatino Linotype" w:eastAsia="Times New Roman" w:hAnsi="Palatino Linotype" w:cs="Calibri"/>
                <w:b/>
                <w:bCs/>
                <w:color w:val="000000"/>
                <w:lang w:val="en-IN" w:eastAsia="en-IN" w:bidi="hi-IN"/>
              </w:rPr>
            </w:pPr>
            <w:r w:rsidRPr="005F748A">
              <w:rPr>
                <w:rFonts w:ascii="Palatino Linotype" w:eastAsia="Times New Roman" w:hAnsi="Palatino Linotype" w:cs="Calibri"/>
                <w:b/>
                <w:bCs/>
                <w:color w:val="000000"/>
                <w:lang w:val="en-IN" w:eastAsia="en-IN" w:bidi="hi-IN"/>
              </w:rPr>
              <w:t> </w:t>
            </w:r>
          </w:p>
        </w:tc>
      </w:tr>
      <w:tr w:rsidR="00A963A6" w:rsidRPr="005F748A" w:rsidTr="00A963A6">
        <w:trPr>
          <w:trHeight w:val="312"/>
        </w:trPr>
        <w:tc>
          <w:tcPr>
            <w:tcW w:w="4418" w:type="dxa"/>
            <w:tcBorders>
              <w:top w:val="nil"/>
              <w:left w:val="single" w:sz="4" w:space="0" w:color="auto"/>
              <w:bottom w:val="single" w:sz="4" w:space="0" w:color="auto"/>
              <w:right w:val="single" w:sz="4" w:space="0" w:color="auto"/>
            </w:tcBorders>
            <w:shd w:val="clear" w:color="auto" w:fill="auto"/>
            <w:vAlign w:val="center"/>
            <w:hideMark/>
          </w:tcPr>
          <w:p w:rsidR="00A963A6" w:rsidRPr="005F748A" w:rsidRDefault="00A963A6" w:rsidP="003D4466">
            <w:pPr>
              <w:ind w:firstLineChars="400" w:firstLine="960"/>
              <w:rPr>
                <w:rFonts w:ascii="Palatino Linotype" w:eastAsia="Times New Roman" w:hAnsi="Palatino Linotype" w:cs="Calibri"/>
                <w:color w:val="000000"/>
                <w:lang w:val="en-IN" w:eastAsia="en-IN" w:bidi="hi-IN"/>
              </w:rPr>
            </w:pPr>
            <w:r w:rsidRPr="005F748A">
              <w:rPr>
                <w:rFonts w:ascii="Palatino Linotype" w:eastAsia="Times New Roman" w:hAnsi="Palatino Linotype" w:cs="Calibri"/>
                <w:color w:val="000000"/>
                <w:lang w:val="en-IN" w:eastAsia="en-IN" w:bidi="hi-IN"/>
              </w:rPr>
              <w:t>Nkrishi</w:t>
            </w:r>
          </w:p>
        </w:tc>
        <w:tc>
          <w:tcPr>
            <w:tcW w:w="1418"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sz w:val="20"/>
                <w:szCs w:val="20"/>
                <w:lang w:val="en-IN" w:eastAsia="en-IN" w:bidi="hi-IN"/>
              </w:rPr>
            </w:pPr>
            <w:r w:rsidRPr="005F748A">
              <w:rPr>
                <w:rFonts w:ascii="Palatino Linotype" w:eastAsia="Times New Roman" w:hAnsi="Palatino Linotype" w:cs="Calibri"/>
                <w:sz w:val="20"/>
                <w:szCs w:val="20"/>
                <w:lang w:val="en-IN" w:eastAsia="en-IN" w:bidi="hi-IN"/>
              </w:rPr>
              <w:t>5,107</w:t>
            </w:r>
          </w:p>
        </w:tc>
        <w:tc>
          <w:tcPr>
            <w:tcW w:w="1276"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sz w:val="20"/>
                <w:szCs w:val="20"/>
                <w:lang w:val="en-IN" w:eastAsia="en-IN" w:bidi="hi-IN"/>
              </w:rPr>
            </w:pPr>
            <w:r w:rsidRPr="005F748A">
              <w:rPr>
                <w:rFonts w:ascii="Palatino Linotype" w:eastAsia="Times New Roman" w:hAnsi="Palatino Linotype" w:cs="Calibri"/>
                <w:sz w:val="20"/>
                <w:szCs w:val="20"/>
                <w:lang w:val="en-IN" w:eastAsia="en-IN" w:bidi="hi-IN"/>
              </w:rPr>
              <w:t>5,246</w:t>
            </w:r>
          </w:p>
        </w:tc>
        <w:tc>
          <w:tcPr>
            <w:tcW w:w="1417" w:type="dxa"/>
            <w:tcBorders>
              <w:top w:val="nil"/>
              <w:left w:val="nil"/>
              <w:bottom w:val="single" w:sz="4" w:space="0" w:color="auto"/>
              <w:right w:val="single" w:sz="4" w:space="0" w:color="auto"/>
            </w:tcBorders>
            <w:shd w:val="clear" w:color="auto" w:fill="auto"/>
            <w:vAlign w:val="center"/>
            <w:hideMark/>
          </w:tcPr>
          <w:p w:rsidR="00A963A6" w:rsidRPr="005F748A" w:rsidRDefault="00A963A6" w:rsidP="003D4466">
            <w:pPr>
              <w:jc w:val="right"/>
              <w:rPr>
                <w:rFonts w:ascii="Palatino Linotype" w:eastAsia="Times New Roman" w:hAnsi="Palatino Linotype" w:cs="Calibri"/>
                <w:i/>
                <w:iCs/>
                <w:color w:val="000000"/>
                <w:lang w:val="en-IN" w:eastAsia="en-IN" w:bidi="hi-IN"/>
              </w:rPr>
            </w:pPr>
            <w:r w:rsidRPr="005F748A">
              <w:rPr>
                <w:rFonts w:ascii="Palatino Linotype" w:eastAsia="Times New Roman" w:hAnsi="Palatino Linotype" w:cs="Calibri"/>
                <w:i/>
                <w:iCs/>
                <w:color w:val="000000"/>
                <w:lang w:val="en-IN" w:eastAsia="en-IN" w:bidi="hi-IN"/>
              </w:rPr>
              <w:t>2.7</w:t>
            </w:r>
          </w:p>
        </w:tc>
      </w:tr>
      <w:tr w:rsidR="00A963A6" w:rsidRPr="005F748A" w:rsidTr="00A963A6">
        <w:trPr>
          <w:trHeight w:val="312"/>
        </w:trPr>
        <w:tc>
          <w:tcPr>
            <w:tcW w:w="4418" w:type="dxa"/>
            <w:tcBorders>
              <w:top w:val="nil"/>
              <w:left w:val="single" w:sz="4" w:space="0" w:color="auto"/>
              <w:bottom w:val="single" w:sz="4" w:space="0" w:color="auto"/>
              <w:right w:val="single" w:sz="4" w:space="0" w:color="auto"/>
            </w:tcBorders>
            <w:shd w:val="clear" w:color="auto" w:fill="auto"/>
            <w:vAlign w:val="center"/>
            <w:hideMark/>
          </w:tcPr>
          <w:p w:rsidR="00A963A6" w:rsidRPr="005F748A" w:rsidRDefault="00A963A6" w:rsidP="003D4466">
            <w:pPr>
              <w:ind w:firstLineChars="400" w:firstLine="960"/>
              <w:rPr>
                <w:rFonts w:ascii="Palatino Linotype" w:eastAsia="Times New Roman" w:hAnsi="Palatino Linotype" w:cs="Calibri"/>
                <w:color w:val="000000"/>
                <w:lang w:val="en-IN" w:eastAsia="en-IN" w:bidi="hi-IN"/>
              </w:rPr>
            </w:pPr>
            <w:r w:rsidRPr="005F748A">
              <w:rPr>
                <w:rFonts w:ascii="Palatino Linotype" w:eastAsia="Times New Roman" w:hAnsi="Palatino Linotype" w:cs="Calibri"/>
                <w:color w:val="000000"/>
                <w:lang w:val="en-IN" w:eastAsia="en-IN" w:bidi="hi-IN"/>
              </w:rPr>
              <w:t>MCX iCOMDEX</w:t>
            </w:r>
          </w:p>
        </w:tc>
        <w:tc>
          <w:tcPr>
            <w:tcW w:w="1418"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sz w:val="20"/>
                <w:szCs w:val="20"/>
                <w:lang w:val="en-IN" w:eastAsia="en-IN" w:bidi="hi-IN"/>
              </w:rPr>
            </w:pPr>
            <w:r w:rsidRPr="005F748A">
              <w:rPr>
                <w:rFonts w:ascii="Palatino Linotype" w:eastAsia="Times New Roman" w:hAnsi="Palatino Linotype" w:cs="Calibri"/>
                <w:sz w:val="20"/>
                <w:szCs w:val="20"/>
                <w:lang w:val="en-IN" w:eastAsia="en-IN" w:bidi="hi-IN"/>
              </w:rPr>
              <w:t>11,678</w:t>
            </w:r>
          </w:p>
        </w:tc>
        <w:tc>
          <w:tcPr>
            <w:tcW w:w="1276"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sz w:val="20"/>
                <w:szCs w:val="20"/>
                <w:lang w:val="en-IN" w:eastAsia="en-IN" w:bidi="hi-IN"/>
              </w:rPr>
            </w:pPr>
            <w:r w:rsidRPr="005F748A">
              <w:rPr>
                <w:rFonts w:ascii="Palatino Linotype" w:eastAsia="Times New Roman" w:hAnsi="Palatino Linotype" w:cs="Calibri"/>
                <w:sz w:val="20"/>
                <w:szCs w:val="20"/>
                <w:lang w:val="en-IN" w:eastAsia="en-IN" w:bidi="hi-IN"/>
              </w:rPr>
              <w:t>11,289</w:t>
            </w:r>
          </w:p>
        </w:tc>
        <w:tc>
          <w:tcPr>
            <w:tcW w:w="1417" w:type="dxa"/>
            <w:tcBorders>
              <w:top w:val="nil"/>
              <w:left w:val="nil"/>
              <w:bottom w:val="single" w:sz="4" w:space="0" w:color="auto"/>
              <w:right w:val="single" w:sz="4" w:space="0" w:color="auto"/>
            </w:tcBorders>
            <w:shd w:val="clear" w:color="auto" w:fill="auto"/>
            <w:vAlign w:val="center"/>
            <w:hideMark/>
          </w:tcPr>
          <w:p w:rsidR="00A963A6" w:rsidRPr="005F748A" w:rsidRDefault="00A963A6" w:rsidP="003D4466">
            <w:pPr>
              <w:jc w:val="right"/>
              <w:rPr>
                <w:rFonts w:ascii="Palatino Linotype" w:eastAsia="Times New Roman" w:hAnsi="Palatino Linotype" w:cs="Calibri"/>
                <w:i/>
                <w:iCs/>
                <w:color w:val="000000"/>
                <w:lang w:val="en-IN" w:eastAsia="en-IN" w:bidi="hi-IN"/>
              </w:rPr>
            </w:pPr>
            <w:r w:rsidRPr="005F748A">
              <w:rPr>
                <w:rFonts w:ascii="Palatino Linotype" w:eastAsia="Times New Roman" w:hAnsi="Palatino Linotype" w:cs="Calibri"/>
                <w:i/>
                <w:iCs/>
                <w:color w:val="000000"/>
                <w:lang w:val="en-IN" w:eastAsia="en-IN" w:bidi="hi-IN"/>
              </w:rPr>
              <w:t>-3.3</w:t>
            </w:r>
          </w:p>
        </w:tc>
      </w:tr>
      <w:tr w:rsidR="00A963A6" w:rsidRPr="005F748A" w:rsidTr="00A963A6">
        <w:trPr>
          <w:trHeight w:val="312"/>
        </w:trPr>
        <w:tc>
          <w:tcPr>
            <w:tcW w:w="4418" w:type="dxa"/>
            <w:tcBorders>
              <w:top w:val="nil"/>
              <w:left w:val="single" w:sz="4" w:space="0" w:color="auto"/>
              <w:bottom w:val="single" w:sz="4" w:space="0" w:color="auto"/>
              <w:right w:val="nil"/>
            </w:tcBorders>
            <w:shd w:val="clear" w:color="auto" w:fill="auto"/>
            <w:vAlign w:val="center"/>
            <w:hideMark/>
          </w:tcPr>
          <w:p w:rsidR="00A963A6" w:rsidRPr="005F748A" w:rsidRDefault="00A963A6" w:rsidP="003D4466">
            <w:pPr>
              <w:rPr>
                <w:rFonts w:ascii="Palatino Linotype" w:eastAsia="Times New Roman" w:hAnsi="Palatino Linotype" w:cs="Calibri"/>
                <w:b/>
                <w:bCs/>
                <w:color w:val="000000"/>
                <w:lang w:val="en-IN" w:eastAsia="en-IN" w:bidi="hi-IN"/>
              </w:rPr>
            </w:pPr>
            <w:r>
              <w:rPr>
                <w:rFonts w:ascii="Palatino Linotype" w:eastAsia="Times New Roman" w:hAnsi="Palatino Linotype" w:cs="Calibri"/>
                <w:b/>
                <w:bCs/>
                <w:color w:val="000000"/>
                <w:lang w:val="en-IN" w:eastAsia="en-IN" w:bidi="hi-IN"/>
              </w:rPr>
              <w:t xml:space="preserve">B. Turnover Exchange-wise </w:t>
            </w:r>
            <w:r w:rsidRPr="005F748A">
              <w:rPr>
                <w:rFonts w:ascii="Palatino Linotype" w:eastAsia="Times New Roman" w:hAnsi="Palatino Linotype" w:cs="Calibri"/>
                <w:b/>
                <w:bCs/>
                <w:color w:val="000000"/>
                <w:lang w:val="en-IN" w:eastAsia="en-IN" w:bidi="hi-IN"/>
              </w:rPr>
              <w:t>(</w:t>
            </w:r>
            <w:r w:rsidRPr="005F748A">
              <w:rPr>
                <w:rFonts w:ascii="Times New Roman" w:eastAsia="Times New Roman" w:hAnsi="Times New Roman"/>
                <w:b/>
                <w:bCs/>
                <w:color w:val="000000"/>
                <w:lang w:val="en-IN" w:eastAsia="en-IN" w:bidi="hi-IN"/>
              </w:rPr>
              <w:t>₹</w:t>
            </w:r>
            <w:r w:rsidRPr="005F748A">
              <w:rPr>
                <w:rFonts w:ascii="Palatino Linotype" w:eastAsia="Times New Roman" w:hAnsi="Palatino Linotype" w:cs="Calibri"/>
                <w:b/>
                <w:bCs/>
                <w:color w:val="000000"/>
                <w:lang w:val="en-IN" w:eastAsia="en-IN" w:bidi="hi-IN"/>
              </w:rPr>
              <w:t>crore)</w:t>
            </w:r>
          </w:p>
        </w:tc>
        <w:tc>
          <w:tcPr>
            <w:tcW w:w="1418" w:type="dxa"/>
            <w:tcBorders>
              <w:top w:val="nil"/>
              <w:left w:val="nil"/>
              <w:bottom w:val="single" w:sz="4" w:space="0" w:color="auto"/>
              <w:right w:val="nil"/>
            </w:tcBorders>
            <w:shd w:val="clear" w:color="auto" w:fill="auto"/>
            <w:vAlign w:val="center"/>
            <w:hideMark/>
          </w:tcPr>
          <w:p w:rsidR="00A963A6" w:rsidRPr="005F748A" w:rsidRDefault="00A963A6" w:rsidP="003D4466">
            <w:pPr>
              <w:rPr>
                <w:rFonts w:ascii="Palatino Linotype" w:eastAsia="Times New Roman" w:hAnsi="Palatino Linotype" w:cs="Calibri"/>
                <w:b/>
                <w:bCs/>
                <w:color w:val="000000"/>
                <w:lang w:val="en-IN" w:eastAsia="en-IN" w:bidi="hi-IN"/>
              </w:rPr>
            </w:pPr>
            <w:r w:rsidRPr="005F748A">
              <w:rPr>
                <w:rFonts w:ascii="Palatino Linotype" w:eastAsia="Times New Roman" w:hAnsi="Palatino Linotype" w:cs="Calibri"/>
                <w:b/>
                <w:bCs/>
                <w:color w:val="000000"/>
                <w:lang w:val="en-IN" w:eastAsia="en-IN" w:bidi="hi-IN"/>
              </w:rPr>
              <w:t> </w:t>
            </w:r>
          </w:p>
        </w:tc>
        <w:tc>
          <w:tcPr>
            <w:tcW w:w="1276" w:type="dxa"/>
            <w:tcBorders>
              <w:top w:val="nil"/>
              <w:left w:val="nil"/>
              <w:bottom w:val="single" w:sz="4" w:space="0" w:color="auto"/>
              <w:right w:val="nil"/>
            </w:tcBorders>
            <w:shd w:val="clear" w:color="auto" w:fill="auto"/>
            <w:vAlign w:val="center"/>
            <w:hideMark/>
          </w:tcPr>
          <w:p w:rsidR="00A963A6" w:rsidRPr="005F748A" w:rsidRDefault="00A963A6" w:rsidP="003D4466">
            <w:pPr>
              <w:rPr>
                <w:rFonts w:ascii="Palatino Linotype" w:eastAsia="Times New Roman" w:hAnsi="Palatino Linotype" w:cs="Calibri"/>
                <w:b/>
                <w:bCs/>
                <w:color w:val="000000"/>
                <w:lang w:val="en-IN" w:eastAsia="en-IN" w:bidi="hi-IN"/>
              </w:rPr>
            </w:pPr>
            <w:r w:rsidRPr="005F748A">
              <w:rPr>
                <w:rFonts w:ascii="Palatino Linotype" w:eastAsia="Times New Roman" w:hAnsi="Palatino Linotype" w:cs="Calibri"/>
                <w:b/>
                <w:bCs/>
                <w:color w:val="000000"/>
                <w:lang w:val="en-IN" w:eastAsia="en-IN" w:bidi="hi-IN"/>
              </w:rPr>
              <w:t> </w:t>
            </w:r>
          </w:p>
        </w:tc>
        <w:tc>
          <w:tcPr>
            <w:tcW w:w="1417" w:type="dxa"/>
            <w:tcBorders>
              <w:top w:val="nil"/>
              <w:left w:val="nil"/>
              <w:bottom w:val="single" w:sz="4" w:space="0" w:color="auto"/>
              <w:right w:val="single" w:sz="4" w:space="0" w:color="auto"/>
            </w:tcBorders>
            <w:shd w:val="clear" w:color="auto" w:fill="auto"/>
            <w:vAlign w:val="center"/>
            <w:hideMark/>
          </w:tcPr>
          <w:p w:rsidR="00A963A6" w:rsidRPr="005F748A" w:rsidRDefault="00A963A6" w:rsidP="003D4466">
            <w:pPr>
              <w:jc w:val="right"/>
              <w:rPr>
                <w:rFonts w:ascii="Palatino Linotype" w:eastAsia="Times New Roman" w:hAnsi="Palatino Linotype" w:cs="Calibri"/>
                <w:b/>
                <w:bCs/>
                <w:color w:val="000000"/>
                <w:lang w:val="en-IN" w:eastAsia="en-IN" w:bidi="hi-IN"/>
              </w:rPr>
            </w:pPr>
            <w:r w:rsidRPr="005F748A">
              <w:rPr>
                <w:rFonts w:ascii="Palatino Linotype" w:eastAsia="Times New Roman" w:hAnsi="Palatino Linotype" w:cs="Calibri"/>
                <w:b/>
                <w:bCs/>
                <w:color w:val="000000"/>
                <w:lang w:val="en-IN" w:eastAsia="en-IN" w:bidi="hi-IN"/>
              </w:rPr>
              <w:t> </w:t>
            </w:r>
          </w:p>
        </w:tc>
      </w:tr>
      <w:tr w:rsidR="00A963A6" w:rsidRPr="005F748A" w:rsidTr="00A963A6">
        <w:trPr>
          <w:trHeight w:val="336"/>
        </w:trPr>
        <w:tc>
          <w:tcPr>
            <w:tcW w:w="4418" w:type="dxa"/>
            <w:tcBorders>
              <w:top w:val="nil"/>
              <w:left w:val="single" w:sz="4" w:space="0" w:color="auto"/>
              <w:bottom w:val="single" w:sz="4" w:space="0" w:color="auto"/>
              <w:right w:val="single" w:sz="4" w:space="0" w:color="auto"/>
            </w:tcBorders>
            <w:shd w:val="clear" w:color="auto" w:fill="auto"/>
            <w:vAlign w:val="center"/>
            <w:hideMark/>
          </w:tcPr>
          <w:p w:rsidR="00A963A6" w:rsidRPr="005F748A" w:rsidRDefault="00A963A6" w:rsidP="003D4466">
            <w:pPr>
              <w:rPr>
                <w:rFonts w:ascii="Palatino Linotype" w:eastAsia="Times New Roman" w:hAnsi="Palatino Linotype" w:cs="Calibri"/>
                <w:b/>
                <w:bCs/>
                <w:color w:val="000000"/>
                <w:lang w:val="en-IN" w:eastAsia="en-IN" w:bidi="hi-IN"/>
              </w:rPr>
            </w:pPr>
            <w:r w:rsidRPr="005F748A">
              <w:rPr>
                <w:rFonts w:ascii="Palatino Linotype" w:eastAsia="Times New Roman" w:hAnsi="Palatino Linotype" w:cs="Calibri"/>
                <w:b/>
                <w:bCs/>
                <w:color w:val="000000"/>
                <w:lang w:val="en-IN" w:eastAsia="en-IN" w:bidi="hi-IN"/>
              </w:rPr>
              <w:t>All-India</w:t>
            </w:r>
          </w:p>
        </w:tc>
        <w:tc>
          <w:tcPr>
            <w:tcW w:w="1418"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b/>
                <w:bCs/>
                <w:sz w:val="20"/>
                <w:szCs w:val="20"/>
                <w:lang w:val="en-IN" w:eastAsia="en-IN" w:bidi="hi-IN"/>
              </w:rPr>
            </w:pPr>
            <w:r w:rsidRPr="005F748A">
              <w:rPr>
                <w:rFonts w:ascii="Palatino Linotype" w:eastAsia="Times New Roman" w:hAnsi="Palatino Linotype" w:cs="Calibri"/>
                <w:b/>
                <w:bCs/>
                <w:sz w:val="20"/>
                <w:szCs w:val="20"/>
                <w:lang w:val="en-IN" w:eastAsia="en-IN" w:bidi="hi-IN"/>
              </w:rPr>
              <w:t>8,05,064</w:t>
            </w:r>
          </w:p>
        </w:tc>
        <w:tc>
          <w:tcPr>
            <w:tcW w:w="1276"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b/>
                <w:bCs/>
                <w:sz w:val="20"/>
                <w:szCs w:val="20"/>
                <w:lang w:val="en-IN" w:eastAsia="en-IN" w:bidi="hi-IN"/>
              </w:rPr>
            </w:pPr>
            <w:r w:rsidRPr="005F748A">
              <w:rPr>
                <w:rFonts w:ascii="Palatino Linotype" w:eastAsia="Times New Roman" w:hAnsi="Palatino Linotype" w:cs="Calibri"/>
                <w:b/>
                <w:bCs/>
                <w:sz w:val="20"/>
                <w:szCs w:val="20"/>
                <w:lang w:val="en-IN" w:eastAsia="en-IN" w:bidi="hi-IN"/>
              </w:rPr>
              <w:t>7,95,695</w:t>
            </w:r>
          </w:p>
        </w:tc>
        <w:tc>
          <w:tcPr>
            <w:tcW w:w="1417"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i/>
                <w:iCs/>
                <w:sz w:val="20"/>
                <w:szCs w:val="20"/>
                <w:lang w:val="en-IN" w:eastAsia="en-IN" w:bidi="hi-IN"/>
              </w:rPr>
            </w:pPr>
            <w:r w:rsidRPr="005F748A">
              <w:rPr>
                <w:rFonts w:ascii="Palatino Linotype" w:eastAsia="Times New Roman" w:hAnsi="Palatino Linotype" w:cs="Calibri"/>
                <w:i/>
                <w:iCs/>
                <w:sz w:val="20"/>
                <w:szCs w:val="20"/>
                <w:lang w:val="en-IN" w:eastAsia="en-IN" w:bidi="hi-IN"/>
              </w:rPr>
              <w:t>-1.2</w:t>
            </w:r>
          </w:p>
        </w:tc>
      </w:tr>
      <w:tr w:rsidR="00A963A6" w:rsidRPr="005F748A" w:rsidTr="00A963A6">
        <w:trPr>
          <w:trHeight w:val="336"/>
        </w:trPr>
        <w:tc>
          <w:tcPr>
            <w:tcW w:w="4418" w:type="dxa"/>
            <w:tcBorders>
              <w:top w:val="nil"/>
              <w:left w:val="single" w:sz="4" w:space="0" w:color="auto"/>
              <w:bottom w:val="single" w:sz="4" w:space="0" w:color="auto"/>
              <w:right w:val="single" w:sz="4" w:space="0" w:color="auto"/>
            </w:tcBorders>
            <w:shd w:val="clear" w:color="auto" w:fill="auto"/>
            <w:vAlign w:val="center"/>
            <w:hideMark/>
          </w:tcPr>
          <w:p w:rsidR="00A963A6" w:rsidRPr="005F748A" w:rsidRDefault="00A963A6" w:rsidP="003D4466">
            <w:pPr>
              <w:rPr>
                <w:rFonts w:ascii="Palatino Linotype" w:eastAsia="Times New Roman" w:hAnsi="Palatino Linotype" w:cs="Calibri"/>
                <w:b/>
                <w:bCs/>
                <w:color w:val="000000"/>
                <w:lang w:val="en-IN" w:eastAsia="en-IN" w:bidi="hi-IN"/>
              </w:rPr>
            </w:pPr>
            <w:r w:rsidRPr="005F748A">
              <w:rPr>
                <w:rFonts w:ascii="Palatino Linotype" w:eastAsia="Times New Roman" w:hAnsi="Palatino Linotype" w:cs="Calibri"/>
                <w:b/>
                <w:bCs/>
                <w:color w:val="000000"/>
                <w:lang w:val="en-IN" w:eastAsia="en-IN" w:bidi="hi-IN"/>
              </w:rPr>
              <w:t>MCX, of which</w:t>
            </w:r>
          </w:p>
        </w:tc>
        <w:tc>
          <w:tcPr>
            <w:tcW w:w="1418"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b/>
                <w:bCs/>
                <w:sz w:val="20"/>
                <w:szCs w:val="20"/>
                <w:lang w:val="en-IN" w:eastAsia="en-IN" w:bidi="hi-IN"/>
              </w:rPr>
            </w:pPr>
            <w:r w:rsidRPr="005F748A">
              <w:rPr>
                <w:rFonts w:ascii="Palatino Linotype" w:eastAsia="Times New Roman" w:hAnsi="Palatino Linotype" w:cs="Calibri"/>
                <w:b/>
                <w:bCs/>
                <w:sz w:val="20"/>
                <w:szCs w:val="20"/>
                <w:lang w:val="en-IN" w:eastAsia="en-IN" w:bidi="hi-IN"/>
              </w:rPr>
              <w:t>6,88,986</w:t>
            </w:r>
          </w:p>
        </w:tc>
        <w:tc>
          <w:tcPr>
            <w:tcW w:w="1276"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b/>
                <w:bCs/>
                <w:sz w:val="20"/>
                <w:szCs w:val="20"/>
                <w:lang w:val="en-IN" w:eastAsia="en-IN" w:bidi="hi-IN"/>
              </w:rPr>
            </w:pPr>
            <w:r w:rsidRPr="005F748A">
              <w:rPr>
                <w:rFonts w:ascii="Palatino Linotype" w:eastAsia="Times New Roman" w:hAnsi="Palatino Linotype" w:cs="Calibri"/>
                <w:b/>
                <w:bCs/>
                <w:sz w:val="20"/>
                <w:szCs w:val="20"/>
                <w:lang w:val="en-IN" w:eastAsia="en-IN" w:bidi="hi-IN"/>
              </w:rPr>
              <w:t>6,73,705</w:t>
            </w:r>
          </w:p>
        </w:tc>
        <w:tc>
          <w:tcPr>
            <w:tcW w:w="1417"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i/>
                <w:iCs/>
                <w:sz w:val="20"/>
                <w:szCs w:val="20"/>
                <w:lang w:val="en-IN" w:eastAsia="en-IN" w:bidi="hi-IN"/>
              </w:rPr>
            </w:pPr>
            <w:r w:rsidRPr="005F748A">
              <w:rPr>
                <w:rFonts w:ascii="Palatino Linotype" w:eastAsia="Times New Roman" w:hAnsi="Palatino Linotype" w:cs="Calibri"/>
                <w:i/>
                <w:iCs/>
                <w:sz w:val="20"/>
                <w:szCs w:val="20"/>
                <w:lang w:val="en-IN" w:eastAsia="en-IN" w:bidi="hi-IN"/>
              </w:rPr>
              <w:t>-2.2</w:t>
            </w:r>
          </w:p>
        </w:tc>
      </w:tr>
      <w:tr w:rsidR="00A963A6" w:rsidRPr="005F748A" w:rsidTr="00A963A6">
        <w:trPr>
          <w:trHeight w:val="336"/>
        </w:trPr>
        <w:tc>
          <w:tcPr>
            <w:tcW w:w="4418" w:type="dxa"/>
            <w:tcBorders>
              <w:top w:val="nil"/>
              <w:left w:val="single" w:sz="4" w:space="0" w:color="auto"/>
              <w:bottom w:val="single" w:sz="4" w:space="0" w:color="auto"/>
              <w:right w:val="single" w:sz="4" w:space="0" w:color="auto"/>
            </w:tcBorders>
            <w:shd w:val="clear" w:color="auto" w:fill="auto"/>
            <w:vAlign w:val="center"/>
            <w:hideMark/>
          </w:tcPr>
          <w:p w:rsidR="00A963A6" w:rsidRPr="005F748A" w:rsidRDefault="00A963A6" w:rsidP="003D4466">
            <w:pPr>
              <w:rPr>
                <w:rFonts w:ascii="Palatino Linotype" w:eastAsia="Times New Roman" w:hAnsi="Palatino Linotype" w:cs="Calibri"/>
                <w:color w:val="000000"/>
                <w:lang w:val="en-IN" w:eastAsia="en-IN" w:bidi="hi-IN"/>
              </w:rPr>
            </w:pPr>
            <w:r w:rsidRPr="005F748A">
              <w:rPr>
                <w:rFonts w:ascii="Palatino Linotype" w:eastAsia="Times New Roman" w:hAnsi="Palatino Linotype" w:cs="Calibri"/>
                <w:color w:val="000000"/>
                <w:lang w:val="en-IN" w:eastAsia="en-IN" w:bidi="hi-IN"/>
              </w:rPr>
              <w:t xml:space="preserve">             Futures</w:t>
            </w:r>
          </w:p>
        </w:tc>
        <w:tc>
          <w:tcPr>
            <w:tcW w:w="1418"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sz w:val="20"/>
                <w:szCs w:val="20"/>
                <w:lang w:val="en-IN" w:eastAsia="en-IN" w:bidi="hi-IN"/>
              </w:rPr>
            </w:pPr>
            <w:r w:rsidRPr="005F748A">
              <w:rPr>
                <w:rFonts w:ascii="Palatino Linotype" w:eastAsia="Times New Roman" w:hAnsi="Palatino Linotype" w:cs="Calibri"/>
                <w:sz w:val="20"/>
                <w:szCs w:val="20"/>
                <w:lang w:val="en-IN" w:eastAsia="en-IN" w:bidi="hi-IN"/>
              </w:rPr>
              <w:t>5,89,717</w:t>
            </w:r>
          </w:p>
        </w:tc>
        <w:tc>
          <w:tcPr>
            <w:tcW w:w="1276"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sz w:val="20"/>
                <w:szCs w:val="20"/>
                <w:lang w:val="en-IN" w:eastAsia="en-IN" w:bidi="hi-IN"/>
              </w:rPr>
            </w:pPr>
            <w:r w:rsidRPr="005F748A">
              <w:rPr>
                <w:rFonts w:ascii="Palatino Linotype" w:eastAsia="Times New Roman" w:hAnsi="Palatino Linotype" w:cs="Calibri"/>
                <w:sz w:val="20"/>
                <w:szCs w:val="20"/>
                <w:lang w:val="en-IN" w:eastAsia="en-IN" w:bidi="hi-IN"/>
              </w:rPr>
              <w:t>5,43,599</w:t>
            </w:r>
          </w:p>
        </w:tc>
        <w:tc>
          <w:tcPr>
            <w:tcW w:w="1417"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i/>
                <w:iCs/>
                <w:sz w:val="20"/>
                <w:szCs w:val="20"/>
                <w:lang w:val="en-IN" w:eastAsia="en-IN" w:bidi="hi-IN"/>
              </w:rPr>
            </w:pPr>
            <w:r w:rsidRPr="005F748A">
              <w:rPr>
                <w:rFonts w:ascii="Palatino Linotype" w:eastAsia="Times New Roman" w:hAnsi="Palatino Linotype" w:cs="Calibri"/>
                <w:i/>
                <w:iCs/>
                <w:sz w:val="20"/>
                <w:szCs w:val="20"/>
                <w:lang w:val="en-IN" w:eastAsia="en-IN" w:bidi="hi-IN"/>
              </w:rPr>
              <w:t>-7.8</w:t>
            </w:r>
          </w:p>
        </w:tc>
      </w:tr>
      <w:tr w:rsidR="00A963A6" w:rsidRPr="005F748A" w:rsidTr="00A963A6">
        <w:trPr>
          <w:trHeight w:val="336"/>
        </w:trPr>
        <w:tc>
          <w:tcPr>
            <w:tcW w:w="4418" w:type="dxa"/>
            <w:tcBorders>
              <w:top w:val="nil"/>
              <w:left w:val="single" w:sz="4" w:space="0" w:color="auto"/>
              <w:bottom w:val="single" w:sz="4" w:space="0" w:color="auto"/>
              <w:right w:val="single" w:sz="4" w:space="0" w:color="auto"/>
            </w:tcBorders>
            <w:shd w:val="clear" w:color="auto" w:fill="auto"/>
            <w:vAlign w:val="center"/>
            <w:hideMark/>
          </w:tcPr>
          <w:p w:rsidR="00A963A6" w:rsidRPr="005F748A" w:rsidRDefault="00A963A6" w:rsidP="003D4466">
            <w:pPr>
              <w:rPr>
                <w:rFonts w:ascii="Palatino Linotype" w:eastAsia="Times New Roman" w:hAnsi="Palatino Linotype" w:cs="Calibri"/>
                <w:color w:val="000000"/>
                <w:lang w:val="en-IN" w:eastAsia="en-IN" w:bidi="hi-IN"/>
              </w:rPr>
            </w:pPr>
            <w:r w:rsidRPr="005F748A">
              <w:rPr>
                <w:rFonts w:ascii="Palatino Linotype" w:eastAsia="Times New Roman" w:hAnsi="Palatino Linotype" w:cs="Calibri"/>
                <w:color w:val="000000"/>
                <w:lang w:val="en-IN" w:eastAsia="en-IN" w:bidi="hi-IN"/>
              </w:rPr>
              <w:t xml:space="preserve">            Options</w:t>
            </w:r>
          </w:p>
        </w:tc>
        <w:tc>
          <w:tcPr>
            <w:tcW w:w="1418"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sz w:val="20"/>
                <w:szCs w:val="20"/>
                <w:lang w:val="en-IN" w:eastAsia="en-IN" w:bidi="hi-IN"/>
              </w:rPr>
            </w:pPr>
            <w:r w:rsidRPr="005F748A">
              <w:rPr>
                <w:rFonts w:ascii="Palatino Linotype" w:eastAsia="Times New Roman" w:hAnsi="Palatino Linotype" w:cs="Calibri"/>
                <w:sz w:val="20"/>
                <w:szCs w:val="20"/>
                <w:lang w:val="en-IN" w:eastAsia="en-IN" w:bidi="hi-IN"/>
              </w:rPr>
              <w:t>99,270</w:t>
            </w:r>
          </w:p>
        </w:tc>
        <w:tc>
          <w:tcPr>
            <w:tcW w:w="1276"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sz w:val="20"/>
                <w:szCs w:val="20"/>
                <w:lang w:val="en-IN" w:eastAsia="en-IN" w:bidi="hi-IN"/>
              </w:rPr>
            </w:pPr>
            <w:r w:rsidRPr="005F748A">
              <w:rPr>
                <w:rFonts w:ascii="Palatino Linotype" w:eastAsia="Times New Roman" w:hAnsi="Palatino Linotype" w:cs="Calibri"/>
                <w:sz w:val="20"/>
                <w:szCs w:val="20"/>
                <w:lang w:val="en-IN" w:eastAsia="en-IN" w:bidi="hi-IN"/>
              </w:rPr>
              <w:t>1,30,106</w:t>
            </w:r>
          </w:p>
        </w:tc>
        <w:tc>
          <w:tcPr>
            <w:tcW w:w="1417"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i/>
                <w:iCs/>
                <w:sz w:val="20"/>
                <w:szCs w:val="20"/>
                <w:lang w:val="en-IN" w:eastAsia="en-IN" w:bidi="hi-IN"/>
              </w:rPr>
            </w:pPr>
            <w:r w:rsidRPr="005F748A">
              <w:rPr>
                <w:rFonts w:ascii="Palatino Linotype" w:eastAsia="Times New Roman" w:hAnsi="Palatino Linotype" w:cs="Calibri"/>
                <w:i/>
                <w:iCs/>
                <w:sz w:val="20"/>
                <w:szCs w:val="20"/>
                <w:lang w:val="en-IN" w:eastAsia="en-IN" w:bidi="hi-IN"/>
              </w:rPr>
              <w:t>31.1</w:t>
            </w:r>
          </w:p>
        </w:tc>
      </w:tr>
      <w:tr w:rsidR="00A963A6" w:rsidRPr="005F748A" w:rsidTr="00A963A6">
        <w:trPr>
          <w:trHeight w:val="336"/>
        </w:trPr>
        <w:tc>
          <w:tcPr>
            <w:tcW w:w="4418" w:type="dxa"/>
            <w:tcBorders>
              <w:top w:val="nil"/>
              <w:left w:val="single" w:sz="4" w:space="0" w:color="auto"/>
              <w:bottom w:val="single" w:sz="4" w:space="0" w:color="auto"/>
              <w:right w:val="single" w:sz="4" w:space="0" w:color="auto"/>
            </w:tcBorders>
            <w:shd w:val="clear" w:color="auto" w:fill="auto"/>
            <w:vAlign w:val="center"/>
            <w:hideMark/>
          </w:tcPr>
          <w:p w:rsidR="00A963A6" w:rsidRPr="005F748A" w:rsidRDefault="00A963A6" w:rsidP="003D4466">
            <w:pPr>
              <w:rPr>
                <w:rFonts w:ascii="Palatino Linotype" w:eastAsia="Times New Roman" w:hAnsi="Palatino Linotype" w:cs="Calibri"/>
                <w:b/>
                <w:bCs/>
                <w:color w:val="000000"/>
                <w:lang w:val="en-IN" w:eastAsia="en-IN" w:bidi="hi-IN"/>
              </w:rPr>
            </w:pPr>
            <w:r w:rsidRPr="005F748A">
              <w:rPr>
                <w:rFonts w:ascii="Palatino Linotype" w:eastAsia="Times New Roman" w:hAnsi="Palatino Linotype" w:cs="Calibri"/>
                <w:b/>
                <w:bCs/>
                <w:color w:val="000000"/>
                <w:lang w:val="en-IN" w:eastAsia="en-IN" w:bidi="hi-IN"/>
              </w:rPr>
              <w:t>BSE, of which</w:t>
            </w:r>
          </w:p>
        </w:tc>
        <w:tc>
          <w:tcPr>
            <w:tcW w:w="1418"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b/>
                <w:bCs/>
                <w:sz w:val="20"/>
                <w:szCs w:val="20"/>
                <w:lang w:val="en-IN" w:eastAsia="en-IN" w:bidi="hi-IN"/>
              </w:rPr>
            </w:pPr>
            <w:r w:rsidRPr="005F748A">
              <w:rPr>
                <w:rFonts w:ascii="Palatino Linotype" w:eastAsia="Times New Roman" w:hAnsi="Palatino Linotype" w:cs="Calibri"/>
                <w:b/>
                <w:bCs/>
                <w:sz w:val="20"/>
                <w:szCs w:val="20"/>
                <w:lang w:val="en-IN" w:eastAsia="en-IN" w:bidi="hi-IN"/>
              </w:rPr>
              <w:t>69,306</w:t>
            </w:r>
          </w:p>
        </w:tc>
        <w:tc>
          <w:tcPr>
            <w:tcW w:w="1276"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b/>
                <w:bCs/>
                <w:sz w:val="20"/>
                <w:szCs w:val="20"/>
                <w:lang w:val="en-IN" w:eastAsia="en-IN" w:bidi="hi-IN"/>
              </w:rPr>
            </w:pPr>
            <w:r w:rsidRPr="005F748A">
              <w:rPr>
                <w:rFonts w:ascii="Palatino Linotype" w:eastAsia="Times New Roman" w:hAnsi="Palatino Linotype" w:cs="Calibri"/>
                <w:b/>
                <w:bCs/>
                <w:sz w:val="20"/>
                <w:szCs w:val="20"/>
                <w:lang w:val="en-IN" w:eastAsia="en-IN" w:bidi="hi-IN"/>
              </w:rPr>
              <w:t>68,922</w:t>
            </w:r>
          </w:p>
        </w:tc>
        <w:tc>
          <w:tcPr>
            <w:tcW w:w="1417"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i/>
                <w:iCs/>
                <w:sz w:val="20"/>
                <w:szCs w:val="20"/>
                <w:lang w:val="en-IN" w:eastAsia="en-IN" w:bidi="hi-IN"/>
              </w:rPr>
            </w:pPr>
            <w:r w:rsidRPr="005F748A">
              <w:rPr>
                <w:rFonts w:ascii="Palatino Linotype" w:eastAsia="Times New Roman" w:hAnsi="Palatino Linotype" w:cs="Calibri"/>
                <w:i/>
                <w:iCs/>
                <w:sz w:val="20"/>
                <w:szCs w:val="20"/>
                <w:lang w:val="en-IN" w:eastAsia="en-IN" w:bidi="hi-IN"/>
              </w:rPr>
              <w:t>-0.6</w:t>
            </w:r>
          </w:p>
        </w:tc>
      </w:tr>
      <w:tr w:rsidR="00A963A6" w:rsidRPr="005F748A" w:rsidTr="00A963A6">
        <w:trPr>
          <w:trHeight w:val="336"/>
        </w:trPr>
        <w:tc>
          <w:tcPr>
            <w:tcW w:w="4418" w:type="dxa"/>
            <w:tcBorders>
              <w:top w:val="nil"/>
              <w:left w:val="single" w:sz="4" w:space="0" w:color="auto"/>
              <w:bottom w:val="single" w:sz="4" w:space="0" w:color="auto"/>
              <w:right w:val="single" w:sz="4" w:space="0" w:color="auto"/>
            </w:tcBorders>
            <w:shd w:val="clear" w:color="auto" w:fill="auto"/>
            <w:vAlign w:val="center"/>
            <w:hideMark/>
          </w:tcPr>
          <w:p w:rsidR="00A963A6" w:rsidRPr="005F748A" w:rsidRDefault="00A963A6" w:rsidP="003D4466">
            <w:pPr>
              <w:rPr>
                <w:rFonts w:ascii="Palatino Linotype" w:eastAsia="Times New Roman" w:hAnsi="Palatino Linotype" w:cs="Calibri"/>
                <w:color w:val="000000"/>
                <w:lang w:val="en-IN" w:eastAsia="en-IN" w:bidi="hi-IN"/>
              </w:rPr>
            </w:pPr>
            <w:r w:rsidRPr="005F748A">
              <w:rPr>
                <w:rFonts w:ascii="Palatino Linotype" w:eastAsia="Times New Roman" w:hAnsi="Palatino Linotype" w:cs="Calibri"/>
                <w:color w:val="000000"/>
                <w:lang w:val="en-IN" w:eastAsia="en-IN" w:bidi="hi-IN"/>
              </w:rPr>
              <w:t xml:space="preserve">             Futures</w:t>
            </w:r>
          </w:p>
        </w:tc>
        <w:tc>
          <w:tcPr>
            <w:tcW w:w="1418"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sz w:val="20"/>
                <w:szCs w:val="20"/>
                <w:lang w:val="en-IN" w:eastAsia="en-IN" w:bidi="hi-IN"/>
              </w:rPr>
            </w:pPr>
            <w:r w:rsidRPr="005F748A">
              <w:rPr>
                <w:rFonts w:ascii="Palatino Linotype" w:eastAsia="Times New Roman" w:hAnsi="Palatino Linotype" w:cs="Calibri"/>
                <w:sz w:val="20"/>
                <w:szCs w:val="20"/>
                <w:lang w:val="en-IN" w:eastAsia="en-IN" w:bidi="hi-IN"/>
              </w:rPr>
              <w:t>266</w:t>
            </w:r>
          </w:p>
        </w:tc>
        <w:tc>
          <w:tcPr>
            <w:tcW w:w="1276"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sz w:val="20"/>
                <w:szCs w:val="20"/>
                <w:lang w:val="en-IN" w:eastAsia="en-IN" w:bidi="hi-IN"/>
              </w:rPr>
            </w:pPr>
            <w:r w:rsidRPr="005F748A">
              <w:rPr>
                <w:rFonts w:ascii="Palatino Linotype" w:eastAsia="Times New Roman" w:hAnsi="Palatino Linotype" w:cs="Calibri"/>
                <w:sz w:val="20"/>
                <w:szCs w:val="20"/>
                <w:lang w:val="en-IN" w:eastAsia="en-IN" w:bidi="hi-IN"/>
              </w:rPr>
              <w:t>310</w:t>
            </w:r>
          </w:p>
        </w:tc>
        <w:tc>
          <w:tcPr>
            <w:tcW w:w="1417"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i/>
                <w:iCs/>
                <w:sz w:val="20"/>
                <w:szCs w:val="20"/>
                <w:lang w:val="en-IN" w:eastAsia="en-IN" w:bidi="hi-IN"/>
              </w:rPr>
            </w:pPr>
            <w:r w:rsidRPr="005F748A">
              <w:rPr>
                <w:rFonts w:ascii="Palatino Linotype" w:eastAsia="Times New Roman" w:hAnsi="Palatino Linotype" w:cs="Calibri"/>
                <w:i/>
                <w:iCs/>
                <w:sz w:val="20"/>
                <w:szCs w:val="20"/>
                <w:lang w:val="en-IN" w:eastAsia="en-IN" w:bidi="hi-IN"/>
              </w:rPr>
              <w:t>16.7</w:t>
            </w:r>
          </w:p>
        </w:tc>
      </w:tr>
      <w:tr w:rsidR="00A963A6" w:rsidRPr="005F748A" w:rsidTr="00A963A6">
        <w:trPr>
          <w:trHeight w:val="336"/>
        </w:trPr>
        <w:tc>
          <w:tcPr>
            <w:tcW w:w="4418" w:type="dxa"/>
            <w:tcBorders>
              <w:top w:val="nil"/>
              <w:left w:val="single" w:sz="4" w:space="0" w:color="auto"/>
              <w:bottom w:val="single" w:sz="4" w:space="0" w:color="auto"/>
              <w:right w:val="single" w:sz="4" w:space="0" w:color="auto"/>
            </w:tcBorders>
            <w:shd w:val="clear" w:color="auto" w:fill="auto"/>
            <w:vAlign w:val="center"/>
            <w:hideMark/>
          </w:tcPr>
          <w:p w:rsidR="00A963A6" w:rsidRPr="005F748A" w:rsidRDefault="00A963A6" w:rsidP="003D4466">
            <w:pPr>
              <w:rPr>
                <w:rFonts w:ascii="Palatino Linotype" w:eastAsia="Times New Roman" w:hAnsi="Palatino Linotype" w:cs="Calibri"/>
                <w:color w:val="000000"/>
                <w:lang w:val="en-IN" w:eastAsia="en-IN" w:bidi="hi-IN"/>
              </w:rPr>
            </w:pPr>
            <w:r w:rsidRPr="005F748A">
              <w:rPr>
                <w:rFonts w:ascii="Palatino Linotype" w:eastAsia="Times New Roman" w:hAnsi="Palatino Linotype" w:cs="Calibri"/>
                <w:color w:val="000000"/>
                <w:lang w:val="en-IN" w:eastAsia="en-IN" w:bidi="hi-IN"/>
              </w:rPr>
              <w:t xml:space="preserve">            Options</w:t>
            </w:r>
          </w:p>
        </w:tc>
        <w:tc>
          <w:tcPr>
            <w:tcW w:w="1418"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sz w:val="20"/>
                <w:szCs w:val="20"/>
                <w:lang w:val="en-IN" w:eastAsia="en-IN" w:bidi="hi-IN"/>
              </w:rPr>
            </w:pPr>
            <w:r w:rsidRPr="005F748A">
              <w:rPr>
                <w:rFonts w:ascii="Palatino Linotype" w:eastAsia="Times New Roman" w:hAnsi="Palatino Linotype" w:cs="Calibri"/>
                <w:sz w:val="20"/>
                <w:szCs w:val="20"/>
                <w:lang w:val="en-IN" w:eastAsia="en-IN" w:bidi="hi-IN"/>
              </w:rPr>
              <w:t>69,040</w:t>
            </w:r>
          </w:p>
        </w:tc>
        <w:tc>
          <w:tcPr>
            <w:tcW w:w="1276"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sz w:val="20"/>
                <w:szCs w:val="20"/>
                <w:lang w:val="en-IN" w:eastAsia="en-IN" w:bidi="hi-IN"/>
              </w:rPr>
            </w:pPr>
            <w:r w:rsidRPr="005F748A">
              <w:rPr>
                <w:rFonts w:ascii="Palatino Linotype" w:eastAsia="Times New Roman" w:hAnsi="Palatino Linotype" w:cs="Calibri"/>
                <w:sz w:val="20"/>
                <w:szCs w:val="20"/>
                <w:lang w:val="en-IN" w:eastAsia="en-IN" w:bidi="hi-IN"/>
              </w:rPr>
              <w:t>68,612</w:t>
            </w:r>
          </w:p>
        </w:tc>
        <w:tc>
          <w:tcPr>
            <w:tcW w:w="1417"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i/>
                <w:iCs/>
                <w:sz w:val="20"/>
                <w:szCs w:val="20"/>
                <w:lang w:val="en-IN" w:eastAsia="en-IN" w:bidi="hi-IN"/>
              </w:rPr>
            </w:pPr>
            <w:r w:rsidRPr="005F748A">
              <w:rPr>
                <w:rFonts w:ascii="Palatino Linotype" w:eastAsia="Times New Roman" w:hAnsi="Palatino Linotype" w:cs="Calibri"/>
                <w:i/>
                <w:iCs/>
                <w:sz w:val="20"/>
                <w:szCs w:val="20"/>
                <w:lang w:val="en-IN" w:eastAsia="en-IN" w:bidi="hi-IN"/>
              </w:rPr>
              <w:t>-0.6</w:t>
            </w:r>
          </w:p>
        </w:tc>
      </w:tr>
      <w:tr w:rsidR="00A963A6" w:rsidRPr="005F748A" w:rsidTr="00A963A6">
        <w:trPr>
          <w:trHeight w:val="336"/>
        </w:trPr>
        <w:tc>
          <w:tcPr>
            <w:tcW w:w="4418" w:type="dxa"/>
            <w:tcBorders>
              <w:top w:val="nil"/>
              <w:left w:val="single" w:sz="4" w:space="0" w:color="auto"/>
              <w:bottom w:val="single" w:sz="4" w:space="0" w:color="auto"/>
              <w:right w:val="single" w:sz="4" w:space="0" w:color="auto"/>
            </w:tcBorders>
            <w:shd w:val="clear" w:color="auto" w:fill="auto"/>
            <w:vAlign w:val="center"/>
            <w:hideMark/>
          </w:tcPr>
          <w:p w:rsidR="00A963A6" w:rsidRPr="005F748A" w:rsidRDefault="00A963A6" w:rsidP="003D4466">
            <w:pPr>
              <w:rPr>
                <w:rFonts w:ascii="Palatino Linotype" w:eastAsia="Times New Roman" w:hAnsi="Palatino Linotype" w:cs="Calibri"/>
                <w:b/>
                <w:bCs/>
                <w:color w:val="000000"/>
                <w:lang w:val="en-IN" w:eastAsia="en-IN" w:bidi="hi-IN"/>
              </w:rPr>
            </w:pPr>
            <w:r w:rsidRPr="005F748A">
              <w:rPr>
                <w:rFonts w:ascii="Palatino Linotype" w:eastAsia="Times New Roman" w:hAnsi="Palatino Linotype" w:cs="Calibri"/>
                <w:b/>
                <w:bCs/>
                <w:color w:val="000000"/>
                <w:lang w:val="en-IN" w:eastAsia="en-IN" w:bidi="hi-IN"/>
              </w:rPr>
              <w:t>NCDEX, of which</w:t>
            </w:r>
          </w:p>
        </w:tc>
        <w:tc>
          <w:tcPr>
            <w:tcW w:w="1418"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b/>
                <w:bCs/>
                <w:sz w:val="20"/>
                <w:szCs w:val="20"/>
                <w:lang w:val="en-IN" w:eastAsia="en-IN" w:bidi="hi-IN"/>
              </w:rPr>
            </w:pPr>
            <w:r w:rsidRPr="005F748A">
              <w:rPr>
                <w:rFonts w:ascii="Palatino Linotype" w:eastAsia="Times New Roman" w:hAnsi="Palatino Linotype" w:cs="Calibri"/>
                <w:b/>
                <w:bCs/>
                <w:sz w:val="20"/>
                <w:szCs w:val="20"/>
                <w:lang w:val="en-IN" w:eastAsia="en-IN" w:bidi="hi-IN"/>
              </w:rPr>
              <w:t>45,179</w:t>
            </w:r>
          </w:p>
        </w:tc>
        <w:tc>
          <w:tcPr>
            <w:tcW w:w="1276"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b/>
                <w:bCs/>
                <w:sz w:val="20"/>
                <w:szCs w:val="20"/>
                <w:lang w:val="en-IN" w:eastAsia="en-IN" w:bidi="hi-IN"/>
              </w:rPr>
            </w:pPr>
            <w:r w:rsidRPr="005F748A">
              <w:rPr>
                <w:rFonts w:ascii="Palatino Linotype" w:eastAsia="Times New Roman" w:hAnsi="Palatino Linotype" w:cs="Calibri"/>
                <w:b/>
                <w:bCs/>
                <w:sz w:val="20"/>
                <w:szCs w:val="20"/>
                <w:lang w:val="en-IN" w:eastAsia="en-IN" w:bidi="hi-IN"/>
              </w:rPr>
              <w:t>51,332</w:t>
            </w:r>
          </w:p>
        </w:tc>
        <w:tc>
          <w:tcPr>
            <w:tcW w:w="1417"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i/>
                <w:iCs/>
                <w:sz w:val="20"/>
                <w:szCs w:val="20"/>
                <w:lang w:val="en-IN" w:eastAsia="en-IN" w:bidi="hi-IN"/>
              </w:rPr>
            </w:pPr>
            <w:r w:rsidRPr="005F748A">
              <w:rPr>
                <w:rFonts w:ascii="Palatino Linotype" w:eastAsia="Times New Roman" w:hAnsi="Palatino Linotype" w:cs="Calibri"/>
                <w:i/>
                <w:iCs/>
                <w:sz w:val="20"/>
                <w:szCs w:val="20"/>
                <w:lang w:val="en-IN" w:eastAsia="en-IN" w:bidi="hi-IN"/>
              </w:rPr>
              <w:t>13.6</w:t>
            </w:r>
          </w:p>
        </w:tc>
      </w:tr>
      <w:tr w:rsidR="00A963A6" w:rsidRPr="005F748A" w:rsidTr="00A963A6">
        <w:trPr>
          <w:trHeight w:val="336"/>
        </w:trPr>
        <w:tc>
          <w:tcPr>
            <w:tcW w:w="4418" w:type="dxa"/>
            <w:tcBorders>
              <w:top w:val="nil"/>
              <w:left w:val="single" w:sz="4" w:space="0" w:color="auto"/>
              <w:bottom w:val="single" w:sz="4" w:space="0" w:color="auto"/>
              <w:right w:val="single" w:sz="4" w:space="0" w:color="auto"/>
            </w:tcBorders>
            <w:shd w:val="clear" w:color="auto" w:fill="auto"/>
            <w:vAlign w:val="center"/>
            <w:hideMark/>
          </w:tcPr>
          <w:p w:rsidR="00A963A6" w:rsidRPr="005F748A" w:rsidRDefault="00A963A6" w:rsidP="003D4466">
            <w:pPr>
              <w:rPr>
                <w:rFonts w:ascii="Palatino Linotype" w:eastAsia="Times New Roman" w:hAnsi="Palatino Linotype" w:cs="Calibri"/>
                <w:color w:val="000000"/>
                <w:lang w:val="en-IN" w:eastAsia="en-IN" w:bidi="hi-IN"/>
              </w:rPr>
            </w:pPr>
            <w:r w:rsidRPr="005F748A">
              <w:rPr>
                <w:rFonts w:ascii="Palatino Linotype" w:eastAsia="Times New Roman" w:hAnsi="Palatino Linotype" w:cs="Calibri"/>
                <w:color w:val="000000"/>
                <w:lang w:val="en-IN" w:eastAsia="en-IN" w:bidi="hi-IN"/>
              </w:rPr>
              <w:t xml:space="preserve">            Futures</w:t>
            </w:r>
          </w:p>
        </w:tc>
        <w:tc>
          <w:tcPr>
            <w:tcW w:w="1418"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sz w:val="20"/>
                <w:szCs w:val="20"/>
                <w:lang w:val="en-IN" w:eastAsia="en-IN" w:bidi="hi-IN"/>
              </w:rPr>
            </w:pPr>
            <w:r w:rsidRPr="005F748A">
              <w:rPr>
                <w:rFonts w:ascii="Palatino Linotype" w:eastAsia="Times New Roman" w:hAnsi="Palatino Linotype" w:cs="Calibri"/>
                <w:sz w:val="20"/>
                <w:szCs w:val="20"/>
                <w:lang w:val="en-IN" w:eastAsia="en-IN" w:bidi="hi-IN"/>
              </w:rPr>
              <w:t>45,175</w:t>
            </w:r>
          </w:p>
        </w:tc>
        <w:tc>
          <w:tcPr>
            <w:tcW w:w="1276"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sz w:val="20"/>
                <w:szCs w:val="20"/>
                <w:lang w:val="en-IN" w:eastAsia="en-IN" w:bidi="hi-IN"/>
              </w:rPr>
            </w:pPr>
            <w:r w:rsidRPr="005F748A">
              <w:rPr>
                <w:rFonts w:ascii="Palatino Linotype" w:eastAsia="Times New Roman" w:hAnsi="Palatino Linotype" w:cs="Calibri"/>
                <w:sz w:val="20"/>
                <w:szCs w:val="20"/>
                <w:lang w:val="en-IN" w:eastAsia="en-IN" w:bidi="hi-IN"/>
              </w:rPr>
              <w:t>51,330</w:t>
            </w:r>
          </w:p>
        </w:tc>
        <w:tc>
          <w:tcPr>
            <w:tcW w:w="1417"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i/>
                <w:iCs/>
                <w:sz w:val="20"/>
                <w:szCs w:val="20"/>
                <w:lang w:val="en-IN" w:eastAsia="en-IN" w:bidi="hi-IN"/>
              </w:rPr>
            </w:pPr>
            <w:r w:rsidRPr="005F748A">
              <w:rPr>
                <w:rFonts w:ascii="Palatino Linotype" w:eastAsia="Times New Roman" w:hAnsi="Palatino Linotype" w:cs="Calibri"/>
                <w:i/>
                <w:iCs/>
                <w:sz w:val="20"/>
                <w:szCs w:val="20"/>
                <w:lang w:val="en-IN" w:eastAsia="en-IN" w:bidi="hi-IN"/>
              </w:rPr>
              <w:t>13.6</w:t>
            </w:r>
          </w:p>
        </w:tc>
      </w:tr>
      <w:tr w:rsidR="00A963A6" w:rsidRPr="005F748A" w:rsidTr="00A963A6">
        <w:trPr>
          <w:trHeight w:val="336"/>
        </w:trPr>
        <w:tc>
          <w:tcPr>
            <w:tcW w:w="4418" w:type="dxa"/>
            <w:tcBorders>
              <w:top w:val="nil"/>
              <w:left w:val="single" w:sz="4" w:space="0" w:color="auto"/>
              <w:bottom w:val="single" w:sz="4" w:space="0" w:color="auto"/>
              <w:right w:val="single" w:sz="4" w:space="0" w:color="auto"/>
            </w:tcBorders>
            <w:shd w:val="clear" w:color="auto" w:fill="auto"/>
            <w:vAlign w:val="center"/>
            <w:hideMark/>
          </w:tcPr>
          <w:p w:rsidR="00A963A6" w:rsidRPr="005F748A" w:rsidRDefault="00A963A6" w:rsidP="003D4466">
            <w:pPr>
              <w:rPr>
                <w:rFonts w:ascii="Palatino Linotype" w:eastAsia="Times New Roman" w:hAnsi="Palatino Linotype" w:cs="Calibri"/>
                <w:color w:val="000000"/>
                <w:lang w:val="en-IN" w:eastAsia="en-IN" w:bidi="hi-IN"/>
              </w:rPr>
            </w:pPr>
            <w:r w:rsidRPr="005F748A">
              <w:rPr>
                <w:rFonts w:ascii="Palatino Linotype" w:eastAsia="Times New Roman" w:hAnsi="Palatino Linotype" w:cs="Calibri"/>
                <w:color w:val="000000"/>
                <w:lang w:val="en-IN" w:eastAsia="en-IN" w:bidi="hi-IN"/>
              </w:rPr>
              <w:t xml:space="preserve">          Options</w:t>
            </w:r>
          </w:p>
        </w:tc>
        <w:tc>
          <w:tcPr>
            <w:tcW w:w="1418"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sz w:val="20"/>
                <w:szCs w:val="20"/>
                <w:lang w:val="en-IN" w:eastAsia="en-IN" w:bidi="hi-IN"/>
              </w:rPr>
            </w:pPr>
            <w:r w:rsidRPr="005F748A">
              <w:rPr>
                <w:rFonts w:ascii="Palatino Linotype" w:eastAsia="Times New Roman" w:hAnsi="Palatino Linotype" w:cs="Calibri"/>
                <w:sz w:val="20"/>
                <w:szCs w:val="20"/>
                <w:lang w:val="en-IN" w:eastAsia="en-IN" w:bidi="hi-IN"/>
              </w:rPr>
              <w:t>4</w:t>
            </w:r>
          </w:p>
        </w:tc>
        <w:tc>
          <w:tcPr>
            <w:tcW w:w="1276"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sz w:val="20"/>
                <w:szCs w:val="20"/>
                <w:lang w:val="en-IN" w:eastAsia="en-IN" w:bidi="hi-IN"/>
              </w:rPr>
            </w:pPr>
            <w:r w:rsidRPr="005F748A">
              <w:rPr>
                <w:rFonts w:ascii="Palatino Linotype" w:eastAsia="Times New Roman" w:hAnsi="Palatino Linotype" w:cs="Calibri"/>
                <w:sz w:val="20"/>
                <w:szCs w:val="20"/>
                <w:lang w:val="en-IN" w:eastAsia="en-IN" w:bidi="hi-IN"/>
              </w:rPr>
              <w:t>2</w:t>
            </w:r>
          </w:p>
        </w:tc>
        <w:tc>
          <w:tcPr>
            <w:tcW w:w="1417"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i/>
                <w:iCs/>
                <w:sz w:val="20"/>
                <w:szCs w:val="20"/>
                <w:lang w:val="en-IN" w:eastAsia="en-IN" w:bidi="hi-IN"/>
              </w:rPr>
            </w:pPr>
            <w:r w:rsidRPr="005F748A">
              <w:rPr>
                <w:rFonts w:ascii="Palatino Linotype" w:eastAsia="Times New Roman" w:hAnsi="Palatino Linotype" w:cs="Calibri"/>
                <w:i/>
                <w:iCs/>
                <w:sz w:val="20"/>
                <w:szCs w:val="20"/>
                <w:lang w:val="en-IN" w:eastAsia="en-IN" w:bidi="hi-IN"/>
              </w:rPr>
              <w:t>-45.9</w:t>
            </w:r>
          </w:p>
        </w:tc>
      </w:tr>
      <w:tr w:rsidR="00A963A6" w:rsidRPr="005F748A" w:rsidTr="00A963A6">
        <w:trPr>
          <w:trHeight w:val="336"/>
        </w:trPr>
        <w:tc>
          <w:tcPr>
            <w:tcW w:w="4418" w:type="dxa"/>
            <w:tcBorders>
              <w:top w:val="nil"/>
              <w:left w:val="single" w:sz="4" w:space="0" w:color="auto"/>
              <w:bottom w:val="single" w:sz="4" w:space="0" w:color="auto"/>
              <w:right w:val="single" w:sz="4" w:space="0" w:color="auto"/>
            </w:tcBorders>
            <w:shd w:val="clear" w:color="auto" w:fill="auto"/>
            <w:vAlign w:val="center"/>
            <w:hideMark/>
          </w:tcPr>
          <w:p w:rsidR="00A963A6" w:rsidRPr="005F748A" w:rsidRDefault="00A963A6" w:rsidP="003D4466">
            <w:pPr>
              <w:rPr>
                <w:rFonts w:ascii="Palatino Linotype" w:eastAsia="Times New Roman" w:hAnsi="Palatino Linotype" w:cs="Calibri"/>
                <w:b/>
                <w:bCs/>
                <w:color w:val="000000"/>
                <w:lang w:val="en-IN" w:eastAsia="en-IN" w:bidi="hi-IN"/>
              </w:rPr>
            </w:pPr>
            <w:r w:rsidRPr="005F748A">
              <w:rPr>
                <w:rFonts w:ascii="Palatino Linotype" w:eastAsia="Times New Roman" w:hAnsi="Palatino Linotype" w:cs="Calibri"/>
                <w:b/>
                <w:bCs/>
                <w:color w:val="000000"/>
                <w:lang w:val="en-IN" w:eastAsia="en-IN" w:bidi="hi-IN"/>
              </w:rPr>
              <w:t>NSE, of which</w:t>
            </w:r>
          </w:p>
        </w:tc>
        <w:tc>
          <w:tcPr>
            <w:tcW w:w="1418"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b/>
                <w:bCs/>
                <w:sz w:val="20"/>
                <w:szCs w:val="20"/>
                <w:lang w:val="en-IN" w:eastAsia="en-IN" w:bidi="hi-IN"/>
              </w:rPr>
            </w:pPr>
            <w:r w:rsidRPr="005F748A">
              <w:rPr>
                <w:rFonts w:ascii="Palatino Linotype" w:eastAsia="Times New Roman" w:hAnsi="Palatino Linotype" w:cs="Calibri"/>
                <w:b/>
                <w:bCs/>
                <w:sz w:val="20"/>
                <w:szCs w:val="20"/>
                <w:lang w:val="en-IN" w:eastAsia="en-IN" w:bidi="hi-IN"/>
              </w:rPr>
              <w:t>1,570</w:t>
            </w:r>
          </w:p>
        </w:tc>
        <w:tc>
          <w:tcPr>
            <w:tcW w:w="1276"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b/>
                <w:bCs/>
                <w:sz w:val="20"/>
                <w:szCs w:val="20"/>
                <w:lang w:val="en-IN" w:eastAsia="en-IN" w:bidi="hi-IN"/>
              </w:rPr>
            </w:pPr>
            <w:r w:rsidRPr="005F748A">
              <w:rPr>
                <w:rFonts w:ascii="Palatino Linotype" w:eastAsia="Times New Roman" w:hAnsi="Palatino Linotype" w:cs="Calibri"/>
                <w:b/>
                <w:bCs/>
                <w:sz w:val="20"/>
                <w:szCs w:val="20"/>
                <w:lang w:val="en-IN" w:eastAsia="en-IN" w:bidi="hi-IN"/>
              </w:rPr>
              <w:t>1,715</w:t>
            </w:r>
          </w:p>
        </w:tc>
        <w:tc>
          <w:tcPr>
            <w:tcW w:w="1417"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i/>
                <w:iCs/>
                <w:sz w:val="20"/>
                <w:szCs w:val="20"/>
                <w:lang w:val="en-IN" w:eastAsia="en-IN" w:bidi="hi-IN"/>
              </w:rPr>
            </w:pPr>
            <w:r w:rsidRPr="005F748A">
              <w:rPr>
                <w:rFonts w:ascii="Palatino Linotype" w:eastAsia="Times New Roman" w:hAnsi="Palatino Linotype" w:cs="Calibri"/>
                <w:i/>
                <w:iCs/>
                <w:sz w:val="20"/>
                <w:szCs w:val="20"/>
                <w:lang w:val="en-IN" w:eastAsia="en-IN" w:bidi="hi-IN"/>
              </w:rPr>
              <w:t>9.2</w:t>
            </w:r>
          </w:p>
        </w:tc>
      </w:tr>
      <w:tr w:rsidR="00A963A6" w:rsidRPr="005F748A" w:rsidTr="00A963A6">
        <w:trPr>
          <w:trHeight w:val="336"/>
        </w:trPr>
        <w:tc>
          <w:tcPr>
            <w:tcW w:w="4418" w:type="dxa"/>
            <w:tcBorders>
              <w:top w:val="nil"/>
              <w:left w:val="single" w:sz="4" w:space="0" w:color="auto"/>
              <w:bottom w:val="single" w:sz="4" w:space="0" w:color="auto"/>
              <w:right w:val="single" w:sz="4" w:space="0" w:color="auto"/>
            </w:tcBorders>
            <w:shd w:val="clear" w:color="auto" w:fill="auto"/>
            <w:vAlign w:val="center"/>
            <w:hideMark/>
          </w:tcPr>
          <w:p w:rsidR="00A963A6" w:rsidRPr="005F748A" w:rsidRDefault="00A963A6" w:rsidP="003D4466">
            <w:pPr>
              <w:rPr>
                <w:rFonts w:ascii="Palatino Linotype" w:eastAsia="Times New Roman" w:hAnsi="Palatino Linotype" w:cs="Calibri"/>
                <w:color w:val="000000"/>
                <w:lang w:val="en-IN" w:eastAsia="en-IN" w:bidi="hi-IN"/>
              </w:rPr>
            </w:pPr>
            <w:r w:rsidRPr="005F748A">
              <w:rPr>
                <w:rFonts w:ascii="Palatino Linotype" w:eastAsia="Times New Roman" w:hAnsi="Palatino Linotype" w:cs="Calibri"/>
                <w:color w:val="000000"/>
                <w:lang w:val="en-IN" w:eastAsia="en-IN" w:bidi="hi-IN"/>
              </w:rPr>
              <w:t xml:space="preserve">             Futures</w:t>
            </w:r>
          </w:p>
        </w:tc>
        <w:tc>
          <w:tcPr>
            <w:tcW w:w="1418"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sz w:val="20"/>
                <w:szCs w:val="20"/>
                <w:lang w:val="en-IN" w:eastAsia="en-IN" w:bidi="hi-IN"/>
              </w:rPr>
            </w:pPr>
            <w:r w:rsidRPr="005F748A">
              <w:rPr>
                <w:rFonts w:ascii="Palatino Linotype" w:eastAsia="Times New Roman" w:hAnsi="Palatino Linotype" w:cs="Calibri"/>
                <w:sz w:val="20"/>
                <w:szCs w:val="20"/>
                <w:lang w:val="en-IN" w:eastAsia="en-IN" w:bidi="hi-IN"/>
              </w:rPr>
              <w:t>676</w:t>
            </w:r>
          </w:p>
        </w:tc>
        <w:tc>
          <w:tcPr>
            <w:tcW w:w="1276"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sz w:val="20"/>
                <w:szCs w:val="20"/>
                <w:lang w:val="en-IN" w:eastAsia="en-IN" w:bidi="hi-IN"/>
              </w:rPr>
            </w:pPr>
            <w:r w:rsidRPr="005F748A">
              <w:rPr>
                <w:rFonts w:ascii="Palatino Linotype" w:eastAsia="Times New Roman" w:hAnsi="Palatino Linotype" w:cs="Calibri"/>
                <w:sz w:val="20"/>
                <w:szCs w:val="20"/>
                <w:lang w:val="en-IN" w:eastAsia="en-IN" w:bidi="hi-IN"/>
              </w:rPr>
              <w:t>254</w:t>
            </w:r>
          </w:p>
        </w:tc>
        <w:tc>
          <w:tcPr>
            <w:tcW w:w="1417"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i/>
                <w:iCs/>
                <w:sz w:val="20"/>
                <w:szCs w:val="20"/>
                <w:lang w:val="en-IN" w:eastAsia="en-IN" w:bidi="hi-IN"/>
              </w:rPr>
            </w:pPr>
            <w:r w:rsidRPr="005F748A">
              <w:rPr>
                <w:rFonts w:ascii="Palatino Linotype" w:eastAsia="Times New Roman" w:hAnsi="Palatino Linotype" w:cs="Calibri"/>
                <w:i/>
                <w:iCs/>
                <w:sz w:val="20"/>
                <w:szCs w:val="20"/>
                <w:lang w:val="en-IN" w:eastAsia="en-IN" w:bidi="hi-IN"/>
              </w:rPr>
              <w:t>-62.4</w:t>
            </w:r>
          </w:p>
        </w:tc>
      </w:tr>
      <w:tr w:rsidR="00A963A6" w:rsidRPr="005F748A" w:rsidTr="00A963A6">
        <w:trPr>
          <w:trHeight w:val="336"/>
        </w:trPr>
        <w:tc>
          <w:tcPr>
            <w:tcW w:w="4418" w:type="dxa"/>
            <w:tcBorders>
              <w:top w:val="nil"/>
              <w:left w:val="single" w:sz="4" w:space="0" w:color="auto"/>
              <w:bottom w:val="single" w:sz="4" w:space="0" w:color="auto"/>
              <w:right w:val="single" w:sz="4" w:space="0" w:color="auto"/>
            </w:tcBorders>
            <w:shd w:val="clear" w:color="auto" w:fill="auto"/>
            <w:vAlign w:val="center"/>
            <w:hideMark/>
          </w:tcPr>
          <w:p w:rsidR="00A963A6" w:rsidRPr="005F748A" w:rsidRDefault="00A963A6" w:rsidP="003D4466">
            <w:pPr>
              <w:rPr>
                <w:rFonts w:ascii="Palatino Linotype" w:eastAsia="Times New Roman" w:hAnsi="Palatino Linotype" w:cs="Calibri"/>
                <w:color w:val="000000"/>
                <w:lang w:val="en-IN" w:eastAsia="en-IN" w:bidi="hi-IN"/>
              </w:rPr>
            </w:pPr>
            <w:r w:rsidRPr="005F748A">
              <w:rPr>
                <w:rFonts w:ascii="Palatino Linotype" w:eastAsia="Times New Roman" w:hAnsi="Palatino Linotype" w:cs="Calibri"/>
                <w:color w:val="000000"/>
                <w:lang w:val="en-IN" w:eastAsia="en-IN" w:bidi="hi-IN"/>
              </w:rPr>
              <w:t xml:space="preserve">            Options</w:t>
            </w:r>
          </w:p>
        </w:tc>
        <w:tc>
          <w:tcPr>
            <w:tcW w:w="1418"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sz w:val="20"/>
                <w:szCs w:val="20"/>
                <w:lang w:val="en-IN" w:eastAsia="en-IN" w:bidi="hi-IN"/>
              </w:rPr>
            </w:pPr>
            <w:r w:rsidRPr="005F748A">
              <w:rPr>
                <w:rFonts w:ascii="Palatino Linotype" w:eastAsia="Times New Roman" w:hAnsi="Palatino Linotype" w:cs="Calibri"/>
                <w:sz w:val="20"/>
                <w:szCs w:val="20"/>
                <w:lang w:val="en-IN" w:eastAsia="en-IN" w:bidi="hi-IN"/>
              </w:rPr>
              <w:t>895</w:t>
            </w:r>
          </w:p>
        </w:tc>
        <w:tc>
          <w:tcPr>
            <w:tcW w:w="1276"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sz w:val="20"/>
                <w:szCs w:val="20"/>
                <w:lang w:val="en-IN" w:eastAsia="en-IN" w:bidi="hi-IN"/>
              </w:rPr>
            </w:pPr>
            <w:r w:rsidRPr="005F748A">
              <w:rPr>
                <w:rFonts w:ascii="Palatino Linotype" w:eastAsia="Times New Roman" w:hAnsi="Palatino Linotype" w:cs="Calibri"/>
                <w:sz w:val="20"/>
                <w:szCs w:val="20"/>
                <w:lang w:val="en-IN" w:eastAsia="en-IN" w:bidi="hi-IN"/>
              </w:rPr>
              <w:t>1,461</w:t>
            </w:r>
          </w:p>
        </w:tc>
        <w:tc>
          <w:tcPr>
            <w:tcW w:w="1417"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i/>
                <w:iCs/>
                <w:sz w:val="20"/>
                <w:szCs w:val="20"/>
                <w:lang w:val="en-IN" w:eastAsia="en-IN" w:bidi="hi-IN"/>
              </w:rPr>
            </w:pPr>
            <w:r w:rsidRPr="005F748A">
              <w:rPr>
                <w:rFonts w:ascii="Palatino Linotype" w:eastAsia="Times New Roman" w:hAnsi="Palatino Linotype" w:cs="Calibri"/>
                <w:i/>
                <w:iCs/>
                <w:sz w:val="20"/>
                <w:szCs w:val="20"/>
                <w:lang w:val="en-IN" w:eastAsia="en-IN" w:bidi="hi-IN"/>
              </w:rPr>
              <w:t>63.3</w:t>
            </w:r>
          </w:p>
        </w:tc>
      </w:tr>
      <w:tr w:rsidR="00A963A6" w:rsidRPr="005F748A" w:rsidTr="00A963A6">
        <w:trPr>
          <w:trHeight w:val="336"/>
        </w:trPr>
        <w:tc>
          <w:tcPr>
            <w:tcW w:w="4418" w:type="dxa"/>
            <w:tcBorders>
              <w:top w:val="nil"/>
              <w:left w:val="single" w:sz="4" w:space="0" w:color="auto"/>
              <w:bottom w:val="single" w:sz="4" w:space="0" w:color="auto"/>
              <w:right w:val="single" w:sz="4" w:space="0" w:color="auto"/>
            </w:tcBorders>
            <w:shd w:val="clear" w:color="auto" w:fill="auto"/>
            <w:vAlign w:val="center"/>
            <w:hideMark/>
          </w:tcPr>
          <w:p w:rsidR="00A963A6" w:rsidRPr="005F748A" w:rsidRDefault="00A963A6" w:rsidP="003D4466">
            <w:pPr>
              <w:rPr>
                <w:rFonts w:ascii="Palatino Linotype" w:eastAsia="Times New Roman" w:hAnsi="Palatino Linotype" w:cs="Calibri"/>
                <w:b/>
                <w:bCs/>
                <w:color w:val="000000"/>
                <w:lang w:val="en-IN" w:eastAsia="en-IN" w:bidi="hi-IN"/>
              </w:rPr>
            </w:pPr>
            <w:r w:rsidRPr="005F748A">
              <w:rPr>
                <w:rFonts w:ascii="Palatino Linotype" w:eastAsia="Times New Roman" w:hAnsi="Palatino Linotype" w:cs="Calibri"/>
                <w:b/>
                <w:bCs/>
                <w:color w:val="000000"/>
                <w:lang w:val="en-IN" w:eastAsia="en-IN" w:bidi="hi-IN"/>
              </w:rPr>
              <w:t>ICEX (Futures)</w:t>
            </w:r>
          </w:p>
        </w:tc>
        <w:tc>
          <w:tcPr>
            <w:tcW w:w="1418"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b/>
                <w:bCs/>
                <w:sz w:val="20"/>
                <w:szCs w:val="20"/>
                <w:lang w:val="en-IN" w:eastAsia="en-IN" w:bidi="hi-IN"/>
              </w:rPr>
            </w:pPr>
            <w:r w:rsidRPr="005F748A">
              <w:rPr>
                <w:rFonts w:ascii="Palatino Linotype" w:eastAsia="Times New Roman" w:hAnsi="Palatino Linotype" w:cs="Calibri"/>
                <w:b/>
                <w:bCs/>
                <w:sz w:val="20"/>
                <w:szCs w:val="20"/>
                <w:lang w:val="en-IN" w:eastAsia="en-IN" w:bidi="hi-IN"/>
              </w:rPr>
              <w:t>22</w:t>
            </w:r>
          </w:p>
        </w:tc>
        <w:tc>
          <w:tcPr>
            <w:tcW w:w="1276"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b/>
                <w:bCs/>
                <w:sz w:val="20"/>
                <w:szCs w:val="20"/>
                <w:lang w:val="en-IN" w:eastAsia="en-IN" w:bidi="hi-IN"/>
              </w:rPr>
            </w:pPr>
            <w:r w:rsidRPr="005F748A">
              <w:rPr>
                <w:rFonts w:ascii="Palatino Linotype" w:eastAsia="Times New Roman" w:hAnsi="Palatino Linotype" w:cs="Calibri"/>
                <w:b/>
                <w:bCs/>
                <w:sz w:val="20"/>
                <w:szCs w:val="20"/>
                <w:lang w:val="en-IN" w:eastAsia="en-IN" w:bidi="hi-IN"/>
              </w:rPr>
              <w:t>20</w:t>
            </w:r>
          </w:p>
        </w:tc>
        <w:tc>
          <w:tcPr>
            <w:tcW w:w="1417" w:type="dxa"/>
            <w:tcBorders>
              <w:top w:val="nil"/>
              <w:left w:val="nil"/>
              <w:bottom w:val="single" w:sz="4" w:space="0" w:color="auto"/>
              <w:right w:val="single" w:sz="4" w:space="0" w:color="auto"/>
            </w:tcBorders>
            <w:shd w:val="clear" w:color="auto" w:fill="auto"/>
            <w:noWrap/>
            <w:hideMark/>
          </w:tcPr>
          <w:p w:rsidR="00A963A6" w:rsidRPr="005F748A" w:rsidRDefault="00A963A6" w:rsidP="003D4466">
            <w:pPr>
              <w:jc w:val="right"/>
              <w:rPr>
                <w:rFonts w:ascii="Palatino Linotype" w:eastAsia="Times New Roman" w:hAnsi="Palatino Linotype" w:cs="Calibri"/>
                <w:i/>
                <w:iCs/>
                <w:sz w:val="20"/>
                <w:szCs w:val="20"/>
                <w:lang w:val="en-IN" w:eastAsia="en-IN" w:bidi="hi-IN"/>
              </w:rPr>
            </w:pPr>
            <w:r w:rsidRPr="005F748A">
              <w:rPr>
                <w:rFonts w:ascii="Palatino Linotype" w:eastAsia="Times New Roman" w:hAnsi="Palatino Linotype" w:cs="Calibri"/>
                <w:i/>
                <w:iCs/>
                <w:sz w:val="20"/>
                <w:szCs w:val="20"/>
                <w:lang w:val="en-IN" w:eastAsia="en-IN" w:bidi="hi-IN"/>
              </w:rPr>
              <w:t>-8.1</w:t>
            </w:r>
          </w:p>
        </w:tc>
      </w:tr>
    </w:tbl>
    <w:p w:rsidR="00523DB5" w:rsidRPr="00DF31BD" w:rsidRDefault="00523DB5" w:rsidP="00523DB5">
      <w:pPr>
        <w:jc w:val="both"/>
        <w:rPr>
          <w:rFonts w:ascii="Palatino Linotype" w:hAnsi="Palatino Linotype" w:cs="Arial"/>
          <w:b/>
          <w:bCs/>
          <w:sz w:val="18"/>
          <w:szCs w:val="18"/>
        </w:rPr>
      </w:pPr>
      <w:r w:rsidRPr="00DF31BD">
        <w:rPr>
          <w:rFonts w:ascii="Palatino Linotype" w:hAnsi="Palatino Linotype" w:cs="Arial"/>
          <w:b/>
          <w:bCs/>
          <w:sz w:val="18"/>
          <w:szCs w:val="18"/>
        </w:rPr>
        <w:t xml:space="preserve">Source: </w:t>
      </w:r>
      <w:r>
        <w:rPr>
          <w:rFonts w:ascii="Palatino Linotype" w:hAnsi="Palatino Linotype" w:cs="Arial"/>
          <w:b/>
          <w:bCs/>
          <w:sz w:val="18"/>
          <w:szCs w:val="18"/>
        </w:rPr>
        <w:t>MCX, BSE, NCDEX, NSE, ICEX</w:t>
      </w:r>
      <w:r w:rsidRPr="00DF31BD">
        <w:rPr>
          <w:rFonts w:ascii="Palatino Linotype" w:hAnsi="Palatino Linotype" w:cs="Arial"/>
          <w:b/>
          <w:bCs/>
          <w:sz w:val="18"/>
          <w:szCs w:val="18"/>
        </w:rPr>
        <w:t>.</w:t>
      </w:r>
    </w:p>
    <w:p w:rsidR="00523DB5" w:rsidRDefault="00523DB5" w:rsidP="00523DB5">
      <w:pPr>
        <w:jc w:val="both"/>
        <w:rPr>
          <w:rFonts w:ascii="Palatino Linotype" w:hAnsi="Palatino Linotype" w:cs="Arial"/>
          <w:b/>
          <w:bCs/>
          <w:sz w:val="18"/>
          <w:szCs w:val="18"/>
        </w:rPr>
      </w:pPr>
    </w:p>
    <w:p w:rsidR="00523DB5" w:rsidRPr="00DF31BD" w:rsidRDefault="00523DB5" w:rsidP="00523DB5">
      <w:pPr>
        <w:jc w:val="both"/>
        <w:rPr>
          <w:rFonts w:ascii="Palatino Linotype" w:hAnsi="Palatino Linotype" w:cs="Arial"/>
          <w:b/>
          <w:bCs/>
          <w:sz w:val="18"/>
          <w:szCs w:val="18"/>
        </w:rPr>
      </w:pPr>
    </w:p>
    <w:p w:rsidR="00523DB5" w:rsidRPr="00FF2B41" w:rsidRDefault="00523DB5" w:rsidP="00523DB5">
      <w:pPr>
        <w:pStyle w:val="ListParagraph"/>
        <w:numPr>
          <w:ilvl w:val="0"/>
          <w:numId w:val="11"/>
        </w:numPr>
        <w:tabs>
          <w:tab w:val="left" w:pos="567"/>
        </w:tabs>
        <w:spacing w:after="0" w:line="240" w:lineRule="auto"/>
        <w:ind w:left="0" w:firstLine="0"/>
        <w:jc w:val="both"/>
        <w:rPr>
          <w:rFonts w:ascii="Palatino Linotype" w:eastAsia="Times New Roman" w:hAnsi="Palatino Linotype"/>
          <w:b/>
          <w:color w:val="000000"/>
          <w:sz w:val="22"/>
          <w:szCs w:val="22"/>
        </w:rPr>
      </w:pPr>
      <w:r>
        <w:rPr>
          <w:rFonts w:ascii="Palatino Linotype" w:eastAsia="Times New Roman" w:hAnsi="Palatino Linotype"/>
          <w:b/>
          <w:color w:val="000000"/>
          <w:sz w:val="22"/>
          <w:szCs w:val="22"/>
        </w:rPr>
        <w:t xml:space="preserve">Commodity Derivatives </w:t>
      </w:r>
      <w:r w:rsidRPr="00FF2B41">
        <w:rPr>
          <w:rFonts w:ascii="Palatino Linotype" w:eastAsia="Times New Roman" w:hAnsi="Palatino Linotype"/>
          <w:b/>
          <w:color w:val="000000"/>
          <w:sz w:val="22"/>
          <w:szCs w:val="22"/>
        </w:rPr>
        <w:t>Turnover</w:t>
      </w:r>
    </w:p>
    <w:p w:rsidR="00523DB5" w:rsidRDefault="00523DB5" w:rsidP="00523DB5">
      <w:pPr>
        <w:pStyle w:val="ListParagraph"/>
        <w:numPr>
          <w:ilvl w:val="0"/>
          <w:numId w:val="12"/>
        </w:numPr>
        <w:spacing w:after="0" w:line="240" w:lineRule="auto"/>
        <w:ind w:left="567" w:hanging="526"/>
        <w:jc w:val="both"/>
        <w:rPr>
          <w:rFonts w:ascii="Palatino Linotype" w:eastAsia="Times New Roman" w:hAnsi="Palatino Linotype"/>
          <w:color w:val="000000"/>
          <w:sz w:val="22"/>
          <w:szCs w:val="22"/>
        </w:rPr>
      </w:pPr>
      <w:r w:rsidRPr="00785DA2">
        <w:rPr>
          <w:rFonts w:ascii="Palatino Linotype" w:eastAsia="Times New Roman" w:hAnsi="Palatino Linotype"/>
          <w:color w:val="000000"/>
          <w:sz w:val="22"/>
          <w:szCs w:val="22"/>
        </w:rPr>
        <w:t>During August 2021, pan- India turnover of commodity derivatives decreased by 1.2 per cent to ₹7.96 lakh crore from ₹8.05 lakh crore in the previous month</w:t>
      </w:r>
      <w:r>
        <w:rPr>
          <w:rFonts w:ascii="Palatino Linotype" w:eastAsia="Times New Roman" w:hAnsi="Palatino Linotype"/>
          <w:color w:val="000000"/>
          <w:sz w:val="22"/>
          <w:szCs w:val="22"/>
        </w:rPr>
        <w:t>.</w:t>
      </w:r>
    </w:p>
    <w:p w:rsidR="00523DB5" w:rsidRPr="00785DA2" w:rsidRDefault="00523DB5" w:rsidP="00523DB5">
      <w:pPr>
        <w:pStyle w:val="ListParagraph"/>
        <w:numPr>
          <w:ilvl w:val="0"/>
          <w:numId w:val="12"/>
        </w:numPr>
        <w:spacing w:after="0" w:line="240" w:lineRule="auto"/>
        <w:ind w:left="567" w:hanging="526"/>
        <w:jc w:val="both"/>
        <w:rPr>
          <w:rFonts w:ascii="Palatino Linotype" w:eastAsia="Times New Roman" w:hAnsi="Palatino Linotype"/>
          <w:color w:val="000000"/>
          <w:sz w:val="22"/>
          <w:szCs w:val="22"/>
        </w:rPr>
      </w:pPr>
      <w:r w:rsidRPr="00785DA2">
        <w:rPr>
          <w:rFonts w:ascii="Palatino Linotype" w:eastAsia="Times New Roman" w:hAnsi="Palatino Linotype"/>
          <w:color w:val="000000"/>
          <w:sz w:val="22"/>
          <w:szCs w:val="22"/>
        </w:rPr>
        <w:t>The percentage share of agri and non-agri segments in overall turnover accounted for 7.</w:t>
      </w:r>
      <w:r>
        <w:rPr>
          <w:rFonts w:ascii="Palatino Linotype" w:eastAsia="Times New Roman" w:hAnsi="Palatino Linotype"/>
          <w:color w:val="000000"/>
          <w:sz w:val="22"/>
          <w:szCs w:val="22"/>
        </w:rPr>
        <w:t>6</w:t>
      </w:r>
      <w:r w:rsidRPr="00785DA2">
        <w:rPr>
          <w:rFonts w:ascii="Palatino Linotype" w:eastAsia="Times New Roman" w:hAnsi="Palatino Linotype"/>
          <w:color w:val="000000"/>
          <w:sz w:val="22"/>
          <w:szCs w:val="22"/>
        </w:rPr>
        <w:t xml:space="preserve"> per cent and 92.</w:t>
      </w:r>
      <w:r>
        <w:rPr>
          <w:rFonts w:ascii="Palatino Linotype" w:eastAsia="Times New Roman" w:hAnsi="Palatino Linotype"/>
          <w:color w:val="000000"/>
          <w:sz w:val="22"/>
          <w:szCs w:val="22"/>
        </w:rPr>
        <w:t>4</w:t>
      </w:r>
      <w:r w:rsidRPr="00785DA2">
        <w:rPr>
          <w:rFonts w:ascii="Palatino Linotype" w:eastAsia="Times New Roman" w:hAnsi="Palatino Linotype"/>
          <w:color w:val="000000"/>
          <w:sz w:val="22"/>
          <w:szCs w:val="22"/>
        </w:rPr>
        <w:t xml:space="preserve"> per cent, respectively.  The turnover of agri. segment </w:t>
      </w:r>
      <w:r>
        <w:rPr>
          <w:rFonts w:ascii="Palatino Linotype" w:eastAsia="Times New Roman" w:hAnsi="Palatino Linotype"/>
          <w:color w:val="000000"/>
          <w:sz w:val="22"/>
          <w:szCs w:val="22"/>
        </w:rPr>
        <w:t xml:space="preserve">increased </w:t>
      </w:r>
      <w:r w:rsidRPr="00785DA2">
        <w:rPr>
          <w:rFonts w:ascii="Palatino Linotype" w:eastAsia="Times New Roman" w:hAnsi="Palatino Linotype"/>
          <w:color w:val="000000"/>
          <w:sz w:val="22"/>
          <w:szCs w:val="22"/>
        </w:rPr>
        <w:t xml:space="preserve">by </w:t>
      </w:r>
      <w:r>
        <w:rPr>
          <w:rFonts w:ascii="Palatino Linotype" w:eastAsia="Times New Roman" w:hAnsi="Palatino Linotype"/>
          <w:color w:val="000000"/>
          <w:sz w:val="22"/>
          <w:szCs w:val="22"/>
        </w:rPr>
        <w:t>5</w:t>
      </w:r>
      <w:r w:rsidRPr="00785DA2">
        <w:rPr>
          <w:rFonts w:ascii="Palatino Linotype" w:eastAsia="Times New Roman" w:hAnsi="Palatino Linotype"/>
          <w:color w:val="000000"/>
          <w:sz w:val="22"/>
          <w:szCs w:val="22"/>
        </w:rPr>
        <w:t>.</w:t>
      </w:r>
      <w:r>
        <w:rPr>
          <w:rFonts w:ascii="Palatino Linotype" w:eastAsia="Times New Roman" w:hAnsi="Palatino Linotype"/>
          <w:color w:val="000000"/>
          <w:sz w:val="22"/>
          <w:szCs w:val="22"/>
        </w:rPr>
        <w:t>1</w:t>
      </w:r>
      <w:r w:rsidRPr="00785DA2">
        <w:rPr>
          <w:rFonts w:ascii="Palatino Linotype" w:eastAsia="Times New Roman" w:hAnsi="Palatino Linotype"/>
          <w:color w:val="000000"/>
          <w:sz w:val="22"/>
          <w:szCs w:val="22"/>
        </w:rPr>
        <w:t xml:space="preserve"> per cent while that of non-agri segment </w:t>
      </w:r>
      <w:r>
        <w:rPr>
          <w:rFonts w:ascii="Palatino Linotype" w:eastAsia="Times New Roman" w:hAnsi="Palatino Linotype"/>
          <w:color w:val="000000"/>
          <w:sz w:val="22"/>
          <w:szCs w:val="22"/>
        </w:rPr>
        <w:t xml:space="preserve">decreased </w:t>
      </w:r>
      <w:r w:rsidRPr="00785DA2">
        <w:rPr>
          <w:rFonts w:ascii="Palatino Linotype" w:eastAsia="Times New Roman" w:hAnsi="Palatino Linotype"/>
          <w:color w:val="000000"/>
          <w:sz w:val="22"/>
          <w:szCs w:val="22"/>
        </w:rPr>
        <w:t xml:space="preserve">by </w:t>
      </w:r>
      <w:r>
        <w:rPr>
          <w:rFonts w:ascii="Palatino Linotype" w:eastAsia="Times New Roman" w:hAnsi="Palatino Linotype"/>
          <w:color w:val="000000"/>
          <w:sz w:val="22"/>
          <w:szCs w:val="22"/>
        </w:rPr>
        <w:t>1</w:t>
      </w:r>
      <w:r w:rsidRPr="00785DA2">
        <w:rPr>
          <w:rFonts w:ascii="Palatino Linotype" w:eastAsia="Times New Roman" w:hAnsi="Palatino Linotype"/>
          <w:color w:val="000000"/>
          <w:sz w:val="22"/>
          <w:szCs w:val="22"/>
        </w:rPr>
        <w:t>.</w:t>
      </w:r>
      <w:r>
        <w:rPr>
          <w:rFonts w:ascii="Palatino Linotype" w:eastAsia="Times New Roman" w:hAnsi="Palatino Linotype"/>
          <w:color w:val="000000"/>
          <w:sz w:val="22"/>
          <w:szCs w:val="22"/>
        </w:rPr>
        <w:t>6</w:t>
      </w:r>
      <w:r w:rsidRPr="00785DA2">
        <w:rPr>
          <w:rFonts w:ascii="Palatino Linotype" w:eastAsia="Times New Roman" w:hAnsi="Palatino Linotype"/>
          <w:color w:val="000000"/>
          <w:sz w:val="22"/>
          <w:szCs w:val="22"/>
        </w:rPr>
        <w:t xml:space="preserve"> per cent. </w:t>
      </w:r>
    </w:p>
    <w:p w:rsidR="00523DB5" w:rsidRDefault="00523DB5" w:rsidP="00523DB5">
      <w:pPr>
        <w:pStyle w:val="ListParagraph"/>
        <w:numPr>
          <w:ilvl w:val="0"/>
          <w:numId w:val="12"/>
        </w:numPr>
        <w:spacing w:after="0" w:line="240" w:lineRule="auto"/>
        <w:ind w:left="567" w:hanging="526"/>
        <w:jc w:val="both"/>
        <w:rPr>
          <w:rFonts w:ascii="Palatino Linotype" w:eastAsia="Times New Roman" w:hAnsi="Palatino Linotype"/>
          <w:color w:val="000000"/>
          <w:sz w:val="22"/>
          <w:szCs w:val="22"/>
        </w:rPr>
      </w:pPr>
      <w:r w:rsidRPr="00DB14E2">
        <w:rPr>
          <w:rFonts w:ascii="Palatino Linotype" w:eastAsia="Times New Roman" w:hAnsi="Palatino Linotype"/>
          <w:color w:val="000000"/>
          <w:sz w:val="22"/>
          <w:szCs w:val="22"/>
        </w:rPr>
        <w:t xml:space="preserve">The percentage share of futures and options contracts in overall turnover stood at </w:t>
      </w:r>
      <w:r>
        <w:rPr>
          <w:rFonts w:ascii="Palatino Linotype" w:eastAsia="Times New Roman" w:hAnsi="Palatino Linotype"/>
          <w:color w:val="000000"/>
          <w:sz w:val="22"/>
          <w:szCs w:val="22"/>
        </w:rPr>
        <w:t>74.8</w:t>
      </w:r>
      <w:r w:rsidRPr="00DB14E2">
        <w:rPr>
          <w:rFonts w:ascii="Palatino Linotype" w:eastAsia="Times New Roman" w:hAnsi="Palatino Linotype"/>
          <w:color w:val="000000"/>
          <w:sz w:val="22"/>
          <w:szCs w:val="22"/>
        </w:rPr>
        <w:t xml:space="preserve"> per cent and </w:t>
      </w:r>
      <w:r>
        <w:rPr>
          <w:rFonts w:ascii="Palatino Linotype" w:eastAsia="Times New Roman" w:hAnsi="Palatino Linotype"/>
          <w:color w:val="000000"/>
          <w:sz w:val="22"/>
          <w:szCs w:val="22"/>
        </w:rPr>
        <w:t>25.2</w:t>
      </w:r>
      <w:r w:rsidRPr="00DB14E2">
        <w:rPr>
          <w:rFonts w:ascii="Palatino Linotype" w:eastAsia="Times New Roman" w:hAnsi="Palatino Linotype"/>
          <w:color w:val="000000"/>
          <w:sz w:val="22"/>
          <w:szCs w:val="22"/>
        </w:rPr>
        <w:t xml:space="preserve"> per cent, respectively. </w:t>
      </w:r>
    </w:p>
    <w:p w:rsidR="00523DB5" w:rsidRPr="00DB14E2" w:rsidRDefault="00523DB5" w:rsidP="00523DB5">
      <w:pPr>
        <w:pStyle w:val="ListParagraph"/>
        <w:numPr>
          <w:ilvl w:val="0"/>
          <w:numId w:val="12"/>
        </w:numPr>
        <w:spacing w:after="0" w:line="240" w:lineRule="auto"/>
        <w:ind w:left="567" w:hanging="526"/>
        <w:jc w:val="both"/>
        <w:rPr>
          <w:rFonts w:ascii="Palatino Linotype" w:eastAsia="Times New Roman" w:hAnsi="Palatino Linotype"/>
          <w:color w:val="000000"/>
          <w:sz w:val="22"/>
          <w:szCs w:val="22"/>
        </w:rPr>
      </w:pPr>
      <w:r w:rsidRPr="00DB14E2">
        <w:rPr>
          <w:rFonts w:ascii="Palatino Linotype" w:eastAsia="Times New Roman" w:hAnsi="Palatino Linotype"/>
          <w:color w:val="000000"/>
          <w:sz w:val="22"/>
          <w:szCs w:val="22"/>
        </w:rPr>
        <w:t xml:space="preserve">The turnover of futures </w:t>
      </w:r>
      <w:r>
        <w:rPr>
          <w:rFonts w:ascii="Palatino Linotype" w:eastAsia="Times New Roman" w:hAnsi="Palatino Linotype"/>
          <w:color w:val="000000"/>
          <w:sz w:val="22"/>
          <w:szCs w:val="22"/>
        </w:rPr>
        <w:t>contracts decreased by 6.3 percent while that of options contract increased by 18.3 per cent over the previous month.</w:t>
      </w:r>
    </w:p>
    <w:p w:rsidR="00523DB5" w:rsidRDefault="00523DB5" w:rsidP="00523DB5">
      <w:pPr>
        <w:pStyle w:val="ListParagraph"/>
        <w:numPr>
          <w:ilvl w:val="0"/>
          <w:numId w:val="12"/>
        </w:numPr>
        <w:spacing w:after="0" w:line="240" w:lineRule="auto"/>
        <w:ind w:left="567" w:hanging="526"/>
        <w:jc w:val="both"/>
        <w:rPr>
          <w:rFonts w:ascii="Palatino Linotype" w:eastAsia="Times New Roman" w:hAnsi="Palatino Linotype"/>
          <w:color w:val="000000"/>
          <w:sz w:val="22"/>
          <w:szCs w:val="22"/>
        </w:rPr>
      </w:pPr>
      <w:r w:rsidRPr="00DB14E2">
        <w:rPr>
          <w:rFonts w:ascii="Palatino Linotype" w:eastAsia="Times New Roman" w:hAnsi="Palatino Linotype"/>
          <w:color w:val="000000"/>
          <w:sz w:val="22"/>
          <w:szCs w:val="22"/>
        </w:rPr>
        <w:t xml:space="preserve">The commodity derivatives turnover at </w:t>
      </w:r>
      <w:r>
        <w:rPr>
          <w:rFonts w:ascii="Palatino Linotype" w:eastAsia="Times New Roman" w:hAnsi="Palatino Linotype"/>
          <w:color w:val="000000"/>
          <w:sz w:val="22"/>
          <w:szCs w:val="22"/>
        </w:rPr>
        <w:t xml:space="preserve">NCDEX and NSE increased by 13.6 per cent and 9.2 per cent respectively, </w:t>
      </w:r>
      <w:r w:rsidRPr="00DB14E2">
        <w:rPr>
          <w:rFonts w:ascii="Palatino Linotype" w:eastAsia="Times New Roman" w:hAnsi="Palatino Linotype"/>
          <w:color w:val="000000"/>
          <w:sz w:val="22"/>
          <w:szCs w:val="22"/>
        </w:rPr>
        <w:t>ICEX</w:t>
      </w:r>
      <w:r>
        <w:rPr>
          <w:rFonts w:ascii="Palatino Linotype" w:eastAsia="Times New Roman" w:hAnsi="Palatino Linotype"/>
          <w:color w:val="000000"/>
          <w:sz w:val="22"/>
          <w:szCs w:val="22"/>
        </w:rPr>
        <w:t xml:space="preserve">, MCX and BSE recorded </w:t>
      </w:r>
      <w:r w:rsidRPr="00DB14E2">
        <w:rPr>
          <w:rFonts w:ascii="Palatino Linotype" w:eastAsia="Times New Roman" w:hAnsi="Palatino Linotype"/>
          <w:color w:val="000000"/>
          <w:sz w:val="22"/>
          <w:szCs w:val="22"/>
        </w:rPr>
        <w:t>decrease</w:t>
      </w:r>
      <w:r>
        <w:rPr>
          <w:rFonts w:ascii="Palatino Linotype" w:eastAsia="Times New Roman" w:hAnsi="Palatino Linotype"/>
          <w:color w:val="000000"/>
          <w:sz w:val="22"/>
          <w:szCs w:val="22"/>
        </w:rPr>
        <w:t xml:space="preserve"> in turnover by 8.1 per cent, 2.2 per cent and 0.6 per cent, respectively.  </w:t>
      </w:r>
    </w:p>
    <w:p w:rsidR="00523DB5" w:rsidRPr="00DB14E2" w:rsidRDefault="00523DB5" w:rsidP="00523DB5">
      <w:pPr>
        <w:pStyle w:val="ListParagraph"/>
        <w:numPr>
          <w:ilvl w:val="0"/>
          <w:numId w:val="12"/>
        </w:numPr>
        <w:spacing w:after="0" w:line="240" w:lineRule="auto"/>
        <w:ind w:left="567" w:hanging="526"/>
        <w:jc w:val="both"/>
        <w:rPr>
          <w:rFonts w:ascii="Palatino Linotype" w:eastAsia="Times New Roman" w:hAnsi="Palatino Linotype"/>
          <w:color w:val="000000"/>
          <w:sz w:val="22"/>
          <w:szCs w:val="22"/>
        </w:rPr>
      </w:pPr>
      <w:r w:rsidRPr="00DB14E2">
        <w:rPr>
          <w:rFonts w:ascii="Palatino Linotype" w:eastAsia="Times New Roman" w:hAnsi="Palatino Linotype"/>
          <w:color w:val="000000"/>
          <w:sz w:val="22"/>
          <w:szCs w:val="22"/>
        </w:rPr>
        <w:t>In terms of percentage share</w:t>
      </w:r>
      <w:r>
        <w:rPr>
          <w:rFonts w:ascii="Palatino Linotype" w:eastAsia="Times New Roman" w:hAnsi="Palatino Linotype"/>
          <w:color w:val="000000"/>
          <w:sz w:val="22"/>
          <w:szCs w:val="22"/>
        </w:rPr>
        <w:t xml:space="preserve"> of commodity derivatives turnover among exchanges</w:t>
      </w:r>
      <w:r w:rsidRPr="00DB14E2">
        <w:rPr>
          <w:rFonts w:ascii="Palatino Linotype" w:eastAsia="Times New Roman" w:hAnsi="Palatino Linotype"/>
          <w:color w:val="000000"/>
          <w:sz w:val="22"/>
          <w:szCs w:val="22"/>
        </w:rPr>
        <w:t>, the MCX has the highest market share of 8</w:t>
      </w:r>
      <w:r>
        <w:rPr>
          <w:rFonts w:ascii="Palatino Linotype" w:eastAsia="Times New Roman" w:hAnsi="Palatino Linotype"/>
          <w:color w:val="000000"/>
          <w:sz w:val="22"/>
          <w:szCs w:val="22"/>
        </w:rPr>
        <w:t>4</w:t>
      </w:r>
      <w:r w:rsidRPr="00DB14E2">
        <w:rPr>
          <w:rFonts w:ascii="Palatino Linotype" w:eastAsia="Times New Roman" w:hAnsi="Palatino Linotype"/>
          <w:color w:val="000000"/>
          <w:sz w:val="22"/>
          <w:szCs w:val="22"/>
        </w:rPr>
        <w:t>.</w:t>
      </w:r>
      <w:r>
        <w:rPr>
          <w:rFonts w:ascii="Palatino Linotype" w:eastAsia="Times New Roman" w:hAnsi="Palatino Linotype"/>
          <w:color w:val="000000"/>
          <w:sz w:val="22"/>
          <w:szCs w:val="22"/>
        </w:rPr>
        <w:t>7</w:t>
      </w:r>
      <w:r w:rsidRPr="00DB14E2">
        <w:rPr>
          <w:rFonts w:ascii="Palatino Linotype" w:eastAsia="Times New Roman" w:hAnsi="Palatino Linotype"/>
          <w:color w:val="000000"/>
          <w:sz w:val="22"/>
          <w:szCs w:val="22"/>
        </w:rPr>
        <w:t xml:space="preserve"> per cent</w:t>
      </w:r>
      <w:r>
        <w:rPr>
          <w:rFonts w:ascii="Palatino Linotype" w:eastAsia="Times New Roman" w:hAnsi="Palatino Linotype"/>
          <w:color w:val="000000"/>
          <w:sz w:val="22"/>
          <w:szCs w:val="22"/>
        </w:rPr>
        <w:t xml:space="preserve">, followed BSE (8.7 per cent), NCDEX (6.5 per cent), NSE (0.2 per cent) and </w:t>
      </w:r>
      <w:r w:rsidRPr="00DB14E2">
        <w:rPr>
          <w:rFonts w:ascii="Palatino Linotype" w:eastAsia="Times New Roman" w:hAnsi="Palatino Linotype"/>
          <w:color w:val="000000"/>
          <w:sz w:val="22"/>
          <w:szCs w:val="22"/>
        </w:rPr>
        <w:t>ICEX (0.0</w:t>
      </w:r>
      <w:r>
        <w:rPr>
          <w:rFonts w:ascii="Palatino Linotype" w:eastAsia="Times New Roman" w:hAnsi="Palatino Linotype"/>
          <w:color w:val="000000"/>
          <w:sz w:val="22"/>
          <w:szCs w:val="22"/>
        </w:rPr>
        <w:t>03</w:t>
      </w:r>
      <w:r w:rsidRPr="00DB14E2">
        <w:rPr>
          <w:rFonts w:ascii="Palatino Linotype" w:eastAsia="Times New Roman" w:hAnsi="Palatino Linotype"/>
          <w:color w:val="000000"/>
          <w:sz w:val="22"/>
          <w:szCs w:val="22"/>
        </w:rPr>
        <w:t xml:space="preserve"> per cent).</w:t>
      </w:r>
    </w:p>
    <w:p w:rsidR="00523DB5" w:rsidRPr="00DB14E2" w:rsidRDefault="00523DB5" w:rsidP="00523DB5">
      <w:pPr>
        <w:pStyle w:val="ListParagraph"/>
        <w:numPr>
          <w:ilvl w:val="0"/>
          <w:numId w:val="12"/>
        </w:numPr>
        <w:spacing w:after="0" w:line="240" w:lineRule="auto"/>
        <w:ind w:left="567" w:hanging="526"/>
        <w:jc w:val="both"/>
        <w:rPr>
          <w:rFonts w:ascii="Palatino Linotype" w:eastAsia="Times New Roman" w:hAnsi="Palatino Linotype"/>
          <w:color w:val="000000"/>
          <w:sz w:val="22"/>
          <w:szCs w:val="22"/>
        </w:rPr>
      </w:pPr>
      <w:r w:rsidRPr="00DB14E2">
        <w:rPr>
          <w:rFonts w:ascii="Palatino Linotype" w:eastAsia="Times New Roman" w:hAnsi="Palatino Linotype"/>
          <w:color w:val="000000"/>
          <w:sz w:val="22"/>
          <w:szCs w:val="22"/>
        </w:rPr>
        <w:t xml:space="preserve">The turnover at MCX </w:t>
      </w:r>
      <w:r>
        <w:rPr>
          <w:rFonts w:ascii="Palatino Linotype" w:eastAsia="Times New Roman" w:hAnsi="Palatino Linotype"/>
          <w:color w:val="000000"/>
          <w:sz w:val="22"/>
          <w:szCs w:val="22"/>
        </w:rPr>
        <w:t xml:space="preserve">decreased by 2.2 </w:t>
      </w:r>
      <w:r w:rsidRPr="00DB14E2">
        <w:rPr>
          <w:rFonts w:ascii="Palatino Linotype" w:eastAsia="Times New Roman" w:hAnsi="Palatino Linotype"/>
          <w:color w:val="000000"/>
          <w:sz w:val="22"/>
          <w:szCs w:val="22"/>
        </w:rPr>
        <w:t>per cent to ₹ 6,</w:t>
      </w:r>
      <w:r>
        <w:rPr>
          <w:rFonts w:ascii="Palatino Linotype" w:eastAsia="Times New Roman" w:hAnsi="Palatino Linotype"/>
          <w:color w:val="000000"/>
          <w:sz w:val="22"/>
          <w:szCs w:val="22"/>
        </w:rPr>
        <w:t>73</w:t>
      </w:r>
      <w:r w:rsidRPr="00DB14E2">
        <w:rPr>
          <w:rFonts w:ascii="Palatino Linotype" w:eastAsia="Times New Roman" w:hAnsi="Palatino Linotype"/>
          <w:color w:val="000000"/>
          <w:sz w:val="22"/>
          <w:szCs w:val="22"/>
        </w:rPr>
        <w:t>,</w:t>
      </w:r>
      <w:r>
        <w:rPr>
          <w:rFonts w:ascii="Palatino Linotype" w:eastAsia="Times New Roman" w:hAnsi="Palatino Linotype"/>
          <w:color w:val="000000"/>
          <w:sz w:val="22"/>
          <w:szCs w:val="22"/>
        </w:rPr>
        <w:t xml:space="preserve">705 </w:t>
      </w:r>
      <w:r w:rsidRPr="00DB14E2">
        <w:rPr>
          <w:rFonts w:ascii="Palatino Linotype" w:eastAsia="Times New Roman" w:hAnsi="Palatino Linotype"/>
          <w:color w:val="000000"/>
          <w:sz w:val="22"/>
          <w:szCs w:val="22"/>
        </w:rPr>
        <w:t xml:space="preserve"> crore during the month.  This </w:t>
      </w:r>
      <w:r>
        <w:rPr>
          <w:rFonts w:ascii="Palatino Linotype" w:eastAsia="Times New Roman" w:hAnsi="Palatino Linotype"/>
          <w:color w:val="000000"/>
          <w:sz w:val="22"/>
          <w:szCs w:val="22"/>
        </w:rPr>
        <w:t xml:space="preserve">downtrend </w:t>
      </w:r>
      <w:r w:rsidRPr="00DB14E2">
        <w:rPr>
          <w:rFonts w:ascii="Palatino Linotype" w:eastAsia="Times New Roman" w:hAnsi="Palatino Linotype"/>
          <w:color w:val="000000"/>
          <w:sz w:val="22"/>
          <w:szCs w:val="22"/>
        </w:rPr>
        <w:t xml:space="preserve">was driven by </w:t>
      </w:r>
      <w:r>
        <w:rPr>
          <w:rFonts w:ascii="Palatino Linotype" w:eastAsia="Times New Roman" w:hAnsi="Palatino Linotype"/>
          <w:color w:val="000000"/>
          <w:sz w:val="22"/>
          <w:szCs w:val="22"/>
        </w:rPr>
        <w:t xml:space="preserve">7.5 </w:t>
      </w:r>
      <w:r w:rsidRPr="00DB14E2">
        <w:rPr>
          <w:rFonts w:ascii="Palatino Linotype" w:eastAsia="Times New Roman" w:hAnsi="Palatino Linotype"/>
          <w:color w:val="000000"/>
          <w:sz w:val="22"/>
          <w:szCs w:val="22"/>
        </w:rPr>
        <w:t xml:space="preserve"> per cent </w:t>
      </w:r>
      <w:r>
        <w:rPr>
          <w:rFonts w:ascii="Palatino Linotype" w:eastAsia="Times New Roman" w:hAnsi="Palatino Linotype"/>
          <w:color w:val="000000"/>
          <w:sz w:val="22"/>
          <w:szCs w:val="22"/>
        </w:rPr>
        <w:t xml:space="preserve">decrease in turnover of futures contracts, though the </w:t>
      </w:r>
      <w:r w:rsidRPr="00DB14E2">
        <w:rPr>
          <w:rFonts w:ascii="Palatino Linotype" w:eastAsia="Times New Roman" w:hAnsi="Palatino Linotype"/>
          <w:color w:val="000000"/>
          <w:sz w:val="22"/>
          <w:szCs w:val="22"/>
        </w:rPr>
        <w:t xml:space="preserve">notional turnover of options contracts </w:t>
      </w:r>
      <w:r>
        <w:rPr>
          <w:rFonts w:ascii="Palatino Linotype" w:eastAsia="Times New Roman" w:hAnsi="Palatino Linotype"/>
          <w:color w:val="000000"/>
          <w:sz w:val="22"/>
          <w:szCs w:val="22"/>
        </w:rPr>
        <w:t xml:space="preserve">increased (31.1 per cent) to </w:t>
      </w:r>
      <w:r w:rsidRPr="00DB14E2">
        <w:rPr>
          <w:rFonts w:ascii="Palatino Linotype" w:eastAsia="Times New Roman" w:hAnsi="Palatino Linotype"/>
          <w:color w:val="000000"/>
          <w:sz w:val="22"/>
          <w:szCs w:val="22"/>
        </w:rPr>
        <w:t>₹</w:t>
      </w:r>
      <w:r>
        <w:rPr>
          <w:rFonts w:ascii="Palatino Linotype" w:eastAsia="Times New Roman" w:hAnsi="Palatino Linotype"/>
          <w:color w:val="000000"/>
          <w:sz w:val="22"/>
          <w:szCs w:val="22"/>
        </w:rPr>
        <w:t xml:space="preserve">1.3 lakh </w:t>
      </w:r>
      <w:r w:rsidRPr="00DB14E2">
        <w:rPr>
          <w:rFonts w:ascii="Palatino Linotype" w:eastAsia="Times New Roman" w:hAnsi="Palatino Linotype"/>
          <w:color w:val="000000"/>
          <w:sz w:val="22"/>
          <w:szCs w:val="22"/>
        </w:rPr>
        <w:t xml:space="preserve">crore.  </w:t>
      </w:r>
    </w:p>
    <w:p w:rsidR="00523DB5" w:rsidRPr="00DB14E2" w:rsidRDefault="00523DB5" w:rsidP="00523DB5">
      <w:pPr>
        <w:pStyle w:val="ListParagraph"/>
        <w:numPr>
          <w:ilvl w:val="0"/>
          <w:numId w:val="12"/>
        </w:numPr>
        <w:spacing w:after="0" w:line="240" w:lineRule="auto"/>
        <w:ind w:left="567" w:hanging="526"/>
        <w:jc w:val="both"/>
        <w:rPr>
          <w:rFonts w:ascii="Palatino Linotype" w:eastAsia="Times New Roman" w:hAnsi="Palatino Linotype"/>
          <w:color w:val="000000"/>
          <w:sz w:val="22"/>
          <w:szCs w:val="22"/>
        </w:rPr>
      </w:pPr>
      <w:r w:rsidRPr="00DB14E2">
        <w:rPr>
          <w:rFonts w:ascii="Palatino Linotype" w:eastAsia="Times New Roman" w:hAnsi="Palatino Linotype"/>
          <w:color w:val="000000"/>
          <w:sz w:val="22"/>
          <w:szCs w:val="22"/>
        </w:rPr>
        <w:t xml:space="preserve">The futures and options contracts contributed </w:t>
      </w:r>
      <w:r>
        <w:rPr>
          <w:rFonts w:ascii="Palatino Linotype" w:eastAsia="Times New Roman" w:hAnsi="Palatino Linotype"/>
          <w:color w:val="000000"/>
          <w:sz w:val="22"/>
          <w:szCs w:val="22"/>
        </w:rPr>
        <w:t xml:space="preserve">80.7 </w:t>
      </w:r>
      <w:r w:rsidRPr="00DB14E2">
        <w:rPr>
          <w:rFonts w:ascii="Palatino Linotype" w:eastAsia="Times New Roman" w:hAnsi="Palatino Linotype"/>
          <w:color w:val="000000"/>
          <w:sz w:val="22"/>
          <w:szCs w:val="22"/>
        </w:rPr>
        <w:t xml:space="preserve">per cent and </w:t>
      </w:r>
      <w:r>
        <w:rPr>
          <w:rFonts w:ascii="Palatino Linotype" w:eastAsia="Times New Roman" w:hAnsi="Palatino Linotype"/>
          <w:color w:val="000000"/>
          <w:sz w:val="22"/>
          <w:szCs w:val="22"/>
        </w:rPr>
        <w:t xml:space="preserve">19.3 </w:t>
      </w:r>
      <w:r w:rsidRPr="00DB14E2">
        <w:rPr>
          <w:rFonts w:ascii="Palatino Linotype" w:eastAsia="Times New Roman" w:hAnsi="Palatino Linotype"/>
          <w:color w:val="000000"/>
          <w:sz w:val="22"/>
          <w:szCs w:val="22"/>
        </w:rPr>
        <w:t>per cent</w:t>
      </w:r>
      <w:r>
        <w:rPr>
          <w:rFonts w:ascii="Palatino Linotype" w:eastAsia="Times New Roman" w:hAnsi="Palatino Linotype"/>
          <w:color w:val="000000"/>
          <w:sz w:val="22"/>
          <w:szCs w:val="22"/>
        </w:rPr>
        <w:t xml:space="preserve">, respectively </w:t>
      </w:r>
      <w:r w:rsidRPr="00DB14E2">
        <w:rPr>
          <w:rFonts w:ascii="Palatino Linotype" w:eastAsia="Times New Roman" w:hAnsi="Palatino Linotype"/>
          <w:color w:val="000000"/>
          <w:sz w:val="22"/>
          <w:szCs w:val="22"/>
        </w:rPr>
        <w:t>to the total turnover at MCX.</w:t>
      </w:r>
    </w:p>
    <w:p w:rsidR="00523DB5" w:rsidRPr="00B41BDD" w:rsidRDefault="00523DB5" w:rsidP="00523DB5">
      <w:pPr>
        <w:pStyle w:val="ListParagraph"/>
        <w:numPr>
          <w:ilvl w:val="0"/>
          <w:numId w:val="12"/>
        </w:numPr>
        <w:spacing w:after="0" w:line="240" w:lineRule="auto"/>
        <w:ind w:left="567" w:hanging="526"/>
        <w:jc w:val="both"/>
        <w:rPr>
          <w:rFonts w:ascii="Palatino Linotype" w:eastAsia="Times New Roman" w:hAnsi="Palatino Linotype"/>
          <w:color w:val="000000"/>
          <w:sz w:val="22"/>
          <w:szCs w:val="22"/>
        </w:rPr>
      </w:pPr>
      <w:r w:rsidRPr="00B41BDD">
        <w:rPr>
          <w:rFonts w:ascii="Palatino Linotype" w:eastAsia="Times New Roman" w:hAnsi="Palatino Linotype"/>
          <w:color w:val="000000"/>
          <w:sz w:val="22"/>
          <w:szCs w:val="22"/>
        </w:rPr>
        <w:t xml:space="preserve">The turnover of futures contracts in all segments, including index futures at MCX decreased during the month.  The turnover agri futures decreased the most by 24.8 per cent followed by Base metals (15.2 per cent), index futures (7.5 per cent), bullion (6.0 per cent) and energy futures (4.2 per cent). </w:t>
      </w:r>
    </w:p>
    <w:p w:rsidR="00523DB5" w:rsidRPr="00B41BDD" w:rsidRDefault="00523DB5" w:rsidP="00523DB5">
      <w:pPr>
        <w:pStyle w:val="ListParagraph"/>
        <w:numPr>
          <w:ilvl w:val="0"/>
          <w:numId w:val="12"/>
        </w:numPr>
        <w:spacing w:after="0" w:line="240" w:lineRule="auto"/>
        <w:ind w:left="567" w:hanging="526"/>
        <w:jc w:val="both"/>
        <w:rPr>
          <w:rFonts w:ascii="Palatino Linotype" w:eastAsia="Times New Roman" w:hAnsi="Palatino Linotype"/>
          <w:color w:val="000000"/>
          <w:sz w:val="22"/>
          <w:szCs w:val="22"/>
        </w:rPr>
      </w:pPr>
      <w:r w:rsidRPr="00B41BDD">
        <w:rPr>
          <w:rFonts w:ascii="Palatino Linotype" w:eastAsia="Times New Roman" w:hAnsi="Palatino Linotype"/>
          <w:color w:val="000000"/>
          <w:sz w:val="22"/>
          <w:szCs w:val="22"/>
        </w:rPr>
        <w:t xml:space="preserve">The turnover of options contracts in energy segment increased by 44.2 per cent what that of bullion segment decreased by 21.9 per cent.  </w:t>
      </w:r>
    </w:p>
    <w:p w:rsidR="00523DB5" w:rsidRPr="00DB14E2" w:rsidRDefault="00523DB5" w:rsidP="00523DB5">
      <w:pPr>
        <w:pStyle w:val="ListParagraph"/>
        <w:numPr>
          <w:ilvl w:val="0"/>
          <w:numId w:val="12"/>
        </w:numPr>
        <w:spacing w:after="0" w:line="240" w:lineRule="auto"/>
        <w:ind w:left="567" w:hanging="526"/>
        <w:jc w:val="both"/>
        <w:rPr>
          <w:rFonts w:ascii="Palatino Linotype" w:eastAsia="Times New Roman" w:hAnsi="Palatino Linotype"/>
          <w:color w:val="000000"/>
          <w:sz w:val="22"/>
          <w:szCs w:val="22"/>
        </w:rPr>
      </w:pPr>
      <w:r w:rsidRPr="00121293">
        <w:rPr>
          <w:rFonts w:ascii="Palatino Linotype" w:eastAsia="Times New Roman" w:hAnsi="Palatino Linotype"/>
          <w:sz w:val="22"/>
          <w:szCs w:val="22"/>
        </w:rPr>
        <w:t xml:space="preserve">During August 2021, the total turnover at BSE decreased by 0.6  per cent to ₹68,612  crore, on account of decrease in the </w:t>
      </w:r>
      <w:r w:rsidRPr="00B41BDD">
        <w:rPr>
          <w:rFonts w:ascii="Palatino Linotype" w:eastAsia="Times New Roman" w:hAnsi="Palatino Linotype"/>
          <w:color w:val="000000"/>
          <w:sz w:val="22"/>
          <w:szCs w:val="22"/>
        </w:rPr>
        <w:t>turnover of options contracts on bullion.  The options contracts on gold mini accounted for 99.6 per cent</w:t>
      </w:r>
      <w:r w:rsidRPr="00DB14E2">
        <w:rPr>
          <w:rFonts w:ascii="Palatino Linotype" w:eastAsia="Times New Roman" w:hAnsi="Palatino Linotype"/>
          <w:color w:val="000000"/>
          <w:sz w:val="22"/>
          <w:szCs w:val="22"/>
        </w:rPr>
        <w:t xml:space="preserve"> of the total turnover in commodity derivatives contracts at BSE. </w:t>
      </w:r>
    </w:p>
    <w:p w:rsidR="00523DB5" w:rsidRPr="00B41BDD" w:rsidRDefault="00523DB5" w:rsidP="00523DB5">
      <w:pPr>
        <w:pStyle w:val="ListParagraph"/>
        <w:numPr>
          <w:ilvl w:val="0"/>
          <w:numId w:val="12"/>
        </w:numPr>
        <w:spacing w:after="0" w:line="240" w:lineRule="auto"/>
        <w:ind w:left="567" w:hanging="526"/>
        <w:jc w:val="both"/>
        <w:rPr>
          <w:rFonts w:ascii="Palatino Linotype" w:hAnsi="Palatino Linotype" w:cs="Arial"/>
          <w:bCs/>
        </w:rPr>
      </w:pPr>
      <w:r w:rsidRPr="00DB14E2">
        <w:rPr>
          <w:rFonts w:ascii="Palatino Linotype" w:eastAsia="Times New Roman" w:hAnsi="Palatino Linotype"/>
          <w:color w:val="000000"/>
          <w:sz w:val="22"/>
          <w:szCs w:val="22"/>
        </w:rPr>
        <w:t xml:space="preserve">During the month, the total turnover at NCDEX increased by </w:t>
      </w:r>
      <w:r>
        <w:rPr>
          <w:rFonts w:ascii="Palatino Linotype" w:eastAsia="Times New Roman" w:hAnsi="Palatino Linotype"/>
          <w:color w:val="000000"/>
          <w:sz w:val="22"/>
          <w:szCs w:val="22"/>
        </w:rPr>
        <w:t xml:space="preserve">13.6 </w:t>
      </w:r>
      <w:r w:rsidRPr="00DB14E2">
        <w:rPr>
          <w:rFonts w:ascii="Palatino Linotype" w:eastAsia="Times New Roman" w:hAnsi="Palatino Linotype"/>
          <w:color w:val="000000"/>
          <w:sz w:val="22"/>
          <w:szCs w:val="22"/>
        </w:rPr>
        <w:t xml:space="preserve"> per cent to ₹5</w:t>
      </w:r>
      <w:r>
        <w:rPr>
          <w:rFonts w:ascii="Palatino Linotype" w:eastAsia="Times New Roman" w:hAnsi="Palatino Linotype"/>
          <w:color w:val="000000"/>
          <w:sz w:val="22"/>
          <w:szCs w:val="22"/>
        </w:rPr>
        <w:t>1</w:t>
      </w:r>
      <w:r w:rsidRPr="00DB14E2">
        <w:rPr>
          <w:rFonts w:ascii="Palatino Linotype" w:eastAsia="Times New Roman" w:hAnsi="Palatino Linotype"/>
          <w:color w:val="000000"/>
          <w:sz w:val="22"/>
          <w:szCs w:val="22"/>
        </w:rPr>
        <w:t>,</w:t>
      </w:r>
      <w:r>
        <w:rPr>
          <w:rFonts w:ascii="Palatino Linotype" w:eastAsia="Times New Roman" w:hAnsi="Palatino Linotype"/>
          <w:color w:val="000000"/>
          <w:sz w:val="22"/>
          <w:szCs w:val="22"/>
        </w:rPr>
        <w:t>332</w:t>
      </w:r>
      <w:r w:rsidRPr="00DB14E2">
        <w:rPr>
          <w:rFonts w:ascii="Palatino Linotype" w:eastAsia="Times New Roman" w:hAnsi="Palatino Linotype"/>
          <w:color w:val="000000"/>
          <w:sz w:val="22"/>
          <w:szCs w:val="22"/>
        </w:rPr>
        <w:t xml:space="preserve"> crore from ₹4</w:t>
      </w:r>
      <w:r>
        <w:rPr>
          <w:rFonts w:ascii="Palatino Linotype" w:eastAsia="Times New Roman" w:hAnsi="Palatino Linotype"/>
          <w:color w:val="000000"/>
          <w:sz w:val="22"/>
          <w:szCs w:val="22"/>
        </w:rPr>
        <w:t>5</w:t>
      </w:r>
      <w:r w:rsidRPr="00DB14E2">
        <w:rPr>
          <w:rFonts w:ascii="Palatino Linotype" w:eastAsia="Times New Roman" w:hAnsi="Palatino Linotype"/>
          <w:color w:val="000000"/>
          <w:sz w:val="22"/>
          <w:szCs w:val="22"/>
        </w:rPr>
        <w:t>,</w:t>
      </w:r>
      <w:r>
        <w:rPr>
          <w:rFonts w:ascii="Palatino Linotype" w:eastAsia="Times New Roman" w:hAnsi="Palatino Linotype"/>
          <w:color w:val="000000"/>
          <w:sz w:val="22"/>
          <w:szCs w:val="22"/>
        </w:rPr>
        <w:t>179</w:t>
      </w:r>
      <w:r w:rsidRPr="00DB14E2">
        <w:rPr>
          <w:rFonts w:ascii="Palatino Linotype" w:eastAsia="Times New Roman" w:hAnsi="Palatino Linotype"/>
          <w:color w:val="000000"/>
          <w:sz w:val="22"/>
          <w:szCs w:val="22"/>
        </w:rPr>
        <w:t xml:space="preserve"> crore in the previous month.  This is on account of increase in turnover of </w:t>
      </w:r>
      <w:r>
        <w:rPr>
          <w:rFonts w:ascii="Palatino Linotype" w:eastAsia="Times New Roman" w:hAnsi="Palatino Linotype"/>
          <w:color w:val="000000"/>
          <w:sz w:val="22"/>
          <w:szCs w:val="22"/>
        </w:rPr>
        <w:t>Guar Seed and Guar Gum  which together accounted for 33.7 percent of the total turnover.</w:t>
      </w:r>
      <w:r w:rsidRPr="00DB14E2">
        <w:rPr>
          <w:rFonts w:ascii="Palatino Linotype" w:eastAsia="Times New Roman" w:hAnsi="Palatino Linotype"/>
          <w:color w:val="000000"/>
          <w:sz w:val="22"/>
          <w:szCs w:val="22"/>
        </w:rPr>
        <w:t xml:space="preserve"> </w:t>
      </w:r>
    </w:p>
    <w:p w:rsidR="00523DB5" w:rsidRPr="00B41BDD" w:rsidRDefault="00523DB5" w:rsidP="00523DB5">
      <w:pPr>
        <w:pStyle w:val="ListParagraph"/>
        <w:numPr>
          <w:ilvl w:val="0"/>
          <w:numId w:val="12"/>
        </w:numPr>
        <w:spacing w:after="0" w:line="240" w:lineRule="auto"/>
        <w:ind w:left="567" w:hanging="526"/>
        <w:jc w:val="both"/>
        <w:rPr>
          <w:rFonts w:ascii="Palatino Linotype" w:hAnsi="Palatino Linotype" w:cs="Arial"/>
          <w:bCs/>
        </w:rPr>
      </w:pPr>
      <w:r w:rsidRPr="00DB14E2">
        <w:rPr>
          <w:rFonts w:ascii="Palatino Linotype" w:eastAsia="Times New Roman" w:hAnsi="Palatino Linotype"/>
          <w:color w:val="000000"/>
          <w:sz w:val="22"/>
          <w:szCs w:val="22"/>
        </w:rPr>
        <w:t xml:space="preserve">The turnover in Agridex futures index increased from </w:t>
      </w:r>
      <w:r w:rsidRPr="00DB14E2">
        <w:rPr>
          <w:rFonts w:ascii="Times New Roman" w:eastAsia="Times New Roman" w:hAnsi="Times New Roman"/>
          <w:color w:val="000000"/>
          <w:sz w:val="22"/>
          <w:szCs w:val="22"/>
        </w:rPr>
        <w:t>₹</w:t>
      </w:r>
      <w:r>
        <w:rPr>
          <w:rFonts w:ascii="Times New Roman" w:eastAsia="Times New Roman" w:hAnsi="Times New Roman"/>
          <w:color w:val="000000"/>
          <w:sz w:val="22"/>
          <w:szCs w:val="22"/>
        </w:rPr>
        <w:t>12</w:t>
      </w:r>
      <w:r w:rsidRPr="00DB14E2">
        <w:rPr>
          <w:rFonts w:ascii="Palatino Linotype" w:eastAsia="Times New Roman" w:hAnsi="Palatino Linotype"/>
          <w:color w:val="000000"/>
          <w:sz w:val="22"/>
          <w:szCs w:val="22"/>
        </w:rPr>
        <w:t>.</w:t>
      </w:r>
      <w:r>
        <w:rPr>
          <w:rFonts w:ascii="Palatino Linotype" w:eastAsia="Times New Roman" w:hAnsi="Palatino Linotype"/>
          <w:color w:val="000000"/>
          <w:sz w:val="22"/>
          <w:szCs w:val="22"/>
        </w:rPr>
        <w:t>2</w:t>
      </w:r>
      <w:r w:rsidRPr="00DB14E2">
        <w:rPr>
          <w:rFonts w:ascii="Palatino Linotype" w:eastAsia="Times New Roman" w:hAnsi="Palatino Linotype"/>
          <w:color w:val="000000"/>
          <w:sz w:val="22"/>
          <w:szCs w:val="22"/>
        </w:rPr>
        <w:t xml:space="preserve"> crore in Ju</w:t>
      </w:r>
      <w:r>
        <w:rPr>
          <w:rFonts w:ascii="Palatino Linotype" w:eastAsia="Times New Roman" w:hAnsi="Palatino Linotype"/>
          <w:color w:val="000000"/>
          <w:sz w:val="22"/>
          <w:szCs w:val="22"/>
        </w:rPr>
        <w:t xml:space="preserve">ly </w:t>
      </w:r>
      <w:r w:rsidRPr="00DB14E2">
        <w:rPr>
          <w:rFonts w:ascii="Palatino Linotype" w:eastAsia="Times New Roman" w:hAnsi="Palatino Linotype"/>
          <w:color w:val="000000"/>
          <w:sz w:val="22"/>
          <w:szCs w:val="22"/>
        </w:rPr>
        <w:t xml:space="preserve">2021 to </w:t>
      </w:r>
      <w:r w:rsidRPr="00DB14E2">
        <w:rPr>
          <w:rFonts w:ascii="Times New Roman" w:eastAsia="Times New Roman" w:hAnsi="Times New Roman"/>
          <w:color w:val="000000"/>
          <w:sz w:val="22"/>
          <w:szCs w:val="22"/>
        </w:rPr>
        <w:t>₹</w:t>
      </w:r>
      <w:r>
        <w:rPr>
          <w:rFonts w:ascii="Times New Roman" w:eastAsia="Times New Roman" w:hAnsi="Times New Roman"/>
          <w:color w:val="000000"/>
          <w:sz w:val="22"/>
          <w:szCs w:val="22"/>
        </w:rPr>
        <w:t xml:space="preserve">102.7 </w:t>
      </w:r>
      <w:r w:rsidRPr="00DB14E2">
        <w:rPr>
          <w:rFonts w:ascii="Palatino Linotype" w:eastAsia="Times New Roman" w:hAnsi="Palatino Linotype"/>
          <w:color w:val="000000"/>
          <w:sz w:val="22"/>
          <w:szCs w:val="22"/>
        </w:rPr>
        <w:t xml:space="preserve">crore in </w:t>
      </w:r>
      <w:r>
        <w:rPr>
          <w:rFonts w:ascii="Palatino Linotype" w:eastAsia="Times New Roman" w:hAnsi="Palatino Linotype"/>
          <w:color w:val="000000"/>
          <w:sz w:val="22"/>
          <w:szCs w:val="22"/>
        </w:rPr>
        <w:t xml:space="preserve">August </w:t>
      </w:r>
      <w:r w:rsidRPr="00DB14E2">
        <w:rPr>
          <w:rFonts w:ascii="Palatino Linotype" w:eastAsia="Times New Roman" w:hAnsi="Palatino Linotype"/>
          <w:color w:val="000000"/>
          <w:sz w:val="22"/>
          <w:szCs w:val="22"/>
        </w:rPr>
        <w:t xml:space="preserve">2021. </w:t>
      </w:r>
    </w:p>
    <w:p w:rsidR="00523DB5" w:rsidRPr="00A963A6" w:rsidRDefault="00523DB5" w:rsidP="00523DB5">
      <w:pPr>
        <w:pStyle w:val="ListParagraph"/>
        <w:numPr>
          <w:ilvl w:val="0"/>
          <w:numId w:val="12"/>
        </w:numPr>
        <w:spacing w:after="0" w:line="240" w:lineRule="auto"/>
        <w:ind w:left="567" w:hanging="526"/>
        <w:jc w:val="both"/>
        <w:rPr>
          <w:rFonts w:ascii="Palatino Linotype" w:eastAsia="Times New Roman" w:hAnsi="Palatino Linotype"/>
          <w:color w:val="000000"/>
          <w:sz w:val="22"/>
          <w:szCs w:val="22"/>
        </w:rPr>
      </w:pPr>
      <w:r>
        <w:rPr>
          <w:rFonts w:ascii="Palatino Linotype" w:eastAsia="Times New Roman" w:hAnsi="Palatino Linotype"/>
          <w:color w:val="000000"/>
          <w:sz w:val="22"/>
          <w:szCs w:val="22"/>
        </w:rPr>
        <w:t xml:space="preserve">At NCDEX, </w:t>
      </w:r>
      <w:r w:rsidRPr="00DB14E2">
        <w:rPr>
          <w:rFonts w:ascii="Palatino Linotype" w:eastAsia="Times New Roman" w:hAnsi="Palatino Linotype"/>
          <w:color w:val="000000"/>
          <w:sz w:val="22"/>
          <w:szCs w:val="22"/>
        </w:rPr>
        <w:t xml:space="preserve">steel long </w:t>
      </w:r>
      <w:r>
        <w:rPr>
          <w:rFonts w:ascii="Palatino Linotype" w:eastAsia="Times New Roman" w:hAnsi="Palatino Linotype"/>
          <w:color w:val="000000"/>
          <w:sz w:val="22"/>
          <w:szCs w:val="22"/>
        </w:rPr>
        <w:t xml:space="preserve">is the only commodity traded in </w:t>
      </w:r>
      <w:r w:rsidRPr="00DB14E2">
        <w:rPr>
          <w:rFonts w:ascii="Palatino Linotype" w:eastAsia="Times New Roman" w:hAnsi="Palatino Linotype"/>
          <w:color w:val="000000"/>
          <w:sz w:val="22"/>
          <w:szCs w:val="22"/>
        </w:rPr>
        <w:t>non-agri. segment</w:t>
      </w:r>
      <w:r>
        <w:rPr>
          <w:rFonts w:ascii="Palatino Linotype" w:eastAsia="Times New Roman" w:hAnsi="Palatino Linotype"/>
          <w:color w:val="000000"/>
          <w:sz w:val="22"/>
          <w:szCs w:val="22"/>
        </w:rPr>
        <w:t xml:space="preserve">, which recorded turnover of </w:t>
      </w:r>
      <w:r w:rsidRPr="00A963A6">
        <w:rPr>
          <w:rFonts w:ascii="Times New Roman" w:eastAsia="Times New Roman" w:hAnsi="Times New Roman"/>
          <w:color w:val="000000"/>
          <w:sz w:val="22"/>
          <w:szCs w:val="22"/>
        </w:rPr>
        <w:t>₹</w:t>
      </w:r>
      <w:r w:rsidRPr="00A963A6">
        <w:rPr>
          <w:rFonts w:ascii="Palatino Linotype" w:eastAsia="Times New Roman" w:hAnsi="Palatino Linotype"/>
          <w:color w:val="000000"/>
          <w:sz w:val="22"/>
          <w:szCs w:val="22"/>
        </w:rPr>
        <w:t xml:space="preserve">17.5 crore during </w:t>
      </w:r>
      <w:r>
        <w:rPr>
          <w:rFonts w:ascii="Palatino Linotype" w:eastAsia="Times New Roman" w:hAnsi="Palatino Linotype"/>
          <w:color w:val="000000"/>
          <w:sz w:val="22"/>
          <w:szCs w:val="22"/>
        </w:rPr>
        <w:t xml:space="preserve">August. </w:t>
      </w:r>
    </w:p>
    <w:p w:rsidR="00523DB5" w:rsidRPr="00A963A6" w:rsidRDefault="00523DB5" w:rsidP="00523DB5">
      <w:pPr>
        <w:pStyle w:val="ListParagraph"/>
        <w:numPr>
          <w:ilvl w:val="0"/>
          <w:numId w:val="12"/>
        </w:numPr>
        <w:spacing w:after="0" w:line="240" w:lineRule="auto"/>
        <w:ind w:left="567" w:hanging="526"/>
        <w:jc w:val="both"/>
        <w:rPr>
          <w:rFonts w:ascii="Palatino Linotype" w:eastAsia="Times New Roman" w:hAnsi="Palatino Linotype"/>
          <w:color w:val="000000"/>
          <w:sz w:val="22"/>
          <w:szCs w:val="22"/>
        </w:rPr>
      </w:pPr>
      <w:r w:rsidRPr="00A963A6">
        <w:rPr>
          <w:rFonts w:ascii="Palatino Linotype" w:eastAsia="Times New Roman" w:hAnsi="Palatino Linotype"/>
          <w:color w:val="000000"/>
          <w:sz w:val="22"/>
          <w:szCs w:val="22"/>
        </w:rPr>
        <w:t xml:space="preserve">The total turnover at NSE increased marginally by 0.2 per cent to </w:t>
      </w:r>
      <w:r w:rsidRPr="00A963A6">
        <w:rPr>
          <w:rFonts w:ascii="Times New Roman" w:eastAsia="Times New Roman" w:hAnsi="Times New Roman"/>
          <w:color w:val="000000"/>
          <w:sz w:val="22"/>
          <w:szCs w:val="22"/>
        </w:rPr>
        <w:t>₹</w:t>
      </w:r>
      <w:r w:rsidRPr="00A963A6">
        <w:rPr>
          <w:rFonts w:ascii="Palatino Linotype" w:eastAsia="Times New Roman" w:hAnsi="Palatino Linotype"/>
          <w:color w:val="000000"/>
          <w:sz w:val="22"/>
          <w:szCs w:val="22"/>
        </w:rPr>
        <w:t xml:space="preserve">1,715 crore in August 2021.  </w:t>
      </w:r>
    </w:p>
    <w:p w:rsidR="00523DB5" w:rsidRPr="00A963A6" w:rsidRDefault="00523DB5" w:rsidP="00523DB5">
      <w:pPr>
        <w:pStyle w:val="ListParagraph"/>
        <w:numPr>
          <w:ilvl w:val="0"/>
          <w:numId w:val="12"/>
        </w:numPr>
        <w:spacing w:after="0" w:line="240" w:lineRule="auto"/>
        <w:ind w:left="567" w:hanging="526"/>
        <w:jc w:val="both"/>
        <w:rPr>
          <w:rFonts w:ascii="Palatino Linotype" w:eastAsia="Times New Roman" w:hAnsi="Palatino Linotype"/>
          <w:color w:val="000000"/>
          <w:sz w:val="22"/>
          <w:szCs w:val="22"/>
        </w:rPr>
      </w:pPr>
      <w:r w:rsidRPr="00A963A6">
        <w:rPr>
          <w:rFonts w:ascii="Palatino Linotype" w:eastAsia="Times New Roman" w:hAnsi="Palatino Linotype"/>
          <w:color w:val="000000"/>
          <w:sz w:val="22"/>
          <w:szCs w:val="22"/>
        </w:rPr>
        <w:t xml:space="preserve">At NSE, the options of gold mini contracts contributed 85.2 per cent to the total turnover while futures of crude degummed soybean  contributed 14.7 per cent to the total turnover. </w:t>
      </w:r>
    </w:p>
    <w:p w:rsidR="00523DB5" w:rsidRPr="00A963A6" w:rsidRDefault="00523DB5" w:rsidP="00523DB5">
      <w:pPr>
        <w:pStyle w:val="ListParagraph"/>
        <w:numPr>
          <w:ilvl w:val="0"/>
          <w:numId w:val="12"/>
        </w:numPr>
        <w:spacing w:after="0" w:line="240" w:lineRule="auto"/>
        <w:ind w:left="567" w:hanging="526"/>
        <w:jc w:val="both"/>
        <w:rPr>
          <w:rFonts w:ascii="Palatino Linotype" w:eastAsia="Times New Roman" w:hAnsi="Palatino Linotype"/>
          <w:color w:val="000000"/>
          <w:sz w:val="22"/>
          <w:szCs w:val="22"/>
        </w:rPr>
      </w:pPr>
      <w:r w:rsidRPr="00A963A6">
        <w:rPr>
          <w:rFonts w:ascii="Palatino Linotype" w:eastAsia="Times New Roman" w:hAnsi="Palatino Linotype"/>
          <w:color w:val="000000"/>
          <w:sz w:val="22"/>
          <w:szCs w:val="22"/>
        </w:rPr>
        <w:t xml:space="preserve">The total turnover at ICEX decreased by 8.1  per cent to </w:t>
      </w:r>
      <w:r w:rsidRPr="00A963A6">
        <w:rPr>
          <w:rFonts w:ascii="Times New Roman" w:eastAsia="Times New Roman" w:hAnsi="Times New Roman"/>
          <w:color w:val="000000"/>
          <w:sz w:val="22"/>
          <w:szCs w:val="22"/>
        </w:rPr>
        <w:t>₹</w:t>
      </w:r>
      <w:r w:rsidRPr="00A963A6">
        <w:rPr>
          <w:rFonts w:ascii="Palatino Linotype" w:eastAsia="Times New Roman" w:hAnsi="Palatino Linotype"/>
          <w:color w:val="000000"/>
          <w:sz w:val="22"/>
          <w:szCs w:val="22"/>
        </w:rPr>
        <w:t xml:space="preserve">20.3 crore. The only contracts of steel long and rubber futures traded at the exchange, which recorded turnover of </w:t>
      </w:r>
      <w:r w:rsidR="00A4117D" w:rsidRPr="00A963A6">
        <w:rPr>
          <w:rFonts w:ascii="Times New Roman" w:eastAsia="Times New Roman" w:hAnsi="Times New Roman"/>
          <w:color w:val="000000"/>
          <w:sz w:val="22"/>
          <w:szCs w:val="22"/>
        </w:rPr>
        <w:t>₹</w:t>
      </w:r>
      <w:r w:rsidRPr="00A963A6">
        <w:rPr>
          <w:rFonts w:ascii="Palatino Linotype" w:eastAsia="Times New Roman" w:hAnsi="Palatino Linotype"/>
          <w:color w:val="000000"/>
          <w:sz w:val="22"/>
          <w:szCs w:val="22"/>
        </w:rPr>
        <w:t xml:space="preserve">17.7 crore and </w:t>
      </w:r>
      <w:r w:rsidR="00A4117D" w:rsidRPr="00A963A6">
        <w:rPr>
          <w:rFonts w:ascii="Times New Roman" w:eastAsia="Times New Roman" w:hAnsi="Times New Roman"/>
          <w:color w:val="000000"/>
          <w:sz w:val="22"/>
          <w:szCs w:val="22"/>
        </w:rPr>
        <w:t>₹</w:t>
      </w:r>
      <w:r w:rsidRPr="00A963A6">
        <w:rPr>
          <w:rFonts w:ascii="Palatino Linotype" w:eastAsia="Times New Roman" w:hAnsi="Palatino Linotype"/>
          <w:color w:val="000000"/>
          <w:sz w:val="22"/>
          <w:szCs w:val="22"/>
        </w:rPr>
        <w:t xml:space="preserve">2.6 crore respectively. </w:t>
      </w:r>
    </w:p>
    <w:p w:rsidR="00523DB5" w:rsidRPr="00A963A6" w:rsidRDefault="00523DB5" w:rsidP="003D4466">
      <w:pPr>
        <w:pStyle w:val="ListParagraph"/>
        <w:numPr>
          <w:ilvl w:val="0"/>
          <w:numId w:val="12"/>
        </w:numPr>
        <w:spacing w:after="0" w:line="240" w:lineRule="auto"/>
        <w:ind w:left="567" w:hanging="526"/>
        <w:jc w:val="both"/>
        <w:rPr>
          <w:rFonts w:ascii="Palatino Linotype" w:eastAsia="Times New Roman" w:hAnsi="Palatino Linotype"/>
          <w:color w:val="000000"/>
          <w:sz w:val="22"/>
          <w:szCs w:val="22"/>
        </w:rPr>
      </w:pPr>
      <w:r w:rsidRPr="00A963A6">
        <w:rPr>
          <w:rFonts w:ascii="Palatino Linotype" w:eastAsia="Times New Roman" w:hAnsi="Palatino Linotype"/>
          <w:color w:val="000000"/>
          <w:sz w:val="22"/>
          <w:szCs w:val="22"/>
        </w:rPr>
        <w:t xml:space="preserve">The trends in turnover of agricultural and non-agricultural commodities at exchanges is shown in Figures 15, 16 and 17 and the details are given in </w:t>
      </w:r>
      <w:r w:rsidRPr="00E5493C">
        <w:rPr>
          <w:rFonts w:ascii="Palatino Linotype" w:eastAsia="Times New Roman" w:hAnsi="Palatino Linotype"/>
          <w:color w:val="000000"/>
          <w:sz w:val="22"/>
          <w:szCs w:val="22"/>
        </w:rPr>
        <w:t>Tables</w:t>
      </w:r>
      <w:r w:rsidRPr="00A963A6">
        <w:rPr>
          <w:rFonts w:ascii="Palatino Linotype" w:eastAsia="Times New Roman" w:hAnsi="Palatino Linotype"/>
          <w:color w:val="000000"/>
          <w:sz w:val="22"/>
          <w:szCs w:val="22"/>
        </w:rPr>
        <w:t xml:space="preserve"> 65 to 69.</w:t>
      </w:r>
    </w:p>
    <w:p w:rsidR="00523DB5" w:rsidRDefault="00523DB5" w:rsidP="00523DB5">
      <w:pPr>
        <w:pStyle w:val="ListParagraph"/>
        <w:spacing w:after="0" w:line="240" w:lineRule="auto"/>
        <w:jc w:val="center"/>
        <w:rPr>
          <w:rFonts w:ascii="Palatino Linotype" w:hAnsi="Palatino Linotype" w:cs="Arial"/>
          <w:b/>
          <w:bCs/>
          <w:sz w:val="22"/>
          <w:szCs w:val="22"/>
        </w:rPr>
      </w:pPr>
    </w:p>
    <w:p w:rsidR="00523DB5" w:rsidRPr="009803F8" w:rsidRDefault="00523DB5" w:rsidP="00523DB5">
      <w:pPr>
        <w:pStyle w:val="ListParagraph"/>
        <w:spacing w:after="0" w:line="240" w:lineRule="auto"/>
        <w:jc w:val="center"/>
        <w:rPr>
          <w:rFonts w:ascii="Palatino Linotype" w:hAnsi="Palatino Linotype" w:cs="Arial"/>
          <w:b/>
          <w:bCs/>
          <w:sz w:val="22"/>
          <w:szCs w:val="22"/>
        </w:rPr>
      </w:pPr>
      <w:r>
        <w:rPr>
          <w:rFonts w:ascii="Palatino Linotype" w:hAnsi="Palatino Linotype" w:cs="Arial"/>
          <w:b/>
          <w:bCs/>
        </w:rPr>
        <w:br w:type="page"/>
      </w:r>
      <w:r>
        <w:rPr>
          <w:noProof/>
          <w:lang w:val="en-IN" w:eastAsia="en-IN" w:bidi="hi-IN"/>
        </w:rPr>
        <w:drawing>
          <wp:anchor distT="12192" distB="15748" distL="126492" distR="123317" simplePos="0" relativeHeight="251660288" behindDoc="0" locked="0" layoutInCell="1" allowOverlap="1" wp14:anchorId="746E90D1" wp14:editId="1BBDABB9">
            <wp:simplePos x="0" y="0"/>
            <wp:positionH relativeFrom="column">
              <wp:posOffset>-254</wp:posOffset>
            </wp:positionH>
            <wp:positionV relativeFrom="paragraph">
              <wp:posOffset>399796</wp:posOffset>
            </wp:positionV>
            <wp:extent cx="5730875" cy="3216910"/>
            <wp:effectExtent l="0" t="0" r="3175" b="2540"/>
            <wp:wrapTopAndBottom/>
            <wp:docPr id="11" name="Chart 1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page">
              <wp14:pctWidth>0</wp14:pctWidth>
            </wp14:sizeRelH>
            <wp14:sizeRelV relativeFrom="page">
              <wp14:pctHeight>0</wp14:pctHeight>
            </wp14:sizeRelV>
          </wp:anchor>
        </w:drawing>
      </w:r>
      <w:r w:rsidRPr="009803F8">
        <w:rPr>
          <w:rFonts w:ascii="Palatino Linotype" w:hAnsi="Palatino Linotype" w:cs="Arial"/>
          <w:b/>
          <w:bCs/>
          <w:sz w:val="22"/>
          <w:szCs w:val="22"/>
        </w:rPr>
        <w:t xml:space="preserve">Figure 15: Trends in Turnover of Agricultural Commodity Derivatives </w:t>
      </w:r>
    </w:p>
    <w:p w:rsidR="00523DB5" w:rsidRPr="009803F8" w:rsidRDefault="00523DB5" w:rsidP="00523DB5">
      <w:pPr>
        <w:pStyle w:val="ListParagraph"/>
        <w:spacing w:after="0" w:line="240" w:lineRule="auto"/>
        <w:ind w:left="0"/>
        <w:jc w:val="center"/>
        <w:rPr>
          <w:rFonts w:ascii="Palatino Linotype" w:hAnsi="Palatino Linotype" w:cs="Arial"/>
          <w:b/>
          <w:bCs/>
          <w:sz w:val="22"/>
          <w:szCs w:val="22"/>
        </w:rPr>
      </w:pPr>
    </w:p>
    <w:p w:rsidR="00523DB5" w:rsidRPr="009803F8" w:rsidRDefault="00523DB5" w:rsidP="00523DB5">
      <w:pPr>
        <w:rPr>
          <w:rFonts w:ascii="Palatino Linotype" w:hAnsi="Palatino Linotype"/>
          <w:b/>
          <w:color w:val="0D0D0D"/>
          <w:sz w:val="18"/>
          <w:szCs w:val="18"/>
        </w:rPr>
      </w:pPr>
      <w:r w:rsidRPr="009803F8">
        <w:rPr>
          <w:rFonts w:ascii="Palatino Linotype" w:hAnsi="Palatino Linotype"/>
          <w:b/>
          <w:color w:val="0D0D0D"/>
          <w:sz w:val="18"/>
          <w:szCs w:val="18"/>
        </w:rPr>
        <w:t>Source: MCX, NCDEX, NSE, BSE &amp; ICEX</w:t>
      </w:r>
    </w:p>
    <w:p w:rsidR="00523DB5" w:rsidRDefault="00523DB5" w:rsidP="00523DB5">
      <w:pPr>
        <w:pStyle w:val="ListParagraph"/>
        <w:spacing w:after="0" w:line="240" w:lineRule="auto"/>
        <w:ind w:left="426" w:hanging="862"/>
        <w:jc w:val="center"/>
        <w:rPr>
          <w:rFonts w:ascii="Palatino Linotype" w:hAnsi="Palatino Linotype"/>
          <w:b/>
          <w:sz w:val="22"/>
          <w:szCs w:val="22"/>
        </w:rPr>
      </w:pPr>
    </w:p>
    <w:p w:rsidR="00523DB5" w:rsidRDefault="00523DB5" w:rsidP="00523DB5">
      <w:pPr>
        <w:pStyle w:val="ListParagraph"/>
        <w:spacing w:after="0" w:line="240" w:lineRule="auto"/>
        <w:ind w:left="426" w:hanging="862"/>
        <w:jc w:val="center"/>
        <w:rPr>
          <w:rFonts w:ascii="Palatino Linotype" w:hAnsi="Palatino Linotype"/>
          <w:b/>
          <w:sz w:val="22"/>
          <w:szCs w:val="22"/>
        </w:rPr>
      </w:pPr>
    </w:p>
    <w:p w:rsidR="00523DB5" w:rsidRPr="009803F8" w:rsidRDefault="00523DB5" w:rsidP="00523DB5">
      <w:pPr>
        <w:pStyle w:val="ListParagraph"/>
        <w:spacing w:after="0" w:line="240" w:lineRule="auto"/>
        <w:ind w:left="426" w:hanging="862"/>
        <w:jc w:val="center"/>
        <w:rPr>
          <w:rFonts w:ascii="Palatino Linotype" w:hAnsi="Palatino Linotype"/>
          <w:b/>
          <w:sz w:val="22"/>
          <w:szCs w:val="22"/>
        </w:rPr>
      </w:pPr>
      <w:r>
        <w:rPr>
          <w:noProof/>
          <w:lang w:val="en-IN" w:eastAsia="en-IN" w:bidi="hi-IN"/>
        </w:rPr>
        <w:drawing>
          <wp:anchor distT="11574" distB="6396" distL="126492" distR="127508" simplePos="0" relativeHeight="251659264" behindDoc="0" locked="0" layoutInCell="1" allowOverlap="1" wp14:anchorId="50B6A340" wp14:editId="3BB2D482">
            <wp:simplePos x="0" y="0"/>
            <wp:positionH relativeFrom="column">
              <wp:posOffset>-96139</wp:posOffset>
            </wp:positionH>
            <wp:positionV relativeFrom="paragraph">
              <wp:posOffset>281051</wp:posOffset>
            </wp:positionV>
            <wp:extent cx="5656580" cy="3404235"/>
            <wp:effectExtent l="0" t="0" r="1270" b="5715"/>
            <wp:wrapTopAndBottom/>
            <wp:docPr id="10" name="Chart 1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page">
              <wp14:pctWidth>0</wp14:pctWidth>
            </wp14:sizeRelH>
            <wp14:sizeRelV relativeFrom="page">
              <wp14:pctHeight>0</wp14:pctHeight>
            </wp14:sizeRelV>
          </wp:anchor>
        </w:drawing>
      </w:r>
      <w:r w:rsidRPr="009803F8">
        <w:rPr>
          <w:rFonts w:ascii="Palatino Linotype" w:hAnsi="Palatino Linotype"/>
          <w:b/>
          <w:sz w:val="22"/>
          <w:szCs w:val="22"/>
        </w:rPr>
        <w:t xml:space="preserve">Figure 16: Trends in Turnover of Non-Agricultural Futures contracts </w:t>
      </w:r>
    </w:p>
    <w:p w:rsidR="00523DB5" w:rsidRPr="009803F8" w:rsidRDefault="00523DB5" w:rsidP="00523DB5">
      <w:pPr>
        <w:pStyle w:val="ListParagraph"/>
        <w:spacing w:after="0" w:line="240" w:lineRule="auto"/>
        <w:ind w:left="426" w:hanging="862"/>
        <w:jc w:val="center"/>
        <w:rPr>
          <w:rFonts w:ascii="Palatino Linotype" w:hAnsi="Palatino Linotype"/>
          <w:b/>
          <w:sz w:val="22"/>
          <w:szCs w:val="22"/>
        </w:rPr>
      </w:pPr>
    </w:p>
    <w:p w:rsidR="00523DB5" w:rsidRPr="009803F8" w:rsidRDefault="00523DB5" w:rsidP="00523DB5">
      <w:pPr>
        <w:spacing w:line="259" w:lineRule="auto"/>
        <w:rPr>
          <w:rFonts w:ascii="Palatino Linotype" w:hAnsi="Palatino Linotype" w:cs="Arial"/>
          <w:bCs/>
        </w:rPr>
      </w:pPr>
      <w:r w:rsidRPr="009803F8">
        <w:rPr>
          <w:rFonts w:ascii="Palatino Linotype" w:hAnsi="Palatino Linotype"/>
          <w:b/>
          <w:color w:val="0D0D0D"/>
          <w:sz w:val="18"/>
          <w:szCs w:val="18"/>
        </w:rPr>
        <w:t>Source: MCX, NCDEX, NSE, BSE &amp; ICEX.</w:t>
      </w:r>
      <w:r w:rsidRPr="009803F8">
        <w:rPr>
          <w:rFonts w:ascii="Palatino Linotype" w:hAnsi="Palatino Linotype" w:cs="Arial"/>
          <w:bCs/>
        </w:rPr>
        <w:t xml:space="preserve"> </w:t>
      </w:r>
    </w:p>
    <w:p w:rsidR="00523DB5" w:rsidRPr="009803F8" w:rsidRDefault="00523DB5" w:rsidP="00523DB5">
      <w:pPr>
        <w:pStyle w:val="ListParagraph"/>
        <w:spacing w:after="0" w:line="240" w:lineRule="auto"/>
        <w:ind w:left="-284" w:hanging="152"/>
        <w:jc w:val="center"/>
        <w:rPr>
          <w:rFonts w:ascii="Palatino Linotype" w:hAnsi="Palatino Linotype"/>
          <w:b/>
          <w:sz w:val="22"/>
          <w:szCs w:val="22"/>
        </w:rPr>
      </w:pPr>
    </w:p>
    <w:p w:rsidR="00523DB5" w:rsidRDefault="00523DB5" w:rsidP="00523DB5">
      <w:pPr>
        <w:pStyle w:val="ListParagraph"/>
        <w:spacing w:after="0" w:line="240" w:lineRule="auto"/>
        <w:ind w:left="-284" w:hanging="152"/>
        <w:jc w:val="center"/>
        <w:rPr>
          <w:rFonts w:ascii="Palatino Linotype" w:hAnsi="Palatino Linotype"/>
          <w:b/>
          <w:sz w:val="22"/>
          <w:szCs w:val="22"/>
        </w:rPr>
      </w:pPr>
    </w:p>
    <w:p w:rsidR="00E5493C" w:rsidRDefault="00E5493C" w:rsidP="00523DB5">
      <w:pPr>
        <w:pStyle w:val="ListParagraph"/>
        <w:spacing w:after="0" w:line="240" w:lineRule="auto"/>
        <w:ind w:left="-284" w:hanging="152"/>
        <w:jc w:val="center"/>
        <w:rPr>
          <w:rFonts w:ascii="Palatino Linotype" w:hAnsi="Palatino Linotype"/>
          <w:b/>
          <w:sz w:val="22"/>
          <w:szCs w:val="22"/>
        </w:rPr>
      </w:pPr>
    </w:p>
    <w:p w:rsidR="00E5493C" w:rsidRDefault="00E5493C" w:rsidP="00523DB5">
      <w:pPr>
        <w:pStyle w:val="ListParagraph"/>
        <w:spacing w:after="0" w:line="240" w:lineRule="auto"/>
        <w:ind w:left="-284" w:hanging="152"/>
        <w:jc w:val="center"/>
        <w:rPr>
          <w:rFonts w:ascii="Palatino Linotype" w:hAnsi="Palatino Linotype"/>
          <w:b/>
          <w:sz w:val="22"/>
          <w:szCs w:val="22"/>
        </w:rPr>
      </w:pPr>
    </w:p>
    <w:p w:rsidR="00523DB5" w:rsidRPr="009803F8" w:rsidRDefault="00523DB5" w:rsidP="00523DB5">
      <w:pPr>
        <w:pStyle w:val="ListParagraph"/>
        <w:spacing w:after="0" w:line="240" w:lineRule="auto"/>
        <w:ind w:left="-284" w:hanging="152"/>
        <w:jc w:val="center"/>
        <w:rPr>
          <w:rFonts w:ascii="Palatino Linotype" w:hAnsi="Palatino Linotype"/>
          <w:b/>
          <w:sz w:val="22"/>
          <w:szCs w:val="22"/>
        </w:rPr>
      </w:pPr>
    </w:p>
    <w:p w:rsidR="00523DB5" w:rsidRPr="009803F8" w:rsidRDefault="00523DB5" w:rsidP="00523DB5">
      <w:pPr>
        <w:pStyle w:val="ListParagraph"/>
        <w:spacing w:after="0" w:line="240" w:lineRule="auto"/>
        <w:ind w:left="-284" w:hanging="152"/>
        <w:jc w:val="center"/>
        <w:rPr>
          <w:rFonts w:ascii="Palatino Linotype" w:hAnsi="Palatino Linotype"/>
          <w:b/>
          <w:sz w:val="22"/>
          <w:szCs w:val="22"/>
        </w:rPr>
      </w:pPr>
      <w:r w:rsidRPr="009803F8">
        <w:rPr>
          <w:rFonts w:ascii="Palatino Linotype" w:hAnsi="Palatino Linotype"/>
          <w:b/>
          <w:sz w:val="22"/>
          <w:szCs w:val="22"/>
        </w:rPr>
        <w:t xml:space="preserve">Figure 17: Trends in Turnover of Non-Agricultural Options contracts </w:t>
      </w:r>
    </w:p>
    <w:p w:rsidR="00523DB5" w:rsidRPr="009803F8" w:rsidRDefault="00523DB5" w:rsidP="00523DB5">
      <w:pPr>
        <w:pStyle w:val="ListParagraph"/>
        <w:spacing w:after="0" w:line="240" w:lineRule="auto"/>
        <w:ind w:left="0"/>
        <w:rPr>
          <w:rFonts w:ascii="Palatino Linotype" w:hAnsi="Palatino Linotype"/>
          <w:b/>
          <w:sz w:val="22"/>
          <w:szCs w:val="22"/>
        </w:rPr>
      </w:pPr>
      <w:r w:rsidRPr="006F1E72">
        <w:rPr>
          <w:noProof/>
          <w:lang w:val="en-IN" w:eastAsia="en-IN" w:bidi="hi-IN"/>
        </w:rPr>
        <w:t xml:space="preserve"> </w:t>
      </w:r>
      <w:r w:rsidRPr="005A0E00">
        <w:rPr>
          <w:noProof/>
          <w:lang w:val="en-IN" w:eastAsia="en-IN" w:bidi="hi-IN"/>
        </w:rPr>
        <w:drawing>
          <wp:inline distT="0" distB="0" distL="0" distR="0" wp14:anchorId="1CB129E3" wp14:editId="0D93C6A5">
            <wp:extent cx="5438140" cy="3378200"/>
            <wp:effectExtent l="0" t="0" r="10160" b="12700"/>
            <wp:docPr id="5" name="Chart 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523DB5" w:rsidRPr="009803F8" w:rsidRDefault="00523DB5" w:rsidP="00523DB5">
      <w:pPr>
        <w:pStyle w:val="ListParagraph"/>
        <w:spacing w:after="0" w:line="240" w:lineRule="auto"/>
        <w:ind w:left="-284" w:hanging="152"/>
        <w:jc w:val="center"/>
        <w:rPr>
          <w:rFonts w:ascii="Palatino Linotype" w:hAnsi="Palatino Linotype"/>
          <w:b/>
          <w:sz w:val="22"/>
          <w:szCs w:val="22"/>
        </w:rPr>
      </w:pPr>
    </w:p>
    <w:p w:rsidR="00523DB5" w:rsidRDefault="00523DB5" w:rsidP="00523DB5">
      <w:pPr>
        <w:spacing w:line="259" w:lineRule="auto"/>
        <w:rPr>
          <w:rFonts w:ascii="Palatino Linotype" w:hAnsi="Palatino Linotype" w:cs="Arial"/>
          <w:bCs/>
        </w:rPr>
      </w:pPr>
      <w:r w:rsidRPr="009803F8">
        <w:rPr>
          <w:rFonts w:ascii="Palatino Linotype" w:hAnsi="Palatino Linotype"/>
          <w:b/>
          <w:color w:val="0D0D0D"/>
          <w:sz w:val="18"/>
          <w:szCs w:val="18"/>
        </w:rPr>
        <w:t>Source: MCX, BSE &amp; NSE.</w:t>
      </w:r>
      <w:r>
        <w:rPr>
          <w:rFonts w:ascii="Palatino Linotype" w:hAnsi="Palatino Linotype" w:cs="Arial"/>
          <w:bCs/>
        </w:rPr>
        <w:t xml:space="preserve">        </w:t>
      </w:r>
    </w:p>
    <w:p w:rsidR="0086339A" w:rsidRDefault="0086339A" w:rsidP="00E344DD">
      <w:pPr>
        <w:spacing w:line="259" w:lineRule="auto"/>
        <w:rPr>
          <w:rFonts w:ascii="Palatino Linotype" w:hAnsi="Palatino Linotype" w:cs="Arial"/>
          <w:bCs/>
        </w:rPr>
      </w:pPr>
    </w:p>
    <w:p w:rsidR="00E5493C" w:rsidRDefault="00E344DD" w:rsidP="00E344DD">
      <w:pPr>
        <w:spacing w:line="259" w:lineRule="auto"/>
        <w:rPr>
          <w:rFonts w:ascii="Palatino Linotype" w:hAnsi="Palatino Linotype" w:cs="Arial"/>
          <w:bCs/>
        </w:rPr>
      </w:pPr>
      <w:r>
        <w:rPr>
          <w:rFonts w:ascii="Palatino Linotype" w:hAnsi="Palatino Linotype" w:cs="Arial"/>
          <w:bCs/>
        </w:rPr>
        <w:t xml:space="preserve">                                   </w:t>
      </w:r>
    </w:p>
    <w:p w:rsidR="00E5493C" w:rsidRDefault="00E5493C">
      <w:pPr>
        <w:rPr>
          <w:rFonts w:ascii="Palatino Linotype" w:hAnsi="Palatino Linotype" w:cs="Arial"/>
          <w:bCs/>
        </w:rPr>
      </w:pPr>
      <w:r>
        <w:rPr>
          <w:rFonts w:ascii="Palatino Linotype" w:hAnsi="Palatino Linotype" w:cs="Arial"/>
          <w:bCs/>
        </w:rPr>
        <w:br w:type="page"/>
      </w:r>
    </w:p>
    <w:p w:rsidR="00363C1F" w:rsidRPr="00A01675" w:rsidRDefault="00363C1F" w:rsidP="00363C1F">
      <w:pPr>
        <w:keepNext/>
        <w:keepLines/>
        <w:spacing w:before="240" w:after="40"/>
        <w:contextualSpacing/>
        <w:jc w:val="center"/>
        <w:outlineLvl w:val="3"/>
        <w:rPr>
          <w:rFonts w:ascii="Palatino Linotype" w:eastAsia="Times New Roman" w:hAnsi="Palatino Linotype"/>
          <w:b/>
          <w:color w:val="000000"/>
          <w:lang w:val="en-IN" w:eastAsia="en-IN"/>
        </w:rPr>
      </w:pPr>
      <w:r w:rsidRPr="00A01675">
        <w:rPr>
          <w:rFonts w:ascii="Palatino Linotype" w:eastAsia="Times New Roman" w:hAnsi="Palatino Linotype"/>
          <w:b/>
          <w:color w:val="000000"/>
          <w:lang w:val="en-IN" w:eastAsia="en-IN"/>
        </w:rPr>
        <w:t>OVERVIEW OF THE GLOBAL FINANCIAL MARKETS</w:t>
      </w:r>
    </w:p>
    <w:p w:rsidR="003C2485" w:rsidRDefault="003C2485">
      <w:pPr>
        <w:rPr>
          <w:rFonts w:ascii="Palatino Linotype" w:hAnsi="Palatino Linotype" w:cs="Arial"/>
          <w:bCs/>
        </w:rPr>
      </w:pPr>
    </w:p>
    <w:p w:rsidR="003C2485" w:rsidRDefault="003C2485">
      <w:pPr>
        <w:rPr>
          <w:rFonts w:ascii="Palatino Linotype" w:hAnsi="Palatino Linotype" w:cs="Arial"/>
          <w:bCs/>
        </w:rPr>
      </w:pPr>
    </w:p>
    <w:p w:rsidR="003C2485" w:rsidRPr="00A01675" w:rsidRDefault="003C2485" w:rsidP="003C2485">
      <w:pPr>
        <w:numPr>
          <w:ilvl w:val="0"/>
          <w:numId w:val="24"/>
        </w:numPr>
        <w:spacing w:before="100" w:beforeAutospacing="1" w:line="276" w:lineRule="auto"/>
        <w:ind w:right="107"/>
        <w:contextualSpacing/>
        <w:jc w:val="both"/>
        <w:rPr>
          <w:rFonts w:ascii="Palatino Linotype" w:eastAsia="Times New Roman" w:hAnsi="Palatino Linotype"/>
          <w:b/>
          <w:bCs/>
          <w:lang w:val="en-US"/>
        </w:rPr>
      </w:pPr>
      <w:r w:rsidRPr="00A01675">
        <w:rPr>
          <w:rFonts w:ascii="Palatino Linotype" w:eastAsia="Times New Roman" w:hAnsi="Palatino Linotype"/>
          <w:b/>
          <w:bCs/>
          <w:lang w:val="en-US"/>
        </w:rPr>
        <w:t>State of Economy</w:t>
      </w:r>
    </w:p>
    <w:p w:rsidR="003C2485" w:rsidRPr="00A01675" w:rsidRDefault="003C2485" w:rsidP="003C2485">
      <w:pPr>
        <w:spacing w:before="100" w:beforeAutospacing="1" w:line="276" w:lineRule="auto"/>
        <w:ind w:left="360" w:right="107"/>
        <w:contextualSpacing/>
        <w:jc w:val="both"/>
        <w:rPr>
          <w:rFonts w:ascii="Palatino Linotype" w:eastAsia="Times New Roman" w:hAnsi="Palatino Linotype"/>
          <w:sz w:val="22"/>
          <w:szCs w:val="22"/>
          <w:lang w:val="en-US"/>
        </w:rPr>
      </w:pPr>
    </w:p>
    <w:p w:rsidR="003C2485" w:rsidRPr="00A01675" w:rsidRDefault="003C2485" w:rsidP="003C2485">
      <w:pPr>
        <w:spacing w:before="100" w:beforeAutospacing="1" w:line="276" w:lineRule="auto"/>
        <w:ind w:left="360" w:right="107"/>
        <w:contextualSpacing/>
        <w:jc w:val="both"/>
        <w:rPr>
          <w:rFonts w:ascii="Palatino Linotype" w:eastAsia="Times New Roman" w:hAnsi="Palatino Linotype"/>
          <w:b/>
          <w:bCs/>
          <w:sz w:val="22"/>
          <w:szCs w:val="22"/>
          <w:lang w:val="en-US"/>
        </w:rPr>
      </w:pPr>
      <w:r w:rsidRPr="00A01675">
        <w:rPr>
          <w:rFonts w:ascii="Palatino Linotype" w:eastAsia="Times New Roman" w:hAnsi="Palatino Linotype"/>
          <w:b/>
          <w:bCs/>
          <w:sz w:val="22"/>
          <w:szCs w:val="22"/>
          <w:lang w:val="en-US"/>
        </w:rPr>
        <w:t>Global</w:t>
      </w:r>
    </w:p>
    <w:p w:rsidR="003C2485" w:rsidRPr="00A01675" w:rsidRDefault="003C2485" w:rsidP="003C2485">
      <w:pPr>
        <w:spacing w:before="100" w:beforeAutospacing="1" w:line="276" w:lineRule="auto"/>
        <w:ind w:left="360" w:right="107"/>
        <w:contextualSpacing/>
        <w:jc w:val="both"/>
        <w:rPr>
          <w:rFonts w:ascii="Palatino Linotype" w:eastAsia="Times New Roman" w:hAnsi="Palatino Linotype"/>
          <w:sz w:val="22"/>
          <w:szCs w:val="22"/>
          <w:lang w:val="en-US"/>
        </w:rPr>
      </w:pPr>
    </w:p>
    <w:p w:rsidR="003C2485" w:rsidRPr="00A01675" w:rsidRDefault="003C2485" w:rsidP="003C2485">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A01675">
        <w:rPr>
          <w:rFonts w:ascii="Palatino Linotype" w:eastAsia="Times New Roman" w:hAnsi="Palatino Linotype"/>
          <w:sz w:val="22"/>
          <w:szCs w:val="22"/>
          <w:lang w:val="en-US"/>
        </w:rPr>
        <w:t xml:space="preserve">As per IMF, Global economy is projected to increase by 6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in 2021 and the growth is expected to slow down to 4.9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in 2022.</w:t>
      </w:r>
    </w:p>
    <w:p w:rsidR="003C2485" w:rsidRPr="00A01675" w:rsidRDefault="003C2485" w:rsidP="003C2485">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A01675">
        <w:rPr>
          <w:rFonts w:ascii="Palatino Linotype" w:eastAsia="Times New Roman" w:hAnsi="Palatino Linotype"/>
          <w:sz w:val="22"/>
          <w:szCs w:val="22"/>
          <w:lang w:val="en-US"/>
        </w:rPr>
        <w:t xml:space="preserve">The JPMorgan Global Manufacturing Purchasing Managers’ Index (PMI), compiled by IHS Markit, decreased to 54.1 points in August 2021, from 55.4 in July 2021 as output growth decelerated in major economies viz., the US and </w:t>
      </w:r>
      <w:r w:rsidR="00FA1E83">
        <w:rPr>
          <w:rFonts w:ascii="Palatino Linotype" w:eastAsia="Times New Roman" w:hAnsi="Palatino Linotype"/>
          <w:sz w:val="22"/>
          <w:szCs w:val="22"/>
          <w:lang w:val="en-US"/>
        </w:rPr>
        <w:t>E</w:t>
      </w:r>
      <w:r w:rsidRPr="00A01675">
        <w:rPr>
          <w:rFonts w:ascii="Palatino Linotype" w:eastAsia="Times New Roman" w:hAnsi="Palatino Linotype"/>
          <w:sz w:val="22"/>
          <w:szCs w:val="22"/>
          <w:lang w:val="en-US"/>
        </w:rPr>
        <w:t>uro area.</w:t>
      </w:r>
    </w:p>
    <w:p w:rsidR="003C2485" w:rsidRPr="00A01675" w:rsidRDefault="003C2485" w:rsidP="003C2485">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A01675">
        <w:rPr>
          <w:rFonts w:ascii="Palatino Linotype" w:eastAsia="Times New Roman" w:hAnsi="Palatino Linotype"/>
          <w:sz w:val="22"/>
          <w:szCs w:val="22"/>
          <w:lang w:val="en-US"/>
        </w:rPr>
        <w:t>During August 2021, Healthcare, Pharma, Insurance, Banks and other financial, were the top sectors recording growth in output.</w:t>
      </w:r>
    </w:p>
    <w:p w:rsidR="003C2485" w:rsidRPr="00A01675" w:rsidRDefault="003C2485" w:rsidP="003C2485">
      <w:pPr>
        <w:spacing w:before="100" w:beforeAutospacing="1" w:line="276" w:lineRule="auto"/>
        <w:ind w:left="360" w:right="107"/>
        <w:contextualSpacing/>
        <w:jc w:val="both"/>
        <w:rPr>
          <w:rFonts w:ascii="Palatino Linotype" w:eastAsia="Times New Roman" w:hAnsi="Palatino Linotype"/>
          <w:sz w:val="22"/>
          <w:szCs w:val="22"/>
          <w:lang w:val="en-US"/>
        </w:rPr>
      </w:pPr>
    </w:p>
    <w:p w:rsidR="003C2485" w:rsidRPr="00A01675" w:rsidRDefault="003C2485" w:rsidP="003C2485">
      <w:pPr>
        <w:spacing w:before="100" w:beforeAutospacing="1" w:line="276" w:lineRule="auto"/>
        <w:ind w:left="360" w:right="107"/>
        <w:contextualSpacing/>
        <w:jc w:val="both"/>
        <w:rPr>
          <w:rFonts w:ascii="Palatino Linotype" w:eastAsia="Times New Roman" w:hAnsi="Palatino Linotype"/>
          <w:sz w:val="22"/>
          <w:szCs w:val="22"/>
          <w:lang w:val="en-US"/>
        </w:rPr>
      </w:pPr>
    </w:p>
    <w:p w:rsidR="003C2485" w:rsidRPr="00A01675" w:rsidRDefault="003C2485" w:rsidP="003C2485">
      <w:pPr>
        <w:spacing w:before="100" w:beforeAutospacing="1" w:line="276" w:lineRule="auto"/>
        <w:ind w:left="360" w:right="107"/>
        <w:contextualSpacing/>
        <w:jc w:val="both"/>
        <w:rPr>
          <w:rFonts w:ascii="Palatino Linotype" w:eastAsia="Times New Roman" w:hAnsi="Palatino Linotype"/>
          <w:b/>
          <w:bCs/>
          <w:sz w:val="22"/>
          <w:szCs w:val="22"/>
          <w:lang w:val="en-US"/>
        </w:rPr>
      </w:pPr>
      <w:r w:rsidRPr="00A01675">
        <w:rPr>
          <w:rFonts w:ascii="Palatino Linotype" w:eastAsia="Times New Roman" w:hAnsi="Palatino Linotype"/>
          <w:b/>
          <w:bCs/>
          <w:sz w:val="22"/>
          <w:szCs w:val="22"/>
          <w:lang w:val="en-US"/>
        </w:rPr>
        <w:t>United States</w:t>
      </w:r>
    </w:p>
    <w:p w:rsidR="003C2485" w:rsidRPr="00A01675" w:rsidRDefault="003C2485" w:rsidP="003C2485">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A01675">
        <w:rPr>
          <w:rFonts w:ascii="Palatino Linotype" w:eastAsia="Times New Roman" w:hAnsi="Palatino Linotype"/>
          <w:sz w:val="22"/>
          <w:szCs w:val="22"/>
          <w:lang w:val="en-US"/>
        </w:rPr>
        <w:t xml:space="preserve">As per second estimates released by Bureau of Economic Analysis, US Department of Commerce, US real GDP increased at annual rate of 6.6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(Q-o-Q) in Q2, 2021 as compared to 6.3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in Q1, 2021. </w:t>
      </w:r>
    </w:p>
    <w:p w:rsidR="003C2485" w:rsidRPr="00A01675" w:rsidRDefault="003C2485" w:rsidP="003C2485">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A01675">
        <w:rPr>
          <w:rFonts w:ascii="Palatino Linotype" w:eastAsia="Times New Roman" w:hAnsi="Palatino Linotype"/>
          <w:sz w:val="22"/>
          <w:szCs w:val="22"/>
          <w:lang w:val="en-US"/>
        </w:rPr>
        <w:t xml:space="preserve">Seasonally adjusted CPI (All Urban Consumers) increased 0.3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in August 2021, after rising 0.5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in July 2021. The </w:t>
      </w:r>
      <w:r w:rsidR="00363C1F">
        <w:rPr>
          <w:rFonts w:ascii="Palatino Linotype" w:eastAsia="Times New Roman" w:hAnsi="Palatino Linotype"/>
          <w:sz w:val="22"/>
          <w:szCs w:val="22"/>
          <w:lang w:val="en-US"/>
        </w:rPr>
        <w:t>u</w:t>
      </w:r>
      <w:r w:rsidRPr="00A01675">
        <w:rPr>
          <w:rFonts w:ascii="Palatino Linotype" w:eastAsia="Times New Roman" w:hAnsi="Palatino Linotype"/>
          <w:sz w:val="22"/>
          <w:szCs w:val="22"/>
          <w:lang w:val="en-US"/>
        </w:rPr>
        <w:t xml:space="preserve">nemployment rate decreased for second consecutive month to stood at 5.2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in Aug 2021. </w:t>
      </w:r>
    </w:p>
    <w:p w:rsidR="003C2485" w:rsidRPr="00A01675" w:rsidRDefault="003C2485" w:rsidP="003C2485">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A01675">
        <w:rPr>
          <w:rFonts w:ascii="Palatino Linotype" w:eastAsia="Times New Roman" w:hAnsi="Palatino Linotype"/>
          <w:sz w:val="22"/>
          <w:szCs w:val="22"/>
          <w:lang w:val="en-US"/>
        </w:rPr>
        <w:t xml:space="preserve">Federal Reserve in its monetary policy meeting in Sept, 2021, kept the interest rates unchanged at 0.15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and indicated that it would continue to increase its holdings of Treasury securities by at least $80 billion per month and of agency mortgage‑backed securities by at least $40 billion per month</w:t>
      </w:r>
    </w:p>
    <w:p w:rsidR="003C2485" w:rsidRPr="00A01675" w:rsidRDefault="003C2485" w:rsidP="00363C1F">
      <w:pPr>
        <w:spacing w:before="100" w:beforeAutospacing="1" w:line="276" w:lineRule="auto"/>
        <w:ind w:right="107"/>
        <w:contextualSpacing/>
        <w:jc w:val="both"/>
        <w:rPr>
          <w:rFonts w:ascii="Palatino Linotype" w:eastAsia="Times New Roman" w:hAnsi="Palatino Linotype"/>
          <w:sz w:val="22"/>
          <w:szCs w:val="22"/>
          <w:lang w:val="en-US"/>
        </w:rPr>
      </w:pPr>
    </w:p>
    <w:p w:rsidR="003C2485" w:rsidRPr="00A01675" w:rsidRDefault="003C2485" w:rsidP="003C2485">
      <w:pPr>
        <w:spacing w:before="100" w:beforeAutospacing="1" w:line="276" w:lineRule="auto"/>
        <w:ind w:left="360" w:right="107"/>
        <w:contextualSpacing/>
        <w:jc w:val="both"/>
        <w:rPr>
          <w:rFonts w:ascii="Palatino Linotype" w:eastAsia="Times New Roman" w:hAnsi="Palatino Linotype"/>
          <w:b/>
          <w:bCs/>
          <w:sz w:val="22"/>
          <w:szCs w:val="22"/>
          <w:lang w:val="en-US"/>
        </w:rPr>
      </w:pPr>
      <w:r w:rsidRPr="00A01675">
        <w:rPr>
          <w:rFonts w:ascii="Palatino Linotype" w:eastAsia="Times New Roman" w:hAnsi="Palatino Linotype"/>
          <w:b/>
          <w:bCs/>
          <w:sz w:val="22"/>
          <w:szCs w:val="22"/>
          <w:lang w:val="en-US"/>
        </w:rPr>
        <w:t>United Kingdom</w:t>
      </w:r>
    </w:p>
    <w:p w:rsidR="003C2485" w:rsidRPr="00A01675" w:rsidRDefault="003C2485" w:rsidP="003C2485">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A01675">
        <w:rPr>
          <w:rFonts w:ascii="Palatino Linotype" w:eastAsia="Times New Roman" w:hAnsi="Palatino Linotype"/>
          <w:sz w:val="22"/>
          <w:szCs w:val="22"/>
          <w:lang w:val="en-US"/>
        </w:rPr>
        <w:t xml:space="preserve">As per first quarterly estimates of GDP released by Office of National Statistics, UK GDP increased by 4.8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(Q-o-Q) in Q2 2021 as compared to contraction of 1.6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in previous quarter.</w:t>
      </w:r>
    </w:p>
    <w:p w:rsidR="003C2485" w:rsidRPr="00A01675" w:rsidRDefault="003C2485" w:rsidP="003C2485">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A01675">
        <w:rPr>
          <w:rFonts w:ascii="Palatino Linotype" w:eastAsia="Times New Roman" w:hAnsi="Palatino Linotype"/>
          <w:sz w:val="22"/>
          <w:szCs w:val="22"/>
          <w:lang w:val="en-US"/>
        </w:rPr>
        <w:t xml:space="preserve">During August 2021, CPI rose by 3.2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as compared to 2.0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in July 2021. The UK unemployment rate fell to 4.6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for May to July 2021 period.</w:t>
      </w:r>
    </w:p>
    <w:p w:rsidR="003C2485" w:rsidRPr="00A01675" w:rsidRDefault="003C2485" w:rsidP="003C2485">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A01675">
        <w:rPr>
          <w:rFonts w:ascii="Palatino Linotype" w:eastAsia="Times New Roman" w:hAnsi="Palatino Linotype"/>
          <w:sz w:val="22"/>
          <w:szCs w:val="22"/>
          <w:lang w:val="en-US"/>
        </w:rPr>
        <w:t xml:space="preserve">In its Monetary Policy meeting held in Aug 2021, </w:t>
      </w:r>
      <w:r w:rsidR="00363C1F">
        <w:rPr>
          <w:rFonts w:ascii="Palatino Linotype" w:eastAsia="Times New Roman" w:hAnsi="Palatino Linotype"/>
          <w:sz w:val="22"/>
          <w:szCs w:val="22"/>
          <w:lang w:val="en-US"/>
        </w:rPr>
        <w:t>B</w:t>
      </w:r>
      <w:r w:rsidRPr="00A01675">
        <w:rPr>
          <w:rFonts w:ascii="Palatino Linotype" w:eastAsia="Times New Roman" w:hAnsi="Palatino Linotype"/>
          <w:sz w:val="22"/>
          <w:szCs w:val="22"/>
          <w:lang w:val="en-US"/>
        </w:rPr>
        <w:t xml:space="preserve">ank of England </w:t>
      </w:r>
      <w:r w:rsidR="00363C1F" w:rsidRPr="00363C1F">
        <w:rPr>
          <w:rFonts w:ascii="Palatino Linotype" w:eastAsia="Times New Roman" w:hAnsi="Palatino Linotype"/>
          <w:sz w:val="22"/>
          <w:szCs w:val="22"/>
          <w:lang w:val="en-US"/>
        </w:rPr>
        <w:t>re</w:t>
      </w:r>
      <w:r w:rsidRPr="00363C1F">
        <w:rPr>
          <w:rFonts w:ascii="Palatino Linotype" w:eastAsia="Times New Roman" w:hAnsi="Palatino Linotype"/>
          <w:sz w:val="22"/>
          <w:szCs w:val="22"/>
          <w:lang w:val="en-US"/>
        </w:rPr>
        <w:t>tained</w:t>
      </w:r>
      <w:r w:rsidRPr="00A01675">
        <w:rPr>
          <w:rFonts w:ascii="Palatino Linotype" w:eastAsia="Times New Roman" w:hAnsi="Palatino Linotype"/>
          <w:sz w:val="22"/>
          <w:szCs w:val="22"/>
          <w:lang w:val="en-US"/>
        </w:rPr>
        <w:t xml:space="preserve"> the </w:t>
      </w:r>
      <w:r w:rsidR="00363C1F">
        <w:rPr>
          <w:rFonts w:ascii="Palatino Linotype" w:eastAsia="Times New Roman" w:hAnsi="Palatino Linotype"/>
          <w:sz w:val="22"/>
          <w:szCs w:val="22"/>
          <w:lang w:val="en-US"/>
        </w:rPr>
        <w:t>b</w:t>
      </w:r>
      <w:r w:rsidRPr="00A01675">
        <w:rPr>
          <w:rFonts w:ascii="Palatino Linotype" w:eastAsia="Times New Roman" w:hAnsi="Palatino Linotype"/>
          <w:sz w:val="22"/>
          <w:szCs w:val="22"/>
          <w:lang w:val="en-US"/>
        </w:rPr>
        <w:t xml:space="preserve">ank </w:t>
      </w:r>
      <w:r w:rsidR="00363C1F">
        <w:rPr>
          <w:rFonts w:ascii="Palatino Linotype" w:eastAsia="Times New Roman" w:hAnsi="Palatino Linotype"/>
          <w:sz w:val="22"/>
          <w:szCs w:val="22"/>
          <w:lang w:val="en-US"/>
        </w:rPr>
        <w:t>r</w:t>
      </w:r>
      <w:r w:rsidRPr="00A01675">
        <w:rPr>
          <w:rFonts w:ascii="Palatino Linotype" w:eastAsia="Times New Roman" w:hAnsi="Palatino Linotype"/>
          <w:sz w:val="22"/>
          <w:szCs w:val="22"/>
          <w:lang w:val="en-US"/>
        </w:rPr>
        <w:t xml:space="preserve">ate at 0.1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and decided to continue with its existing programme of UK government bond purchases, maintaining the target for the stock of these government bond purchases at £875 billion.</w:t>
      </w:r>
    </w:p>
    <w:p w:rsidR="003C2485" w:rsidRPr="00A01675" w:rsidRDefault="003C2485" w:rsidP="003C2485">
      <w:pPr>
        <w:spacing w:before="100" w:beforeAutospacing="1" w:line="276" w:lineRule="auto"/>
        <w:ind w:left="360" w:right="107"/>
        <w:contextualSpacing/>
        <w:jc w:val="both"/>
        <w:rPr>
          <w:rFonts w:ascii="Palatino Linotype" w:eastAsia="Times New Roman" w:hAnsi="Palatino Linotype"/>
          <w:sz w:val="22"/>
          <w:szCs w:val="22"/>
          <w:lang w:val="en-US"/>
        </w:rPr>
      </w:pPr>
    </w:p>
    <w:p w:rsidR="003C2485" w:rsidRPr="00A01675" w:rsidRDefault="003C2485" w:rsidP="003C2485">
      <w:pPr>
        <w:spacing w:before="100" w:beforeAutospacing="1" w:line="276" w:lineRule="auto"/>
        <w:ind w:left="360" w:right="107"/>
        <w:contextualSpacing/>
        <w:jc w:val="both"/>
        <w:rPr>
          <w:rFonts w:ascii="Palatino Linotype" w:eastAsia="Times New Roman" w:hAnsi="Palatino Linotype"/>
          <w:sz w:val="22"/>
          <w:szCs w:val="22"/>
          <w:lang w:val="en-US"/>
        </w:rPr>
      </w:pPr>
    </w:p>
    <w:p w:rsidR="003C2485" w:rsidRPr="00A01675" w:rsidRDefault="003C2485" w:rsidP="003C2485">
      <w:pPr>
        <w:spacing w:before="100" w:beforeAutospacing="1" w:line="276" w:lineRule="auto"/>
        <w:ind w:left="360" w:right="107"/>
        <w:contextualSpacing/>
        <w:jc w:val="both"/>
        <w:rPr>
          <w:rFonts w:ascii="Palatino Linotype" w:eastAsia="Times New Roman" w:hAnsi="Palatino Linotype"/>
          <w:sz w:val="22"/>
          <w:szCs w:val="22"/>
          <w:lang w:val="en-US"/>
        </w:rPr>
      </w:pPr>
    </w:p>
    <w:p w:rsidR="003C2485" w:rsidRPr="00A01675" w:rsidRDefault="003C2485" w:rsidP="003C2485">
      <w:pPr>
        <w:spacing w:before="100" w:beforeAutospacing="1" w:line="276" w:lineRule="auto"/>
        <w:ind w:left="360" w:right="107"/>
        <w:contextualSpacing/>
        <w:jc w:val="both"/>
        <w:rPr>
          <w:rFonts w:ascii="Palatino Linotype" w:eastAsia="Times New Roman" w:hAnsi="Palatino Linotype"/>
          <w:b/>
          <w:bCs/>
          <w:sz w:val="22"/>
          <w:szCs w:val="22"/>
          <w:lang w:val="en-US"/>
        </w:rPr>
      </w:pPr>
      <w:r w:rsidRPr="00A01675">
        <w:rPr>
          <w:rFonts w:ascii="Palatino Linotype" w:eastAsia="Times New Roman" w:hAnsi="Palatino Linotype"/>
          <w:b/>
          <w:bCs/>
          <w:sz w:val="22"/>
          <w:szCs w:val="22"/>
          <w:lang w:val="en-US"/>
        </w:rPr>
        <w:t>Euro area</w:t>
      </w:r>
    </w:p>
    <w:p w:rsidR="003C2485" w:rsidRPr="00A01675" w:rsidRDefault="003C2485" w:rsidP="003C2485">
      <w:pPr>
        <w:spacing w:before="100" w:beforeAutospacing="1" w:line="276" w:lineRule="auto"/>
        <w:ind w:left="360" w:right="107"/>
        <w:contextualSpacing/>
        <w:jc w:val="both"/>
        <w:rPr>
          <w:rFonts w:ascii="Palatino Linotype" w:eastAsia="Times New Roman" w:hAnsi="Palatino Linotype"/>
          <w:sz w:val="22"/>
          <w:szCs w:val="22"/>
          <w:lang w:val="en-US"/>
        </w:rPr>
      </w:pPr>
    </w:p>
    <w:p w:rsidR="003C2485" w:rsidRPr="00A01675" w:rsidRDefault="003C2485" w:rsidP="003C2485">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A01675">
        <w:rPr>
          <w:rFonts w:ascii="Palatino Linotype" w:eastAsia="Times New Roman" w:hAnsi="Palatino Linotype"/>
          <w:sz w:val="22"/>
          <w:szCs w:val="22"/>
          <w:lang w:val="en-US"/>
        </w:rPr>
        <w:t xml:space="preserve">As per estimates of GDP for Q2, 2021, released by Eurostat, GDP increased by 2.2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(Q-o-Q) in </w:t>
      </w:r>
      <w:r w:rsidR="00FA1E83">
        <w:rPr>
          <w:rFonts w:ascii="Palatino Linotype" w:eastAsia="Times New Roman" w:hAnsi="Palatino Linotype"/>
          <w:sz w:val="22"/>
          <w:szCs w:val="22"/>
          <w:lang w:val="en-US"/>
        </w:rPr>
        <w:t>E</w:t>
      </w:r>
      <w:r w:rsidRPr="00A01675">
        <w:rPr>
          <w:rFonts w:ascii="Palatino Linotype" w:eastAsia="Times New Roman" w:hAnsi="Palatino Linotype"/>
          <w:sz w:val="22"/>
          <w:szCs w:val="22"/>
          <w:lang w:val="en-US"/>
        </w:rPr>
        <w:t xml:space="preserve">uro area, as compared to a contraction of 0.3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in Q1 2021.</w:t>
      </w:r>
    </w:p>
    <w:p w:rsidR="003C2485" w:rsidRPr="00A01675" w:rsidRDefault="003C2485" w:rsidP="003C2485">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A01675">
        <w:rPr>
          <w:rFonts w:ascii="Palatino Linotype" w:eastAsia="Times New Roman" w:hAnsi="Palatino Linotype"/>
          <w:sz w:val="22"/>
          <w:szCs w:val="22"/>
          <w:lang w:val="en-US"/>
        </w:rPr>
        <w:t xml:space="preserve">During August 2021, </w:t>
      </w:r>
      <w:r w:rsidR="00FA1E83">
        <w:rPr>
          <w:rFonts w:ascii="Palatino Linotype" w:eastAsia="Times New Roman" w:hAnsi="Palatino Linotype"/>
          <w:sz w:val="22"/>
          <w:szCs w:val="22"/>
          <w:lang w:val="en-US"/>
        </w:rPr>
        <w:t>E</w:t>
      </w:r>
      <w:r w:rsidRPr="00A01675">
        <w:rPr>
          <w:rFonts w:ascii="Palatino Linotype" w:eastAsia="Times New Roman" w:hAnsi="Palatino Linotype"/>
          <w:sz w:val="22"/>
          <w:szCs w:val="22"/>
          <w:lang w:val="en-US"/>
        </w:rPr>
        <w:t xml:space="preserve">uro area annual inflation stood at 3.0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up from 2.2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in previous month. </w:t>
      </w:r>
    </w:p>
    <w:p w:rsidR="003C2485" w:rsidRPr="00A01675" w:rsidRDefault="003C2485" w:rsidP="003C2485">
      <w:pPr>
        <w:spacing w:before="100" w:beforeAutospacing="1" w:line="276" w:lineRule="auto"/>
        <w:ind w:right="107"/>
        <w:contextualSpacing/>
        <w:jc w:val="both"/>
        <w:rPr>
          <w:rFonts w:ascii="Palatino Linotype" w:eastAsia="Times New Roman" w:hAnsi="Palatino Linotype"/>
          <w:sz w:val="22"/>
          <w:szCs w:val="22"/>
          <w:lang w:val="en-US"/>
        </w:rPr>
      </w:pPr>
    </w:p>
    <w:p w:rsidR="003C2485" w:rsidRPr="00A01675" w:rsidRDefault="003C2485" w:rsidP="003C2485">
      <w:pPr>
        <w:spacing w:before="100" w:beforeAutospacing="1" w:line="276" w:lineRule="auto"/>
        <w:ind w:left="360" w:right="107"/>
        <w:contextualSpacing/>
        <w:jc w:val="both"/>
        <w:rPr>
          <w:rFonts w:ascii="Palatino Linotype" w:eastAsia="Times New Roman" w:hAnsi="Palatino Linotype"/>
          <w:b/>
          <w:bCs/>
          <w:sz w:val="22"/>
          <w:szCs w:val="22"/>
          <w:lang w:val="en-US"/>
        </w:rPr>
      </w:pPr>
      <w:r w:rsidRPr="00A01675">
        <w:rPr>
          <w:rFonts w:ascii="Palatino Linotype" w:eastAsia="Times New Roman" w:hAnsi="Palatino Linotype"/>
          <w:b/>
          <w:bCs/>
          <w:sz w:val="22"/>
          <w:szCs w:val="22"/>
          <w:lang w:val="en-US"/>
        </w:rPr>
        <w:t>India</w:t>
      </w:r>
    </w:p>
    <w:p w:rsidR="003C2485" w:rsidRPr="00A01675" w:rsidRDefault="003C2485" w:rsidP="003C2485">
      <w:pPr>
        <w:spacing w:before="100" w:beforeAutospacing="1" w:line="276" w:lineRule="auto"/>
        <w:ind w:right="107"/>
        <w:contextualSpacing/>
        <w:jc w:val="both"/>
        <w:rPr>
          <w:rFonts w:ascii="Palatino Linotype" w:eastAsia="Times New Roman" w:hAnsi="Palatino Linotype"/>
          <w:sz w:val="22"/>
          <w:szCs w:val="22"/>
          <w:lang w:val="en-US"/>
        </w:rPr>
      </w:pPr>
    </w:p>
    <w:p w:rsidR="003C2485" w:rsidRPr="00A01675" w:rsidRDefault="003C2485" w:rsidP="003C2485">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A01675">
        <w:rPr>
          <w:rFonts w:ascii="Palatino Linotype" w:eastAsia="Times New Roman" w:hAnsi="Palatino Linotype"/>
          <w:sz w:val="22"/>
          <w:szCs w:val="22"/>
          <w:lang w:val="en-US"/>
        </w:rPr>
        <w:t xml:space="preserve">As per estimates of GDP released by MOSPI on August 31, 2021, India’s GDP increased by 20.1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(Y-o-Y) in Q1, 2021-22 compared to growth of 1.6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in Q4, 2020-21.</w:t>
      </w:r>
    </w:p>
    <w:p w:rsidR="003C2485" w:rsidRPr="00A01675" w:rsidRDefault="003C2485" w:rsidP="003C2485">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A01675">
        <w:rPr>
          <w:rFonts w:ascii="Palatino Linotype" w:eastAsia="Times New Roman" w:hAnsi="Palatino Linotype"/>
          <w:sz w:val="22"/>
          <w:szCs w:val="22"/>
          <w:lang w:val="en-US"/>
        </w:rPr>
        <w:t xml:space="preserve">CPI inflation in August 2021, decreased to 5.3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from 5.6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in previous month.</w:t>
      </w:r>
    </w:p>
    <w:p w:rsidR="003C2485" w:rsidRPr="00A01675" w:rsidRDefault="003C2485" w:rsidP="003C2485">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A01675">
        <w:rPr>
          <w:rFonts w:ascii="Palatino Linotype" w:eastAsia="Times New Roman" w:hAnsi="Palatino Linotype"/>
          <w:sz w:val="22"/>
          <w:szCs w:val="22"/>
          <w:lang w:val="en-US"/>
        </w:rPr>
        <w:t xml:space="preserve">As per quick estimates released by MOSPI, IIP increased by 11.5 </w:t>
      </w:r>
      <w:r>
        <w:rPr>
          <w:rFonts w:ascii="Palatino Linotype" w:eastAsia="Times New Roman" w:hAnsi="Palatino Linotype"/>
          <w:sz w:val="22"/>
          <w:szCs w:val="22"/>
          <w:lang w:val="en-US"/>
        </w:rPr>
        <w:t>per cent</w:t>
      </w:r>
      <w:r w:rsidRPr="00A01675">
        <w:rPr>
          <w:rFonts w:ascii="Palatino Linotype" w:eastAsia="Times New Roman" w:hAnsi="Palatino Linotype"/>
          <w:sz w:val="22"/>
          <w:szCs w:val="22"/>
          <w:lang w:val="en-US"/>
        </w:rPr>
        <w:t xml:space="preserve"> (Y-o-Y) in July 2021 as compared to 13.6 </w:t>
      </w:r>
      <w:r w:rsidR="00363C1F">
        <w:rPr>
          <w:rFonts w:ascii="Palatino Linotype" w:eastAsia="Times New Roman" w:hAnsi="Palatino Linotype"/>
          <w:sz w:val="22"/>
          <w:szCs w:val="22"/>
          <w:lang w:val="en-US"/>
        </w:rPr>
        <w:t xml:space="preserve"> per cent </w:t>
      </w:r>
      <w:r w:rsidRPr="00A01675">
        <w:rPr>
          <w:rFonts w:ascii="Palatino Linotype" w:eastAsia="Times New Roman" w:hAnsi="Palatino Linotype"/>
          <w:sz w:val="22"/>
          <w:szCs w:val="22"/>
          <w:lang w:val="en-US"/>
        </w:rPr>
        <w:t>increase in previous month.</w:t>
      </w:r>
    </w:p>
    <w:p w:rsidR="003C2485" w:rsidRPr="00A01675" w:rsidRDefault="003C2485" w:rsidP="003C2485">
      <w:pPr>
        <w:spacing w:before="100" w:beforeAutospacing="1" w:line="276" w:lineRule="auto"/>
        <w:ind w:left="360" w:right="107"/>
        <w:contextualSpacing/>
        <w:jc w:val="both"/>
        <w:rPr>
          <w:rFonts w:ascii="Palatino Linotype" w:eastAsia="Times New Roman" w:hAnsi="Palatino Linotype"/>
          <w:sz w:val="22"/>
          <w:szCs w:val="22"/>
          <w:lang w:val="en-US"/>
        </w:rPr>
      </w:pPr>
    </w:p>
    <w:p w:rsidR="003C2485" w:rsidRPr="00A01675" w:rsidRDefault="003C2485" w:rsidP="003C2485">
      <w:pPr>
        <w:spacing w:before="100" w:beforeAutospacing="1" w:line="276" w:lineRule="auto"/>
        <w:ind w:left="360" w:right="107"/>
        <w:contextualSpacing/>
        <w:jc w:val="both"/>
        <w:rPr>
          <w:rFonts w:ascii="Palatino Linotype" w:eastAsia="Times New Roman" w:hAnsi="Palatino Linotype"/>
          <w:sz w:val="22"/>
          <w:szCs w:val="22"/>
          <w:lang w:val="en-US"/>
        </w:rPr>
      </w:pPr>
    </w:p>
    <w:p w:rsidR="003C2485" w:rsidRPr="00A01675" w:rsidRDefault="003C2485" w:rsidP="003C2485">
      <w:pPr>
        <w:numPr>
          <w:ilvl w:val="0"/>
          <w:numId w:val="24"/>
        </w:numPr>
        <w:spacing w:before="100" w:beforeAutospacing="1" w:line="276" w:lineRule="auto"/>
        <w:ind w:right="107"/>
        <w:contextualSpacing/>
        <w:jc w:val="both"/>
        <w:rPr>
          <w:rFonts w:ascii="Palatino Linotype" w:eastAsia="Times New Roman" w:hAnsi="Palatino Linotype"/>
          <w:b/>
          <w:sz w:val="22"/>
          <w:szCs w:val="22"/>
          <w:lang w:val="en-US" w:eastAsia="en-GB"/>
        </w:rPr>
      </w:pPr>
      <w:r w:rsidRPr="00A01675">
        <w:rPr>
          <w:rFonts w:ascii="Palatino Linotype" w:eastAsia="Times New Roman" w:hAnsi="Palatino Linotype"/>
          <w:b/>
          <w:bCs/>
          <w:lang w:val="en-US"/>
        </w:rPr>
        <w:t>Market</w:t>
      </w:r>
      <w:r w:rsidRPr="00A01675">
        <w:rPr>
          <w:rFonts w:ascii="Palatino Linotype" w:eastAsia="Times New Roman" w:hAnsi="Palatino Linotype"/>
          <w:b/>
          <w:sz w:val="22"/>
          <w:szCs w:val="22"/>
          <w:lang w:val="en-US" w:eastAsia="en-GB"/>
        </w:rPr>
        <w:t xml:space="preserve"> Trends</w:t>
      </w:r>
      <w:r w:rsidRPr="00A01675">
        <w:rPr>
          <w:rFonts w:ascii="Palatino Linotype" w:eastAsia="Times New Roman" w:hAnsi="Palatino Linotype"/>
          <w:b/>
          <w:sz w:val="22"/>
          <w:szCs w:val="22"/>
          <w:vertAlign w:val="superscript"/>
          <w:lang w:val="en-US" w:eastAsia="en-GB"/>
        </w:rPr>
        <w:footnoteReference w:id="2"/>
      </w:r>
      <w:r w:rsidRPr="00A01675">
        <w:rPr>
          <w:rFonts w:ascii="Palatino Linotype" w:eastAsia="Times New Roman" w:hAnsi="Palatino Linotype"/>
          <w:b/>
          <w:sz w:val="22"/>
          <w:szCs w:val="22"/>
          <w:lang w:val="en-US" w:eastAsia="en-GB"/>
        </w:rPr>
        <w:t xml:space="preserve"> – </w:t>
      </w:r>
    </w:p>
    <w:p w:rsidR="003C2485" w:rsidRPr="00A01675" w:rsidRDefault="003C2485" w:rsidP="003C2485">
      <w:pPr>
        <w:spacing w:line="23" w:lineRule="atLeast"/>
        <w:ind w:left="180"/>
        <w:contextualSpacing/>
        <w:rPr>
          <w:rFonts w:ascii="Palatino Linotype" w:eastAsia="Times New Roman" w:hAnsi="Palatino Linotype"/>
          <w:b/>
          <w:sz w:val="22"/>
          <w:szCs w:val="22"/>
          <w:lang w:val="en-US" w:eastAsia="en-GB"/>
        </w:rPr>
      </w:pPr>
    </w:p>
    <w:p w:rsidR="003C2485" w:rsidRPr="00A01675" w:rsidRDefault="003C2485" w:rsidP="003C2485">
      <w:pPr>
        <w:spacing w:line="360" w:lineRule="auto"/>
        <w:ind w:left="720"/>
        <w:contextualSpacing/>
        <w:rPr>
          <w:rFonts w:ascii="Palatino Linotype" w:eastAsia="Times New Roman" w:hAnsi="Palatino Linotype"/>
          <w:b/>
          <w:sz w:val="22"/>
          <w:szCs w:val="22"/>
          <w:lang w:val="en-US" w:eastAsia="en-GB"/>
        </w:rPr>
      </w:pPr>
      <w:r>
        <w:rPr>
          <w:rFonts w:ascii="Palatino Linotype" w:eastAsia="Times New Roman" w:hAnsi="Palatino Linotype"/>
          <w:b/>
          <w:sz w:val="22"/>
          <w:szCs w:val="22"/>
          <w:u w:val="single"/>
          <w:lang w:val="en-US" w:eastAsia="en-GB"/>
        </w:rPr>
        <w:t>Equity Markets (</w:t>
      </w:r>
      <w:r w:rsidRPr="00A01675">
        <w:rPr>
          <w:rFonts w:ascii="Palatino Linotype" w:eastAsia="Times New Roman" w:hAnsi="Palatino Linotype"/>
          <w:b/>
          <w:sz w:val="22"/>
          <w:szCs w:val="22"/>
          <w:u w:val="single"/>
          <w:lang w:val="en-US" w:eastAsia="en-GB"/>
        </w:rPr>
        <w:t>Table A1)</w:t>
      </w:r>
    </w:p>
    <w:p w:rsidR="00363C1F" w:rsidRDefault="00363C1F" w:rsidP="00363C1F">
      <w:pPr>
        <w:numPr>
          <w:ilvl w:val="0"/>
          <w:numId w:val="8"/>
        </w:numPr>
        <w:spacing w:line="276" w:lineRule="auto"/>
        <w:jc w:val="both"/>
        <w:rPr>
          <w:rFonts w:ascii="Palatino Linotype" w:eastAsia="Times New Roman" w:hAnsi="Palatino Linotype"/>
          <w:bCs/>
          <w:sz w:val="22"/>
          <w:szCs w:val="22"/>
          <w:lang w:val="en-US" w:eastAsia="en-GB"/>
        </w:rPr>
      </w:pPr>
      <w:r w:rsidRPr="003B5DCF">
        <w:rPr>
          <w:rFonts w:ascii="Palatino Linotype" w:eastAsia="Times New Roman" w:hAnsi="Palatino Linotype"/>
          <w:bCs/>
          <w:sz w:val="22"/>
          <w:szCs w:val="22"/>
          <w:lang w:val="en-US" w:eastAsia="en-GB"/>
        </w:rPr>
        <w:t xml:space="preserve">The MSCI World Index, which is a broad global equity index that represents large and mid-cap equity performance across </w:t>
      </w:r>
      <w:r>
        <w:rPr>
          <w:rFonts w:ascii="Palatino Linotype" w:eastAsia="Times New Roman" w:hAnsi="Palatino Linotype"/>
          <w:bCs/>
          <w:sz w:val="22"/>
          <w:szCs w:val="22"/>
          <w:lang w:val="en-US" w:eastAsia="en-GB"/>
        </w:rPr>
        <w:t>23 developed markets, increased by 2.3 per cent in August 2021.</w:t>
      </w:r>
    </w:p>
    <w:p w:rsidR="00363C1F" w:rsidRPr="00363C1F" w:rsidRDefault="00363C1F" w:rsidP="00363C1F">
      <w:pPr>
        <w:numPr>
          <w:ilvl w:val="0"/>
          <w:numId w:val="8"/>
        </w:numPr>
        <w:spacing w:line="276" w:lineRule="auto"/>
        <w:jc w:val="both"/>
        <w:rPr>
          <w:rFonts w:ascii="Palatino Linotype" w:eastAsia="Times New Roman" w:hAnsi="Palatino Linotype"/>
          <w:bCs/>
          <w:sz w:val="22"/>
          <w:szCs w:val="22"/>
          <w:lang w:val="en-US" w:eastAsia="en-GB"/>
        </w:rPr>
      </w:pPr>
      <w:r w:rsidRPr="003B5DCF">
        <w:rPr>
          <w:rFonts w:ascii="Palatino Linotype" w:eastAsia="Times New Roman" w:hAnsi="Palatino Linotype"/>
          <w:bCs/>
          <w:sz w:val="22"/>
          <w:szCs w:val="22"/>
          <w:lang w:val="en-US" w:eastAsia="en-GB"/>
        </w:rPr>
        <w:t>MSCI All Country</w:t>
      </w:r>
      <w:r>
        <w:rPr>
          <w:rFonts w:ascii="Palatino Linotype" w:eastAsia="Times New Roman" w:hAnsi="Palatino Linotype"/>
          <w:bCs/>
          <w:sz w:val="22"/>
          <w:szCs w:val="22"/>
          <w:lang w:val="en-US" w:eastAsia="en-GB"/>
        </w:rPr>
        <w:t xml:space="preserve"> </w:t>
      </w:r>
      <w:r w:rsidRPr="003B5DCF">
        <w:rPr>
          <w:rFonts w:ascii="Palatino Linotype" w:eastAsia="Times New Roman" w:hAnsi="Palatino Linotype"/>
          <w:bCs/>
          <w:sz w:val="22"/>
          <w:szCs w:val="22"/>
          <w:lang w:val="en-US" w:eastAsia="en-GB"/>
        </w:rPr>
        <w:t>World Price Index</w:t>
      </w:r>
      <w:r>
        <w:rPr>
          <w:rFonts w:ascii="Palatino Linotype" w:eastAsia="Times New Roman" w:hAnsi="Palatino Linotype"/>
          <w:bCs/>
          <w:sz w:val="22"/>
          <w:szCs w:val="22"/>
          <w:lang w:val="en-US" w:eastAsia="en-GB"/>
        </w:rPr>
        <w:t xml:space="preserve"> (</w:t>
      </w:r>
      <w:r w:rsidRPr="003B5DCF">
        <w:rPr>
          <w:rFonts w:ascii="Palatino Linotype" w:eastAsia="Times New Roman" w:hAnsi="Palatino Linotype"/>
          <w:bCs/>
          <w:sz w:val="22"/>
          <w:szCs w:val="22"/>
          <w:lang w:val="en-US" w:eastAsia="en-GB"/>
        </w:rPr>
        <w:t>MSCI ACWI</w:t>
      </w:r>
      <w:r>
        <w:rPr>
          <w:rFonts w:ascii="Palatino Linotype" w:eastAsia="Times New Roman" w:hAnsi="Palatino Linotype"/>
          <w:bCs/>
          <w:sz w:val="22"/>
          <w:szCs w:val="22"/>
          <w:lang w:val="en-US" w:eastAsia="en-GB"/>
        </w:rPr>
        <w:t xml:space="preserve">), which </w:t>
      </w:r>
      <w:r w:rsidRPr="003B5DCF">
        <w:rPr>
          <w:rFonts w:ascii="Palatino Linotype" w:eastAsia="Times New Roman" w:hAnsi="Palatino Linotype"/>
          <w:bCs/>
          <w:sz w:val="22"/>
          <w:szCs w:val="22"/>
          <w:lang w:val="en-US" w:eastAsia="en-GB"/>
        </w:rPr>
        <w:t>represent performance of set of large- and mid-cap stocks across 23 developed and 27 emerging markets</w:t>
      </w:r>
      <w:r>
        <w:rPr>
          <w:rFonts w:ascii="Palatino Linotype" w:eastAsia="Times New Roman" w:hAnsi="Palatino Linotype"/>
          <w:bCs/>
          <w:sz w:val="22"/>
          <w:szCs w:val="22"/>
          <w:lang w:val="en-US" w:eastAsia="en-GB"/>
        </w:rPr>
        <w:t>, increased by 2.4 per cent during the month.</w:t>
      </w:r>
    </w:p>
    <w:p w:rsidR="003C2485" w:rsidRPr="00EF3334" w:rsidRDefault="003C2485" w:rsidP="003C2485">
      <w:pPr>
        <w:numPr>
          <w:ilvl w:val="0"/>
          <w:numId w:val="8"/>
        </w:numPr>
        <w:spacing w:line="276" w:lineRule="auto"/>
        <w:jc w:val="both"/>
        <w:rPr>
          <w:rFonts w:ascii="Palatino Linotype" w:eastAsia="Times New Roman" w:hAnsi="Palatino Linotype"/>
          <w:bCs/>
          <w:sz w:val="22"/>
          <w:szCs w:val="22"/>
          <w:lang w:val="en-US" w:eastAsia="en-GB"/>
        </w:rPr>
      </w:pPr>
      <w:r w:rsidRPr="005048C2">
        <w:rPr>
          <w:rFonts w:ascii="Palatino Linotype" w:eastAsia="Times New Roman" w:hAnsi="Palatino Linotype"/>
          <w:bCs/>
          <w:sz w:val="22"/>
          <w:szCs w:val="22"/>
          <w:lang w:val="en-US" w:eastAsia="en-GB"/>
        </w:rPr>
        <w:t>During August 2021, amongst the BRICS countries</w:t>
      </w:r>
      <w:r>
        <w:rPr>
          <w:rFonts w:ascii="Palatino Linotype" w:eastAsia="Times New Roman" w:hAnsi="Palatino Linotype"/>
          <w:bCs/>
          <w:sz w:val="22"/>
          <w:szCs w:val="22"/>
          <w:lang w:val="en-US" w:eastAsia="en-GB"/>
        </w:rPr>
        <w:t>,</w:t>
      </w:r>
      <w:r w:rsidRPr="005048C2">
        <w:rPr>
          <w:rFonts w:ascii="Palatino Linotype" w:eastAsia="Times New Roman" w:hAnsi="Palatino Linotype"/>
          <w:bCs/>
          <w:sz w:val="22"/>
          <w:szCs w:val="22"/>
          <w:lang w:val="en-US" w:eastAsia="en-GB"/>
        </w:rPr>
        <w:t xml:space="preserve"> highest annualized monthly volatility was observed in Russian Traded index (16.9 per cent), while Nifty 50 index recorded the lowest volatility of 8.7 per </w:t>
      </w:r>
      <w:r>
        <w:rPr>
          <w:rFonts w:ascii="Palatino Linotype" w:eastAsia="Times New Roman" w:hAnsi="Palatino Linotype"/>
          <w:bCs/>
          <w:sz w:val="22"/>
          <w:szCs w:val="22"/>
          <w:lang w:val="en-US" w:eastAsia="en-GB"/>
        </w:rPr>
        <w:t>cent.</w:t>
      </w:r>
    </w:p>
    <w:p w:rsidR="003C2485" w:rsidRPr="00EF3334" w:rsidRDefault="003C2485" w:rsidP="003C2485">
      <w:pPr>
        <w:numPr>
          <w:ilvl w:val="0"/>
          <w:numId w:val="8"/>
        </w:numPr>
        <w:spacing w:line="276" w:lineRule="auto"/>
        <w:jc w:val="both"/>
        <w:rPr>
          <w:rFonts w:ascii="Palatino Linotype" w:eastAsia="Times New Roman" w:hAnsi="Palatino Linotype"/>
          <w:bCs/>
          <w:sz w:val="22"/>
          <w:szCs w:val="22"/>
          <w:lang w:val="en-US" w:eastAsia="en-GB"/>
        </w:rPr>
      </w:pPr>
      <w:r w:rsidRPr="00EF3334">
        <w:rPr>
          <w:rFonts w:ascii="Palatino Linotype" w:eastAsia="Times New Roman" w:hAnsi="Palatino Linotype"/>
          <w:bCs/>
          <w:sz w:val="22"/>
          <w:szCs w:val="22"/>
          <w:lang w:val="en-US" w:eastAsia="en-GB"/>
        </w:rPr>
        <w:t>In terms of monthly movement in indices, Sensex recorded highest increase of 9.4 per cent, while Brazil’s IBOVESPA recoded highest decline of 2.5 per cent.</w:t>
      </w:r>
    </w:p>
    <w:p w:rsidR="003C2485" w:rsidRPr="00AA6004" w:rsidRDefault="003C2485" w:rsidP="003C2485">
      <w:pPr>
        <w:numPr>
          <w:ilvl w:val="0"/>
          <w:numId w:val="8"/>
        </w:numPr>
        <w:spacing w:line="276" w:lineRule="auto"/>
        <w:jc w:val="both"/>
        <w:rPr>
          <w:rFonts w:ascii="Palatino Linotype" w:eastAsia="Times New Roman" w:hAnsi="Palatino Linotype"/>
          <w:bCs/>
          <w:color w:val="FF0000"/>
          <w:sz w:val="22"/>
          <w:szCs w:val="22"/>
          <w:lang w:val="en-US" w:eastAsia="en-GB"/>
        </w:rPr>
      </w:pPr>
      <w:r w:rsidRPr="00A01675">
        <w:rPr>
          <w:rFonts w:ascii="Palatino Linotype" w:eastAsia="Times New Roman" w:hAnsi="Palatino Linotype"/>
          <w:bCs/>
          <w:sz w:val="22"/>
          <w:szCs w:val="22"/>
          <w:lang w:val="en-US" w:eastAsia="en-GB"/>
        </w:rPr>
        <w:t xml:space="preserve">Among </w:t>
      </w:r>
      <w:r>
        <w:rPr>
          <w:rFonts w:ascii="Palatino Linotype" w:eastAsia="Times New Roman" w:hAnsi="Palatino Linotype"/>
          <w:bCs/>
          <w:sz w:val="22"/>
          <w:szCs w:val="22"/>
          <w:lang w:val="en-US" w:eastAsia="en-GB"/>
        </w:rPr>
        <w:t>select</w:t>
      </w:r>
      <w:r w:rsidRPr="00A01675">
        <w:rPr>
          <w:rFonts w:ascii="Palatino Linotype" w:eastAsia="Times New Roman" w:hAnsi="Palatino Linotype"/>
          <w:bCs/>
          <w:sz w:val="22"/>
          <w:szCs w:val="22"/>
          <w:lang w:val="en-US" w:eastAsia="en-GB"/>
        </w:rPr>
        <w:t xml:space="preserve"> developed markets</w:t>
      </w:r>
      <w:r>
        <w:rPr>
          <w:rStyle w:val="FootnoteReference"/>
          <w:rFonts w:ascii="Palatino Linotype" w:eastAsia="Times New Roman" w:hAnsi="Palatino Linotype"/>
          <w:bCs/>
          <w:sz w:val="22"/>
          <w:szCs w:val="22"/>
          <w:lang w:val="en-US" w:eastAsia="en-GB"/>
        </w:rPr>
        <w:footnoteReference w:id="3"/>
      </w:r>
      <w:r w:rsidRPr="00A01675">
        <w:rPr>
          <w:rFonts w:ascii="Palatino Linotype" w:eastAsia="Times New Roman" w:hAnsi="Palatino Linotype"/>
          <w:bCs/>
          <w:sz w:val="22"/>
          <w:szCs w:val="22"/>
          <w:lang w:val="en-US" w:eastAsia="en-GB"/>
        </w:rPr>
        <w:t xml:space="preserve">, </w:t>
      </w:r>
      <w:r w:rsidR="00363C1F">
        <w:rPr>
          <w:rFonts w:ascii="Palatino Linotype" w:eastAsia="Times New Roman" w:hAnsi="Palatino Linotype"/>
          <w:bCs/>
          <w:sz w:val="22"/>
          <w:szCs w:val="22"/>
          <w:lang w:val="en-US" w:eastAsia="en-GB"/>
        </w:rPr>
        <w:t>H</w:t>
      </w:r>
      <w:r>
        <w:rPr>
          <w:rFonts w:ascii="Palatino Linotype" w:eastAsia="Times New Roman" w:hAnsi="Palatino Linotype"/>
          <w:bCs/>
          <w:sz w:val="22"/>
          <w:szCs w:val="22"/>
          <w:lang w:val="en-US" w:eastAsia="en-GB"/>
        </w:rPr>
        <w:t>ang Seng Index</w:t>
      </w:r>
      <w:r w:rsidRPr="00A01675">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 xml:space="preserve">was </w:t>
      </w:r>
      <w:r w:rsidR="00363C1F">
        <w:rPr>
          <w:rFonts w:ascii="Palatino Linotype" w:eastAsia="Times New Roman" w:hAnsi="Palatino Linotype"/>
          <w:bCs/>
          <w:sz w:val="22"/>
          <w:szCs w:val="22"/>
          <w:lang w:val="en-US" w:eastAsia="en-GB"/>
        </w:rPr>
        <w:t xml:space="preserve">the </w:t>
      </w:r>
      <w:r>
        <w:rPr>
          <w:rFonts w:ascii="Palatino Linotype" w:eastAsia="Times New Roman" w:hAnsi="Palatino Linotype"/>
          <w:bCs/>
          <w:sz w:val="22"/>
          <w:szCs w:val="22"/>
          <w:lang w:val="en-US" w:eastAsia="en-GB"/>
        </w:rPr>
        <w:t xml:space="preserve">most volatile index </w:t>
      </w:r>
      <w:r w:rsidRPr="00A01675">
        <w:rPr>
          <w:rFonts w:ascii="Palatino Linotype" w:eastAsia="Times New Roman" w:hAnsi="Palatino Linotype"/>
          <w:bCs/>
          <w:sz w:val="22"/>
          <w:szCs w:val="22"/>
          <w:lang w:val="en-US" w:eastAsia="en-GB"/>
        </w:rPr>
        <w:t>(</w:t>
      </w:r>
      <w:r>
        <w:rPr>
          <w:rFonts w:ascii="Palatino Linotype" w:eastAsia="Times New Roman" w:hAnsi="Palatino Linotype"/>
          <w:bCs/>
          <w:sz w:val="22"/>
          <w:szCs w:val="22"/>
          <w:lang w:val="en-US" w:eastAsia="en-GB"/>
        </w:rPr>
        <w:t>17.5</w:t>
      </w:r>
      <w:r w:rsidRPr="00A01675">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during August 2021, while, Dax Index (Germany) exhibited least volatility</w:t>
      </w:r>
      <w:r w:rsidRPr="00A01675">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6.8</w:t>
      </w:r>
      <w:r w:rsidRPr="00A01675">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during the month</w:t>
      </w:r>
      <w:r w:rsidRPr="00A01675">
        <w:rPr>
          <w:rFonts w:ascii="Palatino Linotype" w:eastAsia="Times New Roman" w:hAnsi="Palatino Linotype"/>
          <w:bCs/>
          <w:sz w:val="22"/>
          <w:szCs w:val="22"/>
          <w:lang w:val="en-US" w:eastAsia="en-GB"/>
        </w:rPr>
        <w:t xml:space="preserve">. </w:t>
      </w:r>
    </w:p>
    <w:p w:rsidR="003C2485" w:rsidRPr="00EF3334" w:rsidRDefault="003C2485" w:rsidP="003C2485">
      <w:pPr>
        <w:numPr>
          <w:ilvl w:val="0"/>
          <w:numId w:val="8"/>
        </w:numPr>
        <w:spacing w:line="276" w:lineRule="auto"/>
        <w:jc w:val="both"/>
        <w:rPr>
          <w:rFonts w:ascii="Palatino Linotype" w:eastAsia="Times New Roman" w:hAnsi="Palatino Linotype"/>
          <w:bCs/>
          <w:color w:val="FF0000"/>
          <w:sz w:val="22"/>
          <w:szCs w:val="22"/>
          <w:lang w:val="en-US" w:eastAsia="en-GB"/>
        </w:rPr>
      </w:pPr>
      <w:r>
        <w:rPr>
          <w:rFonts w:ascii="Palatino Linotype" w:eastAsia="Times New Roman" w:hAnsi="Palatino Linotype"/>
          <w:bCs/>
          <w:sz w:val="22"/>
          <w:szCs w:val="22"/>
          <w:lang w:val="en-US" w:eastAsia="en-GB"/>
        </w:rPr>
        <w:t>During August 2021, Nasdaq Composite recorded highest increase of 4.0 per cent, while Straits times STI of Singapore registered highest decline of 3.5 percent, among select developed market indices.</w:t>
      </w:r>
    </w:p>
    <w:p w:rsidR="003C2485" w:rsidRDefault="003C2485" w:rsidP="003C2485">
      <w:pPr>
        <w:pStyle w:val="ListParagraph"/>
        <w:rPr>
          <w:rFonts w:ascii="Palatino Linotype" w:eastAsia="Times New Roman" w:hAnsi="Palatino Linotype"/>
          <w:bCs/>
          <w:strike/>
          <w:sz w:val="22"/>
          <w:szCs w:val="22"/>
          <w:lang w:eastAsia="en-GB"/>
        </w:rPr>
      </w:pPr>
    </w:p>
    <w:p w:rsidR="003C2485" w:rsidRDefault="003C2485" w:rsidP="003C2485">
      <w:pPr>
        <w:rPr>
          <w:rFonts w:ascii="Palatino Linotype" w:hAnsi="Palatino Linotype"/>
          <w:b/>
          <w:bCs/>
          <w:szCs w:val="22"/>
        </w:rPr>
      </w:pPr>
      <w:r>
        <w:rPr>
          <w:rFonts w:ascii="Palatino Linotype" w:hAnsi="Palatino Linotype"/>
          <w:b/>
          <w:bCs/>
          <w:szCs w:val="22"/>
        </w:rPr>
        <w:t>Figure 1</w:t>
      </w:r>
      <w:r w:rsidRPr="00A01675">
        <w:rPr>
          <w:rFonts w:ascii="Palatino Linotype" w:hAnsi="Palatino Linotype"/>
          <w:b/>
          <w:bCs/>
          <w:szCs w:val="22"/>
        </w:rPr>
        <w:t>: Stock Market Trends in Selected Markets</w:t>
      </w:r>
    </w:p>
    <w:p w:rsidR="003C2485" w:rsidRPr="00A01675" w:rsidRDefault="003C2485" w:rsidP="003C2485">
      <w:pPr>
        <w:rPr>
          <w:rFonts w:ascii="Palatino Linotype" w:hAnsi="Palatino Linotype"/>
          <w:b/>
          <w:bCs/>
          <w:szCs w:val="22"/>
        </w:rPr>
      </w:pPr>
    </w:p>
    <w:p w:rsidR="003C2485" w:rsidRPr="00A01675" w:rsidRDefault="003C2485" w:rsidP="003C2485">
      <w:pPr>
        <w:spacing w:line="23" w:lineRule="atLeast"/>
        <w:rPr>
          <w:rFonts w:ascii="Palatino Linotype" w:hAnsi="Palatino Linotype"/>
          <w:bCs/>
          <w:sz w:val="22"/>
          <w:szCs w:val="22"/>
        </w:rPr>
      </w:pPr>
      <w:r w:rsidRPr="00A01675">
        <w:rPr>
          <w:noProof/>
          <w:lang w:val="en-IN" w:eastAsia="en-IN" w:bidi="hi-IN"/>
        </w:rPr>
        <w:drawing>
          <wp:inline distT="0" distB="0" distL="0" distR="0" wp14:anchorId="46CA94F4" wp14:editId="31BA4E35">
            <wp:extent cx="5542280" cy="2776220"/>
            <wp:effectExtent l="0" t="0" r="1270" b="5080"/>
            <wp:docPr id="7" name="Chart 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3C2485" w:rsidRPr="00A01675" w:rsidRDefault="003C2485" w:rsidP="003C2485">
      <w:pPr>
        <w:spacing w:line="23" w:lineRule="atLeast"/>
        <w:jc w:val="both"/>
        <w:outlineLvl w:val="0"/>
        <w:rPr>
          <w:rFonts w:ascii="Palatino Linotype" w:hAnsi="Palatino Linotype"/>
          <w:bCs/>
          <w:sz w:val="18"/>
          <w:szCs w:val="18"/>
        </w:rPr>
      </w:pPr>
      <w:r w:rsidRPr="008815D7">
        <w:rPr>
          <w:rFonts w:ascii="Palatino Linotype" w:hAnsi="Palatino Linotype"/>
          <w:b/>
          <w:sz w:val="18"/>
          <w:szCs w:val="18"/>
        </w:rPr>
        <w:t>Note</w:t>
      </w:r>
      <w:r w:rsidRPr="00A01675">
        <w:rPr>
          <w:rFonts w:ascii="Palatino Linotype" w:hAnsi="Palatino Linotype"/>
          <w:bCs/>
          <w:sz w:val="18"/>
          <w:szCs w:val="18"/>
        </w:rPr>
        <w:t xml:space="preserve">: All indices have been normalised to 100 </w:t>
      </w:r>
      <w:r w:rsidR="00A963A6">
        <w:rPr>
          <w:rFonts w:ascii="Palatino Linotype" w:hAnsi="Palatino Linotype"/>
          <w:bCs/>
          <w:sz w:val="18"/>
          <w:szCs w:val="18"/>
        </w:rPr>
        <w:t xml:space="preserve">as </w:t>
      </w:r>
      <w:r w:rsidRPr="00A01675">
        <w:rPr>
          <w:rFonts w:ascii="Palatino Linotype" w:hAnsi="Palatino Linotype"/>
          <w:bCs/>
          <w:sz w:val="18"/>
          <w:szCs w:val="18"/>
        </w:rPr>
        <w:t>on 31 July 2020.</w:t>
      </w:r>
    </w:p>
    <w:p w:rsidR="003C2485" w:rsidRPr="00A01675" w:rsidRDefault="003C2485" w:rsidP="003C2485">
      <w:pPr>
        <w:spacing w:line="23" w:lineRule="atLeast"/>
        <w:jc w:val="both"/>
        <w:outlineLvl w:val="0"/>
        <w:rPr>
          <w:rFonts w:ascii="Palatino Linotype" w:eastAsia="Times New Roman" w:hAnsi="Palatino Linotype"/>
          <w:b/>
          <w:szCs w:val="22"/>
          <w:u w:val="single"/>
          <w:lang w:val="en-US" w:eastAsia="en-GB"/>
        </w:rPr>
      </w:pPr>
      <w:r w:rsidRPr="008815D7">
        <w:rPr>
          <w:rFonts w:ascii="Palatino Linotype" w:hAnsi="Palatino Linotype"/>
          <w:b/>
          <w:sz w:val="18"/>
          <w:szCs w:val="18"/>
        </w:rPr>
        <w:t>Source</w:t>
      </w:r>
      <w:r w:rsidRPr="00A01675">
        <w:rPr>
          <w:rFonts w:ascii="Palatino Linotype" w:hAnsi="Palatino Linotype"/>
          <w:bCs/>
          <w:sz w:val="18"/>
          <w:szCs w:val="18"/>
        </w:rPr>
        <w:t>: Refinitiv</w:t>
      </w:r>
    </w:p>
    <w:p w:rsidR="003C2485" w:rsidRDefault="003C2485" w:rsidP="003C2485">
      <w:pPr>
        <w:spacing w:line="276" w:lineRule="auto"/>
        <w:ind w:left="720"/>
        <w:contextualSpacing/>
        <w:rPr>
          <w:rFonts w:ascii="Palatino Linotype" w:eastAsia="Times New Roman" w:hAnsi="Palatino Linotype"/>
          <w:b/>
          <w:sz w:val="22"/>
          <w:szCs w:val="22"/>
          <w:u w:val="single"/>
          <w:lang w:val="en-US" w:eastAsia="en-GB"/>
        </w:rPr>
      </w:pPr>
    </w:p>
    <w:p w:rsidR="003C2485" w:rsidRDefault="003C2485" w:rsidP="003C2485">
      <w:pPr>
        <w:spacing w:line="276" w:lineRule="auto"/>
        <w:ind w:left="720"/>
        <w:contextualSpacing/>
        <w:rPr>
          <w:rFonts w:ascii="Palatino Linotype" w:eastAsia="Times New Roman" w:hAnsi="Palatino Linotype"/>
          <w:b/>
          <w:sz w:val="22"/>
          <w:szCs w:val="22"/>
          <w:u w:val="single"/>
          <w:lang w:val="en-US" w:eastAsia="en-GB"/>
        </w:rPr>
      </w:pPr>
    </w:p>
    <w:p w:rsidR="003C2485" w:rsidRDefault="003C2485" w:rsidP="003C2485">
      <w:pPr>
        <w:spacing w:line="276" w:lineRule="auto"/>
        <w:ind w:left="720"/>
        <w:contextualSpacing/>
        <w:rPr>
          <w:rFonts w:ascii="Palatino Linotype" w:eastAsia="Times New Roman" w:hAnsi="Palatino Linotype"/>
          <w:b/>
          <w:sz w:val="22"/>
          <w:szCs w:val="22"/>
          <w:u w:val="single"/>
          <w:lang w:val="en-US" w:eastAsia="en-GB"/>
        </w:rPr>
      </w:pPr>
      <w:r>
        <w:rPr>
          <w:rFonts w:ascii="Palatino Linotype" w:eastAsia="Times New Roman" w:hAnsi="Palatino Linotype"/>
          <w:b/>
          <w:sz w:val="22"/>
          <w:szCs w:val="22"/>
          <w:u w:val="single"/>
          <w:lang w:val="en-US" w:eastAsia="en-GB"/>
        </w:rPr>
        <w:t>Bond Market</w:t>
      </w:r>
    </w:p>
    <w:p w:rsidR="003C2485" w:rsidRPr="00A01675" w:rsidRDefault="003C2485" w:rsidP="003C2485">
      <w:pPr>
        <w:spacing w:line="276" w:lineRule="auto"/>
        <w:ind w:left="720"/>
        <w:contextualSpacing/>
        <w:rPr>
          <w:rFonts w:ascii="Palatino Linotype" w:hAnsi="Palatino Linotype"/>
          <w:bCs/>
          <w:sz w:val="22"/>
          <w:szCs w:val="22"/>
          <w:lang w:val="en-US"/>
        </w:rPr>
      </w:pPr>
    </w:p>
    <w:p w:rsidR="003C2485" w:rsidRPr="00ED38D1" w:rsidRDefault="003C2485" w:rsidP="003C2485">
      <w:pPr>
        <w:numPr>
          <w:ilvl w:val="0"/>
          <w:numId w:val="8"/>
        </w:numPr>
        <w:spacing w:line="276" w:lineRule="auto"/>
        <w:contextualSpacing/>
        <w:jc w:val="both"/>
        <w:rPr>
          <w:rFonts w:ascii="Palatino Linotype" w:eastAsia="Times New Roman" w:hAnsi="Palatino Linotype"/>
          <w:bCs/>
          <w:color w:val="000000"/>
          <w:sz w:val="22"/>
          <w:szCs w:val="22"/>
          <w:lang w:val="en-US" w:eastAsia="en-GB"/>
        </w:rPr>
      </w:pPr>
      <w:r w:rsidRPr="00ED38D1">
        <w:rPr>
          <w:rFonts w:ascii="Palatino Linotype" w:eastAsia="Times New Roman" w:hAnsi="Palatino Linotype"/>
          <w:bCs/>
          <w:color w:val="000000"/>
          <w:sz w:val="22"/>
          <w:szCs w:val="22"/>
          <w:lang w:val="en-US" w:eastAsia="en-GB"/>
        </w:rPr>
        <w:t>Among BRIC Nations, 10-year government bond yield of Brazil increased significantly to 10.6 per cent, as at end of August 2021 from 9.1 per cent in previous month (15.7 per cent increase).</w:t>
      </w:r>
    </w:p>
    <w:p w:rsidR="003C2485" w:rsidRPr="00ED38D1" w:rsidRDefault="003C2485" w:rsidP="003C2485">
      <w:pPr>
        <w:numPr>
          <w:ilvl w:val="0"/>
          <w:numId w:val="8"/>
        </w:numPr>
        <w:spacing w:line="276" w:lineRule="auto"/>
        <w:contextualSpacing/>
        <w:jc w:val="both"/>
        <w:rPr>
          <w:rFonts w:ascii="Palatino Linotype" w:eastAsia="Times New Roman" w:hAnsi="Palatino Linotype"/>
          <w:bCs/>
          <w:color w:val="000000"/>
          <w:sz w:val="22"/>
          <w:szCs w:val="22"/>
          <w:lang w:val="en-US" w:eastAsia="en-GB"/>
        </w:rPr>
      </w:pPr>
      <w:r w:rsidRPr="00ED38D1">
        <w:rPr>
          <w:rFonts w:ascii="Palatino Linotype" w:eastAsia="Times New Roman" w:hAnsi="Palatino Linotype"/>
          <w:bCs/>
          <w:color w:val="000000"/>
          <w:sz w:val="22"/>
          <w:szCs w:val="22"/>
          <w:lang w:val="en-US" w:eastAsia="en-GB"/>
        </w:rPr>
        <w:t>Indian 10-year government bond yield stood at 6.2 per cent in August 2021, broadly unchanged from previous month.</w:t>
      </w:r>
    </w:p>
    <w:p w:rsidR="003C2485" w:rsidRDefault="003C2485" w:rsidP="003C2485">
      <w:pPr>
        <w:numPr>
          <w:ilvl w:val="0"/>
          <w:numId w:val="8"/>
        </w:numPr>
        <w:spacing w:line="276" w:lineRule="auto"/>
        <w:contextualSpacing/>
        <w:jc w:val="both"/>
        <w:rPr>
          <w:rFonts w:ascii="Palatino Linotype" w:hAnsi="Palatino Linotype"/>
          <w:bCs/>
          <w:sz w:val="22"/>
          <w:szCs w:val="22"/>
        </w:rPr>
      </w:pPr>
      <w:r w:rsidRPr="00A01675">
        <w:rPr>
          <w:rFonts w:ascii="Palatino Linotype" w:eastAsia="Times New Roman" w:hAnsi="Palatino Linotype"/>
          <w:bCs/>
          <w:color w:val="000000"/>
          <w:sz w:val="22"/>
          <w:szCs w:val="22"/>
          <w:lang w:val="en-US" w:eastAsia="en-GB"/>
        </w:rPr>
        <w:t xml:space="preserve">Among </w:t>
      </w:r>
      <w:r>
        <w:rPr>
          <w:rFonts w:ascii="Palatino Linotype" w:eastAsia="Times New Roman" w:hAnsi="Palatino Linotype"/>
          <w:bCs/>
          <w:color w:val="000000"/>
          <w:sz w:val="22"/>
          <w:szCs w:val="22"/>
          <w:lang w:val="en-US" w:eastAsia="en-GB"/>
        </w:rPr>
        <w:t xml:space="preserve">select developed </w:t>
      </w:r>
      <w:r w:rsidRPr="00A01675">
        <w:rPr>
          <w:rFonts w:ascii="Palatino Linotype" w:eastAsia="Times New Roman" w:hAnsi="Palatino Linotype"/>
          <w:bCs/>
          <w:color w:val="000000"/>
          <w:sz w:val="22"/>
          <w:szCs w:val="22"/>
          <w:lang w:val="en-US" w:eastAsia="en-GB"/>
        </w:rPr>
        <w:t>countries</w:t>
      </w:r>
      <w:r>
        <w:rPr>
          <w:rStyle w:val="FootnoteReference"/>
          <w:rFonts w:ascii="Palatino Linotype" w:eastAsia="Times New Roman" w:hAnsi="Palatino Linotype"/>
          <w:bCs/>
          <w:color w:val="000000"/>
          <w:sz w:val="22"/>
          <w:szCs w:val="22"/>
          <w:lang w:val="en-US" w:eastAsia="en-GB"/>
        </w:rPr>
        <w:footnoteReference w:id="4"/>
      </w:r>
      <w:r w:rsidRPr="00A01675">
        <w:rPr>
          <w:rFonts w:ascii="Palatino Linotype" w:eastAsia="Times New Roman" w:hAnsi="Palatino Linotype"/>
          <w:bCs/>
          <w:color w:val="000000"/>
          <w:sz w:val="22"/>
          <w:szCs w:val="22"/>
          <w:lang w:val="en-US" w:eastAsia="en-GB"/>
        </w:rPr>
        <w:t xml:space="preserve">, 10-year </w:t>
      </w:r>
      <w:r>
        <w:rPr>
          <w:rFonts w:ascii="Palatino Linotype" w:eastAsia="Times New Roman" w:hAnsi="Palatino Linotype"/>
          <w:bCs/>
          <w:color w:val="000000"/>
          <w:sz w:val="22"/>
          <w:szCs w:val="22"/>
          <w:lang w:val="en-US" w:eastAsia="en-GB"/>
        </w:rPr>
        <w:t xml:space="preserve">government </w:t>
      </w:r>
      <w:r w:rsidRPr="00A01675">
        <w:rPr>
          <w:rFonts w:ascii="Palatino Linotype" w:eastAsia="Times New Roman" w:hAnsi="Palatino Linotype"/>
          <w:bCs/>
          <w:color w:val="000000"/>
          <w:sz w:val="22"/>
          <w:szCs w:val="22"/>
          <w:lang w:val="en-US" w:eastAsia="en-GB"/>
        </w:rPr>
        <w:t xml:space="preserve">bond yield in </w:t>
      </w:r>
      <w:r>
        <w:rPr>
          <w:rFonts w:ascii="Palatino Linotype" w:eastAsia="Times New Roman" w:hAnsi="Palatino Linotype"/>
          <w:bCs/>
          <w:color w:val="000000"/>
          <w:sz w:val="22"/>
          <w:szCs w:val="22"/>
          <w:lang w:val="en-US" w:eastAsia="en-GB"/>
        </w:rPr>
        <w:t xml:space="preserve">U.S. increased to 1.3 per cent as at end of August </w:t>
      </w:r>
      <w:r w:rsidRPr="00A01675">
        <w:rPr>
          <w:rFonts w:ascii="Palatino Linotype" w:eastAsia="Times New Roman" w:hAnsi="Palatino Linotype"/>
          <w:bCs/>
          <w:color w:val="000000"/>
          <w:sz w:val="22"/>
          <w:szCs w:val="22"/>
          <w:lang w:val="en-US" w:eastAsia="en-GB"/>
        </w:rPr>
        <w:t>2021,</w:t>
      </w:r>
      <w:r>
        <w:rPr>
          <w:rFonts w:ascii="Palatino Linotype" w:eastAsia="Times New Roman" w:hAnsi="Palatino Linotype"/>
          <w:bCs/>
          <w:color w:val="000000"/>
          <w:sz w:val="22"/>
          <w:szCs w:val="22"/>
          <w:lang w:val="en-US" w:eastAsia="en-GB"/>
        </w:rPr>
        <w:t xml:space="preserve"> as compared to 1.2 per cent at end of July 2021, while Germany reported negative yield of 0.4 per cent as at end of the month.</w:t>
      </w:r>
    </w:p>
    <w:p w:rsidR="003C2485" w:rsidRDefault="003C2485" w:rsidP="003C2485">
      <w:pPr>
        <w:spacing w:line="276" w:lineRule="auto"/>
        <w:contextualSpacing/>
        <w:jc w:val="both"/>
        <w:rPr>
          <w:rFonts w:ascii="Palatino Linotype" w:hAnsi="Palatino Linotype"/>
          <w:bCs/>
          <w:sz w:val="22"/>
          <w:szCs w:val="22"/>
        </w:rPr>
      </w:pPr>
    </w:p>
    <w:p w:rsidR="003C2485" w:rsidRPr="00A01675" w:rsidRDefault="003C2485" w:rsidP="003C2485">
      <w:pPr>
        <w:rPr>
          <w:rFonts w:ascii="Palatino Linotype" w:hAnsi="Palatino Linotype"/>
          <w:b/>
          <w:bCs/>
          <w:szCs w:val="22"/>
        </w:rPr>
      </w:pPr>
      <w:r>
        <w:rPr>
          <w:rFonts w:ascii="Palatino Linotype" w:hAnsi="Palatino Linotype"/>
          <w:b/>
          <w:bCs/>
          <w:szCs w:val="22"/>
        </w:rPr>
        <w:t>Table 1</w:t>
      </w:r>
      <w:r w:rsidRPr="00A01675">
        <w:rPr>
          <w:rFonts w:ascii="Palatino Linotype" w:hAnsi="Palatino Linotype"/>
          <w:b/>
          <w:bCs/>
          <w:szCs w:val="22"/>
        </w:rPr>
        <w:t>: 10-year Government Bond Yields</w:t>
      </w:r>
    </w:p>
    <w:p w:rsidR="003C2485" w:rsidRPr="00A01675" w:rsidRDefault="003C2485" w:rsidP="003C2485">
      <w:pPr>
        <w:rPr>
          <w:rFonts w:ascii="Palatino Linotype" w:hAnsi="Palatino Linotype"/>
          <w:bCs/>
          <w:sz w:val="22"/>
          <w:szCs w:val="22"/>
        </w:rPr>
      </w:pPr>
    </w:p>
    <w:tbl>
      <w:tblPr>
        <w:tblW w:w="6683" w:type="dxa"/>
        <w:tblInd w:w="108" w:type="dxa"/>
        <w:tblLook w:val="04A0" w:firstRow="1" w:lastRow="0" w:firstColumn="1" w:lastColumn="0" w:noHBand="0" w:noVBand="1"/>
      </w:tblPr>
      <w:tblGrid>
        <w:gridCol w:w="1083"/>
        <w:gridCol w:w="1323"/>
        <w:gridCol w:w="1377"/>
        <w:gridCol w:w="962"/>
        <w:gridCol w:w="962"/>
        <w:gridCol w:w="965"/>
        <w:gridCol w:w="11"/>
      </w:tblGrid>
      <w:tr w:rsidR="003C2485" w:rsidRPr="00593C40" w:rsidTr="003C2485">
        <w:trPr>
          <w:gridAfter w:val="1"/>
          <w:wAfter w:w="11" w:type="dxa"/>
          <w:trHeight w:val="265"/>
        </w:trPr>
        <w:tc>
          <w:tcPr>
            <w:tcW w:w="1083"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3C2485" w:rsidRPr="00593C40" w:rsidRDefault="003C2485" w:rsidP="003C2485">
            <w:pPr>
              <w:jc w:val="center"/>
              <w:rPr>
                <w:rFonts w:ascii="Garamond" w:eastAsia="Times New Roman" w:hAnsi="Garamond" w:cs="Calibri"/>
                <w:b/>
                <w:bCs/>
                <w:color w:val="000000"/>
                <w:sz w:val="20"/>
                <w:szCs w:val="20"/>
                <w:lang w:val="en-IN" w:eastAsia="en-IN" w:bidi="hi-IN"/>
              </w:rPr>
            </w:pPr>
            <w:r w:rsidRPr="00593C40">
              <w:rPr>
                <w:rFonts w:ascii="Garamond" w:eastAsia="Times New Roman" w:hAnsi="Garamond" w:cs="Calibri"/>
                <w:b/>
                <w:bCs/>
                <w:color w:val="000000"/>
                <w:sz w:val="20"/>
                <w:szCs w:val="20"/>
                <w:lang w:val="en-IN" w:eastAsia="en-IN" w:bidi="hi-IN"/>
              </w:rPr>
              <w:t>Country</w:t>
            </w:r>
          </w:p>
        </w:tc>
        <w:tc>
          <w:tcPr>
            <w:tcW w:w="1323" w:type="dxa"/>
            <w:tcBorders>
              <w:top w:val="single" w:sz="8" w:space="0" w:color="auto"/>
              <w:left w:val="nil"/>
              <w:bottom w:val="nil"/>
              <w:right w:val="single" w:sz="8" w:space="0" w:color="auto"/>
            </w:tcBorders>
            <w:shd w:val="clear" w:color="000000" w:fill="B4C6E7"/>
            <w:noWrap/>
            <w:hideMark/>
          </w:tcPr>
          <w:p w:rsidR="003C2485" w:rsidRPr="00593C40" w:rsidRDefault="003C2485" w:rsidP="003C2485">
            <w:pPr>
              <w:jc w:val="center"/>
              <w:rPr>
                <w:rFonts w:ascii="Garamond" w:eastAsia="Times New Roman" w:hAnsi="Garamond" w:cs="Calibri"/>
                <w:b/>
                <w:bCs/>
                <w:color w:val="000000"/>
                <w:sz w:val="20"/>
                <w:szCs w:val="20"/>
                <w:lang w:val="en-IN" w:eastAsia="en-IN" w:bidi="hi-IN"/>
              </w:rPr>
            </w:pPr>
            <w:r w:rsidRPr="00593C40">
              <w:rPr>
                <w:rFonts w:ascii="Garamond" w:eastAsia="Times New Roman" w:hAnsi="Garamond" w:cs="Calibri"/>
                <w:b/>
                <w:bCs/>
                <w:color w:val="000000"/>
                <w:sz w:val="20"/>
                <w:szCs w:val="20"/>
                <w:lang w:val="en-IN" w:eastAsia="en-IN" w:bidi="hi-IN"/>
              </w:rPr>
              <w:t>Yield as on</w:t>
            </w:r>
          </w:p>
        </w:tc>
        <w:tc>
          <w:tcPr>
            <w:tcW w:w="4266" w:type="dxa"/>
            <w:gridSpan w:val="4"/>
            <w:tcBorders>
              <w:top w:val="single" w:sz="8" w:space="0" w:color="auto"/>
              <w:left w:val="nil"/>
              <w:bottom w:val="single" w:sz="8" w:space="0" w:color="auto"/>
              <w:right w:val="single" w:sz="8" w:space="0" w:color="000000"/>
            </w:tcBorders>
            <w:shd w:val="clear" w:color="000000" w:fill="B4C6E7"/>
            <w:hideMark/>
          </w:tcPr>
          <w:p w:rsidR="003C2485" w:rsidRPr="00593C40" w:rsidRDefault="003C2485" w:rsidP="003C2485">
            <w:pPr>
              <w:jc w:val="center"/>
              <w:rPr>
                <w:rFonts w:ascii="Garamond" w:eastAsia="Times New Roman" w:hAnsi="Garamond" w:cs="Calibri"/>
                <w:b/>
                <w:bCs/>
                <w:color w:val="000000"/>
                <w:sz w:val="20"/>
                <w:szCs w:val="20"/>
                <w:lang w:val="en-IN" w:eastAsia="en-IN" w:bidi="hi-IN"/>
              </w:rPr>
            </w:pPr>
            <w:r w:rsidRPr="00593C40">
              <w:rPr>
                <w:rFonts w:ascii="Garamond" w:eastAsia="Times New Roman" w:hAnsi="Garamond" w:cs="Calibri"/>
                <w:b/>
                <w:bCs/>
                <w:color w:val="000000"/>
                <w:sz w:val="20"/>
                <w:szCs w:val="20"/>
                <w:lang w:val="en-IN" w:eastAsia="en-IN" w:bidi="hi-IN"/>
              </w:rPr>
              <w:t>Bond Yield in previous period</w:t>
            </w:r>
          </w:p>
        </w:tc>
      </w:tr>
      <w:tr w:rsidR="003C2485" w:rsidRPr="00593C40" w:rsidTr="003C2485">
        <w:trPr>
          <w:gridAfter w:val="1"/>
          <w:wAfter w:w="13" w:type="dxa"/>
          <w:trHeight w:val="265"/>
        </w:trPr>
        <w:tc>
          <w:tcPr>
            <w:tcW w:w="1083" w:type="dxa"/>
            <w:vMerge/>
            <w:tcBorders>
              <w:top w:val="single" w:sz="8" w:space="0" w:color="auto"/>
              <w:left w:val="single" w:sz="8" w:space="0" w:color="auto"/>
              <w:bottom w:val="single" w:sz="8" w:space="0" w:color="000000"/>
              <w:right w:val="single" w:sz="8" w:space="0" w:color="auto"/>
            </w:tcBorders>
            <w:vAlign w:val="center"/>
            <w:hideMark/>
          </w:tcPr>
          <w:p w:rsidR="003C2485" w:rsidRPr="00593C40" w:rsidRDefault="003C2485" w:rsidP="003C2485">
            <w:pPr>
              <w:rPr>
                <w:rFonts w:ascii="Garamond" w:eastAsia="Times New Roman" w:hAnsi="Garamond" w:cs="Calibri"/>
                <w:b/>
                <w:bCs/>
                <w:color w:val="000000"/>
                <w:sz w:val="20"/>
                <w:szCs w:val="20"/>
                <w:lang w:val="en-IN" w:eastAsia="en-IN" w:bidi="hi-IN"/>
              </w:rPr>
            </w:pPr>
          </w:p>
        </w:tc>
        <w:tc>
          <w:tcPr>
            <w:tcW w:w="1323" w:type="dxa"/>
            <w:tcBorders>
              <w:top w:val="nil"/>
              <w:left w:val="nil"/>
              <w:bottom w:val="single" w:sz="8" w:space="0" w:color="auto"/>
              <w:right w:val="single" w:sz="8" w:space="0" w:color="auto"/>
            </w:tcBorders>
            <w:shd w:val="clear" w:color="000000" w:fill="B4C6E7"/>
            <w:noWrap/>
            <w:hideMark/>
          </w:tcPr>
          <w:p w:rsidR="003C2485" w:rsidRPr="00593C40" w:rsidRDefault="003C2485" w:rsidP="003C2485">
            <w:pPr>
              <w:jc w:val="center"/>
              <w:rPr>
                <w:rFonts w:ascii="Garamond" w:eastAsia="Times New Roman" w:hAnsi="Garamond" w:cs="Calibri"/>
                <w:b/>
                <w:bCs/>
                <w:color w:val="000000"/>
                <w:sz w:val="20"/>
                <w:szCs w:val="20"/>
                <w:lang w:val="en-IN" w:eastAsia="en-IN" w:bidi="hi-IN"/>
              </w:rPr>
            </w:pPr>
            <w:r w:rsidRPr="00593C40">
              <w:rPr>
                <w:rFonts w:ascii="Garamond" w:eastAsia="Times New Roman" w:hAnsi="Garamond" w:cs="Calibri"/>
                <w:b/>
                <w:bCs/>
                <w:color w:val="000000"/>
                <w:sz w:val="20"/>
                <w:szCs w:val="20"/>
                <w:lang w:val="en-IN" w:eastAsia="en-IN" w:bidi="hi-IN"/>
              </w:rPr>
              <w:t>31-Aug-21</w:t>
            </w:r>
          </w:p>
        </w:tc>
        <w:tc>
          <w:tcPr>
            <w:tcW w:w="1377" w:type="dxa"/>
            <w:tcBorders>
              <w:top w:val="nil"/>
              <w:left w:val="nil"/>
              <w:bottom w:val="single" w:sz="8" w:space="0" w:color="auto"/>
              <w:right w:val="single" w:sz="8" w:space="0" w:color="auto"/>
            </w:tcBorders>
            <w:shd w:val="clear" w:color="000000" w:fill="B4C6E7"/>
            <w:noWrap/>
            <w:hideMark/>
          </w:tcPr>
          <w:p w:rsidR="003C2485" w:rsidRPr="00593C40" w:rsidRDefault="003C2485" w:rsidP="003C2485">
            <w:pPr>
              <w:jc w:val="center"/>
              <w:rPr>
                <w:rFonts w:ascii="Garamond" w:eastAsia="Times New Roman" w:hAnsi="Garamond" w:cs="Calibri"/>
                <w:b/>
                <w:bCs/>
                <w:color w:val="000000"/>
                <w:sz w:val="20"/>
                <w:szCs w:val="20"/>
                <w:lang w:val="en-IN" w:eastAsia="en-IN" w:bidi="hi-IN"/>
              </w:rPr>
            </w:pPr>
            <w:r w:rsidRPr="00593C40">
              <w:rPr>
                <w:rFonts w:ascii="Garamond" w:eastAsia="Times New Roman" w:hAnsi="Garamond" w:cs="Calibri"/>
                <w:b/>
                <w:bCs/>
                <w:color w:val="000000"/>
                <w:sz w:val="20"/>
                <w:szCs w:val="20"/>
                <w:lang w:val="en-IN" w:eastAsia="en-IN" w:bidi="hi-IN"/>
              </w:rPr>
              <w:t>1-Month</w:t>
            </w:r>
          </w:p>
        </w:tc>
        <w:tc>
          <w:tcPr>
            <w:tcW w:w="962" w:type="dxa"/>
            <w:tcBorders>
              <w:top w:val="nil"/>
              <w:left w:val="nil"/>
              <w:bottom w:val="single" w:sz="8" w:space="0" w:color="auto"/>
              <w:right w:val="single" w:sz="8" w:space="0" w:color="auto"/>
            </w:tcBorders>
            <w:shd w:val="clear" w:color="000000" w:fill="B4C6E7"/>
            <w:noWrap/>
            <w:hideMark/>
          </w:tcPr>
          <w:p w:rsidR="003C2485" w:rsidRPr="00593C40" w:rsidRDefault="003C2485" w:rsidP="003C2485">
            <w:pPr>
              <w:jc w:val="center"/>
              <w:rPr>
                <w:rFonts w:ascii="Garamond" w:eastAsia="Times New Roman" w:hAnsi="Garamond" w:cs="Calibri"/>
                <w:b/>
                <w:bCs/>
                <w:color w:val="000000"/>
                <w:sz w:val="20"/>
                <w:szCs w:val="20"/>
                <w:lang w:val="en-IN" w:eastAsia="en-IN" w:bidi="hi-IN"/>
              </w:rPr>
            </w:pPr>
            <w:r w:rsidRPr="00593C40">
              <w:rPr>
                <w:rFonts w:ascii="Garamond" w:eastAsia="Times New Roman" w:hAnsi="Garamond" w:cs="Calibri"/>
                <w:b/>
                <w:bCs/>
                <w:color w:val="000000"/>
                <w:sz w:val="20"/>
                <w:szCs w:val="20"/>
                <w:lang w:val="en-IN" w:eastAsia="en-IN" w:bidi="hi-IN"/>
              </w:rPr>
              <w:t>3-Month</w:t>
            </w:r>
          </w:p>
        </w:tc>
        <w:tc>
          <w:tcPr>
            <w:tcW w:w="962" w:type="dxa"/>
            <w:tcBorders>
              <w:top w:val="nil"/>
              <w:left w:val="nil"/>
              <w:bottom w:val="single" w:sz="8" w:space="0" w:color="auto"/>
              <w:right w:val="single" w:sz="8" w:space="0" w:color="auto"/>
            </w:tcBorders>
            <w:shd w:val="clear" w:color="000000" w:fill="B4C6E7"/>
            <w:noWrap/>
            <w:hideMark/>
          </w:tcPr>
          <w:p w:rsidR="003C2485" w:rsidRPr="00593C40" w:rsidRDefault="003C2485" w:rsidP="003C2485">
            <w:pPr>
              <w:jc w:val="center"/>
              <w:rPr>
                <w:rFonts w:ascii="Garamond" w:eastAsia="Times New Roman" w:hAnsi="Garamond" w:cs="Calibri"/>
                <w:b/>
                <w:bCs/>
                <w:color w:val="000000"/>
                <w:sz w:val="20"/>
                <w:szCs w:val="20"/>
                <w:lang w:val="en-IN" w:eastAsia="en-IN" w:bidi="hi-IN"/>
              </w:rPr>
            </w:pPr>
            <w:r w:rsidRPr="00593C40">
              <w:rPr>
                <w:rFonts w:ascii="Garamond" w:eastAsia="Times New Roman" w:hAnsi="Garamond" w:cs="Calibri"/>
                <w:b/>
                <w:bCs/>
                <w:color w:val="000000"/>
                <w:sz w:val="20"/>
                <w:szCs w:val="20"/>
                <w:lang w:val="en-IN" w:eastAsia="en-IN" w:bidi="hi-IN"/>
              </w:rPr>
              <w:t>6-Month</w:t>
            </w:r>
          </w:p>
        </w:tc>
        <w:tc>
          <w:tcPr>
            <w:tcW w:w="963" w:type="dxa"/>
            <w:tcBorders>
              <w:top w:val="nil"/>
              <w:left w:val="nil"/>
              <w:bottom w:val="single" w:sz="8" w:space="0" w:color="auto"/>
              <w:right w:val="single" w:sz="8" w:space="0" w:color="auto"/>
            </w:tcBorders>
            <w:shd w:val="clear" w:color="000000" w:fill="B4C6E7"/>
            <w:noWrap/>
            <w:hideMark/>
          </w:tcPr>
          <w:p w:rsidR="003C2485" w:rsidRPr="00593C40" w:rsidRDefault="003C2485" w:rsidP="003C2485">
            <w:pPr>
              <w:jc w:val="center"/>
              <w:rPr>
                <w:rFonts w:ascii="Garamond" w:eastAsia="Times New Roman" w:hAnsi="Garamond" w:cs="Calibri"/>
                <w:b/>
                <w:bCs/>
                <w:color w:val="000000"/>
                <w:sz w:val="20"/>
                <w:szCs w:val="20"/>
                <w:lang w:val="en-IN" w:eastAsia="en-IN" w:bidi="hi-IN"/>
              </w:rPr>
            </w:pPr>
            <w:r w:rsidRPr="00593C40">
              <w:rPr>
                <w:rFonts w:ascii="Garamond" w:eastAsia="Times New Roman" w:hAnsi="Garamond" w:cs="Calibri"/>
                <w:b/>
                <w:bCs/>
                <w:color w:val="000000"/>
                <w:sz w:val="20"/>
                <w:szCs w:val="20"/>
                <w:lang w:val="en-IN" w:eastAsia="en-IN" w:bidi="hi-IN"/>
              </w:rPr>
              <w:t>1-Year</w:t>
            </w:r>
          </w:p>
        </w:tc>
      </w:tr>
      <w:tr w:rsidR="003C2485" w:rsidRPr="00593C40" w:rsidTr="003C2485">
        <w:trPr>
          <w:trHeight w:val="265"/>
        </w:trPr>
        <w:tc>
          <w:tcPr>
            <w:tcW w:w="6683" w:type="dxa"/>
            <w:gridSpan w:val="7"/>
            <w:tcBorders>
              <w:top w:val="single" w:sz="8" w:space="0" w:color="auto"/>
              <w:left w:val="single" w:sz="8" w:space="0" w:color="auto"/>
              <w:bottom w:val="single" w:sz="8" w:space="0" w:color="auto"/>
              <w:right w:val="single" w:sz="8" w:space="0" w:color="000000"/>
            </w:tcBorders>
            <w:shd w:val="clear" w:color="000000" w:fill="D9E1F2"/>
            <w:noWrap/>
            <w:hideMark/>
          </w:tcPr>
          <w:p w:rsidR="003C2485" w:rsidRPr="00593C40" w:rsidRDefault="003C2485" w:rsidP="003C2485">
            <w:pPr>
              <w:jc w:val="center"/>
              <w:rPr>
                <w:rFonts w:ascii="Garamond" w:eastAsia="Times New Roman" w:hAnsi="Garamond" w:cs="Calibri"/>
                <w:b/>
                <w:bCs/>
                <w:color w:val="000000"/>
                <w:sz w:val="20"/>
                <w:szCs w:val="20"/>
                <w:lang w:val="en-IN" w:eastAsia="en-IN" w:bidi="hi-IN"/>
              </w:rPr>
            </w:pPr>
            <w:r w:rsidRPr="00593C40">
              <w:rPr>
                <w:rFonts w:ascii="Garamond" w:eastAsia="Times New Roman" w:hAnsi="Garamond" w:cs="Calibri"/>
                <w:b/>
                <w:bCs/>
                <w:color w:val="000000"/>
                <w:sz w:val="20"/>
                <w:szCs w:val="20"/>
                <w:lang w:val="en-IN" w:eastAsia="en-IN" w:bidi="hi-IN"/>
              </w:rPr>
              <w:t>BRIC Nations</w:t>
            </w:r>
          </w:p>
        </w:tc>
      </w:tr>
      <w:tr w:rsidR="003C2485" w:rsidRPr="00593C40" w:rsidTr="003C2485">
        <w:trPr>
          <w:gridAfter w:val="1"/>
          <w:wAfter w:w="13" w:type="dxa"/>
          <w:trHeight w:val="252"/>
        </w:trPr>
        <w:tc>
          <w:tcPr>
            <w:tcW w:w="1083" w:type="dxa"/>
            <w:tcBorders>
              <w:top w:val="nil"/>
              <w:left w:val="single" w:sz="8" w:space="0" w:color="auto"/>
              <w:bottom w:val="nil"/>
              <w:right w:val="single" w:sz="8" w:space="0" w:color="auto"/>
            </w:tcBorders>
            <w:shd w:val="clear" w:color="000000" w:fill="D9E1F2"/>
            <w:noWrap/>
            <w:hideMark/>
          </w:tcPr>
          <w:p w:rsidR="003C2485" w:rsidRPr="00593C40" w:rsidRDefault="003C2485" w:rsidP="003C2485">
            <w:pPr>
              <w:rPr>
                <w:rFonts w:ascii="Garamond" w:eastAsia="Times New Roman" w:hAnsi="Garamond" w:cs="Calibri"/>
                <w:color w:val="000000"/>
                <w:sz w:val="20"/>
                <w:szCs w:val="20"/>
                <w:lang w:val="en-IN" w:eastAsia="en-IN" w:bidi="hi-IN"/>
              </w:rPr>
            </w:pPr>
            <w:r w:rsidRPr="00593C40">
              <w:rPr>
                <w:rFonts w:ascii="Garamond" w:eastAsia="Times New Roman" w:hAnsi="Garamond" w:cs="Calibri"/>
                <w:color w:val="000000"/>
                <w:sz w:val="20"/>
                <w:szCs w:val="20"/>
                <w:lang w:val="en-IN" w:eastAsia="en-IN" w:bidi="hi-IN"/>
              </w:rPr>
              <w:t>Brazil</w:t>
            </w:r>
          </w:p>
        </w:tc>
        <w:tc>
          <w:tcPr>
            <w:tcW w:w="1323" w:type="dxa"/>
            <w:tcBorders>
              <w:top w:val="nil"/>
              <w:left w:val="nil"/>
              <w:bottom w:val="nil"/>
              <w:right w:val="single" w:sz="8" w:space="0" w:color="auto"/>
            </w:tcBorders>
            <w:shd w:val="clear" w:color="000000" w:fill="9BC2E6"/>
            <w:noWrap/>
            <w:hideMark/>
          </w:tcPr>
          <w:p w:rsidR="003C2485" w:rsidRPr="00593C40" w:rsidRDefault="003C2485" w:rsidP="003C2485">
            <w:pPr>
              <w:ind w:firstLineChars="100" w:firstLine="201"/>
              <w:jc w:val="right"/>
              <w:rPr>
                <w:rFonts w:ascii="Garamond" w:eastAsia="Times New Roman" w:hAnsi="Garamond" w:cs="Calibri"/>
                <w:b/>
                <w:bCs/>
                <w:sz w:val="20"/>
                <w:szCs w:val="20"/>
                <w:lang w:val="en-IN" w:eastAsia="en-IN" w:bidi="hi-IN"/>
              </w:rPr>
            </w:pPr>
            <w:r w:rsidRPr="00593C40">
              <w:rPr>
                <w:rFonts w:ascii="Garamond" w:eastAsia="Times New Roman" w:hAnsi="Garamond" w:cs="Calibri"/>
                <w:b/>
                <w:bCs/>
                <w:sz w:val="20"/>
                <w:szCs w:val="20"/>
                <w:lang w:val="en-IN" w:eastAsia="en-IN" w:bidi="hi-IN"/>
              </w:rPr>
              <w:t>10.6</w:t>
            </w:r>
          </w:p>
        </w:tc>
        <w:tc>
          <w:tcPr>
            <w:tcW w:w="1377"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9.1</w:t>
            </w:r>
          </w:p>
        </w:tc>
        <w:tc>
          <w:tcPr>
            <w:tcW w:w="962"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9.1</w:t>
            </w:r>
          </w:p>
        </w:tc>
        <w:tc>
          <w:tcPr>
            <w:tcW w:w="962"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8.2</w:t>
            </w:r>
          </w:p>
        </w:tc>
        <w:tc>
          <w:tcPr>
            <w:tcW w:w="963"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6.9</w:t>
            </w:r>
          </w:p>
        </w:tc>
      </w:tr>
      <w:tr w:rsidR="003C2485" w:rsidRPr="00593C40" w:rsidTr="003C2485">
        <w:trPr>
          <w:gridAfter w:val="1"/>
          <w:wAfter w:w="13" w:type="dxa"/>
          <w:trHeight w:val="252"/>
        </w:trPr>
        <w:tc>
          <w:tcPr>
            <w:tcW w:w="1083" w:type="dxa"/>
            <w:tcBorders>
              <w:top w:val="nil"/>
              <w:left w:val="single" w:sz="8" w:space="0" w:color="auto"/>
              <w:bottom w:val="nil"/>
              <w:right w:val="single" w:sz="8" w:space="0" w:color="auto"/>
            </w:tcBorders>
            <w:shd w:val="clear" w:color="000000" w:fill="D9E1F2"/>
            <w:noWrap/>
            <w:hideMark/>
          </w:tcPr>
          <w:p w:rsidR="003C2485" w:rsidRPr="00593C40" w:rsidRDefault="003C2485" w:rsidP="003C2485">
            <w:pPr>
              <w:rPr>
                <w:rFonts w:ascii="Garamond" w:eastAsia="Times New Roman" w:hAnsi="Garamond" w:cs="Calibri"/>
                <w:color w:val="000000"/>
                <w:sz w:val="20"/>
                <w:szCs w:val="20"/>
                <w:lang w:val="en-IN" w:eastAsia="en-IN" w:bidi="hi-IN"/>
              </w:rPr>
            </w:pPr>
            <w:r w:rsidRPr="00593C40">
              <w:rPr>
                <w:rFonts w:ascii="Garamond" w:eastAsia="Times New Roman" w:hAnsi="Garamond" w:cs="Calibri"/>
                <w:color w:val="000000"/>
                <w:sz w:val="20"/>
                <w:szCs w:val="20"/>
                <w:lang w:val="en-IN" w:eastAsia="en-IN" w:bidi="hi-IN"/>
              </w:rPr>
              <w:t>Russia</w:t>
            </w:r>
          </w:p>
        </w:tc>
        <w:tc>
          <w:tcPr>
            <w:tcW w:w="1323" w:type="dxa"/>
            <w:tcBorders>
              <w:top w:val="nil"/>
              <w:left w:val="nil"/>
              <w:bottom w:val="nil"/>
              <w:right w:val="single" w:sz="8" w:space="0" w:color="auto"/>
            </w:tcBorders>
            <w:shd w:val="clear" w:color="000000" w:fill="9BC2E6"/>
            <w:noWrap/>
            <w:hideMark/>
          </w:tcPr>
          <w:p w:rsidR="003C2485" w:rsidRPr="00593C40" w:rsidRDefault="003C2485" w:rsidP="003C2485">
            <w:pPr>
              <w:ind w:firstLineChars="100" w:firstLine="201"/>
              <w:jc w:val="right"/>
              <w:rPr>
                <w:rFonts w:ascii="Garamond" w:eastAsia="Times New Roman" w:hAnsi="Garamond" w:cs="Calibri"/>
                <w:b/>
                <w:bCs/>
                <w:sz w:val="20"/>
                <w:szCs w:val="20"/>
                <w:lang w:val="en-IN" w:eastAsia="en-IN" w:bidi="hi-IN"/>
              </w:rPr>
            </w:pPr>
            <w:r w:rsidRPr="00593C40">
              <w:rPr>
                <w:rFonts w:ascii="Garamond" w:eastAsia="Times New Roman" w:hAnsi="Garamond" w:cs="Calibri"/>
                <w:b/>
                <w:bCs/>
                <w:sz w:val="20"/>
                <w:szCs w:val="20"/>
                <w:lang w:val="en-IN" w:eastAsia="en-IN" w:bidi="hi-IN"/>
              </w:rPr>
              <w:t>7.0</w:t>
            </w:r>
          </w:p>
        </w:tc>
        <w:tc>
          <w:tcPr>
            <w:tcW w:w="1377"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6.9</w:t>
            </w:r>
          </w:p>
        </w:tc>
        <w:tc>
          <w:tcPr>
            <w:tcW w:w="962"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7.2</w:t>
            </w:r>
          </w:p>
        </w:tc>
        <w:tc>
          <w:tcPr>
            <w:tcW w:w="962"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6.8</w:t>
            </w:r>
          </w:p>
        </w:tc>
        <w:tc>
          <w:tcPr>
            <w:tcW w:w="963"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6.1</w:t>
            </w:r>
          </w:p>
        </w:tc>
      </w:tr>
      <w:tr w:rsidR="003C2485" w:rsidRPr="00593C40" w:rsidTr="003C2485">
        <w:trPr>
          <w:gridAfter w:val="1"/>
          <w:wAfter w:w="13" w:type="dxa"/>
          <w:trHeight w:val="252"/>
        </w:trPr>
        <w:tc>
          <w:tcPr>
            <w:tcW w:w="1083" w:type="dxa"/>
            <w:tcBorders>
              <w:top w:val="nil"/>
              <w:left w:val="single" w:sz="8" w:space="0" w:color="auto"/>
              <w:bottom w:val="nil"/>
              <w:right w:val="single" w:sz="8" w:space="0" w:color="auto"/>
            </w:tcBorders>
            <w:shd w:val="clear" w:color="000000" w:fill="D9E1F2"/>
            <w:noWrap/>
            <w:hideMark/>
          </w:tcPr>
          <w:p w:rsidR="003C2485" w:rsidRPr="00593C40" w:rsidRDefault="003C2485" w:rsidP="003C2485">
            <w:pPr>
              <w:rPr>
                <w:rFonts w:ascii="Garamond" w:eastAsia="Times New Roman" w:hAnsi="Garamond" w:cs="Calibri"/>
                <w:color w:val="000000"/>
                <w:sz w:val="20"/>
                <w:szCs w:val="20"/>
                <w:lang w:val="en-IN" w:eastAsia="en-IN" w:bidi="hi-IN"/>
              </w:rPr>
            </w:pPr>
            <w:r w:rsidRPr="00593C40">
              <w:rPr>
                <w:rFonts w:ascii="Garamond" w:eastAsia="Times New Roman" w:hAnsi="Garamond" w:cs="Calibri"/>
                <w:color w:val="000000"/>
                <w:sz w:val="20"/>
                <w:szCs w:val="20"/>
                <w:lang w:val="en-IN" w:eastAsia="en-IN" w:bidi="hi-IN"/>
              </w:rPr>
              <w:t>India</w:t>
            </w:r>
          </w:p>
        </w:tc>
        <w:tc>
          <w:tcPr>
            <w:tcW w:w="1323" w:type="dxa"/>
            <w:tcBorders>
              <w:top w:val="nil"/>
              <w:left w:val="nil"/>
              <w:bottom w:val="nil"/>
              <w:right w:val="single" w:sz="8" w:space="0" w:color="auto"/>
            </w:tcBorders>
            <w:shd w:val="clear" w:color="000000" w:fill="9BC2E6"/>
            <w:noWrap/>
            <w:hideMark/>
          </w:tcPr>
          <w:p w:rsidR="003C2485" w:rsidRPr="00593C40" w:rsidRDefault="003C2485" w:rsidP="003C2485">
            <w:pPr>
              <w:ind w:firstLineChars="100" w:firstLine="201"/>
              <w:jc w:val="right"/>
              <w:rPr>
                <w:rFonts w:ascii="Garamond" w:eastAsia="Times New Roman" w:hAnsi="Garamond" w:cs="Calibri"/>
                <w:b/>
                <w:bCs/>
                <w:sz w:val="20"/>
                <w:szCs w:val="20"/>
                <w:lang w:val="en-IN" w:eastAsia="en-IN" w:bidi="hi-IN"/>
              </w:rPr>
            </w:pPr>
            <w:r w:rsidRPr="00593C40">
              <w:rPr>
                <w:rFonts w:ascii="Garamond" w:eastAsia="Times New Roman" w:hAnsi="Garamond" w:cs="Calibri"/>
                <w:b/>
                <w:bCs/>
                <w:sz w:val="20"/>
                <w:szCs w:val="20"/>
                <w:lang w:val="en-IN" w:eastAsia="en-IN" w:bidi="hi-IN"/>
              </w:rPr>
              <w:t>6.2</w:t>
            </w:r>
          </w:p>
        </w:tc>
        <w:tc>
          <w:tcPr>
            <w:tcW w:w="1377"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6.2</w:t>
            </w:r>
          </w:p>
        </w:tc>
        <w:tc>
          <w:tcPr>
            <w:tcW w:w="962"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6.0</w:t>
            </w:r>
          </w:p>
        </w:tc>
        <w:tc>
          <w:tcPr>
            <w:tcW w:w="962"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6.2</w:t>
            </w:r>
          </w:p>
        </w:tc>
        <w:tc>
          <w:tcPr>
            <w:tcW w:w="963"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6.1</w:t>
            </w:r>
          </w:p>
        </w:tc>
      </w:tr>
      <w:tr w:rsidR="003C2485" w:rsidRPr="00593C40" w:rsidTr="003C2485">
        <w:trPr>
          <w:gridAfter w:val="1"/>
          <w:wAfter w:w="13" w:type="dxa"/>
          <w:trHeight w:val="265"/>
        </w:trPr>
        <w:tc>
          <w:tcPr>
            <w:tcW w:w="1083" w:type="dxa"/>
            <w:tcBorders>
              <w:top w:val="nil"/>
              <w:left w:val="single" w:sz="8" w:space="0" w:color="auto"/>
              <w:bottom w:val="single" w:sz="8" w:space="0" w:color="auto"/>
              <w:right w:val="single" w:sz="8" w:space="0" w:color="auto"/>
            </w:tcBorders>
            <w:shd w:val="clear" w:color="000000" w:fill="D9E1F2"/>
            <w:noWrap/>
            <w:hideMark/>
          </w:tcPr>
          <w:p w:rsidR="003C2485" w:rsidRPr="00593C40" w:rsidRDefault="003C2485" w:rsidP="003C2485">
            <w:pPr>
              <w:rPr>
                <w:rFonts w:ascii="Garamond" w:eastAsia="Times New Roman" w:hAnsi="Garamond" w:cs="Calibri"/>
                <w:color w:val="000000"/>
                <w:sz w:val="20"/>
                <w:szCs w:val="20"/>
                <w:lang w:val="en-IN" w:eastAsia="en-IN" w:bidi="hi-IN"/>
              </w:rPr>
            </w:pPr>
            <w:r w:rsidRPr="00593C40">
              <w:rPr>
                <w:rFonts w:ascii="Garamond" w:eastAsia="Times New Roman" w:hAnsi="Garamond" w:cs="Calibri"/>
                <w:color w:val="000000"/>
                <w:sz w:val="20"/>
                <w:szCs w:val="20"/>
                <w:lang w:val="en-IN" w:eastAsia="en-IN" w:bidi="hi-IN"/>
              </w:rPr>
              <w:t>China</w:t>
            </w:r>
          </w:p>
        </w:tc>
        <w:tc>
          <w:tcPr>
            <w:tcW w:w="1323" w:type="dxa"/>
            <w:tcBorders>
              <w:top w:val="nil"/>
              <w:left w:val="nil"/>
              <w:bottom w:val="nil"/>
              <w:right w:val="single" w:sz="8" w:space="0" w:color="auto"/>
            </w:tcBorders>
            <w:shd w:val="clear" w:color="000000" w:fill="9BC2E6"/>
            <w:noWrap/>
            <w:hideMark/>
          </w:tcPr>
          <w:p w:rsidR="003C2485" w:rsidRPr="00593C40" w:rsidRDefault="003C2485" w:rsidP="003C2485">
            <w:pPr>
              <w:ind w:firstLineChars="100" w:firstLine="201"/>
              <w:jc w:val="right"/>
              <w:rPr>
                <w:rFonts w:ascii="Garamond" w:eastAsia="Times New Roman" w:hAnsi="Garamond" w:cs="Calibri"/>
                <w:b/>
                <w:bCs/>
                <w:sz w:val="20"/>
                <w:szCs w:val="20"/>
                <w:lang w:val="en-IN" w:eastAsia="en-IN" w:bidi="hi-IN"/>
              </w:rPr>
            </w:pPr>
            <w:r w:rsidRPr="00593C40">
              <w:rPr>
                <w:rFonts w:ascii="Garamond" w:eastAsia="Times New Roman" w:hAnsi="Garamond" w:cs="Calibri"/>
                <w:b/>
                <w:bCs/>
                <w:sz w:val="20"/>
                <w:szCs w:val="20"/>
                <w:lang w:val="en-IN" w:eastAsia="en-IN" w:bidi="hi-IN"/>
              </w:rPr>
              <w:t>2.9</w:t>
            </w:r>
          </w:p>
        </w:tc>
        <w:tc>
          <w:tcPr>
            <w:tcW w:w="1377"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2.8</w:t>
            </w:r>
          </w:p>
        </w:tc>
        <w:tc>
          <w:tcPr>
            <w:tcW w:w="962"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3.1</w:t>
            </w:r>
          </w:p>
        </w:tc>
        <w:tc>
          <w:tcPr>
            <w:tcW w:w="962"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3.3</w:t>
            </w:r>
          </w:p>
        </w:tc>
        <w:tc>
          <w:tcPr>
            <w:tcW w:w="963"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3.1</w:t>
            </w:r>
          </w:p>
        </w:tc>
      </w:tr>
      <w:tr w:rsidR="003C2485" w:rsidRPr="00593C40" w:rsidTr="003C2485">
        <w:trPr>
          <w:trHeight w:val="265"/>
        </w:trPr>
        <w:tc>
          <w:tcPr>
            <w:tcW w:w="6683" w:type="dxa"/>
            <w:gridSpan w:val="7"/>
            <w:tcBorders>
              <w:top w:val="single" w:sz="8" w:space="0" w:color="auto"/>
              <w:left w:val="single" w:sz="8" w:space="0" w:color="auto"/>
              <w:bottom w:val="single" w:sz="8" w:space="0" w:color="auto"/>
              <w:right w:val="single" w:sz="8" w:space="0" w:color="000000"/>
            </w:tcBorders>
            <w:shd w:val="clear" w:color="000000" w:fill="D9E1F2"/>
            <w:hideMark/>
          </w:tcPr>
          <w:p w:rsidR="003C2485" w:rsidRPr="00593C40" w:rsidRDefault="003C2485" w:rsidP="003C2485">
            <w:pPr>
              <w:jc w:val="center"/>
              <w:rPr>
                <w:rFonts w:ascii="Garamond" w:eastAsia="Times New Roman" w:hAnsi="Garamond" w:cs="Calibri"/>
                <w:b/>
                <w:bCs/>
                <w:color w:val="000000"/>
                <w:sz w:val="20"/>
                <w:szCs w:val="20"/>
                <w:lang w:val="en-IN" w:eastAsia="en-IN" w:bidi="hi-IN"/>
              </w:rPr>
            </w:pPr>
            <w:r w:rsidRPr="00593C40">
              <w:rPr>
                <w:rFonts w:ascii="Garamond" w:eastAsia="Times New Roman" w:hAnsi="Garamond" w:cs="Calibri"/>
                <w:b/>
                <w:bCs/>
                <w:color w:val="000000"/>
                <w:sz w:val="20"/>
                <w:szCs w:val="20"/>
                <w:lang w:val="en-IN" w:eastAsia="en-IN" w:bidi="hi-IN"/>
              </w:rPr>
              <w:t>Developed Markets</w:t>
            </w:r>
          </w:p>
        </w:tc>
      </w:tr>
      <w:tr w:rsidR="003C2485" w:rsidRPr="00593C40" w:rsidTr="003C2485">
        <w:trPr>
          <w:gridAfter w:val="1"/>
          <w:wAfter w:w="13" w:type="dxa"/>
          <w:trHeight w:val="252"/>
        </w:trPr>
        <w:tc>
          <w:tcPr>
            <w:tcW w:w="1083" w:type="dxa"/>
            <w:tcBorders>
              <w:top w:val="nil"/>
              <w:left w:val="single" w:sz="8" w:space="0" w:color="auto"/>
              <w:bottom w:val="nil"/>
              <w:right w:val="single" w:sz="8" w:space="0" w:color="auto"/>
            </w:tcBorders>
            <w:shd w:val="clear" w:color="000000" w:fill="D9E1F2"/>
            <w:noWrap/>
            <w:hideMark/>
          </w:tcPr>
          <w:p w:rsidR="003C2485" w:rsidRPr="00593C40" w:rsidRDefault="003C2485" w:rsidP="003C2485">
            <w:pPr>
              <w:rPr>
                <w:rFonts w:ascii="Garamond" w:eastAsia="Times New Roman" w:hAnsi="Garamond" w:cs="Calibri"/>
                <w:color w:val="000000"/>
                <w:sz w:val="20"/>
                <w:szCs w:val="20"/>
                <w:lang w:val="en-IN" w:eastAsia="en-IN" w:bidi="hi-IN"/>
              </w:rPr>
            </w:pPr>
            <w:r w:rsidRPr="00593C40">
              <w:rPr>
                <w:rFonts w:ascii="Garamond" w:eastAsia="Times New Roman" w:hAnsi="Garamond" w:cs="Calibri"/>
                <w:color w:val="000000"/>
                <w:sz w:val="20"/>
                <w:szCs w:val="20"/>
                <w:lang w:val="en-IN" w:eastAsia="en-IN" w:bidi="hi-IN"/>
              </w:rPr>
              <w:t>USA</w:t>
            </w:r>
          </w:p>
        </w:tc>
        <w:tc>
          <w:tcPr>
            <w:tcW w:w="1323" w:type="dxa"/>
            <w:tcBorders>
              <w:top w:val="nil"/>
              <w:left w:val="nil"/>
              <w:bottom w:val="nil"/>
              <w:right w:val="single" w:sz="8" w:space="0" w:color="auto"/>
            </w:tcBorders>
            <w:shd w:val="clear" w:color="000000" w:fill="9BC2E6"/>
            <w:noWrap/>
            <w:hideMark/>
          </w:tcPr>
          <w:p w:rsidR="003C2485" w:rsidRPr="00593C40" w:rsidRDefault="003C2485" w:rsidP="003C2485">
            <w:pPr>
              <w:ind w:firstLineChars="100" w:firstLine="201"/>
              <w:jc w:val="right"/>
              <w:rPr>
                <w:rFonts w:ascii="Garamond" w:eastAsia="Times New Roman" w:hAnsi="Garamond" w:cs="Calibri"/>
                <w:b/>
                <w:bCs/>
                <w:sz w:val="20"/>
                <w:szCs w:val="20"/>
                <w:lang w:val="en-IN" w:eastAsia="en-IN" w:bidi="hi-IN"/>
              </w:rPr>
            </w:pPr>
            <w:r w:rsidRPr="00593C40">
              <w:rPr>
                <w:rFonts w:ascii="Garamond" w:eastAsia="Times New Roman" w:hAnsi="Garamond" w:cs="Calibri"/>
                <w:b/>
                <w:bCs/>
                <w:sz w:val="20"/>
                <w:szCs w:val="20"/>
                <w:lang w:val="en-IN" w:eastAsia="en-IN" w:bidi="hi-IN"/>
              </w:rPr>
              <w:t>1.3</w:t>
            </w:r>
          </w:p>
        </w:tc>
        <w:tc>
          <w:tcPr>
            <w:tcW w:w="1377"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1.2</w:t>
            </w:r>
          </w:p>
        </w:tc>
        <w:tc>
          <w:tcPr>
            <w:tcW w:w="962"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1.6</w:t>
            </w:r>
          </w:p>
        </w:tc>
        <w:tc>
          <w:tcPr>
            <w:tcW w:w="962"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1.4</w:t>
            </w:r>
          </w:p>
        </w:tc>
        <w:tc>
          <w:tcPr>
            <w:tcW w:w="963"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0.7</w:t>
            </w:r>
          </w:p>
        </w:tc>
      </w:tr>
      <w:tr w:rsidR="003C2485" w:rsidRPr="00593C40" w:rsidTr="003C2485">
        <w:trPr>
          <w:gridAfter w:val="1"/>
          <w:wAfter w:w="13" w:type="dxa"/>
          <w:trHeight w:val="252"/>
        </w:trPr>
        <w:tc>
          <w:tcPr>
            <w:tcW w:w="1083" w:type="dxa"/>
            <w:tcBorders>
              <w:top w:val="nil"/>
              <w:left w:val="single" w:sz="8" w:space="0" w:color="auto"/>
              <w:bottom w:val="nil"/>
              <w:right w:val="single" w:sz="8" w:space="0" w:color="auto"/>
            </w:tcBorders>
            <w:shd w:val="clear" w:color="000000" w:fill="D9E1F2"/>
            <w:noWrap/>
            <w:hideMark/>
          </w:tcPr>
          <w:p w:rsidR="003C2485" w:rsidRPr="00593C40" w:rsidRDefault="003C2485" w:rsidP="003C2485">
            <w:pPr>
              <w:rPr>
                <w:rFonts w:ascii="Garamond" w:eastAsia="Times New Roman" w:hAnsi="Garamond" w:cs="Calibri"/>
                <w:color w:val="000000"/>
                <w:sz w:val="20"/>
                <w:szCs w:val="20"/>
                <w:lang w:val="en-IN" w:eastAsia="en-IN" w:bidi="hi-IN"/>
              </w:rPr>
            </w:pPr>
            <w:r w:rsidRPr="00593C40">
              <w:rPr>
                <w:rFonts w:ascii="Garamond" w:eastAsia="Times New Roman" w:hAnsi="Garamond" w:cs="Calibri"/>
                <w:color w:val="000000"/>
                <w:sz w:val="20"/>
                <w:szCs w:val="20"/>
                <w:lang w:val="en-IN" w:eastAsia="en-IN" w:bidi="hi-IN"/>
              </w:rPr>
              <w:t>UK</w:t>
            </w:r>
          </w:p>
        </w:tc>
        <w:tc>
          <w:tcPr>
            <w:tcW w:w="1323" w:type="dxa"/>
            <w:tcBorders>
              <w:top w:val="nil"/>
              <w:left w:val="nil"/>
              <w:bottom w:val="nil"/>
              <w:right w:val="single" w:sz="8" w:space="0" w:color="auto"/>
            </w:tcBorders>
            <w:shd w:val="clear" w:color="000000" w:fill="9BC2E6"/>
            <w:noWrap/>
            <w:hideMark/>
          </w:tcPr>
          <w:p w:rsidR="003C2485" w:rsidRPr="00593C40" w:rsidRDefault="003C2485" w:rsidP="003C2485">
            <w:pPr>
              <w:ind w:firstLineChars="100" w:firstLine="201"/>
              <w:jc w:val="right"/>
              <w:rPr>
                <w:rFonts w:ascii="Garamond" w:eastAsia="Times New Roman" w:hAnsi="Garamond" w:cs="Calibri"/>
                <w:b/>
                <w:bCs/>
                <w:sz w:val="20"/>
                <w:szCs w:val="20"/>
                <w:lang w:val="en-IN" w:eastAsia="en-IN" w:bidi="hi-IN"/>
              </w:rPr>
            </w:pPr>
            <w:r w:rsidRPr="00593C40">
              <w:rPr>
                <w:rFonts w:ascii="Garamond" w:eastAsia="Times New Roman" w:hAnsi="Garamond" w:cs="Calibri"/>
                <w:b/>
                <w:bCs/>
                <w:sz w:val="20"/>
                <w:szCs w:val="20"/>
                <w:lang w:val="en-IN" w:eastAsia="en-IN" w:bidi="hi-IN"/>
              </w:rPr>
              <w:t>0.6</w:t>
            </w:r>
          </w:p>
        </w:tc>
        <w:tc>
          <w:tcPr>
            <w:tcW w:w="1377"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0.6</w:t>
            </w:r>
          </w:p>
        </w:tc>
        <w:tc>
          <w:tcPr>
            <w:tcW w:w="962"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0.8</w:t>
            </w:r>
          </w:p>
        </w:tc>
        <w:tc>
          <w:tcPr>
            <w:tcW w:w="962"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0.8</w:t>
            </w:r>
          </w:p>
        </w:tc>
        <w:tc>
          <w:tcPr>
            <w:tcW w:w="963"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0.3</w:t>
            </w:r>
          </w:p>
        </w:tc>
      </w:tr>
      <w:tr w:rsidR="003C2485" w:rsidRPr="00593C40" w:rsidTr="003C2485">
        <w:trPr>
          <w:gridAfter w:val="1"/>
          <w:wAfter w:w="13" w:type="dxa"/>
          <w:trHeight w:val="252"/>
        </w:trPr>
        <w:tc>
          <w:tcPr>
            <w:tcW w:w="1083" w:type="dxa"/>
            <w:tcBorders>
              <w:top w:val="nil"/>
              <w:left w:val="single" w:sz="8" w:space="0" w:color="auto"/>
              <w:bottom w:val="nil"/>
              <w:right w:val="single" w:sz="8" w:space="0" w:color="auto"/>
            </w:tcBorders>
            <w:shd w:val="clear" w:color="000000" w:fill="D9E1F2"/>
            <w:noWrap/>
            <w:hideMark/>
          </w:tcPr>
          <w:p w:rsidR="003C2485" w:rsidRPr="00593C40" w:rsidRDefault="003C2485" w:rsidP="003C2485">
            <w:pPr>
              <w:rPr>
                <w:rFonts w:ascii="Garamond" w:eastAsia="Times New Roman" w:hAnsi="Garamond" w:cs="Calibri"/>
                <w:color w:val="000000"/>
                <w:sz w:val="20"/>
                <w:szCs w:val="20"/>
                <w:lang w:val="en-IN" w:eastAsia="en-IN" w:bidi="hi-IN"/>
              </w:rPr>
            </w:pPr>
            <w:r w:rsidRPr="00593C40">
              <w:rPr>
                <w:rFonts w:ascii="Garamond" w:eastAsia="Times New Roman" w:hAnsi="Garamond" w:cs="Calibri"/>
                <w:color w:val="000000"/>
                <w:sz w:val="20"/>
                <w:szCs w:val="20"/>
                <w:lang w:val="en-IN" w:eastAsia="en-IN" w:bidi="hi-IN"/>
              </w:rPr>
              <w:t>Germany</w:t>
            </w:r>
          </w:p>
        </w:tc>
        <w:tc>
          <w:tcPr>
            <w:tcW w:w="1323" w:type="dxa"/>
            <w:tcBorders>
              <w:top w:val="nil"/>
              <w:left w:val="nil"/>
              <w:bottom w:val="nil"/>
              <w:right w:val="single" w:sz="8" w:space="0" w:color="auto"/>
            </w:tcBorders>
            <w:shd w:val="clear" w:color="000000" w:fill="9BC2E6"/>
            <w:noWrap/>
            <w:hideMark/>
          </w:tcPr>
          <w:p w:rsidR="003C2485" w:rsidRPr="00593C40" w:rsidRDefault="003C2485" w:rsidP="003C2485">
            <w:pPr>
              <w:ind w:firstLineChars="100" w:firstLine="201"/>
              <w:jc w:val="right"/>
              <w:rPr>
                <w:rFonts w:ascii="Garamond" w:eastAsia="Times New Roman" w:hAnsi="Garamond" w:cs="Calibri"/>
                <w:b/>
                <w:bCs/>
                <w:sz w:val="20"/>
                <w:szCs w:val="20"/>
                <w:lang w:val="en-IN" w:eastAsia="en-IN" w:bidi="hi-IN"/>
              </w:rPr>
            </w:pPr>
            <w:r w:rsidRPr="00593C40">
              <w:rPr>
                <w:rFonts w:ascii="Garamond" w:eastAsia="Times New Roman" w:hAnsi="Garamond" w:cs="Calibri"/>
                <w:b/>
                <w:bCs/>
                <w:sz w:val="20"/>
                <w:szCs w:val="20"/>
                <w:lang w:val="en-IN" w:eastAsia="en-IN" w:bidi="hi-IN"/>
              </w:rPr>
              <w:t>-0.4</w:t>
            </w:r>
          </w:p>
        </w:tc>
        <w:tc>
          <w:tcPr>
            <w:tcW w:w="1377"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-0.5</w:t>
            </w:r>
          </w:p>
        </w:tc>
        <w:tc>
          <w:tcPr>
            <w:tcW w:w="962"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-0.2</w:t>
            </w:r>
          </w:p>
        </w:tc>
        <w:tc>
          <w:tcPr>
            <w:tcW w:w="962"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-0.3</w:t>
            </w:r>
          </w:p>
        </w:tc>
        <w:tc>
          <w:tcPr>
            <w:tcW w:w="963"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-0.4</w:t>
            </w:r>
          </w:p>
        </w:tc>
      </w:tr>
      <w:tr w:rsidR="003C2485" w:rsidRPr="00593C40" w:rsidTr="003C2485">
        <w:trPr>
          <w:gridAfter w:val="1"/>
          <w:wAfter w:w="13" w:type="dxa"/>
          <w:trHeight w:val="252"/>
        </w:trPr>
        <w:tc>
          <w:tcPr>
            <w:tcW w:w="1083" w:type="dxa"/>
            <w:tcBorders>
              <w:top w:val="nil"/>
              <w:left w:val="single" w:sz="8" w:space="0" w:color="auto"/>
              <w:bottom w:val="nil"/>
              <w:right w:val="single" w:sz="8" w:space="0" w:color="auto"/>
            </w:tcBorders>
            <w:shd w:val="clear" w:color="000000" w:fill="D9E1F2"/>
            <w:noWrap/>
            <w:hideMark/>
          </w:tcPr>
          <w:p w:rsidR="003C2485" w:rsidRPr="00593C40" w:rsidRDefault="003C2485" w:rsidP="003C2485">
            <w:pPr>
              <w:rPr>
                <w:rFonts w:ascii="Garamond" w:eastAsia="Times New Roman" w:hAnsi="Garamond" w:cs="Calibri"/>
                <w:color w:val="000000"/>
                <w:sz w:val="20"/>
                <w:szCs w:val="20"/>
                <w:lang w:val="en-IN" w:eastAsia="en-IN" w:bidi="hi-IN"/>
              </w:rPr>
            </w:pPr>
            <w:r w:rsidRPr="00593C40">
              <w:rPr>
                <w:rFonts w:ascii="Garamond" w:eastAsia="Times New Roman" w:hAnsi="Garamond" w:cs="Calibri"/>
                <w:color w:val="000000"/>
                <w:sz w:val="20"/>
                <w:szCs w:val="20"/>
                <w:lang w:val="en-IN" w:eastAsia="en-IN" w:bidi="hi-IN"/>
              </w:rPr>
              <w:t>Spain</w:t>
            </w:r>
          </w:p>
        </w:tc>
        <w:tc>
          <w:tcPr>
            <w:tcW w:w="1323" w:type="dxa"/>
            <w:tcBorders>
              <w:top w:val="nil"/>
              <w:left w:val="nil"/>
              <w:bottom w:val="nil"/>
              <w:right w:val="single" w:sz="8" w:space="0" w:color="auto"/>
            </w:tcBorders>
            <w:shd w:val="clear" w:color="000000" w:fill="9BC2E6"/>
            <w:noWrap/>
            <w:hideMark/>
          </w:tcPr>
          <w:p w:rsidR="003C2485" w:rsidRPr="00593C40" w:rsidRDefault="003C2485" w:rsidP="003C2485">
            <w:pPr>
              <w:ind w:firstLineChars="100" w:firstLine="201"/>
              <w:jc w:val="right"/>
              <w:rPr>
                <w:rFonts w:ascii="Garamond" w:eastAsia="Times New Roman" w:hAnsi="Garamond" w:cs="Calibri"/>
                <w:b/>
                <w:bCs/>
                <w:sz w:val="20"/>
                <w:szCs w:val="20"/>
                <w:lang w:val="en-IN" w:eastAsia="en-IN" w:bidi="hi-IN"/>
              </w:rPr>
            </w:pPr>
            <w:r w:rsidRPr="00593C40">
              <w:rPr>
                <w:rFonts w:ascii="Garamond" w:eastAsia="Times New Roman" w:hAnsi="Garamond" w:cs="Calibri"/>
                <w:b/>
                <w:bCs/>
                <w:sz w:val="20"/>
                <w:szCs w:val="20"/>
                <w:lang w:val="en-IN" w:eastAsia="en-IN" w:bidi="hi-IN"/>
              </w:rPr>
              <w:t>0.3</w:t>
            </w:r>
          </w:p>
        </w:tc>
        <w:tc>
          <w:tcPr>
            <w:tcW w:w="1377"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0.3</w:t>
            </w:r>
          </w:p>
        </w:tc>
        <w:tc>
          <w:tcPr>
            <w:tcW w:w="962"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0.5</w:t>
            </w:r>
          </w:p>
        </w:tc>
        <w:tc>
          <w:tcPr>
            <w:tcW w:w="962"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0.4</w:t>
            </w:r>
          </w:p>
        </w:tc>
        <w:tc>
          <w:tcPr>
            <w:tcW w:w="963" w:type="dxa"/>
            <w:tcBorders>
              <w:top w:val="nil"/>
              <w:left w:val="nil"/>
              <w:bottom w:val="nil"/>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0.4</w:t>
            </w:r>
          </w:p>
        </w:tc>
      </w:tr>
      <w:tr w:rsidR="003C2485" w:rsidRPr="00593C40" w:rsidTr="003C2485">
        <w:trPr>
          <w:gridAfter w:val="1"/>
          <w:wAfter w:w="13" w:type="dxa"/>
          <w:trHeight w:val="265"/>
        </w:trPr>
        <w:tc>
          <w:tcPr>
            <w:tcW w:w="1083" w:type="dxa"/>
            <w:tcBorders>
              <w:top w:val="nil"/>
              <w:left w:val="single" w:sz="8" w:space="0" w:color="auto"/>
              <w:bottom w:val="single" w:sz="8" w:space="0" w:color="auto"/>
              <w:right w:val="single" w:sz="8" w:space="0" w:color="auto"/>
            </w:tcBorders>
            <w:shd w:val="clear" w:color="000000" w:fill="D9E1F2"/>
            <w:noWrap/>
            <w:hideMark/>
          </w:tcPr>
          <w:p w:rsidR="003C2485" w:rsidRPr="00593C40" w:rsidRDefault="003C2485" w:rsidP="003C2485">
            <w:pPr>
              <w:rPr>
                <w:rFonts w:ascii="Garamond" w:eastAsia="Times New Roman" w:hAnsi="Garamond" w:cs="Calibri"/>
                <w:color w:val="000000"/>
                <w:sz w:val="20"/>
                <w:szCs w:val="20"/>
                <w:lang w:val="en-IN" w:eastAsia="en-IN" w:bidi="hi-IN"/>
              </w:rPr>
            </w:pPr>
            <w:r w:rsidRPr="00593C40">
              <w:rPr>
                <w:rFonts w:ascii="Garamond" w:eastAsia="Times New Roman" w:hAnsi="Garamond" w:cs="Calibri"/>
                <w:color w:val="000000"/>
                <w:sz w:val="20"/>
                <w:szCs w:val="20"/>
                <w:lang w:val="en-IN" w:eastAsia="en-IN" w:bidi="hi-IN"/>
              </w:rPr>
              <w:t>Japan</w:t>
            </w:r>
          </w:p>
        </w:tc>
        <w:tc>
          <w:tcPr>
            <w:tcW w:w="1323" w:type="dxa"/>
            <w:tcBorders>
              <w:top w:val="nil"/>
              <w:left w:val="nil"/>
              <w:bottom w:val="single" w:sz="8" w:space="0" w:color="auto"/>
              <w:right w:val="single" w:sz="8" w:space="0" w:color="auto"/>
            </w:tcBorders>
            <w:shd w:val="clear" w:color="000000" w:fill="9BC2E6"/>
            <w:noWrap/>
            <w:hideMark/>
          </w:tcPr>
          <w:p w:rsidR="003C2485" w:rsidRPr="00593C40" w:rsidRDefault="003C2485" w:rsidP="003C2485">
            <w:pPr>
              <w:ind w:firstLineChars="100" w:firstLine="201"/>
              <w:jc w:val="right"/>
              <w:rPr>
                <w:rFonts w:ascii="Garamond" w:eastAsia="Times New Roman" w:hAnsi="Garamond" w:cs="Calibri"/>
                <w:b/>
                <w:bCs/>
                <w:sz w:val="20"/>
                <w:szCs w:val="20"/>
                <w:lang w:val="en-IN" w:eastAsia="en-IN" w:bidi="hi-IN"/>
              </w:rPr>
            </w:pPr>
            <w:r w:rsidRPr="00593C40">
              <w:rPr>
                <w:rFonts w:ascii="Garamond" w:eastAsia="Times New Roman" w:hAnsi="Garamond" w:cs="Calibri"/>
                <w:b/>
                <w:bCs/>
                <w:sz w:val="20"/>
                <w:szCs w:val="20"/>
                <w:lang w:val="en-IN" w:eastAsia="en-IN" w:bidi="hi-IN"/>
              </w:rPr>
              <w:t>0.0</w:t>
            </w:r>
          </w:p>
        </w:tc>
        <w:tc>
          <w:tcPr>
            <w:tcW w:w="1377" w:type="dxa"/>
            <w:tcBorders>
              <w:top w:val="nil"/>
              <w:left w:val="nil"/>
              <w:bottom w:val="single" w:sz="8" w:space="0" w:color="auto"/>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0.0</w:t>
            </w:r>
          </w:p>
        </w:tc>
        <w:tc>
          <w:tcPr>
            <w:tcW w:w="962" w:type="dxa"/>
            <w:tcBorders>
              <w:top w:val="nil"/>
              <w:left w:val="nil"/>
              <w:bottom w:val="single" w:sz="8" w:space="0" w:color="auto"/>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0.1</w:t>
            </w:r>
          </w:p>
        </w:tc>
        <w:tc>
          <w:tcPr>
            <w:tcW w:w="962" w:type="dxa"/>
            <w:tcBorders>
              <w:top w:val="nil"/>
              <w:left w:val="nil"/>
              <w:bottom w:val="single" w:sz="8" w:space="0" w:color="auto"/>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0.2</w:t>
            </w:r>
          </w:p>
        </w:tc>
        <w:tc>
          <w:tcPr>
            <w:tcW w:w="963" w:type="dxa"/>
            <w:tcBorders>
              <w:top w:val="nil"/>
              <w:left w:val="nil"/>
              <w:bottom w:val="single" w:sz="8" w:space="0" w:color="auto"/>
              <w:right w:val="single" w:sz="8" w:space="0" w:color="auto"/>
            </w:tcBorders>
            <w:shd w:val="clear" w:color="auto" w:fill="auto"/>
            <w:noWrap/>
            <w:hideMark/>
          </w:tcPr>
          <w:p w:rsidR="003C2485" w:rsidRPr="00593C40" w:rsidRDefault="003C2485" w:rsidP="003C2485">
            <w:pPr>
              <w:ind w:firstLineChars="100" w:firstLine="200"/>
              <w:jc w:val="right"/>
              <w:rPr>
                <w:rFonts w:ascii="Garamond" w:eastAsia="Times New Roman" w:hAnsi="Garamond" w:cs="Calibri"/>
                <w:sz w:val="20"/>
                <w:szCs w:val="20"/>
                <w:lang w:val="en-IN" w:eastAsia="en-IN" w:bidi="hi-IN"/>
              </w:rPr>
            </w:pPr>
            <w:r w:rsidRPr="00593C40">
              <w:rPr>
                <w:rFonts w:ascii="Garamond" w:eastAsia="Times New Roman" w:hAnsi="Garamond" w:cs="Calibri"/>
                <w:sz w:val="20"/>
                <w:szCs w:val="20"/>
                <w:lang w:val="en-IN" w:eastAsia="en-IN" w:bidi="hi-IN"/>
              </w:rPr>
              <w:t>0.0</w:t>
            </w:r>
          </w:p>
        </w:tc>
      </w:tr>
    </w:tbl>
    <w:p w:rsidR="003C2485" w:rsidRPr="00A01675" w:rsidRDefault="003C2485" w:rsidP="003C2485">
      <w:pPr>
        <w:spacing w:line="23" w:lineRule="atLeast"/>
        <w:jc w:val="both"/>
        <w:outlineLvl w:val="0"/>
        <w:rPr>
          <w:rFonts w:ascii="Palatino Linotype" w:hAnsi="Palatino Linotype"/>
          <w:bCs/>
          <w:sz w:val="18"/>
          <w:szCs w:val="18"/>
        </w:rPr>
      </w:pPr>
      <w:r w:rsidRPr="00A01675">
        <w:rPr>
          <w:rFonts w:ascii="Palatino Linotype" w:hAnsi="Palatino Linotype"/>
          <w:bCs/>
          <w:sz w:val="18"/>
          <w:szCs w:val="18"/>
        </w:rPr>
        <w:t>Source: Refinitiv</w:t>
      </w:r>
    </w:p>
    <w:p w:rsidR="003C2485" w:rsidRPr="00A01675" w:rsidRDefault="003C2485" w:rsidP="003C2485">
      <w:pPr>
        <w:spacing w:line="23" w:lineRule="atLeast"/>
        <w:jc w:val="both"/>
        <w:outlineLvl w:val="0"/>
        <w:rPr>
          <w:rFonts w:ascii="Palatino Linotype" w:hAnsi="Palatino Linotype"/>
          <w:bCs/>
          <w:sz w:val="22"/>
          <w:szCs w:val="22"/>
        </w:rPr>
      </w:pPr>
    </w:p>
    <w:p w:rsidR="003C2485" w:rsidRPr="00A01675" w:rsidRDefault="003C2485" w:rsidP="003C2485">
      <w:pPr>
        <w:spacing w:line="23" w:lineRule="atLeast"/>
        <w:jc w:val="both"/>
        <w:rPr>
          <w:rFonts w:ascii="Palatino Linotype" w:eastAsia="Times New Roman" w:hAnsi="Palatino Linotype"/>
          <w:bCs/>
          <w:sz w:val="22"/>
          <w:szCs w:val="22"/>
          <w:lang w:val="en-US"/>
        </w:rPr>
      </w:pPr>
    </w:p>
    <w:p w:rsidR="003C2485" w:rsidRPr="00A01675" w:rsidRDefault="003C2485" w:rsidP="003C2485">
      <w:pPr>
        <w:spacing w:line="360" w:lineRule="auto"/>
        <w:jc w:val="both"/>
        <w:rPr>
          <w:rFonts w:ascii="Palatino Linotype" w:eastAsia="Times New Roman" w:hAnsi="Palatino Linotype"/>
          <w:b/>
          <w:sz w:val="22"/>
          <w:szCs w:val="22"/>
          <w:lang w:val="en-US"/>
        </w:rPr>
      </w:pPr>
      <w:r w:rsidRPr="00A01675">
        <w:rPr>
          <w:rFonts w:ascii="Palatino Linotype" w:eastAsia="Times New Roman" w:hAnsi="Palatino Linotype"/>
          <w:b/>
          <w:sz w:val="22"/>
          <w:szCs w:val="22"/>
          <w:u w:val="single"/>
          <w:lang w:val="en-US"/>
        </w:rPr>
        <w:t>Fund Mobilisation by Issuance of Equity and Bonds (Table A2)</w:t>
      </w:r>
      <w:r w:rsidRPr="00A01675">
        <w:rPr>
          <w:rFonts w:ascii="Palatino Linotype" w:eastAsia="Times New Roman" w:hAnsi="Palatino Linotype"/>
          <w:b/>
          <w:sz w:val="22"/>
          <w:szCs w:val="22"/>
          <w:lang w:val="en-US"/>
        </w:rPr>
        <w:t xml:space="preserve"> – </w:t>
      </w:r>
    </w:p>
    <w:p w:rsidR="003C2485" w:rsidRDefault="003C2485" w:rsidP="003C2485">
      <w:pPr>
        <w:numPr>
          <w:ilvl w:val="0"/>
          <w:numId w:val="8"/>
        </w:numPr>
        <w:spacing w:line="276" w:lineRule="auto"/>
        <w:jc w:val="both"/>
        <w:rPr>
          <w:rFonts w:ascii="Palatino Linotype" w:eastAsia="Times New Roman" w:hAnsi="Palatino Linotype"/>
          <w:bCs/>
          <w:sz w:val="22"/>
          <w:szCs w:val="22"/>
          <w:lang w:val="en-US" w:eastAsia="en-GB"/>
        </w:rPr>
      </w:pPr>
      <w:r>
        <w:rPr>
          <w:rFonts w:ascii="Palatino Linotype" w:eastAsia="Times New Roman" w:hAnsi="Palatino Linotype"/>
          <w:bCs/>
          <w:sz w:val="22"/>
          <w:szCs w:val="22"/>
          <w:lang w:val="en-US" w:eastAsia="en-GB"/>
        </w:rPr>
        <w:t xml:space="preserve">As per the data available with </w:t>
      </w:r>
      <w:r w:rsidRPr="00A01675">
        <w:rPr>
          <w:rFonts w:ascii="Palatino Linotype" w:eastAsia="Times New Roman" w:hAnsi="Palatino Linotype"/>
          <w:bCs/>
          <w:sz w:val="22"/>
          <w:szCs w:val="22"/>
          <w:lang w:val="en-US" w:eastAsia="en-GB"/>
        </w:rPr>
        <w:t xml:space="preserve">World Federation of Exchanges (WFE), </w:t>
      </w:r>
      <w:r>
        <w:rPr>
          <w:rFonts w:ascii="Palatino Linotype" w:eastAsia="Times New Roman" w:hAnsi="Palatino Linotype"/>
          <w:bCs/>
          <w:sz w:val="22"/>
          <w:szCs w:val="22"/>
          <w:lang w:val="en-US" w:eastAsia="en-GB"/>
        </w:rPr>
        <w:t xml:space="preserve">during July 2021, </w:t>
      </w:r>
      <w:r w:rsidRPr="00A01675">
        <w:rPr>
          <w:rFonts w:ascii="Palatino Linotype" w:eastAsia="Times New Roman" w:hAnsi="Palatino Linotype"/>
          <w:bCs/>
          <w:sz w:val="22"/>
          <w:szCs w:val="22"/>
          <w:lang w:val="en-US" w:eastAsia="en-GB"/>
        </w:rPr>
        <w:t xml:space="preserve">the </w:t>
      </w:r>
      <w:r>
        <w:rPr>
          <w:rFonts w:ascii="Palatino Linotype" w:eastAsia="Times New Roman" w:hAnsi="Palatino Linotype"/>
          <w:bCs/>
          <w:sz w:val="22"/>
          <w:szCs w:val="22"/>
          <w:lang w:val="en-US" w:eastAsia="en-GB"/>
        </w:rPr>
        <w:t xml:space="preserve">aggregate </w:t>
      </w:r>
      <w:r w:rsidRPr="00A01675">
        <w:rPr>
          <w:rFonts w:ascii="Palatino Linotype" w:eastAsia="Times New Roman" w:hAnsi="Palatino Linotype"/>
          <w:bCs/>
          <w:sz w:val="22"/>
          <w:szCs w:val="22"/>
          <w:lang w:val="en-US" w:eastAsia="en-GB"/>
        </w:rPr>
        <w:t>fund mobilization at the select exchanges</w:t>
      </w:r>
      <w:r>
        <w:rPr>
          <w:rFonts w:ascii="Palatino Linotype" w:eastAsia="Times New Roman" w:hAnsi="Palatino Linotype"/>
          <w:bCs/>
          <w:sz w:val="22"/>
          <w:szCs w:val="22"/>
          <w:lang w:val="en-US" w:eastAsia="en-GB"/>
        </w:rPr>
        <w:t xml:space="preserve"> (as given in Table A2)</w:t>
      </w:r>
      <w:r w:rsidRPr="00A01675">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decreased by 10.6 per cent.</w:t>
      </w:r>
    </w:p>
    <w:p w:rsidR="003C2485" w:rsidRDefault="003C2485" w:rsidP="003C2485">
      <w:pPr>
        <w:numPr>
          <w:ilvl w:val="0"/>
          <w:numId w:val="8"/>
        </w:numPr>
        <w:spacing w:line="276" w:lineRule="auto"/>
        <w:jc w:val="both"/>
        <w:rPr>
          <w:rFonts w:ascii="Palatino Linotype" w:eastAsia="Times New Roman" w:hAnsi="Palatino Linotype"/>
          <w:bCs/>
          <w:sz w:val="22"/>
          <w:szCs w:val="22"/>
          <w:lang w:val="en-US" w:eastAsia="en-GB"/>
        </w:rPr>
      </w:pPr>
      <w:r>
        <w:rPr>
          <w:rFonts w:ascii="Palatino Linotype" w:eastAsia="Times New Roman" w:hAnsi="Palatino Linotype"/>
          <w:bCs/>
          <w:sz w:val="22"/>
          <w:szCs w:val="22"/>
          <w:lang w:val="en-US" w:eastAsia="en-GB"/>
        </w:rPr>
        <w:t>During the month, 89 per cent of the fund raising was done through issuance of debt securities.</w:t>
      </w:r>
    </w:p>
    <w:p w:rsidR="003C2485" w:rsidRDefault="003C2485" w:rsidP="003C2485">
      <w:pPr>
        <w:numPr>
          <w:ilvl w:val="0"/>
          <w:numId w:val="8"/>
        </w:numPr>
        <w:spacing w:line="276" w:lineRule="auto"/>
        <w:jc w:val="both"/>
        <w:rPr>
          <w:rFonts w:ascii="Palatino Linotype" w:eastAsia="Times New Roman" w:hAnsi="Palatino Linotype"/>
          <w:bCs/>
          <w:sz w:val="22"/>
          <w:szCs w:val="22"/>
          <w:lang w:val="en-US" w:eastAsia="en-GB"/>
        </w:rPr>
      </w:pPr>
      <w:r w:rsidRPr="003B1EDB">
        <w:rPr>
          <w:rFonts w:ascii="Palatino Linotype" w:eastAsia="Times New Roman" w:hAnsi="Palatino Linotype"/>
          <w:bCs/>
          <w:sz w:val="22"/>
          <w:szCs w:val="22"/>
          <w:lang w:val="en-US" w:eastAsia="en-GB"/>
        </w:rPr>
        <w:t>Shanghai Stock Exchange</w:t>
      </w:r>
      <w:r>
        <w:rPr>
          <w:rFonts w:ascii="Palatino Linotype" w:eastAsia="Times New Roman" w:hAnsi="Palatino Linotype"/>
          <w:bCs/>
          <w:sz w:val="22"/>
          <w:szCs w:val="22"/>
          <w:lang w:val="en-US" w:eastAsia="en-GB"/>
        </w:rPr>
        <w:t xml:space="preserve"> raised the highest amount (USD 74,908 million) from issuance of bonds during the month (among select exchanges).</w:t>
      </w:r>
    </w:p>
    <w:p w:rsidR="003C2485" w:rsidRPr="00A01675" w:rsidRDefault="003C2485" w:rsidP="003C2485">
      <w:pPr>
        <w:spacing w:line="276" w:lineRule="auto"/>
        <w:jc w:val="both"/>
        <w:rPr>
          <w:rFonts w:ascii="Palatino Linotype" w:eastAsia="Times New Roman" w:hAnsi="Palatino Linotype"/>
          <w:bCs/>
          <w:sz w:val="22"/>
          <w:szCs w:val="22"/>
          <w:lang w:val="en-US"/>
        </w:rPr>
      </w:pPr>
    </w:p>
    <w:p w:rsidR="003C2485" w:rsidRPr="00A01675" w:rsidRDefault="003C2485" w:rsidP="003C2485">
      <w:pPr>
        <w:spacing w:line="276" w:lineRule="auto"/>
        <w:ind w:left="284"/>
        <w:jc w:val="both"/>
        <w:rPr>
          <w:rFonts w:ascii="Palatino Linotype" w:eastAsia="Times New Roman" w:hAnsi="Palatino Linotype"/>
          <w:b/>
          <w:sz w:val="22"/>
          <w:szCs w:val="22"/>
          <w:lang w:val="en-US"/>
        </w:rPr>
      </w:pPr>
      <w:r w:rsidRPr="00A01675">
        <w:rPr>
          <w:rFonts w:ascii="Palatino Linotype" w:eastAsia="Times New Roman" w:hAnsi="Palatino Linotype"/>
          <w:b/>
          <w:sz w:val="22"/>
          <w:szCs w:val="22"/>
          <w:u w:val="single"/>
          <w:lang w:val="en-US"/>
        </w:rPr>
        <w:t xml:space="preserve">Market Capitalisation of Major Exchanges </w:t>
      </w:r>
      <w:r w:rsidRPr="00A01675">
        <w:rPr>
          <w:rFonts w:ascii="Palatino Linotype" w:eastAsia="Times New Roman" w:hAnsi="Palatino Linotype"/>
          <w:b/>
          <w:sz w:val="22"/>
          <w:szCs w:val="22"/>
          <w:lang w:val="en-US"/>
        </w:rPr>
        <w:t>(Table A3) –</w:t>
      </w:r>
    </w:p>
    <w:p w:rsidR="003C2485" w:rsidRPr="00A01675" w:rsidRDefault="003C2485" w:rsidP="003C2485">
      <w:pPr>
        <w:spacing w:line="276" w:lineRule="auto"/>
        <w:ind w:left="360"/>
        <w:contextualSpacing/>
        <w:jc w:val="both"/>
        <w:rPr>
          <w:rFonts w:ascii="Palatino Linotype" w:eastAsia="Times New Roman" w:hAnsi="Palatino Linotype"/>
          <w:b/>
          <w:sz w:val="22"/>
          <w:szCs w:val="22"/>
          <w:lang w:val="en-US" w:eastAsia="en-GB"/>
        </w:rPr>
      </w:pPr>
    </w:p>
    <w:p w:rsidR="003C2485" w:rsidRDefault="003C2485" w:rsidP="003C2485">
      <w:pPr>
        <w:numPr>
          <w:ilvl w:val="0"/>
          <w:numId w:val="8"/>
        </w:numPr>
        <w:spacing w:line="276" w:lineRule="auto"/>
        <w:jc w:val="both"/>
        <w:rPr>
          <w:rFonts w:ascii="Palatino Linotype" w:eastAsia="Times New Roman" w:hAnsi="Palatino Linotype"/>
          <w:bCs/>
          <w:sz w:val="22"/>
          <w:szCs w:val="22"/>
          <w:lang w:val="en-US" w:eastAsia="en-GB"/>
        </w:rPr>
      </w:pPr>
      <w:r>
        <w:rPr>
          <w:rFonts w:ascii="Palatino Linotype" w:eastAsia="Times New Roman" w:hAnsi="Palatino Linotype"/>
          <w:bCs/>
          <w:sz w:val="22"/>
          <w:szCs w:val="22"/>
          <w:lang w:val="en-US" w:eastAsia="en-GB"/>
        </w:rPr>
        <w:t xml:space="preserve">Among </w:t>
      </w:r>
      <w:r w:rsidRPr="00A01675">
        <w:rPr>
          <w:rFonts w:ascii="Palatino Linotype" w:eastAsia="Times New Roman" w:hAnsi="Palatino Linotype"/>
          <w:bCs/>
          <w:sz w:val="22"/>
          <w:szCs w:val="22"/>
          <w:lang w:val="en-US" w:eastAsia="en-GB"/>
        </w:rPr>
        <w:t xml:space="preserve">select </w:t>
      </w:r>
      <w:r>
        <w:rPr>
          <w:rFonts w:ascii="Palatino Linotype" w:eastAsia="Times New Roman" w:hAnsi="Palatino Linotype"/>
          <w:bCs/>
          <w:sz w:val="22"/>
          <w:szCs w:val="22"/>
          <w:lang w:val="en-US" w:eastAsia="en-GB"/>
        </w:rPr>
        <w:t>exchanges (as given in Table A3)</w:t>
      </w:r>
      <w:r w:rsidRPr="00A01675">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m</w:t>
      </w:r>
      <w:r w:rsidRPr="00EF2EE2">
        <w:rPr>
          <w:rFonts w:ascii="Palatino Linotype" w:eastAsia="Times New Roman" w:hAnsi="Palatino Linotype"/>
          <w:bCs/>
          <w:sz w:val="22"/>
          <w:szCs w:val="22"/>
          <w:lang w:val="en-US" w:eastAsia="en-GB"/>
        </w:rPr>
        <w:t xml:space="preserve">arket </w:t>
      </w:r>
      <w:r>
        <w:rPr>
          <w:rFonts w:ascii="Palatino Linotype" w:eastAsia="Times New Roman" w:hAnsi="Palatino Linotype"/>
          <w:bCs/>
          <w:sz w:val="22"/>
          <w:szCs w:val="22"/>
          <w:lang w:val="en-US" w:eastAsia="en-GB"/>
        </w:rPr>
        <w:t>c</w:t>
      </w:r>
      <w:r w:rsidRPr="00EF2EE2">
        <w:rPr>
          <w:rFonts w:ascii="Palatino Linotype" w:eastAsia="Times New Roman" w:hAnsi="Palatino Linotype"/>
          <w:bCs/>
          <w:sz w:val="22"/>
          <w:szCs w:val="22"/>
          <w:lang w:val="en-US" w:eastAsia="en-GB"/>
        </w:rPr>
        <w:t>apitalisation</w:t>
      </w:r>
      <w:r>
        <w:rPr>
          <w:rFonts w:ascii="Palatino Linotype" w:eastAsia="Times New Roman" w:hAnsi="Palatino Linotype"/>
          <w:bCs/>
          <w:sz w:val="22"/>
          <w:szCs w:val="22"/>
          <w:lang w:val="en-US" w:eastAsia="en-GB"/>
        </w:rPr>
        <w:t xml:space="preserve"> of majority of the exchanges declined during July 2021, as compared to previous month.</w:t>
      </w:r>
    </w:p>
    <w:p w:rsidR="003C2485" w:rsidRDefault="003C2485" w:rsidP="003C2485">
      <w:pPr>
        <w:numPr>
          <w:ilvl w:val="0"/>
          <w:numId w:val="8"/>
        </w:numPr>
        <w:spacing w:line="276" w:lineRule="auto"/>
        <w:jc w:val="both"/>
        <w:rPr>
          <w:rFonts w:ascii="Palatino Linotype" w:eastAsia="Times New Roman" w:hAnsi="Palatino Linotype"/>
          <w:bCs/>
          <w:sz w:val="22"/>
          <w:szCs w:val="22"/>
          <w:lang w:val="en-US" w:eastAsia="en-GB"/>
        </w:rPr>
      </w:pPr>
      <w:r>
        <w:rPr>
          <w:rFonts w:ascii="Palatino Linotype" w:eastAsia="Times New Roman" w:hAnsi="Palatino Linotype"/>
          <w:bCs/>
          <w:sz w:val="22"/>
          <w:szCs w:val="22"/>
          <w:lang w:val="en-US" w:eastAsia="en-GB"/>
        </w:rPr>
        <w:t xml:space="preserve">During July 2021, highest decline in market capitalization was recorded by </w:t>
      </w:r>
      <w:r w:rsidRPr="00830CD4">
        <w:rPr>
          <w:rFonts w:ascii="Palatino Linotype" w:eastAsia="Times New Roman" w:hAnsi="Palatino Linotype"/>
          <w:bCs/>
          <w:sz w:val="22"/>
          <w:szCs w:val="22"/>
          <w:lang w:val="en-US" w:eastAsia="en-GB"/>
        </w:rPr>
        <w:t>Hong Kong Exchanges</w:t>
      </w:r>
      <w:r>
        <w:rPr>
          <w:rFonts w:ascii="Palatino Linotype" w:eastAsia="Times New Roman" w:hAnsi="Palatino Linotype"/>
          <w:bCs/>
          <w:sz w:val="22"/>
          <w:szCs w:val="22"/>
          <w:lang w:val="en-US" w:eastAsia="en-GB"/>
        </w:rPr>
        <w:t xml:space="preserve"> (11.8 per cent).</w:t>
      </w:r>
    </w:p>
    <w:p w:rsidR="003C2485" w:rsidRDefault="003C2485" w:rsidP="003C2485">
      <w:pPr>
        <w:numPr>
          <w:ilvl w:val="0"/>
          <w:numId w:val="8"/>
        </w:numPr>
        <w:spacing w:line="276" w:lineRule="auto"/>
        <w:jc w:val="both"/>
        <w:rPr>
          <w:rFonts w:ascii="Palatino Linotype" w:eastAsia="Times New Roman" w:hAnsi="Palatino Linotype"/>
          <w:bCs/>
          <w:sz w:val="22"/>
          <w:szCs w:val="22"/>
          <w:lang w:val="en-US" w:eastAsia="en-GB"/>
        </w:rPr>
      </w:pPr>
      <w:r>
        <w:rPr>
          <w:rFonts w:ascii="Palatino Linotype" w:eastAsia="Times New Roman" w:hAnsi="Palatino Linotype"/>
          <w:bCs/>
          <w:sz w:val="22"/>
          <w:szCs w:val="22"/>
          <w:lang w:val="en-US" w:eastAsia="en-GB"/>
        </w:rPr>
        <w:t xml:space="preserve">On the other hand, </w:t>
      </w:r>
      <w:r w:rsidRPr="00830CD4">
        <w:rPr>
          <w:rFonts w:ascii="Palatino Linotype" w:eastAsia="Times New Roman" w:hAnsi="Palatino Linotype"/>
          <w:bCs/>
          <w:sz w:val="22"/>
          <w:szCs w:val="22"/>
          <w:lang w:val="en-US" w:eastAsia="en-GB"/>
        </w:rPr>
        <w:t>London Stock Exchange</w:t>
      </w:r>
      <w:r>
        <w:rPr>
          <w:rFonts w:ascii="Palatino Linotype" w:eastAsia="Times New Roman" w:hAnsi="Palatino Linotype"/>
          <w:bCs/>
          <w:sz w:val="22"/>
          <w:szCs w:val="22"/>
          <w:lang w:val="en-US" w:eastAsia="en-GB"/>
        </w:rPr>
        <w:t xml:space="preserve"> and </w:t>
      </w:r>
      <w:r w:rsidR="00B84DDC">
        <w:rPr>
          <w:rFonts w:ascii="Palatino Linotype" w:eastAsia="Times New Roman" w:hAnsi="Palatino Linotype"/>
          <w:bCs/>
          <w:sz w:val="22"/>
          <w:szCs w:val="22"/>
          <w:lang w:val="en-US" w:eastAsia="en-GB"/>
        </w:rPr>
        <w:t>NSE</w:t>
      </w:r>
      <w:r>
        <w:rPr>
          <w:rFonts w:ascii="Palatino Linotype" w:eastAsia="Times New Roman" w:hAnsi="Palatino Linotype"/>
          <w:bCs/>
          <w:sz w:val="22"/>
          <w:szCs w:val="22"/>
          <w:lang w:val="en-US" w:eastAsia="en-GB"/>
        </w:rPr>
        <w:t xml:space="preserve"> (India), both recorded an increase of 2.4 per cent in market capitalization during the month, followed by Nasdaq (1.9 per cent) and </w:t>
      </w:r>
      <w:r w:rsidRPr="002C5173">
        <w:rPr>
          <w:rFonts w:ascii="Palatino Linotype" w:eastAsia="Times New Roman" w:hAnsi="Palatino Linotype"/>
          <w:bCs/>
          <w:sz w:val="22"/>
          <w:szCs w:val="22"/>
          <w:lang w:val="en-US" w:eastAsia="en-GB"/>
        </w:rPr>
        <w:t>Deutsche Boerse AG</w:t>
      </w:r>
      <w:r>
        <w:rPr>
          <w:rFonts w:ascii="Palatino Linotype" w:eastAsia="Times New Roman" w:hAnsi="Palatino Linotype"/>
          <w:bCs/>
          <w:sz w:val="22"/>
          <w:szCs w:val="22"/>
          <w:lang w:val="en-US" w:eastAsia="en-GB"/>
        </w:rPr>
        <w:t xml:space="preserve"> (0.7 per cent).</w:t>
      </w:r>
    </w:p>
    <w:p w:rsidR="003C2485" w:rsidRPr="00A01675" w:rsidRDefault="003C2485" w:rsidP="003C2485">
      <w:pPr>
        <w:spacing w:line="276" w:lineRule="auto"/>
        <w:ind w:left="360"/>
        <w:contextualSpacing/>
        <w:jc w:val="both"/>
        <w:rPr>
          <w:rFonts w:ascii="Palatino Linotype" w:eastAsia="Times New Roman" w:hAnsi="Palatino Linotype"/>
          <w:b/>
          <w:sz w:val="22"/>
          <w:szCs w:val="22"/>
          <w:u w:val="single"/>
          <w:lang w:val="en-US"/>
        </w:rPr>
      </w:pPr>
    </w:p>
    <w:p w:rsidR="003C2485" w:rsidRPr="00A01675" w:rsidRDefault="003C2485" w:rsidP="003C2485">
      <w:pPr>
        <w:spacing w:line="276" w:lineRule="auto"/>
        <w:ind w:left="360"/>
        <w:contextualSpacing/>
        <w:jc w:val="both"/>
        <w:rPr>
          <w:rFonts w:ascii="Palatino Linotype" w:eastAsia="Times New Roman" w:hAnsi="Palatino Linotype"/>
          <w:b/>
          <w:sz w:val="22"/>
          <w:szCs w:val="22"/>
          <w:lang w:val="en-US" w:eastAsia="en-GB"/>
        </w:rPr>
      </w:pPr>
      <w:r w:rsidRPr="00A01675">
        <w:rPr>
          <w:rFonts w:ascii="Palatino Linotype" w:eastAsia="Times New Roman" w:hAnsi="Palatino Linotype"/>
          <w:b/>
          <w:sz w:val="22"/>
          <w:szCs w:val="22"/>
          <w:u w:val="single"/>
          <w:lang w:val="en-US"/>
        </w:rPr>
        <w:t xml:space="preserve">Derivatives </w:t>
      </w:r>
      <w:r w:rsidRPr="00A01675">
        <w:rPr>
          <w:rFonts w:ascii="Palatino Linotype" w:eastAsia="Times New Roman" w:hAnsi="Palatino Linotype"/>
          <w:b/>
          <w:sz w:val="22"/>
          <w:szCs w:val="22"/>
          <w:lang w:val="en-US" w:eastAsia="en-GB"/>
        </w:rPr>
        <w:t>(</w:t>
      </w:r>
      <w:r>
        <w:rPr>
          <w:rFonts w:ascii="Palatino Linotype" w:eastAsia="Times New Roman" w:hAnsi="Palatino Linotype"/>
          <w:b/>
          <w:sz w:val="22"/>
          <w:szCs w:val="22"/>
          <w:lang w:val="en-US" w:eastAsia="en-GB"/>
        </w:rPr>
        <w:t xml:space="preserve">Table A4–A8) </w:t>
      </w:r>
    </w:p>
    <w:p w:rsidR="003C2485" w:rsidRPr="00A01675" w:rsidRDefault="003C2485" w:rsidP="003C2485">
      <w:pPr>
        <w:spacing w:line="276" w:lineRule="auto"/>
        <w:ind w:left="360"/>
        <w:contextualSpacing/>
        <w:jc w:val="both"/>
        <w:rPr>
          <w:rFonts w:ascii="Palatino Linotype" w:eastAsia="Times New Roman" w:hAnsi="Palatino Linotype"/>
          <w:b/>
          <w:sz w:val="22"/>
          <w:szCs w:val="22"/>
          <w:lang w:val="en-US" w:eastAsia="en-GB"/>
        </w:rPr>
      </w:pPr>
    </w:p>
    <w:p w:rsidR="003C2485" w:rsidRPr="00935615" w:rsidRDefault="003C2485" w:rsidP="003C2485">
      <w:pPr>
        <w:numPr>
          <w:ilvl w:val="0"/>
          <w:numId w:val="8"/>
        </w:numPr>
        <w:spacing w:line="276" w:lineRule="auto"/>
        <w:jc w:val="both"/>
        <w:rPr>
          <w:rFonts w:ascii="Palatino Linotype" w:eastAsia="Times New Roman" w:hAnsi="Palatino Linotype"/>
          <w:bCs/>
          <w:sz w:val="22"/>
          <w:szCs w:val="22"/>
          <w:lang w:val="en-US" w:eastAsia="en-GB"/>
        </w:rPr>
      </w:pPr>
      <w:r w:rsidRPr="00935615">
        <w:rPr>
          <w:rFonts w:ascii="Palatino Linotype" w:eastAsia="Times New Roman" w:hAnsi="Palatino Linotype"/>
          <w:bCs/>
          <w:sz w:val="22"/>
          <w:szCs w:val="22"/>
          <w:lang w:val="en-US" w:eastAsia="en-GB"/>
        </w:rPr>
        <w:t xml:space="preserve">Among select exchanges (as given in Table A4), during July 2021, Korea Exchange (85,142,239) recorded highest number of single stock futures contracts traded at an exchange, </w:t>
      </w:r>
      <w:r>
        <w:rPr>
          <w:rFonts w:ascii="Palatino Linotype" w:eastAsia="Times New Roman" w:hAnsi="Palatino Linotype"/>
          <w:bCs/>
          <w:sz w:val="22"/>
          <w:szCs w:val="22"/>
          <w:lang w:val="en-US" w:eastAsia="en-GB"/>
        </w:rPr>
        <w:t>while, t</w:t>
      </w:r>
      <w:r w:rsidRPr="00935615">
        <w:rPr>
          <w:rFonts w:ascii="Palatino Linotype" w:eastAsia="Times New Roman" w:hAnsi="Palatino Linotype"/>
          <w:bCs/>
          <w:sz w:val="22"/>
          <w:szCs w:val="22"/>
          <w:lang w:val="en-US" w:eastAsia="en-GB"/>
        </w:rPr>
        <w:t>he highest number of single stock options were traded at Nasdaq (176,074,778)</w:t>
      </w:r>
      <w:r>
        <w:rPr>
          <w:rFonts w:ascii="Palatino Linotype" w:eastAsia="Times New Roman" w:hAnsi="Palatino Linotype"/>
          <w:bCs/>
          <w:sz w:val="22"/>
          <w:szCs w:val="22"/>
          <w:lang w:val="en-US" w:eastAsia="en-GB"/>
        </w:rPr>
        <w:t>,</w:t>
      </w:r>
      <w:r w:rsidRPr="00935615">
        <w:rPr>
          <w:rFonts w:ascii="Palatino Linotype" w:eastAsia="Times New Roman" w:hAnsi="Palatino Linotype"/>
          <w:bCs/>
          <w:sz w:val="22"/>
          <w:szCs w:val="22"/>
          <w:lang w:val="en-US" w:eastAsia="en-GB"/>
        </w:rPr>
        <w:t xml:space="preserve"> followed by CBOE Global Markets (140,659,710).</w:t>
      </w:r>
    </w:p>
    <w:p w:rsidR="003C2485" w:rsidRPr="00935615" w:rsidRDefault="003C2485" w:rsidP="003C2485">
      <w:pPr>
        <w:numPr>
          <w:ilvl w:val="0"/>
          <w:numId w:val="8"/>
        </w:numPr>
        <w:spacing w:line="276" w:lineRule="auto"/>
        <w:jc w:val="both"/>
        <w:rPr>
          <w:rFonts w:ascii="Palatino Linotype" w:eastAsia="Times New Roman" w:hAnsi="Palatino Linotype"/>
          <w:bCs/>
          <w:sz w:val="22"/>
          <w:szCs w:val="22"/>
          <w:lang w:val="en-US" w:eastAsia="en-GB"/>
        </w:rPr>
      </w:pPr>
      <w:r w:rsidRPr="00935615">
        <w:rPr>
          <w:rFonts w:ascii="Palatino Linotype" w:eastAsia="Times New Roman" w:hAnsi="Palatino Linotype"/>
          <w:bCs/>
          <w:sz w:val="22"/>
          <w:szCs w:val="22"/>
          <w:lang w:val="en-US" w:eastAsia="en-GB"/>
        </w:rPr>
        <w:t>Among select exchanges (as given in Table A5), during July 2021, the highest number of stock index futures contracts traded was at B3 - Brasil Bolsa Balcão (405,487,634), while highest number of stock index options were traded at NSE (1</w:t>
      </w:r>
      <w:r>
        <w:rPr>
          <w:rFonts w:ascii="Palatino Linotype" w:eastAsia="Times New Roman" w:hAnsi="Palatino Linotype"/>
          <w:bCs/>
          <w:sz w:val="22"/>
          <w:szCs w:val="22"/>
          <w:lang w:val="en-US" w:eastAsia="en-GB"/>
        </w:rPr>
        <w:t>,</w:t>
      </w:r>
      <w:r w:rsidRPr="00935615">
        <w:rPr>
          <w:rFonts w:ascii="Palatino Linotype" w:eastAsia="Times New Roman" w:hAnsi="Palatino Linotype"/>
          <w:bCs/>
          <w:sz w:val="22"/>
          <w:szCs w:val="22"/>
          <w:lang w:val="en-US" w:eastAsia="en-GB"/>
        </w:rPr>
        <w:t>148,363,055).</w:t>
      </w:r>
    </w:p>
    <w:p w:rsidR="003C2485" w:rsidRPr="00935615" w:rsidRDefault="003C2485" w:rsidP="003C2485">
      <w:pPr>
        <w:numPr>
          <w:ilvl w:val="0"/>
          <w:numId w:val="8"/>
        </w:numPr>
        <w:spacing w:line="276" w:lineRule="auto"/>
        <w:jc w:val="both"/>
        <w:rPr>
          <w:rFonts w:ascii="Palatino Linotype" w:eastAsia="Times New Roman" w:hAnsi="Palatino Linotype"/>
          <w:bCs/>
          <w:sz w:val="22"/>
          <w:szCs w:val="22"/>
          <w:lang w:val="en-US" w:eastAsia="en-GB"/>
        </w:rPr>
      </w:pPr>
      <w:r w:rsidRPr="00935615">
        <w:rPr>
          <w:rFonts w:ascii="Palatino Linotype" w:eastAsia="Times New Roman" w:hAnsi="Palatino Linotype"/>
          <w:bCs/>
          <w:sz w:val="22"/>
          <w:szCs w:val="22"/>
          <w:lang w:val="en-US" w:eastAsia="en-GB"/>
        </w:rPr>
        <w:t>Among select exchanges (as given in Table A6), during July 2021, highest number of currency futures contracts were traded at B3 - Brasil Bolsa Balcão (80,069,067), while, highest number of currency options were traded at NSE (117,223,337).</w:t>
      </w:r>
    </w:p>
    <w:p w:rsidR="003C2485" w:rsidRPr="00935615" w:rsidRDefault="003C2485" w:rsidP="003C2485">
      <w:pPr>
        <w:numPr>
          <w:ilvl w:val="0"/>
          <w:numId w:val="8"/>
        </w:numPr>
        <w:spacing w:line="276" w:lineRule="auto"/>
        <w:jc w:val="both"/>
        <w:rPr>
          <w:rFonts w:ascii="Palatino Linotype" w:eastAsia="Times New Roman" w:hAnsi="Palatino Linotype"/>
          <w:bCs/>
          <w:sz w:val="22"/>
          <w:szCs w:val="22"/>
          <w:lang w:val="en-US" w:eastAsia="en-GB"/>
        </w:rPr>
      </w:pPr>
      <w:r w:rsidRPr="00935615">
        <w:rPr>
          <w:rFonts w:ascii="Palatino Linotype" w:eastAsia="Times New Roman" w:hAnsi="Palatino Linotype"/>
          <w:bCs/>
          <w:sz w:val="22"/>
          <w:szCs w:val="22"/>
          <w:lang w:val="en-US" w:eastAsia="en-GB"/>
        </w:rPr>
        <w:t>Among select exchanges (as given in Table A7), during July 2021, the highest number of interest rate futures (125,700,942), as well as interest rate options (38,425,014) were traded at CME Group.</w:t>
      </w:r>
    </w:p>
    <w:p w:rsidR="003C2485" w:rsidRPr="00935615" w:rsidRDefault="003C2485" w:rsidP="003C2485">
      <w:pPr>
        <w:numPr>
          <w:ilvl w:val="0"/>
          <w:numId w:val="8"/>
        </w:numPr>
        <w:spacing w:line="276" w:lineRule="auto"/>
        <w:jc w:val="both"/>
        <w:rPr>
          <w:rFonts w:ascii="Palatino Linotype" w:eastAsia="Times New Roman" w:hAnsi="Palatino Linotype"/>
          <w:bCs/>
          <w:sz w:val="22"/>
          <w:szCs w:val="22"/>
          <w:lang w:val="en-US" w:eastAsia="en-GB"/>
        </w:rPr>
      </w:pPr>
      <w:r w:rsidRPr="00935615">
        <w:rPr>
          <w:rFonts w:ascii="Palatino Linotype" w:eastAsia="Times New Roman" w:hAnsi="Palatino Linotype"/>
          <w:bCs/>
          <w:sz w:val="22"/>
          <w:szCs w:val="22"/>
          <w:lang w:val="en-US" w:eastAsia="en-GB"/>
        </w:rPr>
        <w:t>Among select exchanges (as given in Table A8), during July 2021, the highest number of commodity futures contracts were traded at Zhengzhou Commodity Exchange (201,273,325). Among the commodity options, the highest number of contracts were traded</w:t>
      </w:r>
      <w:r w:rsidR="00B84DDC">
        <w:rPr>
          <w:rFonts w:ascii="Palatino Linotype" w:eastAsia="Times New Roman" w:hAnsi="Palatino Linotype"/>
          <w:bCs/>
          <w:sz w:val="22"/>
          <w:szCs w:val="22"/>
          <w:lang w:val="en-US" w:eastAsia="en-GB"/>
        </w:rPr>
        <w:t xml:space="preserve"> at</w:t>
      </w:r>
      <w:r w:rsidRPr="00935615">
        <w:rPr>
          <w:rFonts w:ascii="Palatino Linotype" w:eastAsia="Times New Roman" w:hAnsi="Palatino Linotype"/>
          <w:bCs/>
          <w:sz w:val="22"/>
          <w:szCs w:val="22"/>
          <w:lang w:val="en-US" w:eastAsia="en-GB"/>
        </w:rPr>
        <w:t xml:space="preserve"> Dalian Commodity Exchange (11,736,825) during the same period.</w:t>
      </w:r>
    </w:p>
    <w:p w:rsidR="00B84DDC" w:rsidRPr="00B84DDC" w:rsidRDefault="00B84DDC" w:rsidP="00B84DDC">
      <w:pPr>
        <w:pStyle w:val="ListParagraph"/>
        <w:ind w:left="360"/>
        <w:jc w:val="both"/>
        <w:rPr>
          <w:rFonts w:ascii="Palatino Linotype" w:eastAsia="Times New Roman" w:hAnsi="Palatino Linotype"/>
          <w:bCs/>
          <w:sz w:val="22"/>
          <w:szCs w:val="22"/>
          <w:highlight w:val="yellow"/>
          <w:lang w:eastAsia="en-GB"/>
        </w:rPr>
      </w:pPr>
      <w:r w:rsidRPr="00B84DDC">
        <w:rPr>
          <w:rFonts w:ascii="Palatino Linotype" w:hAnsi="Palatino Linotype"/>
          <w:b/>
          <w:bCs/>
          <w:szCs w:val="22"/>
        </w:rPr>
        <w:t>Figure 2: Number of contracts traded at major exchanges* in different derivatives segment</w:t>
      </w:r>
    </w:p>
    <w:p w:rsidR="00B84DDC" w:rsidRDefault="00B84DDC" w:rsidP="00B84DDC">
      <w:pPr>
        <w:pStyle w:val="ListParagraph"/>
        <w:numPr>
          <w:ilvl w:val="0"/>
          <w:numId w:val="8"/>
        </w:numPr>
        <w:jc w:val="both"/>
      </w:pPr>
      <w:r w:rsidRPr="000A74FB">
        <w:rPr>
          <w:noProof/>
          <w:lang w:val="en-IN" w:eastAsia="en-IN" w:bidi="hi-IN"/>
        </w:rPr>
        <w:drawing>
          <wp:inline distT="0" distB="0" distL="0" distR="0" wp14:anchorId="5C5B3C8D" wp14:editId="332ECBDC">
            <wp:extent cx="5048250" cy="3143250"/>
            <wp:effectExtent l="0" t="0" r="0" b="0"/>
            <wp:docPr id="6" name="Picture 6" descr="GM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MR_Char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48250" cy="3143250"/>
                    </a:xfrm>
                    <a:prstGeom prst="rect">
                      <a:avLst/>
                    </a:prstGeom>
                    <a:noFill/>
                    <a:ln>
                      <a:noFill/>
                    </a:ln>
                  </pic:spPr>
                </pic:pic>
              </a:graphicData>
            </a:graphic>
          </wp:inline>
        </w:drawing>
      </w:r>
    </w:p>
    <w:p w:rsidR="00B84DDC" w:rsidRPr="00B84DDC" w:rsidRDefault="00B84DDC" w:rsidP="00B84DDC">
      <w:pPr>
        <w:pStyle w:val="ListParagraph"/>
        <w:numPr>
          <w:ilvl w:val="0"/>
          <w:numId w:val="8"/>
        </w:numPr>
        <w:spacing w:line="23" w:lineRule="atLeast"/>
        <w:rPr>
          <w:rFonts w:ascii="Palatino Linotype" w:hAnsi="Palatino Linotype"/>
          <w:bCs/>
          <w:sz w:val="18"/>
          <w:szCs w:val="18"/>
        </w:rPr>
      </w:pPr>
      <w:r w:rsidRPr="00B84DDC">
        <w:rPr>
          <w:rFonts w:ascii="Palatino Linotype" w:hAnsi="Palatino Linotype"/>
          <w:bCs/>
          <w:sz w:val="18"/>
          <w:szCs w:val="18"/>
        </w:rPr>
        <w:t>Note: 1. *Major Exchange: For each derivatives segment, exchange with highest no. of contracts traded (in that segment) among select exchanges (as covered under Table A4 to Table A8) is considered as major exchange for the segment.</w:t>
      </w:r>
    </w:p>
    <w:p w:rsidR="00B84DDC" w:rsidRPr="00B84DDC" w:rsidRDefault="00B84DDC" w:rsidP="00B84DDC">
      <w:pPr>
        <w:pStyle w:val="ListParagraph"/>
        <w:numPr>
          <w:ilvl w:val="0"/>
          <w:numId w:val="8"/>
        </w:numPr>
        <w:spacing w:line="23" w:lineRule="atLeast"/>
        <w:rPr>
          <w:rFonts w:ascii="Palatino Linotype" w:hAnsi="Palatino Linotype"/>
          <w:bCs/>
          <w:sz w:val="18"/>
          <w:szCs w:val="18"/>
        </w:rPr>
      </w:pPr>
      <w:r w:rsidRPr="00B84DDC">
        <w:rPr>
          <w:rFonts w:ascii="Palatino Linotype" w:hAnsi="Palatino Linotype"/>
          <w:bCs/>
          <w:sz w:val="18"/>
          <w:szCs w:val="18"/>
        </w:rPr>
        <w:t>Source: World Federation of Exchanges</w:t>
      </w:r>
    </w:p>
    <w:p w:rsidR="003C2485" w:rsidRPr="00B84DDC" w:rsidRDefault="003C2485" w:rsidP="00B84DDC">
      <w:pPr>
        <w:spacing w:line="276" w:lineRule="auto"/>
        <w:jc w:val="both"/>
        <w:rPr>
          <w:rFonts w:ascii="Palatino Linotype" w:eastAsia="Times New Roman" w:hAnsi="Palatino Linotype"/>
          <w:bCs/>
          <w:sz w:val="22"/>
          <w:szCs w:val="22"/>
          <w:highlight w:val="yellow"/>
          <w:lang w:val="en-US" w:eastAsia="en-GB"/>
        </w:rPr>
      </w:pPr>
      <w:r>
        <w:rPr>
          <w:rFonts w:ascii="Palatino Linotype" w:eastAsia="Times New Roman" w:hAnsi="Palatino Linotype"/>
          <w:b/>
          <w:sz w:val="22"/>
          <w:szCs w:val="22"/>
          <w:u w:val="single"/>
        </w:rPr>
        <w:t>Currency Market</w:t>
      </w:r>
      <w:r w:rsidRPr="00A01675">
        <w:rPr>
          <w:rFonts w:ascii="Palatino Linotype" w:eastAsia="Times New Roman" w:hAnsi="Palatino Linotype"/>
          <w:b/>
          <w:sz w:val="22"/>
          <w:szCs w:val="22"/>
          <w:u w:val="single"/>
        </w:rPr>
        <w:t xml:space="preserve"> </w:t>
      </w:r>
      <w:r w:rsidRPr="00A01675">
        <w:rPr>
          <w:rFonts w:ascii="Palatino Linotype" w:eastAsia="Times New Roman" w:hAnsi="Palatino Linotype"/>
          <w:b/>
          <w:sz w:val="22"/>
          <w:szCs w:val="22"/>
          <w:lang w:eastAsia="en-GB"/>
        </w:rPr>
        <w:t xml:space="preserve">(Table </w:t>
      </w:r>
      <w:r>
        <w:rPr>
          <w:rFonts w:ascii="Palatino Linotype" w:eastAsia="Times New Roman" w:hAnsi="Palatino Linotype"/>
          <w:b/>
          <w:sz w:val="22"/>
          <w:szCs w:val="22"/>
          <w:lang w:eastAsia="en-GB"/>
        </w:rPr>
        <w:t>2</w:t>
      </w:r>
      <w:r w:rsidRPr="00A01675">
        <w:rPr>
          <w:rFonts w:ascii="Palatino Linotype" w:eastAsia="Times New Roman" w:hAnsi="Palatino Linotype"/>
          <w:b/>
          <w:sz w:val="22"/>
          <w:szCs w:val="22"/>
          <w:lang w:eastAsia="en-GB"/>
        </w:rPr>
        <w:t>)</w:t>
      </w:r>
    </w:p>
    <w:p w:rsidR="003C2485" w:rsidRPr="008575BF" w:rsidRDefault="003C2485" w:rsidP="003C2485">
      <w:pPr>
        <w:spacing w:line="276" w:lineRule="auto"/>
        <w:jc w:val="both"/>
        <w:rPr>
          <w:rFonts w:ascii="Palatino Linotype" w:hAnsi="Palatino Linotype"/>
          <w:bCs/>
          <w:sz w:val="22"/>
          <w:szCs w:val="22"/>
          <w:highlight w:val="yellow"/>
          <w:lang w:val="en-US"/>
        </w:rPr>
      </w:pPr>
    </w:p>
    <w:p w:rsidR="003C2485" w:rsidRPr="002D4AE9" w:rsidRDefault="003C2485" w:rsidP="003C2485">
      <w:pPr>
        <w:numPr>
          <w:ilvl w:val="0"/>
          <w:numId w:val="8"/>
        </w:numPr>
        <w:spacing w:line="276" w:lineRule="auto"/>
        <w:jc w:val="both"/>
        <w:rPr>
          <w:rFonts w:ascii="Palatino Linotype" w:hAnsi="Palatino Linotype"/>
          <w:bCs/>
          <w:sz w:val="22"/>
          <w:szCs w:val="22"/>
          <w:lang w:val="en-US"/>
        </w:rPr>
      </w:pPr>
      <w:r w:rsidRPr="002D4AE9">
        <w:rPr>
          <w:rFonts w:ascii="Palatino Linotype" w:eastAsia="Times New Roman" w:hAnsi="Palatino Linotype"/>
          <w:bCs/>
          <w:sz w:val="22"/>
          <w:szCs w:val="22"/>
          <w:lang w:val="en-US" w:eastAsia="en-GB"/>
        </w:rPr>
        <w:t>During August 2021, among BRICS nations, Rupee (India), Real (Brazil), Rand (S. Africa) appreciated against USD by 1.9 per cent, 1.2 per cent and 0.4 per cent, respectively.</w:t>
      </w:r>
    </w:p>
    <w:p w:rsidR="003C2485" w:rsidRPr="002D4AE9" w:rsidRDefault="003C2485" w:rsidP="003C2485">
      <w:pPr>
        <w:numPr>
          <w:ilvl w:val="0"/>
          <w:numId w:val="8"/>
        </w:numPr>
        <w:spacing w:line="276" w:lineRule="auto"/>
        <w:jc w:val="both"/>
        <w:rPr>
          <w:rFonts w:ascii="Palatino Linotype" w:hAnsi="Palatino Linotype"/>
          <w:bCs/>
          <w:sz w:val="22"/>
          <w:szCs w:val="22"/>
          <w:lang w:val="en-US"/>
        </w:rPr>
      </w:pPr>
      <w:r w:rsidRPr="002D4AE9">
        <w:rPr>
          <w:rFonts w:ascii="Palatino Linotype" w:eastAsia="Times New Roman" w:hAnsi="Palatino Linotype"/>
          <w:bCs/>
          <w:sz w:val="22"/>
          <w:szCs w:val="22"/>
          <w:lang w:val="en-US" w:eastAsia="en-GB"/>
        </w:rPr>
        <w:t>Among developed markets, pound, Franc, Euro and Yen depreciated against USD by 1.1 per cent, 1.1 per cent, 0.5 per cent, 0.3 per cent, respectively.</w:t>
      </w:r>
    </w:p>
    <w:p w:rsidR="003C2485" w:rsidRPr="00A01675" w:rsidRDefault="003C2485" w:rsidP="003C2485">
      <w:pPr>
        <w:spacing w:line="276" w:lineRule="auto"/>
        <w:outlineLvl w:val="0"/>
        <w:rPr>
          <w:rFonts w:ascii="Palatino Linotype" w:eastAsia="Times New Roman" w:hAnsi="Palatino Linotype"/>
          <w:b/>
          <w:sz w:val="22"/>
          <w:szCs w:val="22"/>
          <w:u w:val="single"/>
        </w:rPr>
      </w:pPr>
    </w:p>
    <w:p w:rsidR="003C2485" w:rsidRPr="00A01675" w:rsidRDefault="003C2485" w:rsidP="003C2485">
      <w:pPr>
        <w:spacing w:line="276" w:lineRule="auto"/>
        <w:outlineLvl w:val="0"/>
        <w:rPr>
          <w:rFonts w:ascii="Palatino Linotype" w:eastAsia="Times New Roman" w:hAnsi="Palatino Linotype"/>
          <w:b/>
          <w:sz w:val="22"/>
          <w:szCs w:val="22"/>
          <w:lang w:eastAsia="en-GB"/>
        </w:rPr>
      </w:pPr>
      <w:r w:rsidRPr="00A01675">
        <w:rPr>
          <w:rFonts w:ascii="Palatino Linotype" w:eastAsia="Times New Roman" w:hAnsi="Palatino Linotype"/>
          <w:b/>
          <w:sz w:val="22"/>
          <w:szCs w:val="22"/>
          <w:u w:val="single"/>
        </w:rPr>
        <w:t xml:space="preserve">US Treasury Securities </w:t>
      </w:r>
      <w:r w:rsidRPr="00A01675">
        <w:rPr>
          <w:rFonts w:ascii="Palatino Linotype" w:eastAsia="Times New Roman" w:hAnsi="Palatino Linotype"/>
          <w:b/>
          <w:sz w:val="22"/>
          <w:szCs w:val="22"/>
          <w:lang w:eastAsia="en-GB"/>
        </w:rPr>
        <w:t>(Table A9)</w:t>
      </w:r>
    </w:p>
    <w:p w:rsidR="003C2485" w:rsidRPr="00A01675" w:rsidRDefault="003C2485" w:rsidP="003C2485">
      <w:pPr>
        <w:spacing w:line="276" w:lineRule="auto"/>
        <w:outlineLvl w:val="0"/>
        <w:rPr>
          <w:rFonts w:ascii="Palatino Linotype" w:hAnsi="Palatino Linotype"/>
          <w:bCs/>
          <w:sz w:val="22"/>
          <w:szCs w:val="22"/>
        </w:rPr>
      </w:pPr>
    </w:p>
    <w:p w:rsidR="003C2485" w:rsidRPr="00A01675" w:rsidRDefault="003C2485" w:rsidP="003C2485">
      <w:pPr>
        <w:numPr>
          <w:ilvl w:val="0"/>
          <w:numId w:val="8"/>
        </w:numPr>
        <w:spacing w:line="276" w:lineRule="auto"/>
        <w:contextualSpacing/>
        <w:jc w:val="both"/>
        <w:rPr>
          <w:rFonts w:ascii="Palatino Linotype" w:hAnsi="Palatino Linotype"/>
          <w:bCs/>
          <w:sz w:val="22"/>
          <w:szCs w:val="22"/>
          <w:lang w:val="en-US"/>
        </w:rPr>
      </w:pPr>
      <w:r w:rsidRPr="00A01675">
        <w:rPr>
          <w:rFonts w:ascii="Palatino Linotype" w:eastAsia="Times New Roman" w:hAnsi="Palatino Linotype"/>
          <w:bCs/>
          <w:sz w:val="22"/>
          <w:szCs w:val="22"/>
          <w:lang w:val="en-US" w:eastAsia="en-GB"/>
        </w:rPr>
        <w:t xml:space="preserve">At the end of </w:t>
      </w:r>
      <w:r>
        <w:rPr>
          <w:rFonts w:ascii="Palatino Linotype" w:eastAsia="Times New Roman" w:hAnsi="Palatino Linotype"/>
          <w:bCs/>
          <w:sz w:val="22"/>
          <w:szCs w:val="22"/>
          <w:lang w:val="en-US" w:eastAsia="en-GB"/>
        </w:rPr>
        <w:t>July</w:t>
      </w:r>
      <w:r w:rsidRPr="00A01675">
        <w:rPr>
          <w:rFonts w:ascii="Palatino Linotype" w:eastAsia="Times New Roman" w:hAnsi="Palatino Linotype"/>
          <w:bCs/>
          <w:sz w:val="22"/>
          <w:szCs w:val="22"/>
          <w:lang w:val="en-US" w:eastAsia="en-GB"/>
        </w:rPr>
        <w:t xml:space="preserve"> 2021, Japan was the biggest foreign holder of US Treasury Securities holding 17.</w:t>
      </w:r>
      <w:r>
        <w:rPr>
          <w:rFonts w:ascii="Palatino Linotype" w:eastAsia="Times New Roman" w:hAnsi="Palatino Linotype"/>
          <w:bCs/>
          <w:sz w:val="22"/>
          <w:szCs w:val="22"/>
          <w:lang w:val="en-US" w:eastAsia="en-GB"/>
        </w:rPr>
        <w:t>4</w:t>
      </w:r>
      <w:r w:rsidRPr="00A01675">
        <w:rPr>
          <w:rFonts w:ascii="Palatino Linotype" w:eastAsia="Times New Roman" w:hAnsi="Palatino Linotype"/>
          <w:bCs/>
          <w:sz w:val="22"/>
          <w:szCs w:val="22"/>
          <w:lang w:val="en-US" w:eastAsia="en-GB"/>
        </w:rPr>
        <w:t xml:space="preserve"> per cent of the total US treasury Securities followed by China with </w:t>
      </w:r>
      <w:r>
        <w:rPr>
          <w:rFonts w:ascii="Palatino Linotype" w:eastAsia="Times New Roman" w:hAnsi="Palatino Linotype"/>
          <w:bCs/>
          <w:sz w:val="22"/>
          <w:szCs w:val="22"/>
          <w:lang w:val="en-US" w:eastAsia="en-GB"/>
        </w:rPr>
        <w:t>14.2</w:t>
      </w:r>
      <w:r w:rsidRPr="00A01675">
        <w:rPr>
          <w:rFonts w:ascii="Palatino Linotype" w:eastAsia="Times New Roman" w:hAnsi="Palatino Linotype"/>
          <w:bCs/>
          <w:sz w:val="22"/>
          <w:szCs w:val="22"/>
          <w:lang w:val="en-US" w:eastAsia="en-GB"/>
        </w:rPr>
        <w:t xml:space="preserve"> per cent. The total foreign holding of US Treasury Securities at the end of </w:t>
      </w:r>
      <w:r>
        <w:rPr>
          <w:rFonts w:ascii="Palatino Linotype" w:eastAsia="Times New Roman" w:hAnsi="Palatino Linotype"/>
          <w:bCs/>
          <w:sz w:val="22"/>
          <w:szCs w:val="22"/>
          <w:lang w:val="en-US" w:eastAsia="en-GB"/>
        </w:rPr>
        <w:t>July</w:t>
      </w:r>
      <w:r w:rsidRPr="00A01675">
        <w:rPr>
          <w:rFonts w:ascii="Palatino Linotype" w:eastAsia="Times New Roman" w:hAnsi="Palatino Linotype"/>
          <w:bCs/>
          <w:sz w:val="22"/>
          <w:szCs w:val="22"/>
          <w:lang w:val="en-US" w:eastAsia="en-GB"/>
        </w:rPr>
        <w:t xml:space="preserve"> 2021 was USD 7,</w:t>
      </w:r>
      <w:r>
        <w:rPr>
          <w:rFonts w:ascii="Palatino Linotype" w:eastAsia="Times New Roman" w:hAnsi="Palatino Linotype"/>
          <w:bCs/>
          <w:sz w:val="22"/>
          <w:szCs w:val="22"/>
          <w:lang w:val="en-US" w:eastAsia="en-GB"/>
        </w:rPr>
        <w:t>543</w:t>
      </w:r>
      <w:r w:rsidRPr="00A01675">
        <w:rPr>
          <w:rFonts w:ascii="Palatino Linotype" w:eastAsia="Times New Roman" w:hAnsi="Palatino Linotype"/>
          <w:bCs/>
          <w:sz w:val="22"/>
          <w:szCs w:val="22"/>
          <w:lang w:val="en-US" w:eastAsia="en-GB"/>
        </w:rPr>
        <w:t xml:space="preserve"> billion. The holdings of US Treasury Securities by India </w:t>
      </w:r>
      <w:r>
        <w:rPr>
          <w:rFonts w:ascii="Palatino Linotype" w:eastAsia="Times New Roman" w:hAnsi="Palatino Linotype"/>
          <w:bCs/>
          <w:sz w:val="22"/>
          <w:szCs w:val="22"/>
          <w:lang w:val="en-US" w:eastAsia="en-GB"/>
        </w:rPr>
        <w:t>de</w:t>
      </w:r>
      <w:r w:rsidRPr="00A01675">
        <w:rPr>
          <w:rFonts w:ascii="Palatino Linotype" w:eastAsia="Times New Roman" w:hAnsi="Palatino Linotype"/>
          <w:bCs/>
          <w:sz w:val="22"/>
          <w:szCs w:val="22"/>
          <w:lang w:val="en-US" w:eastAsia="en-GB"/>
        </w:rPr>
        <w:t xml:space="preserve">creased to </w:t>
      </w:r>
      <w:r>
        <w:rPr>
          <w:rFonts w:ascii="Palatino Linotype" w:eastAsia="Times New Roman" w:hAnsi="Palatino Linotype"/>
          <w:bCs/>
          <w:sz w:val="22"/>
          <w:szCs w:val="22"/>
          <w:lang w:val="en-US" w:eastAsia="en-GB"/>
        </w:rPr>
        <w:t>2.9</w:t>
      </w:r>
      <w:r w:rsidRPr="00A01675">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(219 billion)</w:t>
      </w:r>
      <w:r w:rsidRPr="00A01675">
        <w:rPr>
          <w:rFonts w:ascii="Palatino Linotype" w:eastAsia="Times New Roman" w:hAnsi="Palatino Linotype"/>
          <w:bCs/>
          <w:sz w:val="22"/>
          <w:szCs w:val="22"/>
          <w:lang w:val="en-US" w:eastAsia="en-GB"/>
        </w:rPr>
        <w:t xml:space="preserve"> at the end of </w:t>
      </w:r>
      <w:r>
        <w:rPr>
          <w:rFonts w:ascii="Palatino Linotype" w:eastAsia="Times New Roman" w:hAnsi="Palatino Linotype"/>
          <w:bCs/>
          <w:sz w:val="22"/>
          <w:szCs w:val="22"/>
          <w:lang w:val="en-US" w:eastAsia="en-GB"/>
        </w:rPr>
        <w:t>July</w:t>
      </w:r>
      <w:r w:rsidRPr="00A01675">
        <w:rPr>
          <w:rFonts w:ascii="Palatino Linotype" w:eastAsia="Times New Roman" w:hAnsi="Palatino Linotype"/>
          <w:bCs/>
          <w:sz w:val="22"/>
          <w:szCs w:val="22"/>
          <w:lang w:val="en-US" w:eastAsia="en-GB"/>
        </w:rPr>
        <w:t xml:space="preserve"> 2021</w:t>
      </w:r>
      <w:r>
        <w:rPr>
          <w:rFonts w:ascii="Palatino Linotype" w:eastAsia="Times New Roman" w:hAnsi="Palatino Linotype"/>
          <w:bCs/>
          <w:sz w:val="22"/>
          <w:szCs w:val="22"/>
          <w:lang w:val="en-US" w:eastAsia="en-GB"/>
        </w:rPr>
        <w:t xml:space="preserve"> from 3.1</w:t>
      </w:r>
      <w:r w:rsidRPr="00A01675">
        <w:rPr>
          <w:rFonts w:ascii="Palatino Linotype" w:eastAsia="Times New Roman" w:hAnsi="Palatino Linotype"/>
          <w:bCs/>
          <w:sz w:val="22"/>
          <w:szCs w:val="22"/>
          <w:lang w:val="en-US" w:eastAsia="en-GB"/>
        </w:rPr>
        <w:t xml:space="preserve"> </w:t>
      </w:r>
      <w:r w:rsidR="00B84DDC">
        <w:rPr>
          <w:rFonts w:ascii="Palatino Linotype" w:eastAsia="Times New Roman" w:hAnsi="Palatino Linotype"/>
          <w:bCs/>
          <w:sz w:val="22"/>
          <w:szCs w:val="22"/>
          <w:lang w:val="en-US" w:eastAsia="en-GB"/>
        </w:rPr>
        <w:t>per cent in the</w:t>
      </w:r>
      <w:r w:rsidRPr="00A01675">
        <w:rPr>
          <w:rFonts w:ascii="Palatino Linotype" w:eastAsia="Times New Roman" w:hAnsi="Palatino Linotype"/>
          <w:bCs/>
          <w:sz w:val="22"/>
          <w:szCs w:val="22"/>
          <w:lang w:val="en-US" w:eastAsia="en-GB"/>
        </w:rPr>
        <w:t xml:space="preserve"> previous month.</w:t>
      </w:r>
    </w:p>
    <w:p w:rsidR="003C2485" w:rsidRPr="00A01675" w:rsidRDefault="003C2485" w:rsidP="003C2485">
      <w:pPr>
        <w:rPr>
          <w:rFonts w:ascii="Palatino Linotype" w:hAnsi="Palatino Linotype"/>
          <w:b/>
          <w:bCs/>
          <w:szCs w:val="22"/>
        </w:rPr>
      </w:pPr>
    </w:p>
    <w:p w:rsidR="003C2485" w:rsidRPr="00A01675" w:rsidRDefault="003C2485" w:rsidP="003C2485">
      <w:pPr>
        <w:rPr>
          <w:rFonts w:ascii="Palatino Linotype" w:hAnsi="Palatino Linotype"/>
          <w:b/>
          <w:bCs/>
          <w:szCs w:val="22"/>
        </w:rPr>
      </w:pPr>
    </w:p>
    <w:p w:rsidR="003C2485" w:rsidRPr="00A01675" w:rsidRDefault="003C2485" w:rsidP="003C2485">
      <w:pPr>
        <w:rPr>
          <w:rFonts w:ascii="Palatino Linotype" w:hAnsi="Palatino Linotype"/>
          <w:b/>
          <w:bCs/>
          <w:szCs w:val="22"/>
        </w:rPr>
      </w:pPr>
    </w:p>
    <w:p w:rsidR="003C2485" w:rsidRPr="00A01675" w:rsidRDefault="003C2485" w:rsidP="003C2485">
      <w:pPr>
        <w:rPr>
          <w:rFonts w:ascii="Palatino Linotype" w:hAnsi="Palatino Linotype"/>
          <w:bCs/>
          <w:szCs w:val="22"/>
        </w:rPr>
      </w:pPr>
      <w:r>
        <w:rPr>
          <w:rFonts w:ascii="Palatino Linotype" w:hAnsi="Palatino Linotype"/>
          <w:b/>
          <w:bCs/>
          <w:szCs w:val="22"/>
        </w:rPr>
        <w:br w:type="page"/>
        <w:t>Table 2</w:t>
      </w:r>
      <w:r w:rsidRPr="00A01675">
        <w:rPr>
          <w:rFonts w:ascii="Palatino Linotype" w:hAnsi="Palatino Linotype"/>
          <w:b/>
          <w:bCs/>
          <w:szCs w:val="22"/>
        </w:rPr>
        <w:t xml:space="preserve">: </w:t>
      </w:r>
      <w:r>
        <w:rPr>
          <w:rFonts w:ascii="Palatino Linotype" w:hAnsi="Palatino Linotype"/>
          <w:b/>
          <w:bCs/>
          <w:szCs w:val="22"/>
        </w:rPr>
        <w:t>Movement in Major Currencies across developing and developed markets</w:t>
      </w:r>
    </w:p>
    <w:p w:rsidR="003C2485" w:rsidRPr="00A01675" w:rsidRDefault="003C2485" w:rsidP="003C2485">
      <w:pPr>
        <w:spacing w:line="23" w:lineRule="atLeast"/>
        <w:jc w:val="both"/>
        <w:rPr>
          <w:rFonts w:ascii="Palatino Linotype" w:hAnsi="Palatino Linotype"/>
          <w:bCs/>
          <w:sz w:val="18"/>
          <w:szCs w:val="18"/>
        </w:rPr>
      </w:pPr>
    </w:p>
    <w:tbl>
      <w:tblPr>
        <w:tblW w:w="8287" w:type="dxa"/>
        <w:tblInd w:w="108" w:type="dxa"/>
        <w:tblLook w:val="04A0" w:firstRow="1" w:lastRow="0" w:firstColumn="1" w:lastColumn="0" w:noHBand="0" w:noVBand="1"/>
      </w:tblPr>
      <w:tblGrid>
        <w:gridCol w:w="1276"/>
        <w:gridCol w:w="1240"/>
        <w:gridCol w:w="1312"/>
        <w:gridCol w:w="1331"/>
        <w:gridCol w:w="992"/>
        <w:gridCol w:w="1134"/>
        <w:gridCol w:w="992"/>
        <w:gridCol w:w="10"/>
      </w:tblGrid>
      <w:tr w:rsidR="003C2485" w:rsidRPr="00E768E1" w:rsidTr="003C2485">
        <w:trPr>
          <w:gridAfter w:val="1"/>
          <w:wAfter w:w="10" w:type="dxa"/>
          <w:trHeight w:val="570"/>
        </w:trPr>
        <w:tc>
          <w:tcPr>
            <w:tcW w:w="1276"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3C2485" w:rsidRPr="00E768E1" w:rsidRDefault="003C2485" w:rsidP="003C2485">
            <w:pPr>
              <w:jc w:val="center"/>
              <w:rPr>
                <w:rFonts w:ascii="Garamond" w:eastAsia="Times New Roman" w:hAnsi="Garamond" w:cs="Calibri"/>
                <w:b/>
                <w:bCs/>
                <w:sz w:val="20"/>
                <w:szCs w:val="20"/>
                <w:lang w:val="en-IN" w:eastAsia="en-IN" w:bidi="hi-IN"/>
              </w:rPr>
            </w:pPr>
            <w:r w:rsidRPr="00E768E1">
              <w:rPr>
                <w:rFonts w:ascii="Garamond" w:eastAsia="Times New Roman" w:hAnsi="Garamond" w:cs="Calibri"/>
                <w:b/>
                <w:bCs/>
                <w:sz w:val="20"/>
                <w:szCs w:val="20"/>
                <w:lang w:val="en-IN" w:eastAsia="en-IN" w:bidi="hi-IN"/>
              </w:rPr>
              <w:t>Country</w:t>
            </w:r>
          </w:p>
        </w:tc>
        <w:tc>
          <w:tcPr>
            <w:tcW w:w="1240" w:type="dxa"/>
            <w:tcBorders>
              <w:top w:val="single" w:sz="8" w:space="0" w:color="auto"/>
              <w:left w:val="nil"/>
              <w:bottom w:val="nil"/>
              <w:right w:val="single" w:sz="8" w:space="0" w:color="auto"/>
            </w:tcBorders>
            <w:shd w:val="clear" w:color="000000" w:fill="B4C6E7"/>
            <w:hideMark/>
          </w:tcPr>
          <w:p w:rsidR="003C2485" w:rsidRPr="00E768E1" w:rsidRDefault="003C2485" w:rsidP="003C2485">
            <w:pPr>
              <w:jc w:val="center"/>
              <w:rPr>
                <w:rFonts w:ascii="Garamond" w:eastAsia="Times New Roman" w:hAnsi="Garamond" w:cs="Calibri"/>
                <w:b/>
                <w:bCs/>
                <w:sz w:val="20"/>
                <w:szCs w:val="20"/>
                <w:lang w:val="en-IN" w:eastAsia="en-IN" w:bidi="hi-IN"/>
              </w:rPr>
            </w:pPr>
            <w:r w:rsidRPr="00E768E1">
              <w:rPr>
                <w:rFonts w:ascii="Garamond" w:eastAsia="Times New Roman" w:hAnsi="Garamond" w:cs="Calibri"/>
                <w:b/>
                <w:bCs/>
                <w:sz w:val="20"/>
                <w:szCs w:val="20"/>
                <w:lang w:val="en-IN" w:eastAsia="en-IN" w:bidi="hi-IN"/>
              </w:rPr>
              <w:t>Currency</w:t>
            </w:r>
          </w:p>
        </w:tc>
        <w:tc>
          <w:tcPr>
            <w:tcW w:w="1312" w:type="dxa"/>
            <w:tcBorders>
              <w:top w:val="single" w:sz="8" w:space="0" w:color="auto"/>
              <w:left w:val="nil"/>
              <w:bottom w:val="nil"/>
              <w:right w:val="single" w:sz="8" w:space="0" w:color="auto"/>
            </w:tcBorders>
            <w:shd w:val="clear" w:color="000000" w:fill="B4C6E7"/>
            <w:noWrap/>
            <w:hideMark/>
          </w:tcPr>
          <w:p w:rsidR="003C2485" w:rsidRPr="00E768E1" w:rsidRDefault="003C2485" w:rsidP="003C2485">
            <w:pPr>
              <w:jc w:val="center"/>
              <w:rPr>
                <w:rFonts w:ascii="Garamond" w:eastAsia="Times New Roman" w:hAnsi="Garamond" w:cs="Calibri"/>
                <w:b/>
                <w:bCs/>
                <w:sz w:val="20"/>
                <w:szCs w:val="20"/>
                <w:lang w:val="en-IN" w:eastAsia="en-IN" w:bidi="hi-IN"/>
              </w:rPr>
            </w:pPr>
            <w:r w:rsidRPr="00E768E1">
              <w:rPr>
                <w:rFonts w:ascii="Garamond" w:eastAsia="Times New Roman" w:hAnsi="Garamond" w:cs="Calibri"/>
                <w:b/>
                <w:bCs/>
                <w:sz w:val="20"/>
                <w:szCs w:val="20"/>
                <w:lang w:val="en-IN" w:eastAsia="en-IN" w:bidi="hi-IN"/>
              </w:rPr>
              <w:t>Index as on</w:t>
            </w:r>
          </w:p>
        </w:tc>
        <w:tc>
          <w:tcPr>
            <w:tcW w:w="4449" w:type="dxa"/>
            <w:gridSpan w:val="4"/>
            <w:tcBorders>
              <w:top w:val="single" w:sz="8" w:space="0" w:color="auto"/>
              <w:left w:val="nil"/>
              <w:bottom w:val="single" w:sz="8" w:space="0" w:color="auto"/>
              <w:right w:val="single" w:sz="8" w:space="0" w:color="000000"/>
            </w:tcBorders>
            <w:shd w:val="clear" w:color="000000" w:fill="B4C6E7"/>
            <w:hideMark/>
          </w:tcPr>
          <w:p w:rsidR="003C2485" w:rsidRPr="00E768E1" w:rsidRDefault="003C2485" w:rsidP="003C2485">
            <w:pPr>
              <w:jc w:val="center"/>
              <w:rPr>
                <w:rFonts w:ascii="Garamond" w:eastAsia="Times New Roman" w:hAnsi="Garamond" w:cs="Calibri"/>
                <w:b/>
                <w:bCs/>
                <w:sz w:val="20"/>
                <w:szCs w:val="20"/>
                <w:lang w:val="en-IN" w:eastAsia="en-IN" w:bidi="hi-IN"/>
              </w:rPr>
            </w:pPr>
            <w:r>
              <w:rPr>
                <w:rFonts w:ascii="Garamond" w:eastAsia="Times New Roman" w:hAnsi="Garamond" w:cs="Calibri"/>
                <w:b/>
                <w:bCs/>
                <w:sz w:val="20"/>
                <w:szCs w:val="20"/>
                <w:lang w:val="en-IN" w:eastAsia="en-IN" w:bidi="hi-IN"/>
              </w:rPr>
              <w:t>Per cent</w:t>
            </w:r>
            <w:r w:rsidRPr="00E768E1">
              <w:rPr>
                <w:rFonts w:ascii="Garamond" w:eastAsia="Times New Roman" w:hAnsi="Garamond" w:cs="Calibri"/>
                <w:b/>
                <w:bCs/>
                <w:sz w:val="20"/>
                <w:szCs w:val="20"/>
                <w:lang w:val="en-IN" w:eastAsia="en-IN" w:bidi="hi-IN"/>
              </w:rPr>
              <w:t>age change in Currency Index over period</w:t>
            </w:r>
          </w:p>
        </w:tc>
      </w:tr>
      <w:tr w:rsidR="003C2485" w:rsidRPr="00E768E1" w:rsidTr="003C2485">
        <w:trPr>
          <w:gridAfter w:val="1"/>
          <w:wAfter w:w="10" w:type="dxa"/>
          <w:trHeight w:val="315"/>
        </w:trPr>
        <w:tc>
          <w:tcPr>
            <w:tcW w:w="1276" w:type="dxa"/>
            <w:vMerge/>
            <w:tcBorders>
              <w:top w:val="single" w:sz="8" w:space="0" w:color="auto"/>
              <w:left w:val="single" w:sz="8" w:space="0" w:color="auto"/>
              <w:bottom w:val="single" w:sz="8" w:space="0" w:color="000000"/>
              <w:right w:val="single" w:sz="8" w:space="0" w:color="auto"/>
            </w:tcBorders>
            <w:vAlign w:val="center"/>
            <w:hideMark/>
          </w:tcPr>
          <w:p w:rsidR="003C2485" w:rsidRPr="00E768E1" w:rsidRDefault="003C2485" w:rsidP="003C2485">
            <w:pPr>
              <w:rPr>
                <w:rFonts w:ascii="Garamond" w:eastAsia="Times New Roman" w:hAnsi="Garamond" w:cs="Calibri"/>
                <w:b/>
                <w:bCs/>
                <w:sz w:val="20"/>
                <w:szCs w:val="20"/>
                <w:lang w:val="en-IN" w:eastAsia="en-IN" w:bidi="hi-IN"/>
              </w:rPr>
            </w:pPr>
          </w:p>
        </w:tc>
        <w:tc>
          <w:tcPr>
            <w:tcW w:w="1240" w:type="dxa"/>
            <w:tcBorders>
              <w:top w:val="nil"/>
              <w:left w:val="nil"/>
              <w:bottom w:val="single" w:sz="8" w:space="0" w:color="auto"/>
              <w:right w:val="single" w:sz="8" w:space="0" w:color="auto"/>
            </w:tcBorders>
            <w:shd w:val="clear" w:color="000000" w:fill="B4C6E7"/>
            <w:hideMark/>
          </w:tcPr>
          <w:p w:rsidR="003C2485" w:rsidRPr="00E768E1" w:rsidRDefault="003C2485" w:rsidP="003C2485">
            <w:pPr>
              <w:jc w:val="center"/>
              <w:rPr>
                <w:rFonts w:ascii="Garamond" w:eastAsia="Times New Roman" w:hAnsi="Garamond" w:cs="Calibri"/>
                <w:b/>
                <w:bCs/>
                <w:sz w:val="20"/>
                <w:szCs w:val="20"/>
                <w:lang w:val="en-IN" w:eastAsia="en-IN" w:bidi="hi-IN"/>
              </w:rPr>
            </w:pPr>
            <w:r w:rsidRPr="00E768E1">
              <w:rPr>
                <w:rFonts w:ascii="Garamond" w:eastAsia="Times New Roman" w:hAnsi="Garamond" w:cs="Calibri"/>
                <w:b/>
                <w:bCs/>
                <w:sz w:val="20"/>
                <w:szCs w:val="20"/>
                <w:lang w:val="en-IN" w:eastAsia="en-IN" w:bidi="hi-IN"/>
              </w:rPr>
              <w:t> </w:t>
            </w:r>
          </w:p>
        </w:tc>
        <w:tc>
          <w:tcPr>
            <w:tcW w:w="1312" w:type="dxa"/>
            <w:tcBorders>
              <w:top w:val="nil"/>
              <w:left w:val="nil"/>
              <w:bottom w:val="single" w:sz="8" w:space="0" w:color="auto"/>
              <w:right w:val="single" w:sz="8" w:space="0" w:color="auto"/>
            </w:tcBorders>
            <w:shd w:val="clear" w:color="000000" w:fill="B4C6E7"/>
            <w:noWrap/>
            <w:hideMark/>
          </w:tcPr>
          <w:p w:rsidR="003C2485" w:rsidRPr="00E768E1" w:rsidRDefault="003C2485" w:rsidP="003C2485">
            <w:pPr>
              <w:jc w:val="center"/>
              <w:rPr>
                <w:rFonts w:ascii="Garamond" w:eastAsia="Times New Roman" w:hAnsi="Garamond" w:cs="Calibri"/>
                <w:b/>
                <w:bCs/>
                <w:sz w:val="20"/>
                <w:szCs w:val="20"/>
                <w:lang w:val="en-IN" w:eastAsia="en-IN" w:bidi="hi-IN"/>
              </w:rPr>
            </w:pPr>
            <w:r w:rsidRPr="00E768E1">
              <w:rPr>
                <w:rFonts w:ascii="Garamond" w:eastAsia="Times New Roman" w:hAnsi="Garamond" w:cs="Calibri"/>
                <w:b/>
                <w:bCs/>
                <w:sz w:val="20"/>
                <w:szCs w:val="20"/>
                <w:lang w:val="en-IN" w:eastAsia="en-IN" w:bidi="hi-IN"/>
              </w:rPr>
              <w:t>31-Aug-21</w:t>
            </w:r>
          </w:p>
        </w:tc>
        <w:tc>
          <w:tcPr>
            <w:tcW w:w="1331" w:type="dxa"/>
            <w:tcBorders>
              <w:top w:val="nil"/>
              <w:left w:val="nil"/>
              <w:bottom w:val="single" w:sz="8" w:space="0" w:color="auto"/>
              <w:right w:val="single" w:sz="8" w:space="0" w:color="auto"/>
            </w:tcBorders>
            <w:shd w:val="clear" w:color="000000" w:fill="B4C6E7"/>
            <w:noWrap/>
            <w:hideMark/>
          </w:tcPr>
          <w:p w:rsidR="003C2485" w:rsidRPr="00E768E1" w:rsidRDefault="003C2485" w:rsidP="003C2485">
            <w:pPr>
              <w:jc w:val="center"/>
              <w:rPr>
                <w:rFonts w:ascii="Garamond" w:eastAsia="Times New Roman" w:hAnsi="Garamond" w:cs="Calibri"/>
                <w:b/>
                <w:bCs/>
                <w:sz w:val="20"/>
                <w:szCs w:val="20"/>
                <w:lang w:val="en-IN" w:eastAsia="en-IN" w:bidi="hi-IN"/>
              </w:rPr>
            </w:pPr>
            <w:r w:rsidRPr="00E768E1">
              <w:rPr>
                <w:rFonts w:ascii="Garamond" w:eastAsia="Times New Roman" w:hAnsi="Garamond" w:cs="Calibri"/>
                <w:b/>
                <w:bCs/>
                <w:sz w:val="20"/>
                <w:szCs w:val="20"/>
                <w:lang w:val="en-IN" w:eastAsia="en-IN" w:bidi="hi-IN"/>
              </w:rPr>
              <w:t>1-Month</w:t>
            </w:r>
          </w:p>
        </w:tc>
        <w:tc>
          <w:tcPr>
            <w:tcW w:w="992" w:type="dxa"/>
            <w:tcBorders>
              <w:top w:val="nil"/>
              <w:left w:val="nil"/>
              <w:bottom w:val="single" w:sz="8" w:space="0" w:color="auto"/>
              <w:right w:val="single" w:sz="8" w:space="0" w:color="auto"/>
            </w:tcBorders>
            <w:shd w:val="clear" w:color="000000" w:fill="B4C6E7"/>
            <w:noWrap/>
            <w:hideMark/>
          </w:tcPr>
          <w:p w:rsidR="003C2485" w:rsidRPr="00E768E1" w:rsidRDefault="003C2485" w:rsidP="003C2485">
            <w:pPr>
              <w:jc w:val="center"/>
              <w:rPr>
                <w:rFonts w:ascii="Garamond" w:eastAsia="Times New Roman" w:hAnsi="Garamond" w:cs="Calibri"/>
                <w:b/>
                <w:bCs/>
                <w:sz w:val="20"/>
                <w:szCs w:val="20"/>
                <w:lang w:val="en-IN" w:eastAsia="en-IN" w:bidi="hi-IN"/>
              </w:rPr>
            </w:pPr>
            <w:r w:rsidRPr="00E768E1">
              <w:rPr>
                <w:rFonts w:ascii="Garamond" w:eastAsia="Times New Roman" w:hAnsi="Garamond" w:cs="Calibri"/>
                <w:b/>
                <w:bCs/>
                <w:sz w:val="20"/>
                <w:szCs w:val="20"/>
                <w:lang w:val="en-IN" w:eastAsia="en-IN" w:bidi="hi-IN"/>
              </w:rPr>
              <w:t>3-Month</w:t>
            </w:r>
          </w:p>
        </w:tc>
        <w:tc>
          <w:tcPr>
            <w:tcW w:w="1134" w:type="dxa"/>
            <w:tcBorders>
              <w:top w:val="nil"/>
              <w:left w:val="nil"/>
              <w:bottom w:val="single" w:sz="8" w:space="0" w:color="auto"/>
              <w:right w:val="single" w:sz="8" w:space="0" w:color="auto"/>
            </w:tcBorders>
            <w:shd w:val="clear" w:color="000000" w:fill="B4C6E7"/>
            <w:noWrap/>
            <w:hideMark/>
          </w:tcPr>
          <w:p w:rsidR="003C2485" w:rsidRPr="00E768E1" w:rsidRDefault="003C2485" w:rsidP="003C2485">
            <w:pPr>
              <w:jc w:val="center"/>
              <w:rPr>
                <w:rFonts w:ascii="Garamond" w:eastAsia="Times New Roman" w:hAnsi="Garamond" w:cs="Calibri"/>
                <w:b/>
                <w:bCs/>
                <w:sz w:val="20"/>
                <w:szCs w:val="20"/>
                <w:lang w:val="en-IN" w:eastAsia="en-IN" w:bidi="hi-IN"/>
              </w:rPr>
            </w:pPr>
            <w:r w:rsidRPr="00E768E1">
              <w:rPr>
                <w:rFonts w:ascii="Garamond" w:eastAsia="Times New Roman" w:hAnsi="Garamond" w:cs="Calibri"/>
                <w:b/>
                <w:bCs/>
                <w:sz w:val="20"/>
                <w:szCs w:val="20"/>
                <w:lang w:val="en-IN" w:eastAsia="en-IN" w:bidi="hi-IN"/>
              </w:rPr>
              <w:t>6-Month</w:t>
            </w:r>
          </w:p>
        </w:tc>
        <w:tc>
          <w:tcPr>
            <w:tcW w:w="992" w:type="dxa"/>
            <w:tcBorders>
              <w:top w:val="nil"/>
              <w:left w:val="nil"/>
              <w:bottom w:val="single" w:sz="8" w:space="0" w:color="auto"/>
              <w:right w:val="single" w:sz="8" w:space="0" w:color="auto"/>
            </w:tcBorders>
            <w:shd w:val="clear" w:color="000000" w:fill="B4C6E7"/>
            <w:noWrap/>
            <w:hideMark/>
          </w:tcPr>
          <w:p w:rsidR="003C2485" w:rsidRPr="00E768E1" w:rsidRDefault="003C2485" w:rsidP="003C2485">
            <w:pPr>
              <w:jc w:val="center"/>
              <w:rPr>
                <w:rFonts w:ascii="Garamond" w:eastAsia="Times New Roman" w:hAnsi="Garamond" w:cs="Calibri"/>
                <w:b/>
                <w:bCs/>
                <w:sz w:val="20"/>
                <w:szCs w:val="20"/>
                <w:lang w:val="en-IN" w:eastAsia="en-IN" w:bidi="hi-IN"/>
              </w:rPr>
            </w:pPr>
            <w:r w:rsidRPr="00E768E1">
              <w:rPr>
                <w:rFonts w:ascii="Garamond" w:eastAsia="Times New Roman" w:hAnsi="Garamond" w:cs="Calibri"/>
                <w:b/>
                <w:bCs/>
                <w:sz w:val="20"/>
                <w:szCs w:val="20"/>
                <w:lang w:val="en-IN" w:eastAsia="en-IN" w:bidi="hi-IN"/>
              </w:rPr>
              <w:t>1-Year</w:t>
            </w:r>
          </w:p>
        </w:tc>
      </w:tr>
      <w:tr w:rsidR="003C2485" w:rsidRPr="00E768E1" w:rsidTr="003C2485">
        <w:trPr>
          <w:trHeight w:val="315"/>
        </w:trPr>
        <w:tc>
          <w:tcPr>
            <w:tcW w:w="8287" w:type="dxa"/>
            <w:gridSpan w:val="8"/>
            <w:tcBorders>
              <w:top w:val="single" w:sz="8" w:space="0" w:color="auto"/>
              <w:left w:val="single" w:sz="8" w:space="0" w:color="auto"/>
              <w:bottom w:val="single" w:sz="8" w:space="0" w:color="auto"/>
              <w:right w:val="single" w:sz="8" w:space="0" w:color="000000"/>
            </w:tcBorders>
            <w:shd w:val="clear" w:color="000000" w:fill="D9E1F2"/>
            <w:noWrap/>
            <w:hideMark/>
          </w:tcPr>
          <w:p w:rsidR="003C2485" w:rsidRPr="00E768E1" w:rsidRDefault="003C2485" w:rsidP="003C2485">
            <w:pPr>
              <w:jc w:val="center"/>
              <w:rPr>
                <w:rFonts w:ascii="Garamond" w:eastAsia="Times New Roman" w:hAnsi="Garamond" w:cs="Calibri"/>
                <w:b/>
                <w:bCs/>
                <w:sz w:val="20"/>
                <w:szCs w:val="20"/>
                <w:lang w:val="en-IN" w:eastAsia="en-IN" w:bidi="hi-IN"/>
              </w:rPr>
            </w:pPr>
            <w:r w:rsidRPr="00E768E1">
              <w:rPr>
                <w:rFonts w:ascii="Garamond" w:eastAsia="Times New Roman" w:hAnsi="Garamond" w:cs="Calibri"/>
                <w:b/>
                <w:bCs/>
                <w:sz w:val="20"/>
                <w:szCs w:val="20"/>
                <w:lang w:val="en-IN" w:eastAsia="en-IN" w:bidi="hi-IN"/>
              </w:rPr>
              <w:t>BRICS Nations</w:t>
            </w:r>
          </w:p>
        </w:tc>
      </w:tr>
      <w:tr w:rsidR="003C2485" w:rsidRPr="00E768E1" w:rsidTr="003C2485">
        <w:trPr>
          <w:gridAfter w:val="1"/>
          <w:wAfter w:w="10" w:type="dxa"/>
          <w:trHeight w:val="300"/>
        </w:trPr>
        <w:tc>
          <w:tcPr>
            <w:tcW w:w="1276" w:type="dxa"/>
            <w:tcBorders>
              <w:top w:val="nil"/>
              <w:left w:val="single" w:sz="8" w:space="0" w:color="auto"/>
              <w:bottom w:val="nil"/>
              <w:right w:val="single" w:sz="8" w:space="0" w:color="auto"/>
            </w:tcBorders>
            <w:shd w:val="clear" w:color="000000" w:fill="D9E1F2"/>
            <w:noWrap/>
            <w:hideMark/>
          </w:tcPr>
          <w:p w:rsidR="003C2485" w:rsidRPr="00E768E1" w:rsidRDefault="003C2485" w:rsidP="003C2485">
            <w:pPr>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Brazil</w:t>
            </w:r>
          </w:p>
        </w:tc>
        <w:tc>
          <w:tcPr>
            <w:tcW w:w="1240" w:type="dxa"/>
            <w:tcBorders>
              <w:top w:val="nil"/>
              <w:left w:val="nil"/>
              <w:bottom w:val="nil"/>
              <w:right w:val="single" w:sz="8" w:space="0" w:color="auto"/>
            </w:tcBorders>
            <w:shd w:val="clear" w:color="000000" w:fill="D9E1F2"/>
            <w:noWrap/>
            <w:hideMark/>
          </w:tcPr>
          <w:p w:rsidR="003C2485" w:rsidRPr="00E768E1" w:rsidRDefault="003C2485" w:rsidP="003C2485">
            <w:pPr>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Real</w:t>
            </w:r>
          </w:p>
        </w:tc>
        <w:tc>
          <w:tcPr>
            <w:tcW w:w="1312" w:type="dxa"/>
            <w:tcBorders>
              <w:top w:val="nil"/>
              <w:left w:val="nil"/>
              <w:bottom w:val="nil"/>
              <w:right w:val="single" w:sz="8" w:space="0" w:color="auto"/>
            </w:tcBorders>
            <w:shd w:val="clear" w:color="000000" w:fill="9BC2E6"/>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5.1</w:t>
            </w:r>
          </w:p>
        </w:tc>
        <w:tc>
          <w:tcPr>
            <w:tcW w:w="1331"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-1.2</w:t>
            </w:r>
          </w:p>
        </w:tc>
        <w:tc>
          <w:tcPr>
            <w:tcW w:w="992"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-1.3</w:t>
            </w:r>
          </w:p>
        </w:tc>
        <w:tc>
          <w:tcPr>
            <w:tcW w:w="1134"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-8.0</w:t>
            </w:r>
          </w:p>
        </w:tc>
        <w:tc>
          <w:tcPr>
            <w:tcW w:w="992"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-6.2</w:t>
            </w:r>
          </w:p>
        </w:tc>
      </w:tr>
      <w:tr w:rsidR="003C2485" w:rsidRPr="00E768E1" w:rsidTr="003C2485">
        <w:trPr>
          <w:gridAfter w:val="1"/>
          <w:wAfter w:w="10" w:type="dxa"/>
          <w:trHeight w:val="300"/>
        </w:trPr>
        <w:tc>
          <w:tcPr>
            <w:tcW w:w="1276" w:type="dxa"/>
            <w:tcBorders>
              <w:top w:val="nil"/>
              <w:left w:val="single" w:sz="8" w:space="0" w:color="auto"/>
              <w:bottom w:val="nil"/>
              <w:right w:val="single" w:sz="8" w:space="0" w:color="auto"/>
            </w:tcBorders>
            <w:shd w:val="clear" w:color="000000" w:fill="D9E1F2"/>
            <w:noWrap/>
            <w:hideMark/>
          </w:tcPr>
          <w:p w:rsidR="003C2485" w:rsidRPr="00E768E1" w:rsidRDefault="003C2485" w:rsidP="003C2485">
            <w:pPr>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Russia</w:t>
            </w:r>
          </w:p>
        </w:tc>
        <w:tc>
          <w:tcPr>
            <w:tcW w:w="1240" w:type="dxa"/>
            <w:tcBorders>
              <w:top w:val="nil"/>
              <w:left w:val="nil"/>
              <w:bottom w:val="nil"/>
              <w:right w:val="single" w:sz="8" w:space="0" w:color="auto"/>
            </w:tcBorders>
            <w:shd w:val="clear" w:color="000000" w:fill="D9E1F2"/>
            <w:noWrap/>
            <w:hideMark/>
          </w:tcPr>
          <w:p w:rsidR="003C2485" w:rsidRPr="00E768E1" w:rsidRDefault="003C2485" w:rsidP="003C2485">
            <w:pPr>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Rouble</w:t>
            </w:r>
          </w:p>
        </w:tc>
        <w:tc>
          <w:tcPr>
            <w:tcW w:w="1312" w:type="dxa"/>
            <w:tcBorders>
              <w:top w:val="nil"/>
              <w:left w:val="nil"/>
              <w:bottom w:val="nil"/>
              <w:right w:val="single" w:sz="8" w:space="0" w:color="auto"/>
            </w:tcBorders>
            <w:shd w:val="clear" w:color="000000" w:fill="9BC2E6"/>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73.1</w:t>
            </w:r>
          </w:p>
        </w:tc>
        <w:tc>
          <w:tcPr>
            <w:tcW w:w="1331"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0.1</w:t>
            </w:r>
          </w:p>
        </w:tc>
        <w:tc>
          <w:tcPr>
            <w:tcW w:w="992"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-0.2</w:t>
            </w:r>
          </w:p>
        </w:tc>
        <w:tc>
          <w:tcPr>
            <w:tcW w:w="1134"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-1.4</w:t>
            </w:r>
          </w:p>
        </w:tc>
        <w:tc>
          <w:tcPr>
            <w:tcW w:w="992"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-0.9</w:t>
            </w:r>
          </w:p>
        </w:tc>
      </w:tr>
      <w:tr w:rsidR="003C2485" w:rsidRPr="00E768E1" w:rsidTr="003C2485">
        <w:trPr>
          <w:gridAfter w:val="1"/>
          <w:wAfter w:w="10" w:type="dxa"/>
          <w:trHeight w:val="300"/>
        </w:trPr>
        <w:tc>
          <w:tcPr>
            <w:tcW w:w="1276" w:type="dxa"/>
            <w:tcBorders>
              <w:top w:val="nil"/>
              <w:left w:val="single" w:sz="8" w:space="0" w:color="auto"/>
              <w:bottom w:val="nil"/>
              <w:right w:val="single" w:sz="8" w:space="0" w:color="auto"/>
            </w:tcBorders>
            <w:shd w:val="clear" w:color="000000" w:fill="D9E1F2"/>
            <w:noWrap/>
            <w:hideMark/>
          </w:tcPr>
          <w:p w:rsidR="003C2485" w:rsidRPr="00E768E1" w:rsidRDefault="003C2485" w:rsidP="003C2485">
            <w:pPr>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India</w:t>
            </w:r>
          </w:p>
        </w:tc>
        <w:tc>
          <w:tcPr>
            <w:tcW w:w="1240" w:type="dxa"/>
            <w:tcBorders>
              <w:top w:val="nil"/>
              <w:left w:val="nil"/>
              <w:bottom w:val="nil"/>
              <w:right w:val="single" w:sz="8" w:space="0" w:color="auto"/>
            </w:tcBorders>
            <w:shd w:val="clear" w:color="000000" w:fill="D9E1F2"/>
            <w:noWrap/>
            <w:hideMark/>
          </w:tcPr>
          <w:p w:rsidR="003C2485" w:rsidRPr="00E768E1" w:rsidRDefault="003C2485" w:rsidP="003C2485">
            <w:pPr>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Rupee</w:t>
            </w:r>
          </w:p>
        </w:tc>
        <w:tc>
          <w:tcPr>
            <w:tcW w:w="1312" w:type="dxa"/>
            <w:tcBorders>
              <w:top w:val="nil"/>
              <w:left w:val="nil"/>
              <w:bottom w:val="nil"/>
              <w:right w:val="single" w:sz="8" w:space="0" w:color="auto"/>
            </w:tcBorders>
            <w:shd w:val="clear" w:color="000000" w:fill="9BC2E6"/>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72.9</w:t>
            </w:r>
          </w:p>
        </w:tc>
        <w:tc>
          <w:tcPr>
            <w:tcW w:w="1331"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-1.9</w:t>
            </w:r>
          </w:p>
        </w:tc>
        <w:tc>
          <w:tcPr>
            <w:tcW w:w="992"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0.6</w:t>
            </w:r>
          </w:p>
        </w:tc>
        <w:tc>
          <w:tcPr>
            <w:tcW w:w="1134"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-1.3</w:t>
            </w:r>
          </w:p>
        </w:tc>
        <w:tc>
          <w:tcPr>
            <w:tcW w:w="992"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-0.4</w:t>
            </w:r>
          </w:p>
        </w:tc>
      </w:tr>
      <w:tr w:rsidR="003C2485" w:rsidRPr="00E768E1" w:rsidTr="003C2485">
        <w:trPr>
          <w:gridAfter w:val="1"/>
          <w:wAfter w:w="10" w:type="dxa"/>
          <w:trHeight w:val="300"/>
        </w:trPr>
        <w:tc>
          <w:tcPr>
            <w:tcW w:w="1276" w:type="dxa"/>
            <w:tcBorders>
              <w:top w:val="nil"/>
              <w:left w:val="single" w:sz="8" w:space="0" w:color="auto"/>
              <w:bottom w:val="nil"/>
              <w:right w:val="single" w:sz="8" w:space="0" w:color="auto"/>
            </w:tcBorders>
            <w:shd w:val="clear" w:color="000000" w:fill="D9E1F2"/>
            <w:noWrap/>
            <w:hideMark/>
          </w:tcPr>
          <w:p w:rsidR="003C2485" w:rsidRPr="00E768E1" w:rsidRDefault="003C2485" w:rsidP="003C2485">
            <w:pPr>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China</w:t>
            </w:r>
          </w:p>
        </w:tc>
        <w:tc>
          <w:tcPr>
            <w:tcW w:w="1240" w:type="dxa"/>
            <w:tcBorders>
              <w:top w:val="nil"/>
              <w:left w:val="nil"/>
              <w:bottom w:val="nil"/>
              <w:right w:val="single" w:sz="8" w:space="0" w:color="auto"/>
            </w:tcBorders>
            <w:shd w:val="clear" w:color="000000" w:fill="D9E1F2"/>
            <w:noWrap/>
            <w:hideMark/>
          </w:tcPr>
          <w:p w:rsidR="003C2485" w:rsidRPr="00E768E1" w:rsidRDefault="003C2485" w:rsidP="003C2485">
            <w:pPr>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Renminbi</w:t>
            </w:r>
          </w:p>
        </w:tc>
        <w:tc>
          <w:tcPr>
            <w:tcW w:w="1312" w:type="dxa"/>
            <w:tcBorders>
              <w:top w:val="nil"/>
              <w:left w:val="nil"/>
              <w:bottom w:val="nil"/>
              <w:right w:val="single" w:sz="8" w:space="0" w:color="auto"/>
            </w:tcBorders>
            <w:shd w:val="clear" w:color="000000" w:fill="9BC2E6"/>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6.5</w:t>
            </w:r>
          </w:p>
        </w:tc>
        <w:tc>
          <w:tcPr>
            <w:tcW w:w="1331"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0.0</w:t>
            </w:r>
          </w:p>
        </w:tc>
        <w:tc>
          <w:tcPr>
            <w:tcW w:w="992"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1.4</w:t>
            </w:r>
          </w:p>
        </w:tc>
        <w:tc>
          <w:tcPr>
            <w:tcW w:w="1134"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-0.2</w:t>
            </w:r>
          </w:p>
        </w:tc>
        <w:tc>
          <w:tcPr>
            <w:tcW w:w="992"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-5.7</w:t>
            </w:r>
          </w:p>
        </w:tc>
      </w:tr>
      <w:tr w:rsidR="003C2485" w:rsidRPr="00E768E1" w:rsidTr="003C2485">
        <w:trPr>
          <w:gridAfter w:val="1"/>
          <w:wAfter w:w="10" w:type="dxa"/>
          <w:trHeight w:val="315"/>
        </w:trPr>
        <w:tc>
          <w:tcPr>
            <w:tcW w:w="1276" w:type="dxa"/>
            <w:tcBorders>
              <w:top w:val="nil"/>
              <w:left w:val="single" w:sz="8" w:space="0" w:color="auto"/>
              <w:bottom w:val="single" w:sz="8" w:space="0" w:color="auto"/>
              <w:right w:val="single" w:sz="8" w:space="0" w:color="auto"/>
            </w:tcBorders>
            <w:shd w:val="clear" w:color="000000" w:fill="D9E1F2"/>
            <w:noWrap/>
            <w:hideMark/>
          </w:tcPr>
          <w:p w:rsidR="003C2485" w:rsidRPr="00E768E1" w:rsidRDefault="003C2485" w:rsidP="003C2485">
            <w:pPr>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S. Africa</w:t>
            </w:r>
          </w:p>
        </w:tc>
        <w:tc>
          <w:tcPr>
            <w:tcW w:w="1240" w:type="dxa"/>
            <w:tcBorders>
              <w:top w:val="nil"/>
              <w:left w:val="nil"/>
              <w:bottom w:val="nil"/>
              <w:right w:val="single" w:sz="8" w:space="0" w:color="auto"/>
            </w:tcBorders>
            <w:shd w:val="clear" w:color="000000" w:fill="D9E1F2"/>
            <w:noWrap/>
            <w:hideMark/>
          </w:tcPr>
          <w:p w:rsidR="003C2485" w:rsidRPr="00E768E1" w:rsidRDefault="003C2485" w:rsidP="003C2485">
            <w:pPr>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Rand</w:t>
            </w:r>
          </w:p>
        </w:tc>
        <w:tc>
          <w:tcPr>
            <w:tcW w:w="1312" w:type="dxa"/>
            <w:tcBorders>
              <w:top w:val="nil"/>
              <w:left w:val="nil"/>
              <w:bottom w:val="nil"/>
              <w:right w:val="single" w:sz="8" w:space="0" w:color="auto"/>
            </w:tcBorders>
            <w:shd w:val="clear" w:color="000000" w:fill="9BC2E6"/>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14.5</w:t>
            </w:r>
          </w:p>
        </w:tc>
        <w:tc>
          <w:tcPr>
            <w:tcW w:w="1331"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-0.4</w:t>
            </w:r>
          </w:p>
        </w:tc>
        <w:tc>
          <w:tcPr>
            <w:tcW w:w="992"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5.8</w:t>
            </w:r>
          </w:p>
        </w:tc>
        <w:tc>
          <w:tcPr>
            <w:tcW w:w="1134"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-3.9</w:t>
            </w:r>
          </w:p>
        </w:tc>
        <w:tc>
          <w:tcPr>
            <w:tcW w:w="992"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-14.3</w:t>
            </w:r>
          </w:p>
        </w:tc>
      </w:tr>
      <w:tr w:rsidR="003C2485" w:rsidRPr="00E768E1" w:rsidTr="003C2485">
        <w:trPr>
          <w:trHeight w:val="315"/>
        </w:trPr>
        <w:tc>
          <w:tcPr>
            <w:tcW w:w="8287" w:type="dxa"/>
            <w:gridSpan w:val="8"/>
            <w:tcBorders>
              <w:top w:val="single" w:sz="8" w:space="0" w:color="auto"/>
              <w:left w:val="single" w:sz="8" w:space="0" w:color="auto"/>
              <w:bottom w:val="single" w:sz="8" w:space="0" w:color="auto"/>
              <w:right w:val="single" w:sz="8" w:space="0" w:color="000000"/>
            </w:tcBorders>
            <w:shd w:val="clear" w:color="000000" w:fill="D9E1F2"/>
            <w:hideMark/>
          </w:tcPr>
          <w:p w:rsidR="003C2485" w:rsidRPr="00E768E1" w:rsidRDefault="003C2485" w:rsidP="003C2485">
            <w:pPr>
              <w:jc w:val="center"/>
              <w:rPr>
                <w:rFonts w:ascii="Garamond" w:eastAsia="Times New Roman" w:hAnsi="Garamond" w:cs="Calibri"/>
                <w:b/>
                <w:bCs/>
                <w:sz w:val="20"/>
                <w:szCs w:val="20"/>
                <w:lang w:val="en-IN" w:eastAsia="en-IN" w:bidi="hi-IN"/>
              </w:rPr>
            </w:pPr>
            <w:r w:rsidRPr="00E768E1">
              <w:rPr>
                <w:rFonts w:ascii="Garamond" w:eastAsia="Times New Roman" w:hAnsi="Garamond" w:cs="Calibri"/>
                <w:b/>
                <w:bCs/>
                <w:sz w:val="20"/>
                <w:szCs w:val="20"/>
                <w:lang w:val="en-IN" w:eastAsia="en-IN" w:bidi="hi-IN"/>
              </w:rPr>
              <w:t>Developed Markets</w:t>
            </w:r>
          </w:p>
        </w:tc>
      </w:tr>
      <w:tr w:rsidR="003C2485" w:rsidRPr="00E768E1" w:rsidTr="003C2485">
        <w:trPr>
          <w:gridAfter w:val="1"/>
          <w:wAfter w:w="10" w:type="dxa"/>
          <w:trHeight w:val="300"/>
        </w:trPr>
        <w:tc>
          <w:tcPr>
            <w:tcW w:w="1276" w:type="dxa"/>
            <w:tcBorders>
              <w:top w:val="nil"/>
              <w:left w:val="single" w:sz="8" w:space="0" w:color="auto"/>
              <w:bottom w:val="nil"/>
              <w:right w:val="single" w:sz="8" w:space="0" w:color="auto"/>
            </w:tcBorders>
            <w:shd w:val="clear" w:color="000000" w:fill="D9E1F2"/>
            <w:noWrap/>
            <w:hideMark/>
          </w:tcPr>
          <w:p w:rsidR="003C2485" w:rsidRPr="00E768E1" w:rsidRDefault="003C2485" w:rsidP="003C2485">
            <w:pPr>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UK</w:t>
            </w:r>
          </w:p>
        </w:tc>
        <w:tc>
          <w:tcPr>
            <w:tcW w:w="1240" w:type="dxa"/>
            <w:tcBorders>
              <w:top w:val="nil"/>
              <w:left w:val="nil"/>
              <w:bottom w:val="nil"/>
              <w:right w:val="single" w:sz="8" w:space="0" w:color="auto"/>
            </w:tcBorders>
            <w:shd w:val="clear" w:color="000000" w:fill="D9E1F2"/>
            <w:noWrap/>
            <w:hideMark/>
          </w:tcPr>
          <w:p w:rsidR="003C2485" w:rsidRPr="00E768E1" w:rsidRDefault="003C2485" w:rsidP="003C2485">
            <w:pPr>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Pound</w:t>
            </w:r>
          </w:p>
        </w:tc>
        <w:tc>
          <w:tcPr>
            <w:tcW w:w="1312" w:type="dxa"/>
            <w:tcBorders>
              <w:top w:val="nil"/>
              <w:left w:val="nil"/>
              <w:bottom w:val="nil"/>
              <w:right w:val="single" w:sz="8" w:space="0" w:color="auto"/>
            </w:tcBorders>
            <w:shd w:val="clear" w:color="000000" w:fill="9BC2E6"/>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0.7</w:t>
            </w:r>
          </w:p>
        </w:tc>
        <w:tc>
          <w:tcPr>
            <w:tcW w:w="1331"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1.1</w:t>
            </w:r>
          </w:p>
        </w:tc>
        <w:tc>
          <w:tcPr>
            <w:tcW w:w="992"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3.3</w:t>
            </w:r>
          </w:p>
        </w:tc>
        <w:tc>
          <w:tcPr>
            <w:tcW w:w="1134"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1.3</w:t>
            </w:r>
          </w:p>
        </w:tc>
        <w:tc>
          <w:tcPr>
            <w:tcW w:w="992"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-2.8</w:t>
            </w:r>
          </w:p>
        </w:tc>
      </w:tr>
      <w:tr w:rsidR="003C2485" w:rsidRPr="00E768E1" w:rsidTr="003C2485">
        <w:trPr>
          <w:gridAfter w:val="1"/>
          <w:wAfter w:w="10" w:type="dxa"/>
          <w:trHeight w:val="300"/>
        </w:trPr>
        <w:tc>
          <w:tcPr>
            <w:tcW w:w="1276" w:type="dxa"/>
            <w:tcBorders>
              <w:top w:val="nil"/>
              <w:left w:val="single" w:sz="8" w:space="0" w:color="auto"/>
              <w:bottom w:val="nil"/>
              <w:right w:val="single" w:sz="8" w:space="0" w:color="auto"/>
            </w:tcBorders>
            <w:shd w:val="clear" w:color="000000" w:fill="D9E1F2"/>
            <w:noWrap/>
            <w:hideMark/>
          </w:tcPr>
          <w:p w:rsidR="003C2485" w:rsidRPr="00E768E1" w:rsidRDefault="003C2485" w:rsidP="003C2485">
            <w:pPr>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Europe</w:t>
            </w:r>
          </w:p>
        </w:tc>
        <w:tc>
          <w:tcPr>
            <w:tcW w:w="1240" w:type="dxa"/>
            <w:tcBorders>
              <w:top w:val="nil"/>
              <w:left w:val="nil"/>
              <w:bottom w:val="nil"/>
              <w:right w:val="single" w:sz="8" w:space="0" w:color="auto"/>
            </w:tcBorders>
            <w:shd w:val="clear" w:color="000000" w:fill="D9E1F2"/>
            <w:noWrap/>
            <w:hideMark/>
          </w:tcPr>
          <w:p w:rsidR="003C2485" w:rsidRPr="00E768E1" w:rsidRDefault="003C2485" w:rsidP="003C2485">
            <w:pPr>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Euro</w:t>
            </w:r>
          </w:p>
        </w:tc>
        <w:tc>
          <w:tcPr>
            <w:tcW w:w="1312" w:type="dxa"/>
            <w:tcBorders>
              <w:top w:val="nil"/>
              <w:left w:val="nil"/>
              <w:bottom w:val="nil"/>
              <w:right w:val="single" w:sz="8" w:space="0" w:color="auto"/>
            </w:tcBorders>
            <w:shd w:val="clear" w:color="000000" w:fill="9BC2E6"/>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0.8</w:t>
            </w:r>
          </w:p>
        </w:tc>
        <w:tc>
          <w:tcPr>
            <w:tcW w:w="1331"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0.5</w:t>
            </w:r>
          </w:p>
        </w:tc>
        <w:tc>
          <w:tcPr>
            <w:tcW w:w="992"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3.5</w:t>
            </w:r>
          </w:p>
        </w:tc>
        <w:tc>
          <w:tcPr>
            <w:tcW w:w="1134"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2.3</w:t>
            </w:r>
          </w:p>
        </w:tc>
        <w:tc>
          <w:tcPr>
            <w:tcW w:w="992"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1.1</w:t>
            </w:r>
          </w:p>
        </w:tc>
      </w:tr>
      <w:tr w:rsidR="003C2485" w:rsidRPr="00E768E1" w:rsidTr="003C2485">
        <w:trPr>
          <w:gridAfter w:val="1"/>
          <w:wAfter w:w="10" w:type="dxa"/>
          <w:trHeight w:val="300"/>
        </w:trPr>
        <w:tc>
          <w:tcPr>
            <w:tcW w:w="1276" w:type="dxa"/>
            <w:tcBorders>
              <w:top w:val="nil"/>
              <w:left w:val="single" w:sz="8" w:space="0" w:color="auto"/>
              <w:bottom w:val="nil"/>
              <w:right w:val="single" w:sz="8" w:space="0" w:color="auto"/>
            </w:tcBorders>
            <w:shd w:val="clear" w:color="000000" w:fill="D9E1F2"/>
            <w:noWrap/>
            <w:hideMark/>
          </w:tcPr>
          <w:p w:rsidR="003C2485" w:rsidRPr="00E768E1" w:rsidRDefault="003C2485" w:rsidP="003C2485">
            <w:pPr>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Japan</w:t>
            </w:r>
          </w:p>
        </w:tc>
        <w:tc>
          <w:tcPr>
            <w:tcW w:w="1240" w:type="dxa"/>
            <w:tcBorders>
              <w:top w:val="nil"/>
              <w:left w:val="nil"/>
              <w:bottom w:val="nil"/>
              <w:right w:val="single" w:sz="8" w:space="0" w:color="auto"/>
            </w:tcBorders>
            <w:shd w:val="clear" w:color="000000" w:fill="D9E1F2"/>
            <w:noWrap/>
            <w:hideMark/>
          </w:tcPr>
          <w:p w:rsidR="003C2485" w:rsidRPr="00E768E1" w:rsidRDefault="003C2485" w:rsidP="003C2485">
            <w:pPr>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Yen</w:t>
            </w:r>
          </w:p>
        </w:tc>
        <w:tc>
          <w:tcPr>
            <w:tcW w:w="1312" w:type="dxa"/>
            <w:tcBorders>
              <w:top w:val="nil"/>
              <w:left w:val="nil"/>
              <w:bottom w:val="nil"/>
              <w:right w:val="single" w:sz="8" w:space="0" w:color="auto"/>
            </w:tcBorders>
            <w:shd w:val="clear" w:color="000000" w:fill="9BC2E6"/>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110.0</w:t>
            </w:r>
          </w:p>
        </w:tc>
        <w:tc>
          <w:tcPr>
            <w:tcW w:w="1331"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0.3</w:t>
            </w:r>
          </w:p>
        </w:tc>
        <w:tc>
          <w:tcPr>
            <w:tcW w:w="992"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0.4</w:t>
            </w:r>
          </w:p>
        </w:tc>
        <w:tc>
          <w:tcPr>
            <w:tcW w:w="1134"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3.2</w:t>
            </w:r>
          </w:p>
        </w:tc>
        <w:tc>
          <w:tcPr>
            <w:tcW w:w="992"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3.9</w:t>
            </w:r>
          </w:p>
        </w:tc>
      </w:tr>
      <w:tr w:rsidR="003C2485" w:rsidRPr="00E768E1" w:rsidTr="003C2485">
        <w:trPr>
          <w:gridAfter w:val="1"/>
          <w:wAfter w:w="10" w:type="dxa"/>
          <w:trHeight w:val="300"/>
        </w:trPr>
        <w:tc>
          <w:tcPr>
            <w:tcW w:w="1276" w:type="dxa"/>
            <w:tcBorders>
              <w:top w:val="nil"/>
              <w:left w:val="single" w:sz="8" w:space="0" w:color="auto"/>
              <w:bottom w:val="nil"/>
              <w:right w:val="single" w:sz="8" w:space="0" w:color="auto"/>
            </w:tcBorders>
            <w:shd w:val="clear" w:color="000000" w:fill="D9E1F2"/>
            <w:noWrap/>
            <w:hideMark/>
          </w:tcPr>
          <w:p w:rsidR="003C2485" w:rsidRPr="00E768E1" w:rsidRDefault="003C2485" w:rsidP="003C2485">
            <w:pPr>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France</w:t>
            </w:r>
          </w:p>
        </w:tc>
        <w:tc>
          <w:tcPr>
            <w:tcW w:w="1240" w:type="dxa"/>
            <w:tcBorders>
              <w:top w:val="nil"/>
              <w:left w:val="nil"/>
              <w:bottom w:val="nil"/>
              <w:right w:val="single" w:sz="8" w:space="0" w:color="auto"/>
            </w:tcBorders>
            <w:shd w:val="clear" w:color="000000" w:fill="D9E1F2"/>
            <w:noWrap/>
            <w:hideMark/>
          </w:tcPr>
          <w:p w:rsidR="003C2485" w:rsidRPr="00E768E1" w:rsidRDefault="003C2485" w:rsidP="003C2485">
            <w:pPr>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Franc</w:t>
            </w:r>
          </w:p>
        </w:tc>
        <w:tc>
          <w:tcPr>
            <w:tcW w:w="1312" w:type="dxa"/>
            <w:tcBorders>
              <w:top w:val="nil"/>
              <w:left w:val="nil"/>
              <w:bottom w:val="nil"/>
              <w:right w:val="single" w:sz="8" w:space="0" w:color="auto"/>
            </w:tcBorders>
            <w:shd w:val="clear" w:color="000000" w:fill="9BC2E6"/>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0.9</w:t>
            </w:r>
          </w:p>
        </w:tc>
        <w:tc>
          <w:tcPr>
            <w:tcW w:w="1331"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1.1</w:t>
            </w:r>
          </w:p>
        </w:tc>
        <w:tc>
          <w:tcPr>
            <w:tcW w:w="992"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1.8</w:t>
            </w:r>
          </w:p>
        </w:tc>
        <w:tc>
          <w:tcPr>
            <w:tcW w:w="1134"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0.7</w:t>
            </w:r>
          </w:p>
        </w:tc>
        <w:tc>
          <w:tcPr>
            <w:tcW w:w="992" w:type="dxa"/>
            <w:tcBorders>
              <w:top w:val="nil"/>
              <w:left w:val="nil"/>
              <w:bottom w:val="nil"/>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1.3</w:t>
            </w:r>
          </w:p>
        </w:tc>
      </w:tr>
      <w:tr w:rsidR="003C2485" w:rsidRPr="00E768E1" w:rsidTr="003C2485">
        <w:trPr>
          <w:gridAfter w:val="1"/>
          <w:wAfter w:w="10" w:type="dxa"/>
          <w:trHeight w:val="315"/>
        </w:trPr>
        <w:tc>
          <w:tcPr>
            <w:tcW w:w="1276" w:type="dxa"/>
            <w:tcBorders>
              <w:top w:val="nil"/>
              <w:left w:val="single" w:sz="8" w:space="0" w:color="auto"/>
              <w:bottom w:val="single" w:sz="8" w:space="0" w:color="auto"/>
              <w:right w:val="single" w:sz="8" w:space="0" w:color="auto"/>
            </w:tcBorders>
            <w:shd w:val="clear" w:color="000000" w:fill="D9E1F2"/>
            <w:noWrap/>
            <w:hideMark/>
          </w:tcPr>
          <w:p w:rsidR="003C2485" w:rsidRPr="00E768E1" w:rsidRDefault="003C2485" w:rsidP="003C2485">
            <w:pPr>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US</w:t>
            </w:r>
          </w:p>
        </w:tc>
        <w:tc>
          <w:tcPr>
            <w:tcW w:w="1240" w:type="dxa"/>
            <w:tcBorders>
              <w:top w:val="nil"/>
              <w:left w:val="nil"/>
              <w:bottom w:val="single" w:sz="8" w:space="0" w:color="auto"/>
              <w:right w:val="single" w:sz="8" w:space="0" w:color="auto"/>
            </w:tcBorders>
            <w:shd w:val="clear" w:color="000000" w:fill="D9E1F2"/>
            <w:noWrap/>
            <w:hideMark/>
          </w:tcPr>
          <w:p w:rsidR="003C2485" w:rsidRPr="00E768E1" w:rsidRDefault="003C2485" w:rsidP="003C2485">
            <w:pPr>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Dollar Index</w:t>
            </w:r>
          </w:p>
        </w:tc>
        <w:tc>
          <w:tcPr>
            <w:tcW w:w="1312" w:type="dxa"/>
            <w:tcBorders>
              <w:top w:val="nil"/>
              <w:left w:val="nil"/>
              <w:bottom w:val="single" w:sz="8" w:space="0" w:color="auto"/>
              <w:right w:val="single" w:sz="8" w:space="0" w:color="auto"/>
            </w:tcBorders>
            <w:shd w:val="clear" w:color="000000" w:fill="9BC2E6"/>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92.6</w:t>
            </w:r>
          </w:p>
        </w:tc>
        <w:tc>
          <w:tcPr>
            <w:tcW w:w="1331" w:type="dxa"/>
            <w:tcBorders>
              <w:top w:val="nil"/>
              <w:left w:val="nil"/>
              <w:bottom w:val="single" w:sz="8" w:space="0" w:color="auto"/>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0.5</w:t>
            </w:r>
          </w:p>
        </w:tc>
        <w:tc>
          <w:tcPr>
            <w:tcW w:w="992" w:type="dxa"/>
            <w:tcBorders>
              <w:top w:val="nil"/>
              <w:left w:val="nil"/>
              <w:bottom w:val="single" w:sz="8" w:space="0" w:color="auto"/>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2.9</w:t>
            </w:r>
          </w:p>
        </w:tc>
        <w:tc>
          <w:tcPr>
            <w:tcW w:w="1134" w:type="dxa"/>
            <w:tcBorders>
              <w:top w:val="nil"/>
              <w:left w:val="nil"/>
              <w:bottom w:val="single" w:sz="8" w:space="0" w:color="auto"/>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1.9</w:t>
            </w:r>
          </w:p>
        </w:tc>
        <w:tc>
          <w:tcPr>
            <w:tcW w:w="992" w:type="dxa"/>
            <w:tcBorders>
              <w:top w:val="nil"/>
              <w:left w:val="nil"/>
              <w:bottom w:val="single" w:sz="8" w:space="0" w:color="auto"/>
              <w:right w:val="single" w:sz="8" w:space="0" w:color="auto"/>
            </w:tcBorders>
            <w:shd w:val="clear" w:color="auto" w:fill="auto"/>
            <w:noWrap/>
            <w:hideMark/>
          </w:tcPr>
          <w:p w:rsidR="003C2485" w:rsidRPr="00E768E1" w:rsidRDefault="003C2485" w:rsidP="003C2485">
            <w:pPr>
              <w:ind w:firstLineChars="100" w:firstLine="200"/>
              <w:jc w:val="right"/>
              <w:rPr>
                <w:rFonts w:ascii="Garamond" w:eastAsia="Times New Roman" w:hAnsi="Garamond" w:cs="Calibri"/>
                <w:sz w:val="20"/>
                <w:szCs w:val="20"/>
                <w:lang w:val="en-IN" w:eastAsia="en-IN" w:bidi="hi-IN"/>
              </w:rPr>
            </w:pPr>
            <w:r w:rsidRPr="00E768E1">
              <w:rPr>
                <w:rFonts w:ascii="Garamond" w:eastAsia="Times New Roman" w:hAnsi="Garamond" w:cs="Calibri"/>
                <w:sz w:val="20"/>
                <w:szCs w:val="20"/>
                <w:lang w:val="en-IN" w:eastAsia="en-IN" w:bidi="hi-IN"/>
              </w:rPr>
              <w:t>0.5</w:t>
            </w:r>
          </w:p>
        </w:tc>
      </w:tr>
    </w:tbl>
    <w:p w:rsidR="003C2485" w:rsidRDefault="003C2485" w:rsidP="003C2485">
      <w:pPr>
        <w:spacing w:line="23" w:lineRule="atLeast"/>
        <w:jc w:val="both"/>
        <w:rPr>
          <w:rFonts w:ascii="Palatino Linotype" w:hAnsi="Palatino Linotype"/>
          <w:bCs/>
          <w:sz w:val="18"/>
          <w:szCs w:val="18"/>
        </w:rPr>
      </w:pPr>
    </w:p>
    <w:p w:rsidR="003C2485" w:rsidRDefault="003C2485" w:rsidP="003C2485">
      <w:pPr>
        <w:spacing w:line="23" w:lineRule="atLeast"/>
        <w:jc w:val="both"/>
        <w:rPr>
          <w:rFonts w:ascii="Palatino Linotype" w:hAnsi="Palatino Linotype"/>
          <w:bCs/>
          <w:sz w:val="18"/>
          <w:szCs w:val="18"/>
        </w:rPr>
      </w:pPr>
      <w:r w:rsidRPr="00A01675">
        <w:rPr>
          <w:rFonts w:ascii="Palatino Linotype" w:hAnsi="Palatino Linotype"/>
          <w:bCs/>
          <w:sz w:val="18"/>
          <w:szCs w:val="18"/>
        </w:rPr>
        <w:t xml:space="preserve">Note: </w:t>
      </w:r>
      <w:r>
        <w:rPr>
          <w:rFonts w:ascii="Palatino Linotype" w:hAnsi="Palatino Linotype"/>
          <w:bCs/>
          <w:sz w:val="18"/>
          <w:szCs w:val="18"/>
        </w:rPr>
        <w:t xml:space="preserve">1. </w:t>
      </w:r>
      <w:r w:rsidRPr="00E768E1">
        <w:rPr>
          <w:rFonts w:ascii="Palatino Linotype" w:hAnsi="Palatino Linotype"/>
          <w:bCs/>
          <w:sz w:val="18"/>
          <w:szCs w:val="18"/>
        </w:rPr>
        <w:t>All Currency rates are against USD (excluding USD Index)</w:t>
      </w:r>
    </w:p>
    <w:p w:rsidR="003C2485" w:rsidRDefault="003C2485" w:rsidP="003C2485">
      <w:pPr>
        <w:spacing w:line="23" w:lineRule="atLeast"/>
        <w:jc w:val="both"/>
        <w:rPr>
          <w:rFonts w:ascii="Palatino Linotype" w:hAnsi="Palatino Linotype"/>
          <w:bCs/>
          <w:sz w:val="18"/>
          <w:szCs w:val="18"/>
        </w:rPr>
      </w:pPr>
      <w:r>
        <w:rPr>
          <w:rFonts w:ascii="Palatino Linotype" w:hAnsi="Palatino Linotype"/>
          <w:bCs/>
          <w:sz w:val="18"/>
          <w:szCs w:val="18"/>
        </w:rPr>
        <w:t>2. Negative sign indicates appreciation of quote currency against the base currency (USD)</w:t>
      </w:r>
    </w:p>
    <w:p w:rsidR="003C2485" w:rsidRPr="00A01675" w:rsidRDefault="003C2485" w:rsidP="003C2485">
      <w:pPr>
        <w:spacing w:line="23" w:lineRule="atLeast"/>
        <w:jc w:val="both"/>
        <w:rPr>
          <w:rFonts w:ascii="Palatino Linotype" w:hAnsi="Palatino Linotype"/>
          <w:bCs/>
          <w:sz w:val="18"/>
          <w:szCs w:val="18"/>
        </w:rPr>
      </w:pPr>
      <w:r>
        <w:rPr>
          <w:rFonts w:ascii="Palatino Linotype" w:hAnsi="Palatino Linotype"/>
          <w:bCs/>
          <w:sz w:val="18"/>
          <w:szCs w:val="18"/>
        </w:rPr>
        <w:t>S</w:t>
      </w:r>
      <w:r w:rsidRPr="00A01675">
        <w:rPr>
          <w:rFonts w:ascii="Palatino Linotype" w:hAnsi="Palatino Linotype"/>
          <w:bCs/>
          <w:sz w:val="18"/>
          <w:szCs w:val="18"/>
        </w:rPr>
        <w:t>ource: Refinitiv</w:t>
      </w:r>
    </w:p>
    <w:p w:rsidR="003C2485" w:rsidRPr="00A01675" w:rsidRDefault="003C2485" w:rsidP="003C2485">
      <w:pPr>
        <w:rPr>
          <w:rFonts w:ascii="Palatino Linotype" w:hAnsi="Palatino Linotype"/>
          <w:b/>
          <w:bCs/>
          <w:szCs w:val="22"/>
        </w:rPr>
      </w:pPr>
    </w:p>
    <w:p w:rsidR="003C2485" w:rsidRPr="00A01675" w:rsidRDefault="003C2485" w:rsidP="003C2485">
      <w:pPr>
        <w:rPr>
          <w:rFonts w:ascii="Palatino Linotype" w:hAnsi="Palatino Linotype"/>
          <w:b/>
          <w:bCs/>
          <w:szCs w:val="22"/>
        </w:rPr>
      </w:pPr>
      <w:r>
        <w:rPr>
          <w:rFonts w:ascii="Palatino Linotype" w:hAnsi="Palatino Linotype"/>
          <w:b/>
          <w:bCs/>
          <w:szCs w:val="22"/>
        </w:rPr>
        <w:t>Figure 3</w:t>
      </w:r>
      <w:r w:rsidRPr="00A01675">
        <w:rPr>
          <w:rFonts w:ascii="Palatino Linotype" w:hAnsi="Palatino Linotype"/>
          <w:b/>
          <w:bCs/>
          <w:szCs w:val="22"/>
        </w:rPr>
        <w:t xml:space="preserve">: Movement of the </w:t>
      </w:r>
      <w:r>
        <w:rPr>
          <w:rFonts w:ascii="Palatino Linotype" w:hAnsi="Palatino Linotype"/>
          <w:b/>
          <w:bCs/>
          <w:szCs w:val="22"/>
        </w:rPr>
        <w:t xml:space="preserve">USD-INR Index, </w:t>
      </w:r>
      <w:r w:rsidRPr="00A01675">
        <w:rPr>
          <w:rFonts w:ascii="Palatino Linotype" w:hAnsi="Palatino Linotype"/>
          <w:b/>
          <w:bCs/>
          <w:szCs w:val="22"/>
        </w:rPr>
        <w:t>US Dollar Index and MSCI EM Currency Index</w:t>
      </w:r>
    </w:p>
    <w:p w:rsidR="003C2485" w:rsidRPr="00A01675" w:rsidRDefault="003C2485" w:rsidP="003C2485">
      <w:pPr>
        <w:spacing w:line="23" w:lineRule="atLeast"/>
        <w:outlineLvl w:val="0"/>
        <w:rPr>
          <w:rFonts w:ascii="Palatino Linotype" w:hAnsi="Palatino Linotype"/>
          <w:bCs/>
          <w:sz w:val="22"/>
          <w:szCs w:val="22"/>
        </w:rPr>
      </w:pPr>
    </w:p>
    <w:p w:rsidR="003C2485" w:rsidRPr="00A01675" w:rsidRDefault="003C2485" w:rsidP="003C2485">
      <w:pPr>
        <w:spacing w:line="23" w:lineRule="atLeast"/>
        <w:outlineLvl w:val="0"/>
        <w:rPr>
          <w:rFonts w:ascii="Palatino Linotype" w:hAnsi="Palatino Linotype"/>
          <w:bCs/>
          <w:sz w:val="22"/>
          <w:szCs w:val="22"/>
        </w:rPr>
      </w:pPr>
      <w:r w:rsidRPr="00F773B1">
        <w:rPr>
          <w:noProof/>
          <w:lang w:val="en-IN" w:eastAsia="en-IN" w:bidi="hi-IN"/>
        </w:rPr>
        <w:drawing>
          <wp:inline distT="0" distB="0" distL="0" distR="0" wp14:anchorId="650C54BB" wp14:editId="1505B3F5">
            <wp:extent cx="5005705" cy="2740025"/>
            <wp:effectExtent l="0" t="0" r="4445" b="3175"/>
            <wp:docPr id="3" name="Chart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3C2485" w:rsidRPr="00A01675" w:rsidRDefault="003C2485" w:rsidP="003C2485">
      <w:pPr>
        <w:tabs>
          <w:tab w:val="left" w:pos="3760"/>
        </w:tabs>
        <w:spacing w:line="23" w:lineRule="atLeast"/>
        <w:rPr>
          <w:rFonts w:ascii="Palatino Linotype" w:hAnsi="Palatino Linotype"/>
          <w:bCs/>
          <w:sz w:val="18"/>
          <w:szCs w:val="18"/>
        </w:rPr>
      </w:pPr>
      <w:r w:rsidRPr="00A01675">
        <w:rPr>
          <w:rFonts w:ascii="Palatino Linotype" w:hAnsi="Palatino Linotype"/>
          <w:bCs/>
          <w:sz w:val="18"/>
          <w:szCs w:val="18"/>
        </w:rPr>
        <w:t>Note:</w:t>
      </w:r>
    </w:p>
    <w:p w:rsidR="003C2485" w:rsidRPr="00A01675" w:rsidRDefault="003C2485" w:rsidP="003C2485">
      <w:pPr>
        <w:widowControl w:val="0"/>
        <w:numPr>
          <w:ilvl w:val="0"/>
          <w:numId w:val="7"/>
        </w:numPr>
        <w:autoSpaceDE w:val="0"/>
        <w:autoSpaceDN w:val="0"/>
        <w:adjustRightInd w:val="0"/>
        <w:spacing w:line="23" w:lineRule="atLeast"/>
        <w:ind w:right="1788"/>
        <w:jc w:val="both"/>
        <w:rPr>
          <w:rFonts w:ascii="Palatino Linotype" w:eastAsia="Times New Roman" w:hAnsi="Palatino Linotype"/>
          <w:bCs/>
          <w:sz w:val="18"/>
          <w:szCs w:val="18"/>
        </w:rPr>
      </w:pPr>
      <w:r w:rsidRPr="00A01675">
        <w:rPr>
          <w:rFonts w:ascii="Palatino Linotype" w:eastAsia="Times New Roman" w:hAnsi="Palatino Linotype"/>
          <w:bCs/>
          <w:sz w:val="18"/>
          <w:szCs w:val="18"/>
        </w:rPr>
        <w:t>All indices have been normalised to 100 on 31 July 2020.</w:t>
      </w:r>
    </w:p>
    <w:p w:rsidR="003C2485" w:rsidRPr="00A01675" w:rsidRDefault="003C2485" w:rsidP="003C2485">
      <w:pPr>
        <w:widowControl w:val="0"/>
        <w:numPr>
          <w:ilvl w:val="0"/>
          <w:numId w:val="7"/>
        </w:numPr>
        <w:autoSpaceDE w:val="0"/>
        <w:autoSpaceDN w:val="0"/>
        <w:adjustRightInd w:val="0"/>
        <w:spacing w:line="23" w:lineRule="atLeast"/>
        <w:ind w:right="1788"/>
        <w:jc w:val="both"/>
        <w:rPr>
          <w:rFonts w:ascii="Palatino Linotype" w:eastAsia="Times New Roman" w:hAnsi="Palatino Linotype"/>
          <w:bCs/>
          <w:sz w:val="18"/>
          <w:szCs w:val="18"/>
        </w:rPr>
      </w:pPr>
      <w:r w:rsidRPr="00A01675">
        <w:rPr>
          <w:rFonts w:ascii="Palatino Linotype" w:eastAsia="Times New Roman" w:hAnsi="Palatino Linotype"/>
          <w:bCs/>
          <w:sz w:val="18"/>
          <w:szCs w:val="18"/>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3C2485" w:rsidRPr="00A01675" w:rsidRDefault="003C2485" w:rsidP="003C2485">
      <w:pPr>
        <w:widowControl w:val="0"/>
        <w:numPr>
          <w:ilvl w:val="0"/>
          <w:numId w:val="7"/>
        </w:numPr>
        <w:autoSpaceDE w:val="0"/>
        <w:autoSpaceDN w:val="0"/>
        <w:adjustRightInd w:val="0"/>
        <w:spacing w:line="23" w:lineRule="atLeast"/>
        <w:ind w:right="1788"/>
        <w:jc w:val="both"/>
        <w:rPr>
          <w:rFonts w:ascii="Palatino Linotype" w:eastAsia="Times New Roman" w:hAnsi="Palatino Linotype"/>
          <w:bCs/>
          <w:sz w:val="18"/>
          <w:szCs w:val="18"/>
        </w:rPr>
      </w:pPr>
      <w:r w:rsidRPr="00A01675">
        <w:rPr>
          <w:rFonts w:ascii="Palatino Linotype" w:eastAsia="Times New Roman" w:hAnsi="Palatino Linotype"/>
          <w:bCs/>
          <w:sz w:val="18"/>
          <w:szCs w:val="18"/>
        </w:rPr>
        <w:t>The MSCI Emerging Markets (EM) Currency Index tracks the performance of twenty-five emerging-market currencies relative to the US Dollar.</w:t>
      </w:r>
    </w:p>
    <w:p w:rsidR="003C2485" w:rsidRPr="00A01675" w:rsidRDefault="003C2485" w:rsidP="003C2485">
      <w:pPr>
        <w:spacing w:line="23" w:lineRule="atLeast"/>
        <w:outlineLvl w:val="0"/>
        <w:rPr>
          <w:rFonts w:ascii="Palatino Linotype" w:hAnsi="Palatino Linotype"/>
          <w:bCs/>
          <w:sz w:val="18"/>
          <w:szCs w:val="18"/>
        </w:rPr>
      </w:pPr>
      <w:r w:rsidRPr="00A01675">
        <w:rPr>
          <w:rFonts w:ascii="Palatino Linotype" w:hAnsi="Palatino Linotype"/>
          <w:bCs/>
          <w:sz w:val="18"/>
          <w:szCs w:val="18"/>
        </w:rPr>
        <w:t>Source: Refinitiv</w:t>
      </w:r>
    </w:p>
    <w:p w:rsidR="003C2485" w:rsidRDefault="003C2485" w:rsidP="003C2485">
      <w:pPr>
        <w:rPr>
          <w:rFonts w:ascii="Palatino Linotype" w:hAnsi="Palatino Linotype"/>
          <w:b/>
          <w:bCs/>
          <w:szCs w:val="22"/>
        </w:rPr>
      </w:pPr>
    </w:p>
    <w:p w:rsidR="003C2485" w:rsidRDefault="003C2485" w:rsidP="003C2485">
      <w:pPr>
        <w:rPr>
          <w:rFonts w:ascii="Palatino Linotype" w:hAnsi="Palatino Linotype"/>
          <w:b/>
          <w:bCs/>
          <w:szCs w:val="22"/>
        </w:rPr>
      </w:pPr>
      <w:r w:rsidRPr="00A01675">
        <w:rPr>
          <w:rFonts w:ascii="Palatino Linotype" w:hAnsi="Palatino Linotype"/>
          <w:b/>
          <w:bCs/>
          <w:szCs w:val="22"/>
        </w:rPr>
        <w:t>Table A</w:t>
      </w:r>
      <w:r>
        <w:rPr>
          <w:rFonts w:ascii="Palatino Linotype" w:hAnsi="Palatino Linotype"/>
          <w:b/>
          <w:bCs/>
          <w:szCs w:val="22"/>
        </w:rPr>
        <w:t>1: Performance of Stock Indices</w:t>
      </w:r>
    </w:p>
    <w:tbl>
      <w:tblPr>
        <w:tblW w:w="10614" w:type="dxa"/>
        <w:tblLook w:val="04A0" w:firstRow="1" w:lastRow="0" w:firstColumn="1" w:lastColumn="0" w:noHBand="0" w:noVBand="1"/>
      </w:tblPr>
      <w:tblGrid>
        <w:gridCol w:w="1398"/>
        <w:gridCol w:w="2112"/>
        <w:gridCol w:w="1276"/>
        <w:gridCol w:w="1134"/>
        <w:gridCol w:w="992"/>
        <w:gridCol w:w="1058"/>
        <w:gridCol w:w="783"/>
        <w:gridCol w:w="995"/>
        <w:gridCol w:w="7"/>
        <w:gridCol w:w="859"/>
      </w:tblGrid>
      <w:tr w:rsidR="003C2485" w:rsidRPr="00395D65" w:rsidTr="003C2485">
        <w:trPr>
          <w:trHeight w:val="188"/>
        </w:trPr>
        <w:tc>
          <w:tcPr>
            <w:tcW w:w="1398"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Country</w:t>
            </w:r>
          </w:p>
        </w:tc>
        <w:tc>
          <w:tcPr>
            <w:tcW w:w="2112"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Index</w:t>
            </w:r>
          </w:p>
        </w:tc>
        <w:tc>
          <w:tcPr>
            <w:tcW w:w="1276" w:type="dxa"/>
            <w:tcBorders>
              <w:top w:val="single" w:sz="8" w:space="0" w:color="auto"/>
              <w:left w:val="nil"/>
              <w:bottom w:val="nil"/>
              <w:right w:val="single" w:sz="8" w:space="0" w:color="auto"/>
            </w:tcBorders>
            <w:shd w:val="clear" w:color="000000" w:fill="B4C6E7"/>
            <w:noWrap/>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Closing Value as on</w:t>
            </w:r>
          </w:p>
        </w:tc>
        <w:tc>
          <w:tcPr>
            <w:tcW w:w="3967" w:type="dxa"/>
            <w:gridSpan w:val="4"/>
            <w:tcBorders>
              <w:top w:val="single" w:sz="8" w:space="0" w:color="auto"/>
              <w:left w:val="nil"/>
              <w:bottom w:val="single" w:sz="8" w:space="0" w:color="auto"/>
              <w:right w:val="single" w:sz="8" w:space="0" w:color="000000"/>
            </w:tcBorders>
            <w:shd w:val="clear" w:color="000000" w:fill="B4C6E7"/>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Change in Closing Value over period</w:t>
            </w:r>
          </w:p>
        </w:tc>
        <w:tc>
          <w:tcPr>
            <w:tcW w:w="1002" w:type="dxa"/>
            <w:gridSpan w:val="2"/>
            <w:tcBorders>
              <w:top w:val="single" w:sz="8" w:space="0" w:color="auto"/>
              <w:left w:val="single" w:sz="8" w:space="0" w:color="auto"/>
              <w:right w:val="single" w:sz="8" w:space="0" w:color="auto"/>
            </w:tcBorders>
            <w:shd w:val="clear" w:color="auto" w:fill="BDD6EE"/>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Volatility</w:t>
            </w:r>
          </w:p>
        </w:tc>
        <w:tc>
          <w:tcPr>
            <w:tcW w:w="859" w:type="dxa"/>
            <w:tcBorders>
              <w:top w:val="single" w:sz="8" w:space="0" w:color="auto"/>
              <w:left w:val="single" w:sz="8" w:space="0" w:color="auto"/>
              <w:right w:val="single" w:sz="8" w:space="0" w:color="auto"/>
            </w:tcBorders>
            <w:shd w:val="clear" w:color="auto" w:fill="BDD6EE"/>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P/E Ratio</w:t>
            </w:r>
          </w:p>
        </w:tc>
      </w:tr>
      <w:tr w:rsidR="003C2485" w:rsidRPr="00395D65" w:rsidTr="003C2485">
        <w:trPr>
          <w:trHeight w:val="288"/>
        </w:trPr>
        <w:tc>
          <w:tcPr>
            <w:tcW w:w="1398" w:type="dxa"/>
            <w:vMerge/>
            <w:tcBorders>
              <w:top w:val="single" w:sz="8" w:space="0" w:color="auto"/>
              <w:left w:val="single" w:sz="8" w:space="0" w:color="auto"/>
              <w:bottom w:val="single" w:sz="8" w:space="0" w:color="000000"/>
              <w:right w:val="single" w:sz="8" w:space="0" w:color="auto"/>
            </w:tcBorders>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p>
        </w:tc>
        <w:tc>
          <w:tcPr>
            <w:tcW w:w="2112" w:type="dxa"/>
            <w:vMerge/>
            <w:tcBorders>
              <w:top w:val="single" w:sz="8" w:space="0" w:color="auto"/>
              <w:left w:val="single" w:sz="8" w:space="0" w:color="auto"/>
              <w:bottom w:val="single" w:sz="8" w:space="0" w:color="000000"/>
              <w:right w:val="single" w:sz="8" w:space="0" w:color="auto"/>
            </w:tcBorders>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p>
        </w:tc>
        <w:tc>
          <w:tcPr>
            <w:tcW w:w="1276" w:type="dxa"/>
            <w:tcBorders>
              <w:top w:val="nil"/>
              <w:left w:val="nil"/>
              <w:bottom w:val="single" w:sz="8" w:space="0" w:color="auto"/>
              <w:right w:val="single" w:sz="8" w:space="0" w:color="auto"/>
            </w:tcBorders>
            <w:shd w:val="clear" w:color="000000" w:fill="B4C6E7"/>
            <w:noWrap/>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31-Aug-21</w:t>
            </w:r>
          </w:p>
        </w:tc>
        <w:tc>
          <w:tcPr>
            <w:tcW w:w="1134" w:type="dxa"/>
            <w:tcBorders>
              <w:top w:val="nil"/>
              <w:left w:val="nil"/>
              <w:bottom w:val="single" w:sz="8" w:space="0" w:color="auto"/>
              <w:right w:val="single" w:sz="8" w:space="0" w:color="auto"/>
            </w:tcBorders>
            <w:shd w:val="clear" w:color="000000" w:fill="B4C6E7"/>
            <w:noWrap/>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1-Month</w:t>
            </w:r>
          </w:p>
        </w:tc>
        <w:tc>
          <w:tcPr>
            <w:tcW w:w="992" w:type="dxa"/>
            <w:tcBorders>
              <w:top w:val="nil"/>
              <w:left w:val="nil"/>
              <w:bottom w:val="single" w:sz="8" w:space="0" w:color="auto"/>
              <w:right w:val="single" w:sz="8" w:space="0" w:color="auto"/>
            </w:tcBorders>
            <w:shd w:val="clear" w:color="000000" w:fill="B4C6E7"/>
            <w:noWrap/>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3-Month</w:t>
            </w:r>
          </w:p>
        </w:tc>
        <w:tc>
          <w:tcPr>
            <w:tcW w:w="1058" w:type="dxa"/>
            <w:tcBorders>
              <w:top w:val="nil"/>
              <w:left w:val="nil"/>
              <w:bottom w:val="single" w:sz="8" w:space="0" w:color="auto"/>
              <w:right w:val="single" w:sz="8" w:space="0" w:color="auto"/>
            </w:tcBorders>
            <w:shd w:val="clear" w:color="000000" w:fill="B4C6E7"/>
            <w:noWrap/>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6-Month</w:t>
            </w:r>
          </w:p>
        </w:tc>
        <w:tc>
          <w:tcPr>
            <w:tcW w:w="783" w:type="dxa"/>
            <w:tcBorders>
              <w:top w:val="nil"/>
              <w:left w:val="nil"/>
              <w:bottom w:val="single" w:sz="8" w:space="0" w:color="auto"/>
              <w:right w:val="single" w:sz="8" w:space="0" w:color="auto"/>
            </w:tcBorders>
            <w:shd w:val="clear" w:color="000000" w:fill="B4C6E7"/>
            <w:noWrap/>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1-Year</w:t>
            </w:r>
          </w:p>
        </w:tc>
        <w:tc>
          <w:tcPr>
            <w:tcW w:w="995" w:type="dxa"/>
            <w:tcBorders>
              <w:left w:val="single" w:sz="8" w:space="0" w:color="auto"/>
              <w:bottom w:val="single" w:sz="8" w:space="0" w:color="000000"/>
              <w:right w:val="single" w:sz="8" w:space="0" w:color="auto"/>
            </w:tcBorders>
            <w:shd w:val="clear" w:color="auto" w:fill="BDD6EE"/>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p>
        </w:tc>
        <w:tc>
          <w:tcPr>
            <w:tcW w:w="866" w:type="dxa"/>
            <w:gridSpan w:val="2"/>
            <w:tcBorders>
              <w:left w:val="single" w:sz="8" w:space="0" w:color="auto"/>
              <w:bottom w:val="single" w:sz="8" w:space="0" w:color="000000"/>
              <w:right w:val="single" w:sz="8" w:space="0" w:color="auto"/>
            </w:tcBorders>
            <w:shd w:val="clear" w:color="auto" w:fill="BDD6EE"/>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p>
        </w:tc>
      </w:tr>
      <w:tr w:rsidR="003C2485" w:rsidRPr="00395D65" w:rsidTr="003C2485">
        <w:trPr>
          <w:trHeight w:val="384"/>
        </w:trPr>
        <w:tc>
          <w:tcPr>
            <w:tcW w:w="10614" w:type="dxa"/>
            <w:gridSpan w:val="10"/>
            <w:tcBorders>
              <w:top w:val="single" w:sz="8" w:space="0" w:color="auto"/>
              <w:left w:val="single" w:sz="8" w:space="0" w:color="auto"/>
              <w:bottom w:val="single" w:sz="8" w:space="0" w:color="auto"/>
              <w:right w:val="single" w:sz="8" w:space="0" w:color="000000"/>
            </w:tcBorders>
            <w:shd w:val="clear" w:color="000000" w:fill="D9E1F2"/>
            <w:noWrap/>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BRICS Nations</w:t>
            </w:r>
          </w:p>
        </w:tc>
      </w:tr>
      <w:tr w:rsidR="003C2485" w:rsidRPr="00395D65" w:rsidTr="003C2485">
        <w:trPr>
          <w:trHeight w:val="179"/>
        </w:trPr>
        <w:tc>
          <w:tcPr>
            <w:tcW w:w="1398" w:type="dxa"/>
            <w:tcBorders>
              <w:top w:val="nil"/>
              <w:left w:val="single" w:sz="8" w:space="0" w:color="auto"/>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Brazil</w:t>
            </w:r>
          </w:p>
        </w:tc>
        <w:tc>
          <w:tcPr>
            <w:tcW w:w="2112" w:type="dxa"/>
            <w:tcBorders>
              <w:top w:val="nil"/>
              <w:left w:val="nil"/>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BRAZIL IBOVESPA</w:t>
            </w:r>
          </w:p>
        </w:tc>
        <w:tc>
          <w:tcPr>
            <w:tcW w:w="1276" w:type="dxa"/>
            <w:tcBorders>
              <w:top w:val="nil"/>
              <w:left w:val="nil"/>
              <w:bottom w:val="nil"/>
              <w:right w:val="single" w:sz="8" w:space="0" w:color="auto"/>
            </w:tcBorders>
            <w:shd w:val="clear" w:color="000000" w:fill="9BC2E6"/>
            <w:noWrap/>
            <w:vAlign w:val="center"/>
            <w:hideMark/>
          </w:tcPr>
          <w:p w:rsidR="003C2485" w:rsidRPr="00395D65" w:rsidRDefault="003C2485" w:rsidP="003C2485">
            <w:pPr>
              <w:ind w:firstLineChars="100" w:firstLine="181"/>
              <w:jc w:val="right"/>
              <w:rPr>
                <w:rFonts w:ascii="Palatino Linotype" w:eastAsia="Times New Roman" w:hAnsi="Palatino Linotype" w:cs="Calibri"/>
                <w:b/>
                <w:bCs/>
                <w:sz w:val="18"/>
                <w:szCs w:val="18"/>
                <w:lang w:val="en-IN" w:eastAsia="en-IN" w:bidi="hi-IN"/>
              </w:rPr>
            </w:pPr>
            <w:r w:rsidRPr="00395D65">
              <w:rPr>
                <w:rFonts w:ascii="Palatino Linotype" w:eastAsia="Times New Roman" w:hAnsi="Palatino Linotype" w:cs="Calibri"/>
                <w:b/>
                <w:bCs/>
                <w:sz w:val="18"/>
                <w:szCs w:val="18"/>
                <w:lang w:val="en-IN" w:eastAsia="en-IN" w:bidi="hi-IN"/>
              </w:rPr>
              <w:t>1,18,781</w:t>
            </w:r>
          </w:p>
        </w:tc>
        <w:tc>
          <w:tcPr>
            <w:tcW w:w="1134"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-2.5</w:t>
            </w:r>
          </w:p>
        </w:tc>
        <w:tc>
          <w:tcPr>
            <w:tcW w:w="992"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-5.9</w:t>
            </w:r>
          </w:p>
        </w:tc>
        <w:tc>
          <w:tcPr>
            <w:tcW w:w="1058"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7.9</w:t>
            </w:r>
          </w:p>
        </w:tc>
        <w:tc>
          <w:tcPr>
            <w:tcW w:w="783"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19.5</w:t>
            </w:r>
          </w:p>
        </w:tc>
        <w:tc>
          <w:tcPr>
            <w:tcW w:w="995"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16.7</w:t>
            </w:r>
          </w:p>
        </w:tc>
        <w:tc>
          <w:tcPr>
            <w:tcW w:w="866" w:type="dxa"/>
            <w:gridSpan w:val="2"/>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10.0</w:t>
            </w:r>
          </w:p>
        </w:tc>
      </w:tr>
      <w:tr w:rsidR="003C2485" w:rsidRPr="00395D65" w:rsidTr="003C2485">
        <w:trPr>
          <w:trHeight w:val="179"/>
        </w:trPr>
        <w:tc>
          <w:tcPr>
            <w:tcW w:w="1398" w:type="dxa"/>
            <w:tcBorders>
              <w:top w:val="nil"/>
              <w:left w:val="single" w:sz="8" w:space="0" w:color="auto"/>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Russia</w:t>
            </w:r>
          </w:p>
        </w:tc>
        <w:tc>
          <w:tcPr>
            <w:tcW w:w="2112" w:type="dxa"/>
            <w:tcBorders>
              <w:top w:val="nil"/>
              <w:left w:val="nil"/>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RUSSIAN TRADED</w:t>
            </w:r>
          </w:p>
        </w:tc>
        <w:tc>
          <w:tcPr>
            <w:tcW w:w="1276" w:type="dxa"/>
            <w:tcBorders>
              <w:top w:val="nil"/>
              <w:left w:val="nil"/>
              <w:bottom w:val="nil"/>
              <w:right w:val="single" w:sz="8" w:space="0" w:color="auto"/>
            </w:tcBorders>
            <w:shd w:val="clear" w:color="000000" w:fill="9BC2E6"/>
            <w:noWrap/>
            <w:vAlign w:val="center"/>
            <w:hideMark/>
          </w:tcPr>
          <w:p w:rsidR="003C2485" w:rsidRPr="00395D65" w:rsidRDefault="003C2485" w:rsidP="003C2485">
            <w:pPr>
              <w:ind w:firstLineChars="100" w:firstLine="181"/>
              <w:jc w:val="right"/>
              <w:rPr>
                <w:rFonts w:ascii="Palatino Linotype" w:eastAsia="Times New Roman" w:hAnsi="Palatino Linotype" w:cs="Calibri"/>
                <w:b/>
                <w:bCs/>
                <w:sz w:val="18"/>
                <w:szCs w:val="18"/>
                <w:lang w:val="en-IN" w:eastAsia="en-IN" w:bidi="hi-IN"/>
              </w:rPr>
            </w:pPr>
            <w:r w:rsidRPr="00395D65">
              <w:rPr>
                <w:rFonts w:ascii="Palatino Linotype" w:eastAsia="Times New Roman" w:hAnsi="Palatino Linotype" w:cs="Calibri"/>
                <w:b/>
                <w:bCs/>
                <w:sz w:val="18"/>
                <w:szCs w:val="18"/>
                <w:lang w:val="en-IN" w:eastAsia="en-IN" w:bidi="hi-IN"/>
              </w:rPr>
              <w:t>2,198</w:t>
            </w:r>
          </w:p>
        </w:tc>
        <w:tc>
          <w:tcPr>
            <w:tcW w:w="1134"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3.5</w:t>
            </w:r>
          </w:p>
        </w:tc>
        <w:tc>
          <w:tcPr>
            <w:tcW w:w="992"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6.2</w:t>
            </w:r>
          </w:p>
        </w:tc>
        <w:tc>
          <w:tcPr>
            <w:tcW w:w="1058"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19.6</w:t>
            </w:r>
          </w:p>
        </w:tc>
        <w:tc>
          <w:tcPr>
            <w:tcW w:w="783"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35.9</w:t>
            </w:r>
          </w:p>
        </w:tc>
        <w:tc>
          <w:tcPr>
            <w:tcW w:w="995"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16.9</w:t>
            </w:r>
          </w:p>
        </w:tc>
        <w:tc>
          <w:tcPr>
            <w:tcW w:w="866" w:type="dxa"/>
            <w:gridSpan w:val="2"/>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9.9</w:t>
            </w:r>
          </w:p>
        </w:tc>
      </w:tr>
      <w:tr w:rsidR="003C2485" w:rsidRPr="00395D65" w:rsidTr="003C2485">
        <w:trPr>
          <w:trHeight w:val="179"/>
        </w:trPr>
        <w:tc>
          <w:tcPr>
            <w:tcW w:w="1398" w:type="dxa"/>
            <w:tcBorders>
              <w:top w:val="nil"/>
              <w:left w:val="single" w:sz="8" w:space="0" w:color="auto"/>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India</w:t>
            </w:r>
          </w:p>
        </w:tc>
        <w:tc>
          <w:tcPr>
            <w:tcW w:w="2112" w:type="dxa"/>
            <w:tcBorders>
              <w:top w:val="nil"/>
              <w:left w:val="nil"/>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Nifty 50</w:t>
            </w:r>
          </w:p>
        </w:tc>
        <w:tc>
          <w:tcPr>
            <w:tcW w:w="1276" w:type="dxa"/>
            <w:tcBorders>
              <w:top w:val="nil"/>
              <w:left w:val="nil"/>
              <w:bottom w:val="nil"/>
              <w:right w:val="single" w:sz="8" w:space="0" w:color="auto"/>
            </w:tcBorders>
            <w:shd w:val="clear" w:color="000000" w:fill="9BC2E6"/>
            <w:noWrap/>
            <w:vAlign w:val="center"/>
            <w:hideMark/>
          </w:tcPr>
          <w:p w:rsidR="003C2485" w:rsidRPr="00395D65" w:rsidRDefault="003C2485" w:rsidP="003C2485">
            <w:pPr>
              <w:ind w:firstLineChars="100" w:firstLine="181"/>
              <w:jc w:val="right"/>
              <w:rPr>
                <w:rFonts w:ascii="Palatino Linotype" w:eastAsia="Times New Roman" w:hAnsi="Palatino Linotype" w:cs="Calibri"/>
                <w:b/>
                <w:bCs/>
                <w:sz w:val="18"/>
                <w:szCs w:val="18"/>
                <w:lang w:val="en-IN" w:eastAsia="en-IN" w:bidi="hi-IN"/>
              </w:rPr>
            </w:pPr>
            <w:r w:rsidRPr="00395D65">
              <w:rPr>
                <w:rFonts w:ascii="Palatino Linotype" w:eastAsia="Times New Roman" w:hAnsi="Palatino Linotype" w:cs="Calibri"/>
                <w:b/>
                <w:bCs/>
                <w:sz w:val="18"/>
                <w:szCs w:val="18"/>
                <w:lang w:val="en-IN" w:eastAsia="en-IN" w:bidi="hi-IN"/>
              </w:rPr>
              <w:t>17,132</w:t>
            </w:r>
          </w:p>
        </w:tc>
        <w:tc>
          <w:tcPr>
            <w:tcW w:w="1134"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8.7</w:t>
            </w:r>
          </w:p>
        </w:tc>
        <w:tc>
          <w:tcPr>
            <w:tcW w:w="992"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9.9</w:t>
            </w:r>
          </w:p>
        </w:tc>
        <w:tc>
          <w:tcPr>
            <w:tcW w:w="1058"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17.9</w:t>
            </w:r>
          </w:p>
        </w:tc>
        <w:tc>
          <w:tcPr>
            <w:tcW w:w="783"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50.4</w:t>
            </w:r>
          </w:p>
        </w:tc>
        <w:tc>
          <w:tcPr>
            <w:tcW w:w="995"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8.7</w:t>
            </w:r>
          </w:p>
        </w:tc>
        <w:tc>
          <w:tcPr>
            <w:tcW w:w="866" w:type="dxa"/>
            <w:gridSpan w:val="2"/>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26.3</w:t>
            </w:r>
          </w:p>
        </w:tc>
      </w:tr>
      <w:tr w:rsidR="003C2485" w:rsidRPr="00395D65" w:rsidTr="003C2485">
        <w:trPr>
          <w:trHeight w:val="179"/>
        </w:trPr>
        <w:tc>
          <w:tcPr>
            <w:tcW w:w="1398" w:type="dxa"/>
            <w:tcBorders>
              <w:top w:val="nil"/>
              <w:left w:val="single" w:sz="8" w:space="0" w:color="auto"/>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India</w:t>
            </w:r>
          </w:p>
        </w:tc>
        <w:tc>
          <w:tcPr>
            <w:tcW w:w="2112" w:type="dxa"/>
            <w:tcBorders>
              <w:top w:val="nil"/>
              <w:left w:val="nil"/>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S&amp;P BSE SENSEX</w:t>
            </w:r>
          </w:p>
        </w:tc>
        <w:tc>
          <w:tcPr>
            <w:tcW w:w="1276" w:type="dxa"/>
            <w:tcBorders>
              <w:top w:val="nil"/>
              <w:left w:val="nil"/>
              <w:bottom w:val="nil"/>
              <w:right w:val="single" w:sz="8" w:space="0" w:color="auto"/>
            </w:tcBorders>
            <w:shd w:val="clear" w:color="000000" w:fill="9BC2E6"/>
            <w:noWrap/>
            <w:vAlign w:val="center"/>
            <w:hideMark/>
          </w:tcPr>
          <w:p w:rsidR="003C2485" w:rsidRPr="00395D65" w:rsidRDefault="003C2485" w:rsidP="003C2485">
            <w:pPr>
              <w:ind w:firstLineChars="100" w:firstLine="181"/>
              <w:jc w:val="right"/>
              <w:rPr>
                <w:rFonts w:ascii="Palatino Linotype" w:eastAsia="Times New Roman" w:hAnsi="Palatino Linotype" w:cs="Calibri"/>
                <w:b/>
                <w:bCs/>
                <w:sz w:val="18"/>
                <w:szCs w:val="18"/>
                <w:lang w:val="en-IN" w:eastAsia="en-IN" w:bidi="hi-IN"/>
              </w:rPr>
            </w:pPr>
            <w:r w:rsidRPr="00395D65">
              <w:rPr>
                <w:rFonts w:ascii="Palatino Linotype" w:eastAsia="Times New Roman" w:hAnsi="Palatino Linotype" w:cs="Calibri"/>
                <w:b/>
                <w:bCs/>
                <w:sz w:val="18"/>
                <w:szCs w:val="18"/>
                <w:lang w:val="en-IN" w:eastAsia="en-IN" w:bidi="hi-IN"/>
              </w:rPr>
              <w:t>57,552</w:t>
            </w:r>
          </w:p>
        </w:tc>
        <w:tc>
          <w:tcPr>
            <w:tcW w:w="1134"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9.4</w:t>
            </w:r>
          </w:p>
        </w:tc>
        <w:tc>
          <w:tcPr>
            <w:tcW w:w="992"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10.8</w:t>
            </w:r>
          </w:p>
        </w:tc>
        <w:tc>
          <w:tcPr>
            <w:tcW w:w="1058"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17.2</w:t>
            </w:r>
          </w:p>
        </w:tc>
        <w:tc>
          <w:tcPr>
            <w:tcW w:w="783"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49.0</w:t>
            </w:r>
          </w:p>
        </w:tc>
        <w:tc>
          <w:tcPr>
            <w:tcW w:w="995"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8.9</w:t>
            </w:r>
          </w:p>
        </w:tc>
        <w:tc>
          <w:tcPr>
            <w:tcW w:w="866" w:type="dxa"/>
            <w:gridSpan w:val="2"/>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30.3</w:t>
            </w:r>
          </w:p>
        </w:tc>
      </w:tr>
      <w:tr w:rsidR="003C2485" w:rsidRPr="00395D65" w:rsidTr="003C2485">
        <w:trPr>
          <w:trHeight w:val="179"/>
        </w:trPr>
        <w:tc>
          <w:tcPr>
            <w:tcW w:w="1398" w:type="dxa"/>
            <w:tcBorders>
              <w:top w:val="nil"/>
              <w:left w:val="single" w:sz="8" w:space="0" w:color="auto"/>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China</w:t>
            </w:r>
          </w:p>
        </w:tc>
        <w:tc>
          <w:tcPr>
            <w:tcW w:w="2112" w:type="dxa"/>
            <w:tcBorders>
              <w:top w:val="nil"/>
              <w:left w:val="nil"/>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SHANGHAI COMPOSITE</w:t>
            </w:r>
          </w:p>
        </w:tc>
        <w:tc>
          <w:tcPr>
            <w:tcW w:w="1276" w:type="dxa"/>
            <w:tcBorders>
              <w:top w:val="nil"/>
              <w:left w:val="nil"/>
              <w:bottom w:val="nil"/>
              <w:right w:val="single" w:sz="8" w:space="0" w:color="auto"/>
            </w:tcBorders>
            <w:shd w:val="clear" w:color="000000" w:fill="9BC2E6"/>
            <w:noWrap/>
            <w:vAlign w:val="center"/>
            <w:hideMark/>
          </w:tcPr>
          <w:p w:rsidR="003C2485" w:rsidRPr="00395D65" w:rsidRDefault="003C2485" w:rsidP="003C2485">
            <w:pPr>
              <w:ind w:firstLineChars="100" w:firstLine="181"/>
              <w:jc w:val="right"/>
              <w:rPr>
                <w:rFonts w:ascii="Palatino Linotype" w:eastAsia="Times New Roman" w:hAnsi="Palatino Linotype" w:cs="Calibri"/>
                <w:b/>
                <w:bCs/>
                <w:sz w:val="18"/>
                <w:szCs w:val="18"/>
                <w:lang w:val="en-IN" w:eastAsia="en-IN" w:bidi="hi-IN"/>
              </w:rPr>
            </w:pPr>
            <w:r w:rsidRPr="00395D65">
              <w:rPr>
                <w:rFonts w:ascii="Palatino Linotype" w:eastAsia="Times New Roman" w:hAnsi="Palatino Linotype" w:cs="Calibri"/>
                <w:b/>
                <w:bCs/>
                <w:sz w:val="18"/>
                <w:szCs w:val="18"/>
                <w:lang w:val="en-IN" w:eastAsia="en-IN" w:bidi="hi-IN"/>
              </w:rPr>
              <w:t>3,544</w:t>
            </w:r>
          </w:p>
        </w:tc>
        <w:tc>
          <w:tcPr>
            <w:tcW w:w="1134"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4.3</w:t>
            </w:r>
          </w:p>
        </w:tc>
        <w:tc>
          <w:tcPr>
            <w:tcW w:w="992"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-2.0</w:t>
            </w:r>
          </w:p>
        </w:tc>
        <w:tc>
          <w:tcPr>
            <w:tcW w:w="1058"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1.0</w:t>
            </w:r>
          </w:p>
        </w:tc>
        <w:tc>
          <w:tcPr>
            <w:tcW w:w="783"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4.4</w:t>
            </w:r>
          </w:p>
        </w:tc>
        <w:tc>
          <w:tcPr>
            <w:tcW w:w="995"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14.6</w:t>
            </w:r>
          </w:p>
        </w:tc>
        <w:tc>
          <w:tcPr>
            <w:tcW w:w="866" w:type="dxa"/>
            <w:gridSpan w:val="2"/>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11.7</w:t>
            </w:r>
          </w:p>
        </w:tc>
      </w:tr>
      <w:tr w:rsidR="003C2485" w:rsidRPr="00395D65" w:rsidTr="003C2485">
        <w:trPr>
          <w:trHeight w:val="188"/>
        </w:trPr>
        <w:tc>
          <w:tcPr>
            <w:tcW w:w="1398" w:type="dxa"/>
            <w:tcBorders>
              <w:top w:val="nil"/>
              <w:left w:val="single" w:sz="8" w:space="0" w:color="auto"/>
              <w:bottom w:val="single" w:sz="8" w:space="0" w:color="auto"/>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South Africa</w:t>
            </w:r>
          </w:p>
        </w:tc>
        <w:tc>
          <w:tcPr>
            <w:tcW w:w="2112" w:type="dxa"/>
            <w:tcBorders>
              <w:top w:val="nil"/>
              <w:left w:val="nil"/>
              <w:bottom w:val="single" w:sz="8" w:space="0" w:color="auto"/>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FTSE/JSE AFRICA</w:t>
            </w:r>
          </w:p>
        </w:tc>
        <w:tc>
          <w:tcPr>
            <w:tcW w:w="1276" w:type="dxa"/>
            <w:tcBorders>
              <w:top w:val="nil"/>
              <w:left w:val="nil"/>
              <w:bottom w:val="nil"/>
              <w:right w:val="single" w:sz="8" w:space="0" w:color="auto"/>
            </w:tcBorders>
            <w:shd w:val="clear" w:color="000000" w:fill="9BC2E6"/>
            <w:noWrap/>
            <w:vAlign w:val="center"/>
            <w:hideMark/>
          </w:tcPr>
          <w:p w:rsidR="003C2485" w:rsidRPr="00395D65" w:rsidRDefault="003C2485" w:rsidP="003C2485">
            <w:pPr>
              <w:ind w:firstLineChars="100" w:firstLine="181"/>
              <w:jc w:val="right"/>
              <w:rPr>
                <w:rFonts w:ascii="Palatino Linotype" w:eastAsia="Times New Roman" w:hAnsi="Palatino Linotype" w:cs="Calibri"/>
                <w:b/>
                <w:bCs/>
                <w:sz w:val="18"/>
                <w:szCs w:val="18"/>
                <w:lang w:val="en-IN" w:eastAsia="en-IN" w:bidi="hi-IN"/>
              </w:rPr>
            </w:pPr>
            <w:r w:rsidRPr="00395D65">
              <w:rPr>
                <w:rFonts w:ascii="Palatino Linotype" w:eastAsia="Times New Roman" w:hAnsi="Palatino Linotype" w:cs="Calibri"/>
                <w:b/>
                <w:bCs/>
                <w:sz w:val="18"/>
                <w:szCs w:val="18"/>
                <w:lang w:val="en-IN" w:eastAsia="en-IN" w:bidi="hi-IN"/>
              </w:rPr>
              <w:t>67,428</w:t>
            </w:r>
          </w:p>
        </w:tc>
        <w:tc>
          <w:tcPr>
            <w:tcW w:w="1134"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-2.2</w:t>
            </w:r>
          </w:p>
        </w:tc>
        <w:tc>
          <w:tcPr>
            <w:tcW w:w="992"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-0.8</w:t>
            </w:r>
          </w:p>
        </w:tc>
        <w:tc>
          <w:tcPr>
            <w:tcW w:w="1058"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2.0</w:t>
            </w:r>
          </w:p>
        </w:tc>
        <w:tc>
          <w:tcPr>
            <w:tcW w:w="783"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21.5</w:t>
            </w:r>
          </w:p>
        </w:tc>
        <w:tc>
          <w:tcPr>
            <w:tcW w:w="995"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14.0</w:t>
            </w:r>
          </w:p>
        </w:tc>
        <w:tc>
          <w:tcPr>
            <w:tcW w:w="866" w:type="dxa"/>
            <w:gridSpan w:val="2"/>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12.1</w:t>
            </w:r>
          </w:p>
        </w:tc>
      </w:tr>
      <w:tr w:rsidR="003C2485" w:rsidRPr="00395D65" w:rsidTr="003C2485">
        <w:trPr>
          <w:trHeight w:val="384"/>
        </w:trPr>
        <w:tc>
          <w:tcPr>
            <w:tcW w:w="10614" w:type="dxa"/>
            <w:gridSpan w:val="10"/>
            <w:tcBorders>
              <w:top w:val="single" w:sz="8" w:space="0" w:color="auto"/>
              <w:left w:val="single" w:sz="8" w:space="0" w:color="auto"/>
              <w:bottom w:val="single" w:sz="8" w:space="0" w:color="auto"/>
              <w:right w:val="single" w:sz="8" w:space="0" w:color="000000"/>
            </w:tcBorders>
            <w:shd w:val="clear" w:color="000000" w:fill="D9E1F2"/>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Developed Markets</w:t>
            </w:r>
          </w:p>
        </w:tc>
      </w:tr>
      <w:tr w:rsidR="003C2485" w:rsidRPr="00395D65" w:rsidTr="003C2485">
        <w:trPr>
          <w:trHeight w:val="179"/>
        </w:trPr>
        <w:tc>
          <w:tcPr>
            <w:tcW w:w="1398" w:type="dxa"/>
            <w:tcBorders>
              <w:top w:val="nil"/>
              <w:left w:val="single" w:sz="8" w:space="0" w:color="auto"/>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USA</w:t>
            </w:r>
          </w:p>
        </w:tc>
        <w:tc>
          <w:tcPr>
            <w:tcW w:w="2112" w:type="dxa"/>
            <w:tcBorders>
              <w:top w:val="nil"/>
              <w:left w:val="nil"/>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NASDAQ COMPOSITE</w:t>
            </w:r>
          </w:p>
        </w:tc>
        <w:tc>
          <w:tcPr>
            <w:tcW w:w="1276" w:type="dxa"/>
            <w:tcBorders>
              <w:top w:val="nil"/>
              <w:left w:val="nil"/>
              <w:bottom w:val="nil"/>
              <w:right w:val="single" w:sz="8" w:space="0" w:color="auto"/>
            </w:tcBorders>
            <w:shd w:val="clear" w:color="000000" w:fill="9BC2E6"/>
            <w:noWrap/>
            <w:vAlign w:val="center"/>
            <w:hideMark/>
          </w:tcPr>
          <w:p w:rsidR="003C2485" w:rsidRPr="00395D65" w:rsidRDefault="003C2485" w:rsidP="003C2485">
            <w:pPr>
              <w:ind w:firstLineChars="100" w:firstLine="181"/>
              <w:jc w:val="right"/>
              <w:rPr>
                <w:rFonts w:ascii="Palatino Linotype" w:eastAsia="Times New Roman" w:hAnsi="Palatino Linotype" w:cs="Calibri"/>
                <w:b/>
                <w:bCs/>
                <w:sz w:val="18"/>
                <w:szCs w:val="18"/>
                <w:lang w:val="en-IN" w:eastAsia="en-IN" w:bidi="hi-IN"/>
              </w:rPr>
            </w:pPr>
            <w:r w:rsidRPr="00395D65">
              <w:rPr>
                <w:rFonts w:ascii="Palatino Linotype" w:eastAsia="Times New Roman" w:hAnsi="Palatino Linotype" w:cs="Calibri"/>
                <w:b/>
                <w:bCs/>
                <w:sz w:val="18"/>
                <w:szCs w:val="18"/>
                <w:lang w:val="en-IN" w:eastAsia="en-IN" w:bidi="hi-IN"/>
              </w:rPr>
              <w:t>15,259</w:t>
            </w:r>
          </w:p>
        </w:tc>
        <w:tc>
          <w:tcPr>
            <w:tcW w:w="1134"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4.0</w:t>
            </w:r>
          </w:p>
        </w:tc>
        <w:tc>
          <w:tcPr>
            <w:tcW w:w="992"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11.0</w:t>
            </w:r>
          </w:p>
        </w:tc>
        <w:tc>
          <w:tcPr>
            <w:tcW w:w="1058"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15.7</w:t>
            </w:r>
          </w:p>
        </w:tc>
        <w:tc>
          <w:tcPr>
            <w:tcW w:w="783"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29.6</w:t>
            </w:r>
          </w:p>
        </w:tc>
        <w:tc>
          <w:tcPr>
            <w:tcW w:w="995"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10.3</w:t>
            </w:r>
          </w:p>
        </w:tc>
        <w:tc>
          <w:tcPr>
            <w:tcW w:w="866" w:type="dxa"/>
            <w:gridSpan w:val="2"/>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NA</w:t>
            </w:r>
          </w:p>
        </w:tc>
      </w:tr>
      <w:tr w:rsidR="003C2485" w:rsidRPr="00395D65" w:rsidTr="003C2485">
        <w:trPr>
          <w:trHeight w:val="179"/>
        </w:trPr>
        <w:tc>
          <w:tcPr>
            <w:tcW w:w="1398" w:type="dxa"/>
            <w:tcBorders>
              <w:top w:val="nil"/>
              <w:left w:val="single" w:sz="8" w:space="0" w:color="auto"/>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USA</w:t>
            </w:r>
          </w:p>
        </w:tc>
        <w:tc>
          <w:tcPr>
            <w:tcW w:w="2112" w:type="dxa"/>
            <w:tcBorders>
              <w:top w:val="nil"/>
              <w:left w:val="nil"/>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DOW JONES INDUS. AVG</w:t>
            </w:r>
          </w:p>
        </w:tc>
        <w:tc>
          <w:tcPr>
            <w:tcW w:w="1276" w:type="dxa"/>
            <w:tcBorders>
              <w:top w:val="nil"/>
              <w:left w:val="nil"/>
              <w:bottom w:val="nil"/>
              <w:right w:val="single" w:sz="8" w:space="0" w:color="auto"/>
            </w:tcBorders>
            <w:shd w:val="clear" w:color="000000" w:fill="9BC2E6"/>
            <w:noWrap/>
            <w:vAlign w:val="center"/>
            <w:hideMark/>
          </w:tcPr>
          <w:p w:rsidR="003C2485" w:rsidRPr="00395D65" w:rsidRDefault="003C2485" w:rsidP="003C2485">
            <w:pPr>
              <w:ind w:firstLineChars="100" w:firstLine="181"/>
              <w:jc w:val="right"/>
              <w:rPr>
                <w:rFonts w:ascii="Palatino Linotype" w:eastAsia="Times New Roman" w:hAnsi="Palatino Linotype" w:cs="Calibri"/>
                <w:b/>
                <w:bCs/>
                <w:sz w:val="18"/>
                <w:szCs w:val="18"/>
                <w:lang w:val="en-IN" w:eastAsia="en-IN" w:bidi="hi-IN"/>
              </w:rPr>
            </w:pPr>
            <w:r w:rsidRPr="00395D65">
              <w:rPr>
                <w:rFonts w:ascii="Palatino Linotype" w:eastAsia="Times New Roman" w:hAnsi="Palatino Linotype" w:cs="Calibri"/>
                <w:b/>
                <w:bCs/>
                <w:sz w:val="18"/>
                <w:szCs w:val="18"/>
                <w:lang w:val="en-IN" w:eastAsia="en-IN" w:bidi="hi-IN"/>
              </w:rPr>
              <w:t>35,361</w:t>
            </w:r>
          </w:p>
        </w:tc>
        <w:tc>
          <w:tcPr>
            <w:tcW w:w="1134"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1.2</w:t>
            </w:r>
          </w:p>
        </w:tc>
        <w:tc>
          <w:tcPr>
            <w:tcW w:w="992"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2.4</w:t>
            </w:r>
          </w:p>
        </w:tc>
        <w:tc>
          <w:tcPr>
            <w:tcW w:w="1058"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14.3</w:t>
            </w:r>
          </w:p>
        </w:tc>
        <w:tc>
          <w:tcPr>
            <w:tcW w:w="783"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24.4</w:t>
            </w:r>
          </w:p>
        </w:tc>
        <w:tc>
          <w:tcPr>
            <w:tcW w:w="995"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8.7</w:t>
            </w:r>
          </w:p>
        </w:tc>
        <w:tc>
          <w:tcPr>
            <w:tcW w:w="866" w:type="dxa"/>
            <w:gridSpan w:val="2"/>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21.7</w:t>
            </w:r>
          </w:p>
        </w:tc>
      </w:tr>
      <w:tr w:rsidR="003C2485" w:rsidRPr="00395D65" w:rsidTr="003C2485">
        <w:trPr>
          <w:trHeight w:val="179"/>
        </w:trPr>
        <w:tc>
          <w:tcPr>
            <w:tcW w:w="1398" w:type="dxa"/>
            <w:tcBorders>
              <w:top w:val="nil"/>
              <w:left w:val="single" w:sz="8" w:space="0" w:color="auto"/>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France</w:t>
            </w:r>
          </w:p>
        </w:tc>
        <w:tc>
          <w:tcPr>
            <w:tcW w:w="2112" w:type="dxa"/>
            <w:tcBorders>
              <w:top w:val="nil"/>
              <w:left w:val="nil"/>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CAC 40</w:t>
            </w:r>
          </w:p>
        </w:tc>
        <w:tc>
          <w:tcPr>
            <w:tcW w:w="1276" w:type="dxa"/>
            <w:tcBorders>
              <w:top w:val="nil"/>
              <w:left w:val="nil"/>
              <w:bottom w:val="nil"/>
              <w:right w:val="single" w:sz="8" w:space="0" w:color="auto"/>
            </w:tcBorders>
            <w:shd w:val="clear" w:color="000000" w:fill="9BC2E6"/>
            <w:noWrap/>
            <w:vAlign w:val="center"/>
            <w:hideMark/>
          </w:tcPr>
          <w:p w:rsidR="003C2485" w:rsidRPr="00395D65" w:rsidRDefault="003C2485" w:rsidP="003C2485">
            <w:pPr>
              <w:ind w:firstLineChars="100" w:firstLine="181"/>
              <w:jc w:val="right"/>
              <w:rPr>
                <w:rFonts w:ascii="Palatino Linotype" w:eastAsia="Times New Roman" w:hAnsi="Palatino Linotype" w:cs="Calibri"/>
                <w:b/>
                <w:bCs/>
                <w:sz w:val="18"/>
                <w:szCs w:val="18"/>
                <w:lang w:val="en-IN" w:eastAsia="en-IN" w:bidi="hi-IN"/>
              </w:rPr>
            </w:pPr>
            <w:r w:rsidRPr="00395D65">
              <w:rPr>
                <w:rFonts w:ascii="Palatino Linotype" w:eastAsia="Times New Roman" w:hAnsi="Palatino Linotype" w:cs="Calibri"/>
                <w:b/>
                <w:bCs/>
                <w:sz w:val="18"/>
                <w:szCs w:val="18"/>
                <w:lang w:val="en-IN" w:eastAsia="en-IN" w:bidi="hi-IN"/>
              </w:rPr>
              <w:t>6,680</w:t>
            </w:r>
          </w:p>
        </w:tc>
        <w:tc>
          <w:tcPr>
            <w:tcW w:w="1134"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1.0</w:t>
            </w:r>
          </w:p>
        </w:tc>
        <w:tc>
          <w:tcPr>
            <w:tcW w:w="992"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3.6</w:t>
            </w:r>
          </w:p>
        </w:tc>
        <w:tc>
          <w:tcPr>
            <w:tcW w:w="1058"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17.1</w:t>
            </w:r>
          </w:p>
        </w:tc>
        <w:tc>
          <w:tcPr>
            <w:tcW w:w="783"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35.0</w:t>
            </w:r>
          </w:p>
        </w:tc>
        <w:tc>
          <w:tcPr>
            <w:tcW w:w="995"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11.2</w:t>
            </w:r>
          </w:p>
        </w:tc>
        <w:tc>
          <w:tcPr>
            <w:tcW w:w="866" w:type="dxa"/>
            <w:gridSpan w:val="2"/>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20.5</w:t>
            </w:r>
          </w:p>
        </w:tc>
      </w:tr>
      <w:tr w:rsidR="003C2485" w:rsidRPr="00395D65" w:rsidTr="003C2485">
        <w:trPr>
          <w:trHeight w:val="179"/>
        </w:trPr>
        <w:tc>
          <w:tcPr>
            <w:tcW w:w="1398" w:type="dxa"/>
            <w:tcBorders>
              <w:top w:val="nil"/>
              <w:left w:val="single" w:sz="8" w:space="0" w:color="auto"/>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Germany</w:t>
            </w:r>
          </w:p>
        </w:tc>
        <w:tc>
          <w:tcPr>
            <w:tcW w:w="2112" w:type="dxa"/>
            <w:tcBorders>
              <w:top w:val="nil"/>
              <w:left w:val="nil"/>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DAX</w:t>
            </w:r>
          </w:p>
        </w:tc>
        <w:tc>
          <w:tcPr>
            <w:tcW w:w="1276" w:type="dxa"/>
            <w:tcBorders>
              <w:top w:val="nil"/>
              <w:left w:val="nil"/>
              <w:bottom w:val="nil"/>
              <w:right w:val="single" w:sz="8" w:space="0" w:color="auto"/>
            </w:tcBorders>
            <w:shd w:val="clear" w:color="000000" w:fill="9BC2E6"/>
            <w:noWrap/>
            <w:vAlign w:val="center"/>
            <w:hideMark/>
          </w:tcPr>
          <w:p w:rsidR="003C2485" w:rsidRPr="00395D65" w:rsidRDefault="003C2485" w:rsidP="003C2485">
            <w:pPr>
              <w:ind w:firstLineChars="100" w:firstLine="181"/>
              <w:jc w:val="right"/>
              <w:rPr>
                <w:rFonts w:ascii="Palatino Linotype" w:eastAsia="Times New Roman" w:hAnsi="Palatino Linotype" w:cs="Calibri"/>
                <w:b/>
                <w:bCs/>
                <w:sz w:val="18"/>
                <w:szCs w:val="18"/>
                <w:lang w:val="en-IN" w:eastAsia="en-IN" w:bidi="hi-IN"/>
              </w:rPr>
            </w:pPr>
            <w:r w:rsidRPr="00395D65">
              <w:rPr>
                <w:rFonts w:ascii="Palatino Linotype" w:eastAsia="Times New Roman" w:hAnsi="Palatino Linotype" w:cs="Calibri"/>
                <w:b/>
                <w:bCs/>
                <w:sz w:val="18"/>
                <w:szCs w:val="18"/>
                <w:lang w:val="en-IN" w:eastAsia="en-IN" w:bidi="hi-IN"/>
              </w:rPr>
              <w:t>15,835</w:t>
            </w:r>
          </w:p>
        </w:tc>
        <w:tc>
          <w:tcPr>
            <w:tcW w:w="1134"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1.9</w:t>
            </w:r>
          </w:p>
        </w:tc>
        <w:tc>
          <w:tcPr>
            <w:tcW w:w="992"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2.7</w:t>
            </w:r>
          </w:p>
        </w:tc>
        <w:tc>
          <w:tcPr>
            <w:tcW w:w="1058"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14.9</w:t>
            </w:r>
          </w:p>
        </w:tc>
        <w:tc>
          <w:tcPr>
            <w:tcW w:w="783"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22.3</w:t>
            </w:r>
          </w:p>
        </w:tc>
        <w:tc>
          <w:tcPr>
            <w:tcW w:w="995"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6.8</w:t>
            </w:r>
          </w:p>
        </w:tc>
        <w:tc>
          <w:tcPr>
            <w:tcW w:w="866" w:type="dxa"/>
            <w:gridSpan w:val="2"/>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15.2</w:t>
            </w:r>
          </w:p>
        </w:tc>
      </w:tr>
      <w:tr w:rsidR="003C2485" w:rsidRPr="00395D65" w:rsidTr="003C2485">
        <w:trPr>
          <w:trHeight w:val="179"/>
        </w:trPr>
        <w:tc>
          <w:tcPr>
            <w:tcW w:w="1398" w:type="dxa"/>
            <w:tcBorders>
              <w:top w:val="nil"/>
              <w:left w:val="single" w:sz="8" w:space="0" w:color="auto"/>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UK</w:t>
            </w:r>
          </w:p>
        </w:tc>
        <w:tc>
          <w:tcPr>
            <w:tcW w:w="2112" w:type="dxa"/>
            <w:tcBorders>
              <w:top w:val="nil"/>
              <w:left w:val="nil"/>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FTSE 100</w:t>
            </w:r>
          </w:p>
        </w:tc>
        <w:tc>
          <w:tcPr>
            <w:tcW w:w="1276" w:type="dxa"/>
            <w:tcBorders>
              <w:top w:val="nil"/>
              <w:left w:val="nil"/>
              <w:bottom w:val="nil"/>
              <w:right w:val="single" w:sz="8" w:space="0" w:color="auto"/>
            </w:tcBorders>
            <w:shd w:val="clear" w:color="000000" w:fill="9BC2E6"/>
            <w:noWrap/>
            <w:vAlign w:val="center"/>
            <w:hideMark/>
          </w:tcPr>
          <w:p w:rsidR="003C2485" w:rsidRPr="00395D65" w:rsidRDefault="003C2485" w:rsidP="003C2485">
            <w:pPr>
              <w:ind w:firstLineChars="100" w:firstLine="181"/>
              <w:jc w:val="right"/>
              <w:rPr>
                <w:rFonts w:ascii="Palatino Linotype" w:eastAsia="Times New Roman" w:hAnsi="Palatino Linotype" w:cs="Calibri"/>
                <w:b/>
                <w:bCs/>
                <w:sz w:val="18"/>
                <w:szCs w:val="18"/>
                <w:lang w:val="en-IN" w:eastAsia="en-IN" w:bidi="hi-IN"/>
              </w:rPr>
            </w:pPr>
            <w:r w:rsidRPr="00395D65">
              <w:rPr>
                <w:rFonts w:ascii="Palatino Linotype" w:eastAsia="Times New Roman" w:hAnsi="Palatino Linotype" w:cs="Calibri"/>
                <w:b/>
                <w:bCs/>
                <w:sz w:val="18"/>
                <w:szCs w:val="18"/>
                <w:lang w:val="en-IN" w:eastAsia="en-IN" w:bidi="hi-IN"/>
              </w:rPr>
              <w:t>7,120</w:t>
            </w:r>
          </w:p>
        </w:tc>
        <w:tc>
          <w:tcPr>
            <w:tcW w:w="1134"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1.2</w:t>
            </w:r>
          </w:p>
        </w:tc>
        <w:tc>
          <w:tcPr>
            <w:tcW w:w="992"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1.4</w:t>
            </w:r>
          </w:p>
        </w:tc>
        <w:tc>
          <w:tcPr>
            <w:tcW w:w="1058"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9.8</w:t>
            </w:r>
          </w:p>
        </w:tc>
        <w:tc>
          <w:tcPr>
            <w:tcW w:w="783"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19.4</w:t>
            </w:r>
          </w:p>
        </w:tc>
        <w:tc>
          <w:tcPr>
            <w:tcW w:w="995"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8.2</w:t>
            </w:r>
          </w:p>
        </w:tc>
        <w:tc>
          <w:tcPr>
            <w:tcW w:w="866" w:type="dxa"/>
            <w:gridSpan w:val="2"/>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14.8</w:t>
            </w:r>
          </w:p>
        </w:tc>
      </w:tr>
      <w:tr w:rsidR="003C2485" w:rsidRPr="00395D65" w:rsidTr="003C2485">
        <w:trPr>
          <w:trHeight w:val="179"/>
        </w:trPr>
        <w:tc>
          <w:tcPr>
            <w:tcW w:w="1398" w:type="dxa"/>
            <w:tcBorders>
              <w:top w:val="nil"/>
              <w:left w:val="single" w:sz="8" w:space="0" w:color="auto"/>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Hong Kong</w:t>
            </w:r>
          </w:p>
        </w:tc>
        <w:tc>
          <w:tcPr>
            <w:tcW w:w="2112" w:type="dxa"/>
            <w:tcBorders>
              <w:top w:val="nil"/>
              <w:left w:val="nil"/>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HANG SENG</w:t>
            </w:r>
          </w:p>
        </w:tc>
        <w:tc>
          <w:tcPr>
            <w:tcW w:w="1276" w:type="dxa"/>
            <w:tcBorders>
              <w:top w:val="nil"/>
              <w:left w:val="nil"/>
              <w:bottom w:val="nil"/>
              <w:right w:val="single" w:sz="8" w:space="0" w:color="auto"/>
            </w:tcBorders>
            <w:shd w:val="clear" w:color="000000" w:fill="9BC2E6"/>
            <w:noWrap/>
            <w:vAlign w:val="center"/>
            <w:hideMark/>
          </w:tcPr>
          <w:p w:rsidR="003C2485" w:rsidRPr="00395D65" w:rsidRDefault="003C2485" w:rsidP="003C2485">
            <w:pPr>
              <w:ind w:firstLineChars="100" w:firstLine="181"/>
              <w:jc w:val="right"/>
              <w:rPr>
                <w:rFonts w:ascii="Palatino Linotype" w:eastAsia="Times New Roman" w:hAnsi="Palatino Linotype" w:cs="Calibri"/>
                <w:b/>
                <w:bCs/>
                <w:sz w:val="18"/>
                <w:szCs w:val="18"/>
                <w:lang w:val="en-IN" w:eastAsia="en-IN" w:bidi="hi-IN"/>
              </w:rPr>
            </w:pPr>
            <w:r w:rsidRPr="00395D65">
              <w:rPr>
                <w:rFonts w:ascii="Palatino Linotype" w:eastAsia="Times New Roman" w:hAnsi="Palatino Linotype" w:cs="Calibri"/>
                <w:b/>
                <w:bCs/>
                <w:sz w:val="18"/>
                <w:szCs w:val="18"/>
                <w:lang w:val="en-IN" w:eastAsia="en-IN" w:bidi="hi-IN"/>
              </w:rPr>
              <w:t>25,879</w:t>
            </w:r>
          </w:p>
        </w:tc>
        <w:tc>
          <w:tcPr>
            <w:tcW w:w="1134"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-0.3</w:t>
            </w:r>
          </w:p>
        </w:tc>
        <w:tc>
          <w:tcPr>
            <w:tcW w:w="992"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-11.2</w:t>
            </w:r>
          </w:p>
        </w:tc>
        <w:tc>
          <w:tcPr>
            <w:tcW w:w="1058"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-10.7</w:t>
            </w:r>
          </w:p>
        </w:tc>
        <w:tc>
          <w:tcPr>
            <w:tcW w:w="783"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2.8</w:t>
            </w:r>
          </w:p>
        </w:tc>
        <w:tc>
          <w:tcPr>
            <w:tcW w:w="995"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17.5</w:t>
            </w:r>
          </w:p>
        </w:tc>
        <w:tc>
          <w:tcPr>
            <w:tcW w:w="866" w:type="dxa"/>
            <w:gridSpan w:val="2"/>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11.9</w:t>
            </w:r>
          </w:p>
        </w:tc>
      </w:tr>
      <w:tr w:rsidR="003C2485" w:rsidRPr="00395D65" w:rsidTr="003C2485">
        <w:trPr>
          <w:trHeight w:val="179"/>
        </w:trPr>
        <w:tc>
          <w:tcPr>
            <w:tcW w:w="1398" w:type="dxa"/>
            <w:tcBorders>
              <w:top w:val="nil"/>
              <w:left w:val="single" w:sz="8" w:space="0" w:color="auto"/>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South Korea</w:t>
            </w:r>
          </w:p>
        </w:tc>
        <w:tc>
          <w:tcPr>
            <w:tcW w:w="2112" w:type="dxa"/>
            <w:tcBorders>
              <w:top w:val="nil"/>
              <w:left w:val="nil"/>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KOSPI</w:t>
            </w:r>
          </w:p>
        </w:tc>
        <w:tc>
          <w:tcPr>
            <w:tcW w:w="1276" w:type="dxa"/>
            <w:tcBorders>
              <w:top w:val="nil"/>
              <w:left w:val="nil"/>
              <w:bottom w:val="nil"/>
              <w:right w:val="single" w:sz="8" w:space="0" w:color="auto"/>
            </w:tcBorders>
            <w:shd w:val="clear" w:color="000000" w:fill="9BC2E6"/>
            <w:noWrap/>
            <w:vAlign w:val="center"/>
            <w:hideMark/>
          </w:tcPr>
          <w:p w:rsidR="003C2485" w:rsidRPr="00395D65" w:rsidRDefault="003C2485" w:rsidP="003C2485">
            <w:pPr>
              <w:ind w:firstLineChars="100" w:firstLine="181"/>
              <w:jc w:val="right"/>
              <w:rPr>
                <w:rFonts w:ascii="Palatino Linotype" w:eastAsia="Times New Roman" w:hAnsi="Palatino Linotype" w:cs="Calibri"/>
                <w:b/>
                <w:bCs/>
                <w:sz w:val="18"/>
                <w:szCs w:val="18"/>
                <w:lang w:val="en-IN" w:eastAsia="en-IN" w:bidi="hi-IN"/>
              </w:rPr>
            </w:pPr>
            <w:r w:rsidRPr="00395D65">
              <w:rPr>
                <w:rFonts w:ascii="Palatino Linotype" w:eastAsia="Times New Roman" w:hAnsi="Palatino Linotype" w:cs="Calibri"/>
                <w:b/>
                <w:bCs/>
                <w:sz w:val="18"/>
                <w:szCs w:val="18"/>
                <w:lang w:val="en-IN" w:eastAsia="en-IN" w:bidi="hi-IN"/>
              </w:rPr>
              <w:t>3,199</w:t>
            </w:r>
          </w:p>
        </w:tc>
        <w:tc>
          <w:tcPr>
            <w:tcW w:w="1134"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-0.1</w:t>
            </w:r>
          </w:p>
        </w:tc>
        <w:tc>
          <w:tcPr>
            <w:tcW w:w="992"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-0.1</w:t>
            </w:r>
          </w:p>
        </w:tc>
        <w:tc>
          <w:tcPr>
            <w:tcW w:w="1058"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6.2</w:t>
            </w:r>
          </w:p>
        </w:tc>
        <w:tc>
          <w:tcPr>
            <w:tcW w:w="783"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37.5</w:t>
            </w:r>
          </w:p>
        </w:tc>
        <w:tc>
          <w:tcPr>
            <w:tcW w:w="995"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14.4</w:t>
            </w:r>
          </w:p>
        </w:tc>
        <w:tc>
          <w:tcPr>
            <w:tcW w:w="866" w:type="dxa"/>
            <w:gridSpan w:val="2"/>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NA</w:t>
            </w:r>
          </w:p>
        </w:tc>
      </w:tr>
      <w:tr w:rsidR="003C2485" w:rsidRPr="00395D65" w:rsidTr="003C2485">
        <w:trPr>
          <w:trHeight w:val="179"/>
        </w:trPr>
        <w:tc>
          <w:tcPr>
            <w:tcW w:w="1398" w:type="dxa"/>
            <w:tcBorders>
              <w:top w:val="nil"/>
              <w:left w:val="single" w:sz="8" w:space="0" w:color="auto"/>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Japan</w:t>
            </w:r>
          </w:p>
        </w:tc>
        <w:tc>
          <w:tcPr>
            <w:tcW w:w="2112" w:type="dxa"/>
            <w:tcBorders>
              <w:top w:val="nil"/>
              <w:left w:val="nil"/>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NIKKEI 225</w:t>
            </w:r>
          </w:p>
        </w:tc>
        <w:tc>
          <w:tcPr>
            <w:tcW w:w="1276" w:type="dxa"/>
            <w:tcBorders>
              <w:top w:val="nil"/>
              <w:left w:val="nil"/>
              <w:bottom w:val="nil"/>
              <w:right w:val="single" w:sz="8" w:space="0" w:color="auto"/>
            </w:tcBorders>
            <w:shd w:val="clear" w:color="000000" w:fill="9BC2E6"/>
            <w:noWrap/>
            <w:vAlign w:val="center"/>
            <w:hideMark/>
          </w:tcPr>
          <w:p w:rsidR="003C2485" w:rsidRPr="00395D65" w:rsidRDefault="003C2485" w:rsidP="003C2485">
            <w:pPr>
              <w:ind w:firstLineChars="100" w:firstLine="181"/>
              <w:jc w:val="right"/>
              <w:rPr>
                <w:rFonts w:ascii="Palatino Linotype" w:eastAsia="Times New Roman" w:hAnsi="Palatino Linotype" w:cs="Calibri"/>
                <w:b/>
                <w:bCs/>
                <w:sz w:val="18"/>
                <w:szCs w:val="18"/>
                <w:lang w:val="en-IN" w:eastAsia="en-IN" w:bidi="hi-IN"/>
              </w:rPr>
            </w:pPr>
            <w:r w:rsidRPr="00395D65">
              <w:rPr>
                <w:rFonts w:ascii="Palatino Linotype" w:eastAsia="Times New Roman" w:hAnsi="Palatino Linotype" w:cs="Calibri"/>
                <w:b/>
                <w:bCs/>
                <w:sz w:val="18"/>
                <w:szCs w:val="18"/>
                <w:lang w:val="en-IN" w:eastAsia="en-IN" w:bidi="hi-IN"/>
              </w:rPr>
              <w:t>28,090</w:t>
            </w:r>
          </w:p>
        </w:tc>
        <w:tc>
          <w:tcPr>
            <w:tcW w:w="1134"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3.0</w:t>
            </w:r>
          </w:p>
        </w:tc>
        <w:tc>
          <w:tcPr>
            <w:tcW w:w="992"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-2.7</w:t>
            </w:r>
          </w:p>
        </w:tc>
        <w:tc>
          <w:tcPr>
            <w:tcW w:w="1058"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-3.0</w:t>
            </w:r>
          </w:p>
        </w:tc>
        <w:tc>
          <w:tcPr>
            <w:tcW w:w="783"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21.4</w:t>
            </w:r>
          </w:p>
        </w:tc>
        <w:tc>
          <w:tcPr>
            <w:tcW w:w="995"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13.1</w:t>
            </w:r>
          </w:p>
        </w:tc>
        <w:tc>
          <w:tcPr>
            <w:tcW w:w="866" w:type="dxa"/>
            <w:gridSpan w:val="2"/>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15.0</w:t>
            </w:r>
          </w:p>
        </w:tc>
      </w:tr>
      <w:tr w:rsidR="003C2485" w:rsidRPr="00395D65" w:rsidTr="003C2485">
        <w:trPr>
          <w:trHeight w:val="179"/>
        </w:trPr>
        <w:tc>
          <w:tcPr>
            <w:tcW w:w="1398" w:type="dxa"/>
            <w:tcBorders>
              <w:top w:val="nil"/>
              <w:left w:val="single" w:sz="8" w:space="0" w:color="auto"/>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Singapore</w:t>
            </w:r>
          </w:p>
        </w:tc>
        <w:tc>
          <w:tcPr>
            <w:tcW w:w="2112" w:type="dxa"/>
            <w:tcBorders>
              <w:top w:val="nil"/>
              <w:left w:val="nil"/>
              <w:bottom w:val="nil"/>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STRAITS TIMES  STI</w:t>
            </w:r>
          </w:p>
        </w:tc>
        <w:tc>
          <w:tcPr>
            <w:tcW w:w="1276" w:type="dxa"/>
            <w:tcBorders>
              <w:top w:val="nil"/>
              <w:left w:val="nil"/>
              <w:bottom w:val="nil"/>
              <w:right w:val="single" w:sz="8" w:space="0" w:color="auto"/>
            </w:tcBorders>
            <w:shd w:val="clear" w:color="000000" w:fill="9BC2E6"/>
            <w:noWrap/>
            <w:vAlign w:val="center"/>
            <w:hideMark/>
          </w:tcPr>
          <w:p w:rsidR="003C2485" w:rsidRPr="00395D65" w:rsidRDefault="003C2485" w:rsidP="003C2485">
            <w:pPr>
              <w:ind w:firstLineChars="100" w:firstLine="181"/>
              <w:jc w:val="right"/>
              <w:rPr>
                <w:rFonts w:ascii="Palatino Linotype" w:eastAsia="Times New Roman" w:hAnsi="Palatino Linotype" w:cs="Calibri"/>
                <w:b/>
                <w:bCs/>
                <w:sz w:val="18"/>
                <w:szCs w:val="18"/>
                <w:lang w:val="en-IN" w:eastAsia="en-IN" w:bidi="hi-IN"/>
              </w:rPr>
            </w:pPr>
            <w:r w:rsidRPr="00395D65">
              <w:rPr>
                <w:rFonts w:ascii="Palatino Linotype" w:eastAsia="Times New Roman" w:hAnsi="Palatino Linotype" w:cs="Calibri"/>
                <w:b/>
                <w:bCs/>
                <w:sz w:val="18"/>
                <w:szCs w:val="18"/>
                <w:lang w:val="en-IN" w:eastAsia="en-IN" w:bidi="hi-IN"/>
              </w:rPr>
              <w:t>3,055</w:t>
            </w:r>
          </w:p>
        </w:tc>
        <w:tc>
          <w:tcPr>
            <w:tcW w:w="1134"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-3.5</w:t>
            </w:r>
          </w:p>
        </w:tc>
        <w:tc>
          <w:tcPr>
            <w:tcW w:w="992"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-3.5</w:t>
            </w:r>
          </w:p>
        </w:tc>
        <w:tc>
          <w:tcPr>
            <w:tcW w:w="1058"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3.6</w:t>
            </w:r>
          </w:p>
        </w:tc>
        <w:tc>
          <w:tcPr>
            <w:tcW w:w="783"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20.6</w:t>
            </w:r>
          </w:p>
        </w:tc>
        <w:tc>
          <w:tcPr>
            <w:tcW w:w="995" w:type="dxa"/>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11.1</w:t>
            </w:r>
          </w:p>
        </w:tc>
        <w:tc>
          <w:tcPr>
            <w:tcW w:w="866" w:type="dxa"/>
            <w:gridSpan w:val="2"/>
            <w:tcBorders>
              <w:top w:val="nil"/>
              <w:left w:val="nil"/>
              <w:bottom w:val="nil"/>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14.5</w:t>
            </w:r>
          </w:p>
        </w:tc>
      </w:tr>
      <w:tr w:rsidR="003C2485" w:rsidRPr="00395D65" w:rsidTr="003C2485">
        <w:trPr>
          <w:trHeight w:val="188"/>
        </w:trPr>
        <w:tc>
          <w:tcPr>
            <w:tcW w:w="1398" w:type="dxa"/>
            <w:tcBorders>
              <w:top w:val="nil"/>
              <w:left w:val="single" w:sz="8" w:space="0" w:color="auto"/>
              <w:bottom w:val="single" w:sz="8" w:space="0" w:color="auto"/>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Taiwan</w:t>
            </w:r>
          </w:p>
        </w:tc>
        <w:tc>
          <w:tcPr>
            <w:tcW w:w="2112" w:type="dxa"/>
            <w:tcBorders>
              <w:top w:val="nil"/>
              <w:left w:val="nil"/>
              <w:bottom w:val="single" w:sz="8" w:space="0" w:color="auto"/>
              <w:right w:val="single" w:sz="8" w:space="0" w:color="auto"/>
            </w:tcBorders>
            <w:shd w:val="clear" w:color="000000" w:fill="D9E1F2"/>
            <w:noWrap/>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TAIWAN TAIEX</w:t>
            </w:r>
          </w:p>
        </w:tc>
        <w:tc>
          <w:tcPr>
            <w:tcW w:w="1276" w:type="dxa"/>
            <w:tcBorders>
              <w:top w:val="nil"/>
              <w:left w:val="nil"/>
              <w:bottom w:val="single" w:sz="8" w:space="0" w:color="auto"/>
              <w:right w:val="single" w:sz="8" w:space="0" w:color="auto"/>
            </w:tcBorders>
            <w:shd w:val="clear" w:color="000000" w:fill="9BC2E6"/>
            <w:noWrap/>
            <w:vAlign w:val="center"/>
            <w:hideMark/>
          </w:tcPr>
          <w:p w:rsidR="003C2485" w:rsidRPr="00395D65" w:rsidRDefault="003C2485" w:rsidP="003C2485">
            <w:pPr>
              <w:ind w:firstLineChars="100" w:firstLine="181"/>
              <w:jc w:val="right"/>
              <w:rPr>
                <w:rFonts w:ascii="Palatino Linotype" w:eastAsia="Times New Roman" w:hAnsi="Palatino Linotype" w:cs="Calibri"/>
                <w:b/>
                <w:bCs/>
                <w:sz w:val="18"/>
                <w:szCs w:val="18"/>
                <w:lang w:val="en-IN" w:eastAsia="en-IN" w:bidi="hi-IN"/>
              </w:rPr>
            </w:pPr>
            <w:r w:rsidRPr="00395D65">
              <w:rPr>
                <w:rFonts w:ascii="Palatino Linotype" w:eastAsia="Times New Roman" w:hAnsi="Palatino Linotype" w:cs="Calibri"/>
                <w:b/>
                <w:bCs/>
                <w:sz w:val="18"/>
                <w:szCs w:val="18"/>
                <w:lang w:val="en-IN" w:eastAsia="en-IN" w:bidi="hi-IN"/>
              </w:rPr>
              <w:t>17,490</w:t>
            </w:r>
          </w:p>
        </w:tc>
        <w:tc>
          <w:tcPr>
            <w:tcW w:w="1134" w:type="dxa"/>
            <w:tcBorders>
              <w:top w:val="nil"/>
              <w:left w:val="nil"/>
              <w:bottom w:val="single" w:sz="8" w:space="0" w:color="auto"/>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1.4</w:t>
            </w:r>
          </w:p>
        </w:tc>
        <w:tc>
          <w:tcPr>
            <w:tcW w:w="992" w:type="dxa"/>
            <w:tcBorders>
              <w:top w:val="nil"/>
              <w:left w:val="nil"/>
              <w:bottom w:val="single" w:sz="8" w:space="0" w:color="auto"/>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2.5</w:t>
            </w:r>
          </w:p>
        </w:tc>
        <w:tc>
          <w:tcPr>
            <w:tcW w:w="1058" w:type="dxa"/>
            <w:tcBorders>
              <w:top w:val="nil"/>
              <w:left w:val="nil"/>
              <w:bottom w:val="single" w:sz="8" w:space="0" w:color="auto"/>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9.6</w:t>
            </w:r>
          </w:p>
        </w:tc>
        <w:tc>
          <w:tcPr>
            <w:tcW w:w="783" w:type="dxa"/>
            <w:tcBorders>
              <w:top w:val="nil"/>
              <w:left w:val="nil"/>
              <w:bottom w:val="single" w:sz="8" w:space="0" w:color="auto"/>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38.9</w:t>
            </w:r>
          </w:p>
        </w:tc>
        <w:tc>
          <w:tcPr>
            <w:tcW w:w="995" w:type="dxa"/>
            <w:tcBorders>
              <w:top w:val="nil"/>
              <w:left w:val="nil"/>
              <w:bottom w:val="single" w:sz="8" w:space="0" w:color="auto"/>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17.3</w:t>
            </w:r>
          </w:p>
        </w:tc>
        <w:tc>
          <w:tcPr>
            <w:tcW w:w="866" w:type="dxa"/>
            <w:gridSpan w:val="2"/>
            <w:tcBorders>
              <w:top w:val="nil"/>
              <w:left w:val="nil"/>
              <w:bottom w:val="single" w:sz="8" w:space="0" w:color="auto"/>
              <w:right w:val="single" w:sz="8" w:space="0" w:color="auto"/>
            </w:tcBorders>
            <w:shd w:val="clear" w:color="auto" w:fill="auto"/>
            <w:noWrap/>
            <w:vAlign w:val="center"/>
            <w:hideMark/>
          </w:tcPr>
          <w:p w:rsidR="003C2485" w:rsidRPr="00395D65" w:rsidRDefault="003C2485" w:rsidP="003C2485">
            <w:pPr>
              <w:ind w:firstLineChars="100" w:firstLine="180"/>
              <w:jc w:val="center"/>
              <w:rPr>
                <w:rFonts w:ascii="Palatino Linotype" w:eastAsia="Times New Roman" w:hAnsi="Palatino Linotype" w:cs="Calibri"/>
                <w:sz w:val="18"/>
                <w:szCs w:val="18"/>
                <w:lang w:val="en-IN" w:eastAsia="en-IN" w:bidi="hi-IN"/>
              </w:rPr>
            </w:pPr>
            <w:r w:rsidRPr="00395D65">
              <w:rPr>
                <w:rFonts w:ascii="Palatino Linotype" w:eastAsia="Times New Roman" w:hAnsi="Palatino Linotype" w:cs="Calibri"/>
                <w:sz w:val="18"/>
                <w:szCs w:val="18"/>
                <w:lang w:val="en-IN" w:eastAsia="en-IN" w:bidi="hi-IN"/>
              </w:rPr>
              <w:t>14.9</w:t>
            </w:r>
          </w:p>
        </w:tc>
      </w:tr>
    </w:tbl>
    <w:p w:rsidR="003C2485" w:rsidRDefault="003C2485" w:rsidP="003C2485">
      <w:pPr>
        <w:spacing w:line="23" w:lineRule="atLeast"/>
        <w:jc w:val="both"/>
        <w:rPr>
          <w:rFonts w:ascii="Palatino Linotype" w:hAnsi="Palatino Linotype"/>
          <w:bCs/>
          <w:sz w:val="18"/>
          <w:szCs w:val="18"/>
        </w:rPr>
      </w:pPr>
    </w:p>
    <w:p w:rsidR="003C2485" w:rsidRPr="00A01675" w:rsidRDefault="003C2485" w:rsidP="003C2485">
      <w:pPr>
        <w:spacing w:line="23" w:lineRule="atLeast"/>
        <w:jc w:val="both"/>
        <w:rPr>
          <w:rFonts w:ascii="Palatino Linotype" w:hAnsi="Palatino Linotype"/>
          <w:bCs/>
          <w:sz w:val="18"/>
          <w:szCs w:val="18"/>
        </w:rPr>
      </w:pPr>
      <w:r>
        <w:rPr>
          <w:rFonts w:ascii="Palatino Linotype" w:hAnsi="Palatino Linotype"/>
          <w:bCs/>
          <w:sz w:val="18"/>
          <w:szCs w:val="18"/>
        </w:rPr>
        <w:t xml:space="preserve">Note: </w:t>
      </w:r>
      <w:r w:rsidRPr="00A01675">
        <w:rPr>
          <w:rFonts w:ascii="Palatino Linotype" w:hAnsi="Palatino Linotype"/>
          <w:bCs/>
          <w:sz w:val="18"/>
          <w:szCs w:val="18"/>
        </w:rPr>
        <w:t xml:space="preserve">P/E Ratios </w:t>
      </w:r>
      <w:r>
        <w:rPr>
          <w:rFonts w:ascii="Palatino Linotype" w:hAnsi="Palatino Linotype"/>
          <w:bCs/>
          <w:sz w:val="18"/>
          <w:szCs w:val="18"/>
        </w:rPr>
        <w:t xml:space="preserve">are </w:t>
      </w:r>
      <w:r w:rsidRPr="00A01675">
        <w:rPr>
          <w:rFonts w:ascii="Palatino Linotype" w:hAnsi="Palatino Linotype"/>
          <w:bCs/>
          <w:sz w:val="18"/>
          <w:szCs w:val="18"/>
        </w:rPr>
        <w:t>as on the last trading day of month. Trailing PE ratio has been used from Refinitiv for all Indices apart from Sensex, Nifty 50, Kospi, Nikkei and Taiwan Taiex. Data for Sensex and Nifty was taken f</w:t>
      </w:r>
      <w:r>
        <w:rPr>
          <w:rFonts w:ascii="Palatino Linotype" w:hAnsi="Palatino Linotype"/>
          <w:bCs/>
          <w:sz w:val="18"/>
          <w:szCs w:val="18"/>
        </w:rPr>
        <w:t>rom respective exchange website</w:t>
      </w:r>
      <w:r w:rsidRPr="00A01675">
        <w:rPr>
          <w:rFonts w:ascii="Palatino Linotype" w:hAnsi="Palatino Linotype"/>
          <w:bCs/>
          <w:sz w:val="18"/>
          <w:szCs w:val="18"/>
          <w:lang w:val="en-US"/>
        </w:rPr>
        <w:t>.</w:t>
      </w:r>
    </w:p>
    <w:p w:rsidR="003C2485" w:rsidRDefault="003C2485" w:rsidP="003C2485">
      <w:pPr>
        <w:spacing w:line="23" w:lineRule="atLeast"/>
        <w:jc w:val="both"/>
        <w:rPr>
          <w:rFonts w:ascii="Palatino Linotype" w:hAnsi="Palatino Linotype"/>
          <w:b/>
          <w:bCs/>
          <w:szCs w:val="22"/>
        </w:rPr>
      </w:pPr>
      <w:r w:rsidRPr="00A01675">
        <w:rPr>
          <w:rFonts w:ascii="Palatino Linotype" w:hAnsi="Palatino Linotype"/>
          <w:bCs/>
          <w:sz w:val="18"/>
          <w:szCs w:val="18"/>
        </w:rPr>
        <w:t xml:space="preserve">Source: Refinitiv, BSE and National Stock Exchange </w:t>
      </w:r>
    </w:p>
    <w:p w:rsidR="003C2485" w:rsidRDefault="003C2485" w:rsidP="003C2485">
      <w:pPr>
        <w:rPr>
          <w:rFonts w:ascii="Palatino Linotype" w:hAnsi="Palatino Linotype"/>
          <w:b/>
          <w:bCs/>
          <w:strike/>
          <w:szCs w:val="22"/>
        </w:rPr>
      </w:pPr>
    </w:p>
    <w:p w:rsidR="003C2485" w:rsidRPr="00A01675" w:rsidRDefault="003C2485" w:rsidP="003C2485">
      <w:pPr>
        <w:spacing w:line="23" w:lineRule="atLeast"/>
        <w:jc w:val="both"/>
        <w:rPr>
          <w:rFonts w:ascii="Palatino Linotype" w:hAnsi="Palatino Linotype"/>
          <w:b/>
          <w:bCs/>
          <w:szCs w:val="22"/>
        </w:rPr>
      </w:pPr>
      <w:r w:rsidRPr="00A01675">
        <w:rPr>
          <w:rFonts w:ascii="Palatino Linotype" w:hAnsi="Palatino Linotype"/>
          <w:b/>
          <w:bCs/>
          <w:szCs w:val="22"/>
        </w:rPr>
        <w:t>Table A2: Fund Mobilisation by Issuance of Equity and Bond in Major Exchanges (USD million)</w:t>
      </w:r>
    </w:p>
    <w:tbl>
      <w:tblPr>
        <w:tblW w:w="10013" w:type="dxa"/>
        <w:tblInd w:w="118" w:type="dxa"/>
        <w:tblLook w:val="04A0" w:firstRow="1" w:lastRow="0" w:firstColumn="1" w:lastColumn="0" w:noHBand="0" w:noVBand="1"/>
      </w:tblPr>
      <w:tblGrid>
        <w:gridCol w:w="3509"/>
        <w:gridCol w:w="1084"/>
        <w:gridCol w:w="1084"/>
        <w:gridCol w:w="1084"/>
        <w:gridCol w:w="1084"/>
        <w:gridCol w:w="1084"/>
        <w:gridCol w:w="1084"/>
      </w:tblGrid>
      <w:tr w:rsidR="003C2485" w:rsidRPr="00296BC7" w:rsidTr="003C2485">
        <w:trPr>
          <w:trHeight w:val="272"/>
        </w:trPr>
        <w:tc>
          <w:tcPr>
            <w:tcW w:w="3509" w:type="dxa"/>
            <w:tcBorders>
              <w:top w:val="single" w:sz="8" w:space="0" w:color="auto"/>
              <w:left w:val="single" w:sz="8" w:space="0" w:color="auto"/>
              <w:bottom w:val="nil"/>
              <w:right w:val="single" w:sz="8" w:space="0" w:color="auto"/>
            </w:tcBorders>
            <w:shd w:val="clear" w:color="000000" w:fill="2F5496"/>
            <w:vAlign w:val="center"/>
            <w:hideMark/>
          </w:tcPr>
          <w:p w:rsidR="003C2485" w:rsidRPr="00296BC7" w:rsidRDefault="003C2485" w:rsidP="003C2485">
            <w:pPr>
              <w:jc w:val="center"/>
              <w:rPr>
                <w:rFonts w:ascii="Palatino Linotype" w:eastAsia="Times New Roman" w:hAnsi="Palatino Linotype" w:cs="Calibri"/>
                <w:b/>
                <w:bCs/>
                <w:color w:val="FFFFFF"/>
                <w:sz w:val="18"/>
                <w:szCs w:val="18"/>
                <w:lang w:val="en-IN" w:eastAsia="en-IN" w:bidi="hi-IN"/>
              </w:rPr>
            </w:pPr>
            <w:r w:rsidRPr="00296BC7">
              <w:rPr>
                <w:rFonts w:ascii="Palatino Linotype" w:eastAsia="Times New Roman" w:hAnsi="Palatino Linotype" w:cs="Calibri"/>
                <w:b/>
                <w:bCs/>
                <w:color w:val="FFFFFF"/>
                <w:sz w:val="18"/>
                <w:szCs w:val="18"/>
                <w:lang w:val="en-IN" w:eastAsia="en-IN" w:bidi="hi-IN"/>
              </w:rPr>
              <w:t>Month</w:t>
            </w:r>
          </w:p>
        </w:tc>
        <w:tc>
          <w:tcPr>
            <w:tcW w:w="3252" w:type="dxa"/>
            <w:gridSpan w:val="3"/>
            <w:tcBorders>
              <w:top w:val="single" w:sz="8" w:space="0" w:color="auto"/>
              <w:left w:val="nil"/>
              <w:bottom w:val="nil"/>
              <w:right w:val="single" w:sz="8" w:space="0" w:color="000000"/>
            </w:tcBorders>
            <w:shd w:val="clear" w:color="000000" w:fill="2F5496"/>
            <w:vAlign w:val="center"/>
            <w:hideMark/>
          </w:tcPr>
          <w:p w:rsidR="003C2485" w:rsidRPr="00296BC7" w:rsidRDefault="003C2485" w:rsidP="003C2485">
            <w:pPr>
              <w:jc w:val="center"/>
              <w:rPr>
                <w:rFonts w:ascii="Palatino Linotype" w:hAnsi="Palatino Linotype" w:cs="Calibri"/>
                <w:b/>
                <w:bCs/>
                <w:color w:val="FFFFFF"/>
                <w:sz w:val="18"/>
                <w:szCs w:val="18"/>
                <w:lang w:val="en-IN" w:eastAsia="en-IN" w:bidi="hi-IN"/>
              </w:rPr>
            </w:pPr>
            <w:r w:rsidRPr="00296BC7">
              <w:rPr>
                <w:rFonts w:ascii="Palatino Linotype" w:hAnsi="Palatino Linotype" w:cs="Calibri"/>
                <w:b/>
                <w:bCs/>
                <w:color w:val="FFFFFF"/>
                <w:sz w:val="18"/>
                <w:szCs w:val="18"/>
              </w:rPr>
              <w:t>Jun-21</w:t>
            </w:r>
          </w:p>
        </w:tc>
        <w:tc>
          <w:tcPr>
            <w:tcW w:w="3252" w:type="dxa"/>
            <w:gridSpan w:val="3"/>
            <w:tcBorders>
              <w:top w:val="single" w:sz="8" w:space="0" w:color="auto"/>
              <w:left w:val="nil"/>
              <w:bottom w:val="nil"/>
              <w:right w:val="single" w:sz="8" w:space="0" w:color="000000"/>
            </w:tcBorders>
            <w:shd w:val="clear" w:color="000000" w:fill="2F5496"/>
            <w:vAlign w:val="center"/>
            <w:hideMark/>
          </w:tcPr>
          <w:p w:rsidR="003C2485" w:rsidRPr="00296BC7" w:rsidRDefault="003C2485" w:rsidP="003C2485">
            <w:pPr>
              <w:jc w:val="center"/>
              <w:rPr>
                <w:rFonts w:ascii="Palatino Linotype" w:hAnsi="Palatino Linotype" w:cs="Calibri"/>
                <w:b/>
                <w:bCs/>
                <w:color w:val="FFFFFF"/>
                <w:sz w:val="18"/>
                <w:szCs w:val="18"/>
              </w:rPr>
            </w:pPr>
            <w:r w:rsidRPr="00296BC7">
              <w:rPr>
                <w:rFonts w:ascii="Palatino Linotype" w:hAnsi="Palatino Linotype" w:cs="Calibri"/>
                <w:b/>
                <w:bCs/>
                <w:color w:val="FFFFFF"/>
                <w:sz w:val="18"/>
                <w:szCs w:val="18"/>
              </w:rPr>
              <w:t>Jul-21</w:t>
            </w:r>
          </w:p>
        </w:tc>
      </w:tr>
      <w:tr w:rsidR="003C2485" w:rsidRPr="00296BC7" w:rsidTr="003C2485">
        <w:trPr>
          <w:trHeight w:val="259"/>
        </w:trPr>
        <w:tc>
          <w:tcPr>
            <w:tcW w:w="3509" w:type="dxa"/>
            <w:tcBorders>
              <w:top w:val="single" w:sz="4" w:space="0" w:color="auto"/>
              <w:left w:val="single" w:sz="4" w:space="0" w:color="auto"/>
              <w:bottom w:val="single" w:sz="4" w:space="0" w:color="auto"/>
              <w:right w:val="single" w:sz="4" w:space="0" w:color="auto"/>
            </w:tcBorders>
            <w:shd w:val="clear" w:color="000000" w:fill="2F5496"/>
            <w:vAlign w:val="center"/>
            <w:hideMark/>
          </w:tcPr>
          <w:p w:rsidR="003C2485" w:rsidRPr="00296BC7" w:rsidRDefault="003C2485" w:rsidP="003C2485">
            <w:pPr>
              <w:jc w:val="center"/>
              <w:rPr>
                <w:rFonts w:ascii="Palatino Linotype" w:eastAsia="Times New Roman" w:hAnsi="Palatino Linotype" w:cs="Calibri"/>
                <w:b/>
                <w:bCs/>
                <w:color w:val="FFFFFF"/>
                <w:sz w:val="18"/>
                <w:szCs w:val="18"/>
                <w:lang w:val="en-IN" w:eastAsia="en-IN" w:bidi="hi-IN"/>
              </w:rPr>
            </w:pPr>
            <w:r w:rsidRPr="00296BC7">
              <w:rPr>
                <w:rFonts w:ascii="Palatino Linotype" w:eastAsia="Times New Roman" w:hAnsi="Palatino Linotype" w:cs="Calibri"/>
                <w:b/>
                <w:bCs/>
                <w:color w:val="FFFFFF"/>
                <w:sz w:val="18"/>
                <w:szCs w:val="18"/>
                <w:lang w:val="en-IN" w:eastAsia="en-IN" w:bidi="hi-IN"/>
              </w:rPr>
              <w:t xml:space="preserve">Exchange </w:t>
            </w:r>
          </w:p>
        </w:tc>
        <w:tc>
          <w:tcPr>
            <w:tcW w:w="1084" w:type="dxa"/>
            <w:tcBorders>
              <w:top w:val="single" w:sz="4" w:space="0" w:color="auto"/>
              <w:left w:val="nil"/>
              <w:bottom w:val="single" w:sz="4" w:space="0" w:color="auto"/>
              <w:right w:val="single" w:sz="4" w:space="0" w:color="auto"/>
            </w:tcBorders>
            <w:shd w:val="clear" w:color="000000" w:fill="2F5496"/>
            <w:vAlign w:val="center"/>
            <w:hideMark/>
          </w:tcPr>
          <w:p w:rsidR="003C2485" w:rsidRPr="00296BC7" w:rsidRDefault="003C2485" w:rsidP="003C2485">
            <w:pPr>
              <w:jc w:val="center"/>
              <w:rPr>
                <w:rFonts w:ascii="Palatino Linotype" w:eastAsia="Times New Roman" w:hAnsi="Palatino Linotype" w:cs="Calibri"/>
                <w:b/>
                <w:bCs/>
                <w:color w:val="FFFFFF"/>
                <w:sz w:val="18"/>
                <w:szCs w:val="18"/>
                <w:lang w:val="en-IN" w:eastAsia="en-IN" w:bidi="hi-IN"/>
              </w:rPr>
            </w:pPr>
            <w:r w:rsidRPr="00296BC7">
              <w:rPr>
                <w:rFonts w:ascii="Palatino Linotype" w:eastAsia="Times New Roman" w:hAnsi="Palatino Linotype" w:cs="Calibri"/>
                <w:b/>
                <w:bCs/>
                <w:color w:val="FFFFFF"/>
                <w:sz w:val="18"/>
                <w:szCs w:val="18"/>
                <w:lang w:val="en-IN" w:eastAsia="en-IN" w:bidi="hi-IN"/>
              </w:rPr>
              <w:t>Bond</w:t>
            </w:r>
          </w:p>
        </w:tc>
        <w:tc>
          <w:tcPr>
            <w:tcW w:w="1084" w:type="dxa"/>
            <w:tcBorders>
              <w:top w:val="single" w:sz="4" w:space="0" w:color="auto"/>
              <w:left w:val="nil"/>
              <w:bottom w:val="single" w:sz="4" w:space="0" w:color="auto"/>
              <w:right w:val="single" w:sz="4" w:space="0" w:color="auto"/>
            </w:tcBorders>
            <w:shd w:val="clear" w:color="000000" w:fill="2F5496"/>
            <w:vAlign w:val="center"/>
            <w:hideMark/>
          </w:tcPr>
          <w:p w:rsidR="003C2485" w:rsidRPr="00296BC7" w:rsidRDefault="003C2485" w:rsidP="003C2485">
            <w:pPr>
              <w:jc w:val="center"/>
              <w:rPr>
                <w:rFonts w:ascii="Palatino Linotype" w:eastAsia="Times New Roman" w:hAnsi="Palatino Linotype" w:cs="Calibri"/>
                <w:b/>
                <w:bCs/>
                <w:color w:val="FFFFFF"/>
                <w:sz w:val="18"/>
                <w:szCs w:val="18"/>
                <w:lang w:val="en-IN" w:eastAsia="en-IN" w:bidi="hi-IN"/>
              </w:rPr>
            </w:pPr>
            <w:r w:rsidRPr="00296BC7">
              <w:rPr>
                <w:rFonts w:ascii="Palatino Linotype" w:eastAsia="Times New Roman" w:hAnsi="Palatino Linotype" w:cs="Calibri"/>
                <w:b/>
                <w:bCs/>
                <w:color w:val="FFFFFF"/>
                <w:sz w:val="18"/>
                <w:szCs w:val="18"/>
                <w:lang w:val="en-IN" w:eastAsia="en-IN" w:bidi="hi-IN"/>
              </w:rPr>
              <w:t>Equity</w:t>
            </w:r>
          </w:p>
        </w:tc>
        <w:tc>
          <w:tcPr>
            <w:tcW w:w="1084" w:type="dxa"/>
            <w:tcBorders>
              <w:top w:val="single" w:sz="4" w:space="0" w:color="auto"/>
              <w:left w:val="nil"/>
              <w:bottom w:val="single" w:sz="4" w:space="0" w:color="auto"/>
              <w:right w:val="single" w:sz="4" w:space="0" w:color="auto"/>
            </w:tcBorders>
            <w:shd w:val="clear" w:color="000000" w:fill="2F5496"/>
            <w:vAlign w:val="center"/>
            <w:hideMark/>
          </w:tcPr>
          <w:p w:rsidR="003C2485" w:rsidRPr="00296BC7" w:rsidRDefault="003C2485" w:rsidP="003C2485">
            <w:pPr>
              <w:jc w:val="center"/>
              <w:rPr>
                <w:rFonts w:ascii="Palatino Linotype" w:eastAsia="Times New Roman" w:hAnsi="Palatino Linotype" w:cs="Calibri"/>
                <w:b/>
                <w:bCs/>
                <w:color w:val="FFFFFF"/>
                <w:sz w:val="18"/>
                <w:szCs w:val="18"/>
                <w:lang w:val="en-IN" w:eastAsia="en-IN" w:bidi="hi-IN"/>
              </w:rPr>
            </w:pPr>
            <w:r w:rsidRPr="00296BC7">
              <w:rPr>
                <w:rFonts w:ascii="Palatino Linotype" w:eastAsia="Times New Roman" w:hAnsi="Palatino Linotype" w:cs="Calibri"/>
                <w:b/>
                <w:bCs/>
                <w:color w:val="FFFFFF"/>
                <w:sz w:val="18"/>
                <w:szCs w:val="18"/>
                <w:lang w:val="en-IN" w:eastAsia="en-IN" w:bidi="hi-IN"/>
              </w:rPr>
              <w:t>Total</w:t>
            </w:r>
          </w:p>
        </w:tc>
        <w:tc>
          <w:tcPr>
            <w:tcW w:w="1084" w:type="dxa"/>
            <w:tcBorders>
              <w:top w:val="single" w:sz="4" w:space="0" w:color="auto"/>
              <w:left w:val="nil"/>
              <w:bottom w:val="single" w:sz="4" w:space="0" w:color="auto"/>
              <w:right w:val="single" w:sz="4" w:space="0" w:color="auto"/>
            </w:tcBorders>
            <w:shd w:val="clear" w:color="000000" w:fill="2F5496"/>
            <w:vAlign w:val="center"/>
            <w:hideMark/>
          </w:tcPr>
          <w:p w:rsidR="003C2485" w:rsidRPr="00296BC7" w:rsidRDefault="003C2485" w:rsidP="003C2485">
            <w:pPr>
              <w:jc w:val="center"/>
              <w:rPr>
                <w:rFonts w:ascii="Palatino Linotype" w:eastAsia="Times New Roman" w:hAnsi="Palatino Linotype" w:cs="Calibri"/>
                <w:b/>
                <w:bCs/>
                <w:color w:val="FFFFFF"/>
                <w:sz w:val="18"/>
                <w:szCs w:val="18"/>
                <w:lang w:val="en-IN" w:eastAsia="en-IN" w:bidi="hi-IN"/>
              </w:rPr>
            </w:pPr>
            <w:r w:rsidRPr="00296BC7">
              <w:rPr>
                <w:rFonts w:ascii="Palatino Linotype" w:eastAsia="Times New Roman" w:hAnsi="Palatino Linotype" w:cs="Calibri"/>
                <w:b/>
                <w:bCs/>
                <w:color w:val="FFFFFF"/>
                <w:sz w:val="18"/>
                <w:szCs w:val="18"/>
                <w:lang w:val="en-IN" w:eastAsia="en-IN" w:bidi="hi-IN"/>
              </w:rPr>
              <w:t>Bond</w:t>
            </w:r>
          </w:p>
        </w:tc>
        <w:tc>
          <w:tcPr>
            <w:tcW w:w="1084" w:type="dxa"/>
            <w:tcBorders>
              <w:top w:val="single" w:sz="4" w:space="0" w:color="auto"/>
              <w:left w:val="nil"/>
              <w:bottom w:val="single" w:sz="4" w:space="0" w:color="auto"/>
              <w:right w:val="single" w:sz="4" w:space="0" w:color="auto"/>
            </w:tcBorders>
            <w:shd w:val="clear" w:color="000000" w:fill="2F5496"/>
            <w:vAlign w:val="center"/>
            <w:hideMark/>
          </w:tcPr>
          <w:p w:rsidR="003C2485" w:rsidRPr="00296BC7" w:rsidRDefault="003C2485" w:rsidP="003C2485">
            <w:pPr>
              <w:jc w:val="center"/>
              <w:rPr>
                <w:rFonts w:ascii="Palatino Linotype" w:eastAsia="Times New Roman" w:hAnsi="Palatino Linotype" w:cs="Calibri"/>
                <w:b/>
                <w:bCs/>
                <w:color w:val="FFFFFF"/>
                <w:sz w:val="18"/>
                <w:szCs w:val="18"/>
                <w:lang w:val="en-IN" w:eastAsia="en-IN" w:bidi="hi-IN"/>
              </w:rPr>
            </w:pPr>
            <w:r w:rsidRPr="00296BC7">
              <w:rPr>
                <w:rFonts w:ascii="Palatino Linotype" w:eastAsia="Times New Roman" w:hAnsi="Palatino Linotype" w:cs="Calibri"/>
                <w:b/>
                <w:bCs/>
                <w:color w:val="FFFFFF"/>
                <w:sz w:val="18"/>
                <w:szCs w:val="18"/>
                <w:lang w:val="en-IN" w:eastAsia="en-IN" w:bidi="hi-IN"/>
              </w:rPr>
              <w:t>Equity</w:t>
            </w:r>
          </w:p>
        </w:tc>
        <w:tc>
          <w:tcPr>
            <w:tcW w:w="1084" w:type="dxa"/>
            <w:tcBorders>
              <w:top w:val="single" w:sz="4" w:space="0" w:color="auto"/>
              <w:left w:val="nil"/>
              <w:bottom w:val="single" w:sz="4" w:space="0" w:color="auto"/>
              <w:right w:val="single" w:sz="4" w:space="0" w:color="auto"/>
            </w:tcBorders>
            <w:shd w:val="clear" w:color="000000" w:fill="2F5496"/>
            <w:vAlign w:val="center"/>
            <w:hideMark/>
          </w:tcPr>
          <w:p w:rsidR="003C2485" w:rsidRPr="00296BC7" w:rsidRDefault="003C2485" w:rsidP="003C2485">
            <w:pPr>
              <w:jc w:val="center"/>
              <w:rPr>
                <w:rFonts w:ascii="Palatino Linotype" w:eastAsia="Times New Roman" w:hAnsi="Palatino Linotype" w:cs="Calibri"/>
                <w:b/>
                <w:bCs/>
                <w:color w:val="FFFFFF"/>
                <w:sz w:val="18"/>
                <w:szCs w:val="18"/>
                <w:lang w:val="en-IN" w:eastAsia="en-IN" w:bidi="hi-IN"/>
              </w:rPr>
            </w:pPr>
            <w:r w:rsidRPr="00296BC7">
              <w:rPr>
                <w:rFonts w:ascii="Palatino Linotype" w:eastAsia="Times New Roman" w:hAnsi="Palatino Linotype" w:cs="Calibri"/>
                <w:b/>
                <w:bCs/>
                <w:color w:val="FFFFFF"/>
                <w:sz w:val="18"/>
                <w:szCs w:val="18"/>
                <w:lang w:val="en-IN" w:eastAsia="en-IN" w:bidi="hi-IN"/>
              </w:rPr>
              <w:t>Total</w:t>
            </w:r>
          </w:p>
        </w:tc>
      </w:tr>
      <w:tr w:rsidR="003C2485" w:rsidRPr="00296BC7" w:rsidTr="003C2485">
        <w:trPr>
          <w:trHeight w:val="259"/>
        </w:trPr>
        <w:tc>
          <w:tcPr>
            <w:tcW w:w="3509" w:type="dxa"/>
            <w:tcBorders>
              <w:top w:val="nil"/>
              <w:left w:val="single" w:sz="4" w:space="0" w:color="auto"/>
              <w:bottom w:val="single" w:sz="4" w:space="0" w:color="auto"/>
              <w:right w:val="single" w:sz="4" w:space="0" w:color="auto"/>
            </w:tcBorders>
            <w:shd w:val="clear" w:color="auto" w:fill="auto"/>
            <w:vAlign w:val="center"/>
            <w:hideMark/>
          </w:tcPr>
          <w:p w:rsidR="003C2485" w:rsidRPr="00296BC7" w:rsidRDefault="003C2485" w:rsidP="003C2485">
            <w:pPr>
              <w:rPr>
                <w:rFonts w:ascii="Palatino Linotype" w:eastAsia="Times New Roman" w:hAnsi="Palatino Linotype" w:cs="Calibri"/>
                <w:color w:val="000000"/>
                <w:sz w:val="18"/>
                <w:szCs w:val="18"/>
                <w:lang w:val="en-IN" w:eastAsia="en-IN" w:bidi="hi-IN"/>
              </w:rPr>
            </w:pPr>
            <w:r w:rsidRPr="00296BC7">
              <w:rPr>
                <w:rFonts w:ascii="Palatino Linotype" w:eastAsia="Times New Roman" w:hAnsi="Palatino Linotype" w:cs="Calibri"/>
                <w:color w:val="000000"/>
                <w:sz w:val="18"/>
                <w:szCs w:val="18"/>
                <w:lang w:val="en-IN" w:eastAsia="en-IN" w:bidi="hi-IN"/>
              </w:rPr>
              <w:t>ASX Australian Securities Exchange</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lang w:val="en-IN" w:eastAsia="en-IN" w:bidi="hi-IN"/>
              </w:rPr>
            </w:pPr>
            <w:r w:rsidRPr="00E9304E">
              <w:rPr>
                <w:rFonts w:ascii="Palatino Linotype" w:hAnsi="Palatino Linotype"/>
                <w:sz w:val="18"/>
                <w:szCs w:val="18"/>
              </w:rPr>
              <w:t xml:space="preserve"> NA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2,546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2,546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NA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4,769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4,769 </w:t>
            </w:r>
          </w:p>
        </w:tc>
      </w:tr>
      <w:tr w:rsidR="003C2485" w:rsidRPr="00296BC7" w:rsidTr="003C2485">
        <w:trPr>
          <w:trHeight w:val="259"/>
        </w:trPr>
        <w:tc>
          <w:tcPr>
            <w:tcW w:w="3509" w:type="dxa"/>
            <w:tcBorders>
              <w:top w:val="nil"/>
              <w:left w:val="single" w:sz="4" w:space="0" w:color="auto"/>
              <w:bottom w:val="single" w:sz="4" w:space="0" w:color="auto"/>
              <w:right w:val="single" w:sz="4" w:space="0" w:color="auto"/>
            </w:tcBorders>
            <w:shd w:val="clear" w:color="auto" w:fill="auto"/>
            <w:vAlign w:val="center"/>
            <w:hideMark/>
          </w:tcPr>
          <w:p w:rsidR="003C2485" w:rsidRPr="00296BC7" w:rsidRDefault="003C2485" w:rsidP="003C2485">
            <w:pPr>
              <w:rPr>
                <w:rFonts w:ascii="Palatino Linotype" w:eastAsia="Times New Roman" w:hAnsi="Palatino Linotype" w:cs="Calibri"/>
                <w:color w:val="000000"/>
                <w:sz w:val="18"/>
                <w:szCs w:val="18"/>
                <w:lang w:val="en-IN" w:eastAsia="en-IN" w:bidi="hi-IN"/>
              </w:rPr>
            </w:pPr>
            <w:r w:rsidRPr="00296BC7">
              <w:rPr>
                <w:rFonts w:ascii="Palatino Linotype" w:eastAsia="Times New Roman" w:hAnsi="Palatino Linotype" w:cs="Calibri"/>
                <w:color w:val="000000"/>
                <w:sz w:val="18"/>
                <w:szCs w:val="18"/>
                <w:lang w:val="en-IN" w:eastAsia="en-IN" w:bidi="hi-IN"/>
              </w:rPr>
              <w:t>Hong Kong Exchanges and Clearing</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20,666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8,631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29,297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18,527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6,574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25,102 </w:t>
            </w:r>
          </w:p>
        </w:tc>
      </w:tr>
      <w:tr w:rsidR="003C2485" w:rsidRPr="00296BC7" w:rsidTr="003C2485">
        <w:trPr>
          <w:trHeight w:val="259"/>
        </w:trPr>
        <w:tc>
          <w:tcPr>
            <w:tcW w:w="3509" w:type="dxa"/>
            <w:tcBorders>
              <w:top w:val="nil"/>
              <w:left w:val="single" w:sz="4" w:space="0" w:color="auto"/>
              <w:bottom w:val="single" w:sz="4" w:space="0" w:color="auto"/>
              <w:right w:val="single" w:sz="4" w:space="0" w:color="auto"/>
            </w:tcBorders>
            <w:shd w:val="clear" w:color="auto" w:fill="auto"/>
            <w:vAlign w:val="center"/>
            <w:hideMark/>
          </w:tcPr>
          <w:p w:rsidR="003C2485" w:rsidRPr="00296BC7" w:rsidRDefault="003C2485" w:rsidP="003C2485">
            <w:pPr>
              <w:rPr>
                <w:rFonts w:ascii="Palatino Linotype" w:eastAsia="Times New Roman" w:hAnsi="Palatino Linotype" w:cs="Calibri"/>
                <w:color w:val="000000"/>
                <w:sz w:val="18"/>
                <w:szCs w:val="18"/>
                <w:lang w:val="en-IN" w:eastAsia="en-IN" w:bidi="hi-IN"/>
              </w:rPr>
            </w:pPr>
            <w:r w:rsidRPr="00296BC7">
              <w:rPr>
                <w:rFonts w:ascii="Palatino Linotype" w:eastAsia="Times New Roman" w:hAnsi="Palatino Linotype" w:cs="Calibri"/>
                <w:color w:val="000000"/>
                <w:sz w:val="18"/>
                <w:szCs w:val="18"/>
                <w:lang w:val="en-IN" w:eastAsia="en-IN" w:bidi="hi-IN"/>
              </w:rPr>
              <w:t>Japan Exchange Group</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18,302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6,134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24,436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8,987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1,266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10,253 </w:t>
            </w:r>
          </w:p>
        </w:tc>
      </w:tr>
      <w:tr w:rsidR="003C2485" w:rsidRPr="00296BC7" w:rsidTr="003C2485">
        <w:trPr>
          <w:trHeight w:val="259"/>
        </w:trPr>
        <w:tc>
          <w:tcPr>
            <w:tcW w:w="3509" w:type="dxa"/>
            <w:tcBorders>
              <w:top w:val="nil"/>
              <w:left w:val="single" w:sz="4" w:space="0" w:color="auto"/>
              <w:bottom w:val="single" w:sz="4" w:space="0" w:color="auto"/>
              <w:right w:val="single" w:sz="4" w:space="0" w:color="auto"/>
            </w:tcBorders>
            <w:shd w:val="clear" w:color="auto" w:fill="auto"/>
            <w:vAlign w:val="center"/>
            <w:hideMark/>
          </w:tcPr>
          <w:p w:rsidR="003C2485" w:rsidRPr="00296BC7" w:rsidRDefault="003C2485" w:rsidP="003C2485">
            <w:pPr>
              <w:rPr>
                <w:rFonts w:ascii="Palatino Linotype" w:eastAsia="Times New Roman" w:hAnsi="Palatino Linotype" w:cs="Calibri"/>
                <w:color w:val="000000"/>
                <w:sz w:val="18"/>
                <w:szCs w:val="18"/>
                <w:lang w:val="en-IN" w:eastAsia="en-IN" w:bidi="hi-IN"/>
              </w:rPr>
            </w:pPr>
            <w:r w:rsidRPr="00296BC7">
              <w:rPr>
                <w:rFonts w:ascii="Palatino Linotype" w:eastAsia="Times New Roman" w:hAnsi="Palatino Linotype" w:cs="Calibri"/>
                <w:color w:val="000000"/>
                <w:sz w:val="18"/>
                <w:szCs w:val="18"/>
                <w:lang w:val="en-IN" w:eastAsia="en-IN" w:bidi="hi-IN"/>
              </w:rPr>
              <w:t>Korea Exchange</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59,699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137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59,835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55,495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764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56,258 </w:t>
            </w:r>
          </w:p>
        </w:tc>
      </w:tr>
      <w:tr w:rsidR="003C2485" w:rsidRPr="00296BC7" w:rsidTr="003C2485">
        <w:trPr>
          <w:trHeight w:val="259"/>
        </w:trPr>
        <w:tc>
          <w:tcPr>
            <w:tcW w:w="35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C2485" w:rsidRPr="00296BC7" w:rsidRDefault="003C2485" w:rsidP="003C2485">
            <w:pPr>
              <w:rPr>
                <w:rFonts w:ascii="Palatino Linotype" w:eastAsia="Times New Roman" w:hAnsi="Palatino Linotype" w:cs="Calibri"/>
                <w:sz w:val="18"/>
                <w:szCs w:val="18"/>
                <w:lang w:val="en-IN" w:eastAsia="en-IN" w:bidi="hi-IN"/>
              </w:rPr>
            </w:pPr>
            <w:r w:rsidRPr="00296BC7">
              <w:rPr>
                <w:rFonts w:ascii="Palatino Linotype" w:eastAsia="Times New Roman" w:hAnsi="Palatino Linotype" w:cs="Calibri"/>
                <w:sz w:val="18"/>
                <w:szCs w:val="18"/>
                <w:lang w:val="en-IN" w:eastAsia="en-IN" w:bidi="hi-IN"/>
              </w:rPr>
              <w:t>National Stock Exchange of India</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56,958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3,581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60,538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38,587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2,977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41,564 </w:t>
            </w:r>
          </w:p>
        </w:tc>
      </w:tr>
      <w:tr w:rsidR="003C2485" w:rsidRPr="00296BC7" w:rsidTr="003C2485">
        <w:trPr>
          <w:trHeight w:val="259"/>
        </w:trPr>
        <w:tc>
          <w:tcPr>
            <w:tcW w:w="35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C2485" w:rsidRPr="00296BC7" w:rsidRDefault="003C2485" w:rsidP="003C2485">
            <w:pPr>
              <w:rPr>
                <w:rFonts w:ascii="Palatino Linotype" w:eastAsia="Times New Roman" w:hAnsi="Palatino Linotype" w:cs="Calibri"/>
                <w:sz w:val="18"/>
                <w:szCs w:val="18"/>
                <w:lang w:val="en-IN" w:eastAsia="en-IN" w:bidi="hi-IN"/>
              </w:rPr>
            </w:pPr>
            <w:r w:rsidRPr="00296BC7">
              <w:rPr>
                <w:rFonts w:ascii="Palatino Linotype" w:eastAsia="Times New Roman" w:hAnsi="Palatino Linotype" w:cs="Calibri"/>
                <w:sz w:val="18"/>
                <w:szCs w:val="18"/>
                <w:lang w:val="en-IN" w:eastAsia="en-IN" w:bidi="hi-IN"/>
              </w:rPr>
              <w:t>Shanghai Stock Exchange</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66,160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12,508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78,668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74,908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9,255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84,163 </w:t>
            </w:r>
          </w:p>
        </w:tc>
      </w:tr>
      <w:tr w:rsidR="003C2485" w:rsidRPr="00296BC7" w:rsidTr="003C2485">
        <w:trPr>
          <w:trHeight w:val="259"/>
        </w:trPr>
        <w:tc>
          <w:tcPr>
            <w:tcW w:w="3509" w:type="dxa"/>
            <w:tcBorders>
              <w:top w:val="nil"/>
              <w:left w:val="single" w:sz="4" w:space="0" w:color="auto"/>
              <w:bottom w:val="single" w:sz="4" w:space="0" w:color="auto"/>
              <w:right w:val="single" w:sz="4" w:space="0" w:color="auto"/>
            </w:tcBorders>
            <w:shd w:val="clear" w:color="auto" w:fill="auto"/>
            <w:vAlign w:val="center"/>
            <w:hideMark/>
          </w:tcPr>
          <w:p w:rsidR="003C2485" w:rsidRPr="00296BC7" w:rsidRDefault="003C2485" w:rsidP="003C2485">
            <w:pPr>
              <w:rPr>
                <w:rFonts w:ascii="Palatino Linotype" w:eastAsia="Times New Roman" w:hAnsi="Palatino Linotype" w:cs="Calibri"/>
                <w:color w:val="000000"/>
                <w:sz w:val="18"/>
                <w:szCs w:val="18"/>
                <w:lang w:val="en-IN" w:eastAsia="en-IN" w:bidi="hi-IN"/>
              </w:rPr>
            </w:pPr>
            <w:r w:rsidRPr="00296BC7">
              <w:rPr>
                <w:rFonts w:ascii="Palatino Linotype" w:eastAsia="Times New Roman" w:hAnsi="Palatino Linotype" w:cs="Calibri"/>
                <w:color w:val="000000"/>
                <w:sz w:val="18"/>
                <w:szCs w:val="18"/>
                <w:lang w:val="en-IN" w:eastAsia="en-IN" w:bidi="hi-IN"/>
              </w:rPr>
              <w:t>Shenzhen Stock Exchange</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10,889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6,758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17,647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13,374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6,888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20,262 </w:t>
            </w:r>
          </w:p>
        </w:tc>
      </w:tr>
      <w:tr w:rsidR="003C2485" w:rsidRPr="00296BC7" w:rsidTr="003C2485">
        <w:trPr>
          <w:trHeight w:val="259"/>
        </w:trPr>
        <w:tc>
          <w:tcPr>
            <w:tcW w:w="3509" w:type="dxa"/>
            <w:tcBorders>
              <w:top w:val="nil"/>
              <w:left w:val="single" w:sz="4" w:space="0" w:color="auto"/>
              <w:bottom w:val="single" w:sz="4" w:space="0" w:color="auto"/>
              <w:right w:val="single" w:sz="4" w:space="0" w:color="auto"/>
            </w:tcBorders>
            <w:shd w:val="clear" w:color="auto" w:fill="auto"/>
            <w:vAlign w:val="center"/>
            <w:hideMark/>
          </w:tcPr>
          <w:p w:rsidR="003C2485" w:rsidRPr="00296BC7" w:rsidRDefault="003C2485" w:rsidP="003C2485">
            <w:pPr>
              <w:rPr>
                <w:rFonts w:ascii="Palatino Linotype" w:eastAsia="Times New Roman" w:hAnsi="Palatino Linotype" w:cs="Calibri"/>
                <w:color w:val="000000"/>
                <w:sz w:val="18"/>
                <w:szCs w:val="18"/>
                <w:lang w:val="en-IN" w:eastAsia="en-IN" w:bidi="hi-IN"/>
              </w:rPr>
            </w:pPr>
            <w:r w:rsidRPr="00296BC7">
              <w:rPr>
                <w:rFonts w:ascii="Palatino Linotype" w:eastAsia="Times New Roman" w:hAnsi="Palatino Linotype" w:cs="Calibri"/>
                <w:color w:val="000000"/>
                <w:sz w:val="18"/>
                <w:szCs w:val="18"/>
                <w:lang w:val="en-IN" w:eastAsia="en-IN" w:bidi="hi-IN"/>
              </w:rPr>
              <w:t>Singapore Exchange</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27,084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4,891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31,975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33,246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540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33,786 </w:t>
            </w:r>
          </w:p>
        </w:tc>
      </w:tr>
      <w:tr w:rsidR="003C2485" w:rsidRPr="00296BC7" w:rsidTr="003C2485">
        <w:trPr>
          <w:trHeight w:val="259"/>
        </w:trPr>
        <w:tc>
          <w:tcPr>
            <w:tcW w:w="3509" w:type="dxa"/>
            <w:tcBorders>
              <w:top w:val="nil"/>
              <w:left w:val="single" w:sz="4" w:space="0" w:color="auto"/>
              <w:bottom w:val="single" w:sz="4" w:space="0" w:color="auto"/>
              <w:right w:val="single" w:sz="4" w:space="0" w:color="auto"/>
            </w:tcBorders>
            <w:shd w:val="clear" w:color="auto" w:fill="auto"/>
            <w:vAlign w:val="center"/>
            <w:hideMark/>
          </w:tcPr>
          <w:p w:rsidR="003C2485" w:rsidRPr="00296BC7" w:rsidRDefault="003C2485" w:rsidP="003C2485">
            <w:pPr>
              <w:rPr>
                <w:rFonts w:ascii="Palatino Linotype" w:eastAsia="Times New Roman" w:hAnsi="Palatino Linotype" w:cs="Calibri"/>
                <w:color w:val="000000"/>
                <w:sz w:val="18"/>
                <w:szCs w:val="18"/>
                <w:lang w:val="en-IN" w:eastAsia="en-IN" w:bidi="hi-IN"/>
              </w:rPr>
            </w:pPr>
            <w:r w:rsidRPr="00296BC7">
              <w:rPr>
                <w:rFonts w:ascii="Palatino Linotype" w:eastAsia="Times New Roman" w:hAnsi="Palatino Linotype" w:cs="Calibri"/>
                <w:color w:val="000000"/>
                <w:sz w:val="18"/>
                <w:szCs w:val="18"/>
                <w:lang w:val="en-IN" w:eastAsia="en-IN" w:bidi="hi-IN"/>
              </w:rPr>
              <w:t>BME Spanish Exchanges</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46,822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1,670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48,492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51,980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4,088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56,068 </w:t>
            </w:r>
          </w:p>
        </w:tc>
      </w:tr>
      <w:tr w:rsidR="003C2485" w:rsidRPr="00296BC7" w:rsidTr="003C2485">
        <w:trPr>
          <w:trHeight w:val="259"/>
        </w:trPr>
        <w:tc>
          <w:tcPr>
            <w:tcW w:w="3509" w:type="dxa"/>
            <w:tcBorders>
              <w:top w:val="nil"/>
              <w:left w:val="single" w:sz="4" w:space="0" w:color="auto"/>
              <w:bottom w:val="single" w:sz="4" w:space="0" w:color="auto"/>
              <w:right w:val="single" w:sz="4" w:space="0" w:color="auto"/>
            </w:tcBorders>
            <w:shd w:val="clear" w:color="auto" w:fill="auto"/>
            <w:vAlign w:val="center"/>
            <w:hideMark/>
          </w:tcPr>
          <w:p w:rsidR="003C2485" w:rsidRPr="00296BC7" w:rsidRDefault="003C2485" w:rsidP="003C2485">
            <w:pPr>
              <w:rPr>
                <w:rFonts w:ascii="Palatino Linotype" w:eastAsia="Times New Roman" w:hAnsi="Palatino Linotype" w:cs="Calibri"/>
                <w:color w:val="000000"/>
                <w:sz w:val="18"/>
                <w:szCs w:val="18"/>
                <w:lang w:val="en-IN" w:eastAsia="en-IN" w:bidi="hi-IN"/>
              </w:rPr>
            </w:pPr>
            <w:r w:rsidRPr="00296BC7">
              <w:rPr>
                <w:rFonts w:ascii="Palatino Linotype" w:eastAsia="Times New Roman" w:hAnsi="Palatino Linotype" w:cs="Calibri"/>
                <w:color w:val="000000"/>
                <w:sz w:val="18"/>
                <w:szCs w:val="18"/>
                <w:lang w:val="en-IN" w:eastAsia="en-IN" w:bidi="hi-IN"/>
              </w:rPr>
              <w:t>Deutsche Boerse AG</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w:t>
            </w:r>
            <w:r>
              <w:rPr>
                <w:rFonts w:ascii="Palatino Linotype" w:hAnsi="Palatino Linotype"/>
                <w:sz w:val="18"/>
                <w:szCs w:val="18"/>
              </w:rPr>
              <w:t>0</w:t>
            </w:r>
            <w:r w:rsidRPr="00E9304E">
              <w:rPr>
                <w:rFonts w:ascii="Palatino Linotype" w:hAnsi="Palatino Linotype"/>
                <w:sz w:val="18"/>
                <w:szCs w:val="18"/>
              </w:rPr>
              <w:t xml:space="preserve">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1,630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1,630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Pr>
                <w:rFonts w:ascii="Palatino Linotype" w:hAnsi="Palatino Linotype"/>
                <w:sz w:val="18"/>
                <w:szCs w:val="18"/>
              </w:rPr>
              <w:t>0</w:t>
            </w:r>
            <w:r w:rsidRPr="00E9304E">
              <w:rPr>
                <w:rFonts w:ascii="Palatino Linotype" w:hAnsi="Palatino Linotype"/>
                <w:sz w:val="18"/>
                <w:szCs w:val="18"/>
              </w:rPr>
              <w:t xml:space="preserve">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643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643 </w:t>
            </w:r>
          </w:p>
        </w:tc>
      </w:tr>
      <w:tr w:rsidR="003C2485" w:rsidRPr="00296BC7" w:rsidTr="003C2485">
        <w:trPr>
          <w:trHeight w:val="259"/>
        </w:trPr>
        <w:tc>
          <w:tcPr>
            <w:tcW w:w="3509" w:type="dxa"/>
            <w:tcBorders>
              <w:top w:val="nil"/>
              <w:left w:val="single" w:sz="4" w:space="0" w:color="auto"/>
              <w:bottom w:val="single" w:sz="4" w:space="0" w:color="auto"/>
              <w:right w:val="single" w:sz="4" w:space="0" w:color="auto"/>
            </w:tcBorders>
            <w:shd w:val="clear" w:color="auto" w:fill="auto"/>
            <w:vAlign w:val="center"/>
            <w:hideMark/>
          </w:tcPr>
          <w:p w:rsidR="003C2485" w:rsidRPr="00296BC7" w:rsidRDefault="003C2485" w:rsidP="003C2485">
            <w:pPr>
              <w:rPr>
                <w:rFonts w:ascii="Palatino Linotype" w:eastAsia="Times New Roman" w:hAnsi="Palatino Linotype" w:cs="Calibri"/>
                <w:color w:val="000000"/>
                <w:sz w:val="18"/>
                <w:szCs w:val="18"/>
                <w:lang w:val="en-IN" w:eastAsia="en-IN" w:bidi="hi-IN"/>
              </w:rPr>
            </w:pPr>
            <w:r w:rsidRPr="00296BC7">
              <w:rPr>
                <w:rFonts w:ascii="Palatino Linotype" w:eastAsia="Times New Roman" w:hAnsi="Palatino Linotype" w:cs="Calibri"/>
                <w:color w:val="000000"/>
                <w:sz w:val="18"/>
                <w:szCs w:val="18"/>
                <w:lang w:val="en-IN" w:eastAsia="en-IN" w:bidi="hi-IN"/>
              </w:rPr>
              <w:t>Euronext</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w:t>
            </w:r>
            <w:r>
              <w:rPr>
                <w:rFonts w:ascii="Palatino Linotype" w:hAnsi="Palatino Linotype"/>
                <w:sz w:val="18"/>
                <w:szCs w:val="18"/>
              </w:rPr>
              <w:t>0</w:t>
            </w:r>
            <w:r w:rsidRPr="00E9304E">
              <w:rPr>
                <w:rFonts w:ascii="Palatino Linotype" w:hAnsi="Palatino Linotype"/>
                <w:sz w:val="18"/>
                <w:szCs w:val="18"/>
              </w:rPr>
              <w:t xml:space="preserve">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3,528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3,528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w:t>
            </w:r>
            <w:r>
              <w:rPr>
                <w:rFonts w:ascii="Palatino Linotype" w:hAnsi="Palatino Linotype"/>
                <w:sz w:val="18"/>
                <w:szCs w:val="18"/>
              </w:rPr>
              <w:t>0</w:t>
            </w:r>
            <w:r w:rsidRPr="00E9304E">
              <w:rPr>
                <w:rFonts w:ascii="Palatino Linotype" w:hAnsi="Palatino Linotype"/>
                <w:sz w:val="18"/>
                <w:szCs w:val="18"/>
              </w:rPr>
              <w:t xml:space="preserve">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2,215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2,215 </w:t>
            </w:r>
          </w:p>
        </w:tc>
      </w:tr>
      <w:tr w:rsidR="003C2485" w:rsidRPr="00296BC7" w:rsidTr="003C2485">
        <w:trPr>
          <w:trHeight w:val="259"/>
        </w:trPr>
        <w:tc>
          <w:tcPr>
            <w:tcW w:w="3509" w:type="dxa"/>
            <w:tcBorders>
              <w:top w:val="nil"/>
              <w:left w:val="single" w:sz="4" w:space="0" w:color="auto"/>
              <w:bottom w:val="single" w:sz="4" w:space="0" w:color="auto"/>
              <w:right w:val="single" w:sz="4" w:space="0" w:color="auto"/>
            </w:tcBorders>
            <w:shd w:val="clear" w:color="auto" w:fill="auto"/>
            <w:vAlign w:val="center"/>
            <w:hideMark/>
          </w:tcPr>
          <w:p w:rsidR="003C2485" w:rsidRPr="00296BC7" w:rsidRDefault="003C2485" w:rsidP="003C2485">
            <w:pPr>
              <w:rPr>
                <w:rFonts w:ascii="Palatino Linotype" w:eastAsia="Times New Roman" w:hAnsi="Palatino Linotype" w:cs="Calibri"/>
                <w:color w:val="000000"/>
                <w:sz w:val="18"/>
                <w:szCs w:val="18"/>
                <w:lang w:val="en-IN" w:eastAsia="en-IN" w:bidi="hi-IN"/>
              </w:rPr>
            </w:pPr>
            <w:r w:rsidRPr="00296BC7">
              <w:rPr>
                <w:rFonts w:ascii="Palatino Linotype" w:eastAsia="Times New Roman" w:hAnsi="Palatino Linotype" w:cs="Calibri"/>
                <w:color w:val="000000"/>
                <w:sz w:val="18"/>
                <w:szCs w:val="18"/>
                <w:lang w:val="en-IN" w:eastAsia="en-IN" w:bidi="hi-IN"/>
              </w:rPr>
              <w:t>Johannesburg Stock Exchange</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3,602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102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3,704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3,581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185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3,766 </w:t>
            </w:r>
          </w:p>
        </w:tc>
      </w:tr>
      <w:tr w:rsidR="003C2485" w:rsidRPr="00296BC7" w:rsidTr="003C2485">
        <w:trPr>
          <w:trHeight w:val="259"/>
        </w:trPr>
        <w:tc>
          <w:tcPr>
            <w:tcW w:w="35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C2485" w:rsidRPr="00296BC7" w:rsidRDefault="003C2485" w:rsidP="003C2485">
            <w:pPr>
              <w:rPr>
                <w:rFonts w:ascii="Palatino Linotype" w:eastAsia="Times New Roman" w:hAnsi="Palatino Linotype" w:cs="Calibri"/>
                <w:sz w:val="18"/>
                <w:szCs w:val="18"/>
                <w:lang w:val="en-IN" w:eastAsia="en-IN" w:bidi="hi-IN"/>
              </w:rPr>
            </w:pPr>
            <w:r w:rsidRPr="00296BC7">
              <w:rPr>
                <w:rFonts w:ascii="Palatino Linotype" w:eastAsia="Times New Roman" w:hAnsi="Palatino Linotype" w:cs="Calibri"/>
                <w:sz w:val="18"/>
                <w:szCs w:val="18"/>
                <w:lang w:val="en-IN" w:eastAsia="en-IN" w:bidi="hi-IN"/>
              </w:rPr>
              <w:t>LSE Group London Stock Exchange</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81,385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4,533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85,918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53,496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5,754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59,250 </w:t>
            </w:r>
          </w:p>
        </w:tc>
      </w:tr>
      <w:tr w:rsidR="003C2485" w:rsidRPr="00296BC7" w:rsidTr="003C2485">
        <w:trPr>
          <w:trHeight w:val="272"/>
        </w:trPr>
        <w:tc>
          <w:tcPr>
            <w:tcW w:w="3509" w:type="dxa"/>
            <w:tcBorders>
              <w:top w:val="nil"/>
              <w:left w:val="single" w:sz="4" w:space="0" w:color="auto"/>
              <w:bottom w:val="single" w:sz="4" w:space="0" w:color="auto"/>
              <w:right w:val="single" w:sz="4" w:space="0" w:color="auto"/>
            </w:tcBorders>
            <w:shd w:val="clear" w:color="auto" w:fill="auto"/>
            <w:vAlign w:val="center"/>
            <w:hideMark/>
          </w:tcPr>
          <w:p w:rsidR="003C2485" w:rsidRPr="00296BC7" w:rsidRDefault="003C2485" w:rsidP="003C2485">
            <w:pPr>
              <w:rPr>
                <w:rFonts w:ascii="Palatino Linotype" w:eastAsia="Times New Roman" w:hAnsi="Palatino Linotype" w:cs="Calibri"/>
                <w:color w:val="000000"/>
                <w:sz w:val="18"/>
                <w:szCs w:val="18"/>
                <w:lang w:val="en-IN" w:eastAsia="en-IN" w:bidi="hi-IN"/>
              </w:rPr>
            </w:pPr>
            <w:r w:rsidRPr="00296BC7">
              <w:rPr>
                <w:rFonts w:ascii="Palatino Linotype" w:eastAsia="Times New Roman" w:hAnsi="Palatino Linotype" w:cs="Calibri"/>
                <w:color w:val="000000"/>
                <w:sz w:val="18"/>
                <w:szCs w:val="18"/>
                <w:lang w:val="en-IN" w:eastAsia="en-IN" w:bidi="hi-IN"/>
              </w:rPr>
              <w:t>Moscow Exchange</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13,274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NA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13,274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14,418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Pr>
                <w:rFonts w:ascii="Palatino Linotype" w:hAnsi="Palatino Linotype"/>
                <w:sz w:val="18"/>
                <w:szCs w:val="18"/>
              </w:rPr>
              <w:t>0</w:t>
            </w:r>
            <w:r w:rsidRPr="00E9304E">
              <w:rPr>
                <w:rFonts w:ascii="Palatino Linotype" w:hAnsi="Palatino Linotype"/>
                <w:sz w:val="18"/>
                <w:szCs w:val="18"/>
              </w:rPr>
              <w:t xml:space="preserve">-   </w:t>
            </w:r>
          </w:p>
        </w:tc>
        <w:tc>
          <w:tcPr>
            <w:tcW w:w="1084" w:type="dxa"/>
            <w:tcBorders>
              <w:top w:val="nil"/>
              <w:left w:val="nil"/>
              <w:bottom w:val="single" w:sz="4" w:space="0" w:color="auto"/>
              <w:right w:val="single" w:sz="4" w:space="0" w:color="auto"/>
            </w:tcBorders>
            <w:shd w:val="clear" w:color="auto" w:fill="auto"/>
            <w:hideMark/>
          </w:tcPr>
          <w:p w:rsidR="003C2485" w:rsidRPr="00E9304E" w:rsidRDefault="003C2485" w:rsidP="003C2485">
            <w:pPr>
              <w:jc w:val="right"/>
              <w:rPr>
                <w:rFonts w:ascii="Palatino Linotype" w:hAnsi="Palatino Linotype" w:cs="Calibri"/>
                <w:color w:val="000000"/>
                <w:sz w:val="18"/>
                <w:szCs w:val="18"/>
              </w:rPr>
            </w:pPr>
            <w:r w:rsidRPr="00E9304E">
              <w:rPr>
                <w:rFonts w:ascii="Palatino Linotype" w:hAnsi="Palatino Linotype"/>
                <w:sz w:val="18"/>
                <w:szCs w:val="18"/>
              </w:rPr>
              <w:t xml:space="preserve"> 14,418 </w:t>
            </w:r>
          </w:p>
        </w:tc>
      </w:tr>
      <w:tr w:rsidR="003C2485" w:rsidRPr="00296BC7" w:rsidTr="003C2485">
        <w:trPr>
          <w:trHeight w:val="259"/>
        </w:trPr>
        <w:tc>
          <w:tcPr>
            <w:tcW w:w="3509" w:type="dxa"/>
            <w:tcBorders>
              <w:top w:val="nil"/>
              <w:left w:val="single" w:sz="4" w:space="0" w:color="auto"/>
              <w:bottom w:val="single" w:sz="4" w:space="0" w:color="auto"/>
              <w:right w:val="single" w:sz="4" w:space="0" w:color="auto"/>
            </w:tcBorders>
            <w:shd w:val="clear" w:color="000000" w:fill="BDD6EE"/>
            <w:vAlign w:val="center"/>
            <w:hideMark/>
          </w:tcPr>
          <w:p w:rsidR="003C2485" w:rsidRPr="00296BC7" w:rsidRDefault="003C2485" w:rsidP="003C2485">
            <w:pPr>
              <w:rPr>
                <w:rFonts w:ascii="Palatino Linotype" w:eastAsia="Times New Roman" w:hAnsi="Palatino Linotype" w:cs="Calibri"/>
                <w:b/>
                <w:bCs/>
                <w:color w:val="000000"/>
                <w:sz w:val="18"/>
                <w:szCs w:val="18"/>
                <w:lang w:val="en-IN" w:eastAsia="en-IN" w:bidi="hi-IN"/>
              </w:rPr>
            </w:pPr>
            <w:r w:rsidRPr="00296BC7">
              <w:rPr>
                <w:rFonts w:ascii="Palatino Linotype" w:eastAsia="Times New Roman" w:hAnsi="Palatino Linotype" w:cs="Calibri"/>
                <w:b/>
                <w:bCs/>
                <w:color w:val="000000"/>
                <w:sz w:val="18"/>
                <w:szCs w:val="18"/>
                <w:lang w:val="en-IN" w:eastAsia="en-IN" w:bidi="hi-IN"/>
              </w:rPr>
              <w:t>Grand Total</w:t>
            </w:r>
          </w:p>
        </w:tc>
        <w:tc>
          <w:tcPr>
            <w:tcW w:w="1084" w:type="dxa"/>
            <w:tcBorders>
              <w:top w:val="nil"/>
              <w:left w:val="nil"/>
              <w:bottom w:val="single" w:sz="4" w:space="0" w:color="auto"/>
              <w:right w:val="single" w:sz="4" w:space="0" w:color="auto"/>
            </w:tcBorders>
            <w:shd w:val="clear" w:color="000000" w:fill="BDD6EE"/>
            <w:vAlign w:val="center"/>
            <w:hideMark/>
          </w:tcPr>
          <w:p w:rsidR="003C2485" w:rsidRPr="00296BC7" w:rsidRDefault="003C2485" w:rsidP="003C2485">
            <w:pPr>
              <w:jc w:val="right"/>
              <w:rPr>
                <w:rFonts w:ascii="Palatino Linotype" w:hAnsi="Palatino Linotype" w:cs="Calibri"/>
                <w:b/>
                <w:bCs/>
                <w:color w:val="000000"/>
                <w:sz w:val="18"/>
                <w:szCs w:val="18"/>
              </w:rPr>
            </w:pPr>
            <w:r w:rsidRPr="00296BC7">
              <w:rPr>
                <w:rFonts w:ascii="Palatino Linotype" w:hAnsi="Palatino Linotype" w:cs="Calibri"/>
                <w:b/>
                <w:bCs/>
                <w:color w:val="000000"/>
                <w:sz w:val="18"/>
                <w:szCs w:val="18"/>
              </w:rPr>
              <w:t>4,04,840</w:t>
            </w:r>
          </w:p>
        </w:tc>
        <w:tc>
          <w:tcPr>
            <w:tcW w:w="1084" w:type="dxa"/>
            <w:tcBorders>
              <w:top w:val="nil"/>
              <w:left w:val="nil"/>
              <w:bottom w:val="single" w:sz="4" w:space="0" w:color="auto"/>
              <w:right w:val="single" w:sz="4" w:space="0" w:color="auto"/>
            </w:tcBorders>
            <w:shd w:val="clear" w:color="000000" w:fill="BDD6EE"/>
            <w:vAlign w:val="center"/>
            <w:hideMark/>
          </w:tcPr>
          <w:p w:rsidR="003C2485" w:rsidRPr="00296BC7" w:rsidRDefault="003C2485" w:rsidP="003C2485">
            <w:pPr>
              <w:jc w:val="right"/>
              <w:rPr>
                <w:rFonts w:ascii="Palatino Linotype" w:hAnsi="Palatino Linotype" w:cs="Calibri"/>
                <w:b/>
                <w:bCs/>
                <w:color w:val="000000"/>
                <w:sz w:val="18"/>
                <w:szCs w:val="18"/>
              </w:rPr>
            </w:pPr>
            <w:r w:rsidRPr="00296BC7">
              <w:rPr>
                <w:rFonts w:ascii="Palatino Linotype" w:hAnsi="Palatino Linotype" w:cs="Calibri"/>
                <w:b/>
                <w:bCs/>
                <w:color w:val="000000"/>
                <w:sz w:val="18"/>
                <w:szCs w:val="18"/>
              </w:rPr>
              <w:t>56,647</w:t>
            </w:r>
          </w:p>
        </w:tc>
        <w:tc>
          <w:tcPr>
            <w:tcW w:w="1084" w:type="dxa"/>
            <w:tcBorders>
              <w:top w:val="nil"/>
              <w:left w:val="nil"/>
              <w:bottom w:val="single" w:sz="4" w:space="0" w:color="auto"/>
              <w:right w:val="single" w:sz="4" w:space="0" w:color="auto"/>
            </w:tcBorders>
            <w:shd w:val="clear" w:color="000000" w:fill="BDD6EE"/>
            <w:vAlign w:val="center"/>
            <w:hideMark/>
          </w:tcPr>
          <w:p w:rsidR="003C2485" w:rsidRPr="00296BC7" w:rsidRDefault="003C2485" w:rsidP="003C2485">
            <w:pPr>
              <w:jc w:val="right"/>
              <w:rPr>
                <w:rFonts w:ascii="Palatino Linotype" w:hAnsi="Palatino Linotype" w:cs="Calibri"/>
                <w:b/>
                <w:bCs/>
                <w:color w:val="000000"/>
                <w:sz w:val="18"/>
                <w:szCs w:val="18"/>
              </w:rPr>
            </w:pPr>
            <w:r w:rsidRPr="00296BC7">
              <w:rPr>
                <w:rFonts w:ascii="Palatino Linotype" w:hAnsi="Palatino Linotype" w:cs="Calibri"/>
                <w:b/>
                <w:bCs/>
                <w:color w:val="000000"/>
                <w:sz w:val="18"/>
                <w:szCs w:val="18"/>
              </w:rPr>
              <w:t>4,61,487</w:t>
            </w:r>
          </w:p>
        </w:tc>
        <w:tc>
          <w:tcPr>
            <w:tcW w:w="1084" w:type="dxa"/>
            <w:tcBorders>
              <w:top w:val="nil"/>
              <w:left w:val="nil"/>
              <w:bottom w:val="single" w:sz="4" w:space="0" w:color="auto"/>
              <w:right w:val="single" w:sz="4" w:space="0" w:color="auto"/>
            </w:tcBorders>
            <w:shd w:val="clear" w:color="000000" w:fill="BDD6EE"/>
            <w:vAlign w:val="center"/>
            <w:hideMark/>
          </w:tcPr>
          <w:p w:rsidR="003C2485" w:rsidRPr="00296BC7" w:rsidRDefault="003C2485" w:rsidP="003C2485">
            <w:pPr>
              <w:jc w:val="right"/>
              <w:rPr>
                <w:rFonts w:ascii="Palatino Linotype" w:hAnsi="Palatino Linotype" w:cs="Calibri"/>
                <w:b/>
                <w:bCs/>
                <w:color w:val="000000"/>
                <w:sz w:val="18"/>
                <w:szCs w:val="18"/>
              </w:rPr>
            </w:pPr>
            <w:r w:rsidRPr="00296BC7">
              <w:rPr>
                <w:rFonts w:ascii="Palatino Linotype" w:hAnsi="Palatino Linotype" w:cs="Calibri"/>
                <w:b/>
                <w:bCs/>
                <w:color w:val="000000"/>
                <w:sz w:val="18"/>
                <w:szCs w:val="18"/>
              </w:rPr>
              <w:t>3,66,600</w:t>
            </w:r>
          </w:p>
        </w:tc>
        <w:tc>
          <w:tcPr>
            <w:tcW w:w="1084" w:type="dxa"/>
            <w:tcBorders>
              <w:top w:val="nil"/>
              <w:left w:val="nil"/>
              <w:bottom w:val="single" w:sz="4" w:space="0" w:color="auto"/>
              <w:right w:val="single" w:sz="4" w:space="0" w:color="auto"/>
            </w:tcBorders>
            <w:shd w:val="clear" w:color="000000" w:fill="BDD6EE"/>
            <w:vAlign w:val="center"/>
            <w:hideMark/>
          </w:tcPr>
          <w:p w:rsidR="003C2485" w:rsidRPr="00296BC7" w:rsidRDefault="003C2485" w:rsidP="003C2485">
            <w:pPr>
              <w:jc w:val="right"/>
              <w:rPr>
                <w:rFonts w:ascii="Palatino Linotype" w:hAnsi="Palatino Linotype" w:cs="Calibri"/>
                <w:b/>
                <w:bCs/>
                <w:color w:val="000000"/>
                <w:sz w:val="18"/>
                <w:szCs w:val="18"/>
              </w:rPr>
            </w:pPr>
            <w:r w:rsidRPr="00296BC7">
              <w:rPr>
                <w:rFonts w:ascii="Palatino Linotype" w:hAnsi="Palatino Linotype" w:cs="Calibri"/>
                <w:b/>
                <w:bCs/>
                <w:color w:val="000000"/>
                <w:sz w:val="18"/>
                <w:szCs w:val="18"/>
              </w:rPr>
              <w:t>45,917</w:t>
            </w:r>
          </w:p>
        </w:tc>
        <w:tc>
          <w:tcPr>
            <w:tcW w:w="1084" w:type="dxa"/>
            <w:tcBorders>
              <w:top w:val="nil"/>
              <w:left w:val="nil"/>
              <w:bottom w:val="single" w:sz="4" w:space="0" w:color="auto"/>
              <w:right w:val="single" w:sz="4" w:space="0" w:color="auto"/>
            </w:tcBorders>
            <w:shd w:val="clear" w:color="000000" w:fill="BDD6EE"/>
            <w:vAlign w:val="center"/>
            <w:hideMark/>
          </w:tcPr>
          <w:p w:rsidR="003C2485" w:rsidRPr="00296BC7" w:rsidRDefault="003C2485" w:rsidP="003C2485">
            <w:pPr>
              <w:jc w:val="right"/>
              <w:rPr>
                <w:rFonts w:ascii="Palatino Linotype" w:hAnsi="Palatino Linotype" w:cs="Calibri"/>
                <w:b/>
                <w:bCs/>
                <w:color w:val="000000"/>
                <w:sz w:val="18"/>
                <w:szCs w:val="18"/>
              </w:rPr>
            </w:pPr>
            <w:r w:rsidRPr="00296BC7">
              <w:rPr>
                <w:rFonts w:ascii="Palatino Linotype" w:hAnsi="Palatino Linotype" w:cs="Calibri"/>
                <w:b/>
                <w:bCs/>
                <w:color w:val="000000"/>
                <w:sz w:val="18"/>
                <w:szCs w:val="18"/>
              </w:rPr>
              <w:t>4,12,517</w:t>
            </w:r>
          </w:p>
        </w:tc>
      </w:tr>
    </w:tbl>
    <w:p w:rsidR="003C2485" w:rsidRPr="00A01675" w:rsidRDefault="003C2485" w:rsidP="003C2485">
      <w:pPr>
        <w:jc w:val="both"/>
        <w:rPr>
          <w:rFonts w:ascii="Palatino Linotype" w:hAnsi="Palatino Linotype"/>
          <w:bCs/>
          <w:sz w:val="18"/>
          <w:szCs w:val="18"/>
        </w:rPr>
      </w:pPr>
      <w:r w:rsidRPr="00A01675">
        <w:rPr>
          <w:rFonts w:ascii="Palatino Linotype" w:hAnsi="Palatino Linotype"/>
          <w:bCs/>
          <w:sz w:val="18"/>
          <w:szCs w:val="18"/>
        </w:rPr>
        <w:t xml:space="preserve"> Note: For Funds mobilised through issuance of bonds, data may differ due to different reporting rules &amp; calculation methods. Fund mobilisation data for equities are (i) excluding investment funds and (ii) including Alternative and SME Markets except the following exceptions:</w:t>
      </w:r>
    </w:p>
    <w:p w:rsidR="003C2485" w:rsidRPr="00A01675" w:rsidRDefault="003C2485" w:rsidP="003C2485">
      <w:pPr>
        <w:widowControl w:val="0"/>
        <w:numPr>
          <w:ilvl w:val="0"/>
          <w:numId w:val="5"/>
        </w:numPr>
        <w:autoSpaceDE w:val="0"/>
        <w:autoSpaceDN w:val="0"/>
        <w:adjustRightInd w:val="0"/>
        <w:rPr>
          <w:rFonts w:ascii="Palatino Linotype" w:eastAsia="Times New Roman" w:hAnsi="Palatino Linotype"/>
          <w:bCs/>
          <w:sz w:val="18"/>
          <w:szCs w:val="18"/>
        </w:rPr>
      </w:pPr>
      <w:r w:rsidRPr="00A01675">
        <w:rPr>
          <w:rFonts w:ascii="Palatino Linotype" w:eastAsia="Times New Roman" w:hAnsi="Palatino Linotype"/>
          <w:bCs/>
          <w:sz w:val="18"/>
          <w:szCs w:val="18"/>
        </w:rPr>
        <w:t>Australian Securities Exchange: including investment funds</w:t>
      </w:r>
    </w:p>
    <w:p w:rsidR="003C2485" w:rsidRPr="00A01675" w:rsidRDefault="003C2485" w:rsidP="003C2485">
      <w:pPr>
        <w:widowControl w:val="0"/>
        <w:numPr>
          <w:ilvl w:val="0"/>
          <w:numId w:val="5"/>
        </w:numPr>
        <w:autoSpaceDE w:val="0"/>
        <w:autoSpaceDN w:val="0"/>
        <w:adjustRightInd w:val="0"/>
        <w:rPr>
          <w:rFonts w:ascii="Palatino Linotype" w:eastAsia="Times New Roman" w:hAnsi="Palatino Linotype"/>
          <w:bCs/>
          <w:sz w:val="18"/>
          <w:szCs w:val="18"/>
        </w:rPr>
      </w:pPr>
      <w:r w:rsidRPr="00A01675">
        <w:rPr>
          <w:rFonts w:ascii="Palatino Linotype" w:eastAsia="Times New Roman" w:hAnsi="Palatino Linotype"/>
          <w:bCs/>
          <w:sz w:val="18"/>
          <w:szCs w:val="18"/>
        </w:rPr>
        <w:t xml:space="preserve">BME: Including investment companies listed (open-end investment companies). </w:t>
      </w:r>
    </w:p>
    <w:p w:rsidR="003C2485" w:rsidRPr="00A01675" w:rsidRDefault="003C2485" w:rsidP="003C2485">
      <w:pPr>
        <w:widowControl w:val="0"/>
        <w:numPr>
          <w:ilvl w:val="0"/>
          <w:numId w:val="5"/>
        </w:numPr>
        <w:autoSpaceDE w:val="0"/>
        <w:autoSpaceDN w:val="0"/>
        <w:adjustRightInd w:val="0"/>
        <w:rPr>
          <w:rFonts w:ascii="Palatino Linotype" w:eastAsia="Times New Roman" w:hAnsi="Palatino Linotype"/>
          <w:bCs/>
          <w:sz w:val="18"/>
          <w:szCs w:val="18"/>
        </w:rPr>
      </w:pPr>
      <w:r w:rsidRPr="00A01675">
        <w:rPr>
          <w:rFonts w:ascii="Palatino Linotype" w:eastAsia="Times New Roman" w:hAnsi="Palatino Linotype"/>
          <w:bCs/>
          <w:sz w:val="18"/>
          <w:szCs w:val="18"/>
        </w:rPr>
        <w:t>Euronext: includes Belgium, England, France, Netherlands and Portugal</w:t>
      </w:r>
    </w:p>
    <w:p w:rsidR="003C2485" w:rsidRPr="00A01675" w:rsidRDefault="003C2485" w:rsidP="003C2485">
      <w:pPr>
        <w:widowControl w:val="0"/>
        <w:numPr>
          <w:ilvl w:val="0"/>
          <w:numId w:val="5"/>
        </w:numPr>
        <w:autoSpaceDE w:val="0"/>
        <w:autoSpaceDN w:val="0"/>
        <w:adjustRightInd w:val="0"/>
        <w:rPr>
          <w:rFonts w:ascii="Palatino Linotype" w:eastAsia="Times New Roman" w:hAnsi="Palatino Linotype"/>
          <w:bCs/>
          <w:sz w:val="18"/>
          <w:szCs w:val="18"/>
        </w:rPr>
      </w:pPr>
      <w:r w:rsidRPr="00A01675">
        <w:rPr>
          <w:rFonts w:ascii="Palatino Linotype" w:eastAsia="Times New Roman" w:hAnsi="Palatino Linotype"/>
          <w:bCs/>
          <w:sz w:val="18"/>
          <w:szCs w:val="18"/>
        </w:rPr>
        <w:t>Korea Exchange: including Kosdaq market data</w:t>
      </w:r>
    </w:p>
    <w:p w:rsidR="003C2485" w:rsidRPr="00A01675" w:rsidRDefault="003C2485" w:rsidP="003C2485">
      <w:pPr>
        <w:widowControl w:val="0"/>
        <w:numPr>
          <w:ilvl w:val="0"/>
          <w:numId w:val="5"/>
        </w:numPr>
        <w:autoSpaceDE w:val="0"/>
        <w:autoSpaceDN w:val="0"/>
        <w:adjustRightInd w:val="0"/>
        <w:rPr>
          <w:rFonts w:ascii="Palatino Linotype" w:eastAsia="Times New Roman" w:hAnsi="Palatino Linotype"/>
          <w:bCs/>
          <w:sz w:val="18"/>
          <w:szCs w:val="18"/>
        </w:rPr>
      </w:pPr>
      <w:r w:rsidRPr="00A01675">
        <w:rPr>
          <w:rFonts w:ascii="Palatino Linotype" w:eastAsia="Times New Roman" w:hAnsi="Palatino Linotype"/>
          <w:bCs/>
          <w:sz w:val="18"/>
          <w:szCs w:val="18"/>
        </w:rPr>
        <w:t>LSE Group: includes London Stock Exchange and BorsaItaliana</w:t>
      </w:r>
    </w:p>
    <w:p w:rsidR="003C2485" w:rsidRPr="00A01675" w:rsidRDefault="003C2485" w:rsidP="003C2485">
      <w:pPr>
        <w:widowControl w:val="0"/>
        <w:numPr>
          <w:ilvl w:val="0"/>
          <w:numId w:val="5"/>
        </w:numPr>
        <w:autoSpaceDE w:val="0"/>
        <w:autoSpaceDN w:val="0"/>
        <w:adjustRightInd w:val="0"/>
        <w:rPr>
          <w:rFonts w:ascii="Palatino Linotype" w:eastAsia="Times New Roman" w:hAnsi="Palatino Linotype"/>
          <w:bCs/>
          <w:sz w:val="18"/>
          <w:szCs w:val="18"/>
        </w:rPr>
      </w:pPr>
      <w:r w:rsidRPr="00A01675">
        <w:rPr>
          <w:rFonts w:ascii="Palatino Linotype" w:eastAsia="Times New Roman" w:hAnsi="Palatino Linotype"/>
          <w:bCs/>
          <w:sz w:val="18"/>
          <w:szCs w:val="18"/>
        </w:rPr>
        <w:t>Nasdaq Nordic Exchanges include Copenhagen, Helsinki, Iceland, Stockholm, Tallinn, Riga and Vilnius Stock Exchanges</w:t>
      </w:r>
    </w:p>
    <w:p w:rsidR="003C2485" w:rsidRPr="00A01675" w:rsidRDefault="003C2485" w:rsidP="003C2485">
      <w:pPr>
        <w:widowControl w:val="0"/>
        <w:numPr>
          <w:ilvl w:val="0"/>
          <w:numId w:val="5"/>
        </w:numPr>
        <w:autoSpaceDE w:val="0"/>
        <w:autoSpaceDN w:val="0"/>
        <w:adjustRightInd w:val="0"/>
        <w:rPr>
          <w:rFonts w:ascii="Palatino Linotype" w:eastAsia="Times New Roman" w:hAnsi="Palatino Linotype"/>
          <w:bCs/>
          <w:sz w:val="18"/>
          <w:szCs w:val="18"/>
        </w:rPr>
      </w:pPr>
      <w:r w:rsidRPr="00A01675">
        <w:rPr>
          <w:rFonts w:ascii="Palatino Linotype" w:eastAsia="Times New Roman" w:hAnsi="Palatino Linotype"/>
          <w:bCs/>
          <w:sz w:val="18"/>
          <w:szCs w:val="18"/>
        </w:rPr>
        <w:t>NSE India: including “Emerge” market data</w:t>
      </w:r>
    </w:p>
    <w:p w:rsidR="003C2485" w:rsidRPr="00A01675" w:rsidRDefault="003C2485" w:rsidP="003C2485">
      <w:pPr>
        <w:outlineLvl w:val="0"/>
        <w:rPr>
          <w:rFonts w:ascii="Palatino Linotype" w:hAnsi="Palatino Linotype"/>
          <w:bCs/>
          <w:sz w:val="18"/>
          <w:szCs w:val="18"/>
        </w:rPr>
      </w:pPr>
      <w:r>
        <w:rPr>
          <w:rFonts w:ascii="Palatino Linotype" w:hAnsi="Palatino Linotype"/>
          <w:bCs/>
          <w:sz w:val="18"/>
          <w:szCs w:val="18"/>
        </w:rPr>
        <w:t>NA:</w:t>
      </w:r>
      <w:r w:rsidRPr="00A01675">
        <w:rPr>
          <w:rFonts w:ascii="Palatino Linotype" w:hAnsi="Palatino Linotype"/>
          <w:bCs/>
          <w:sz w:val="18"/>
          <w:szCs w:val="18"/>
        </w:rPr>
        <w:t xml:space="preserve"> Not Available</w:t>
      </w:r>
    </w:p>
    <w:p w:rsidR="003C2485" w:rsidRPr="00A01675" w:rsidRDefault="003C2485" w:rsidP="003C2485">
      <w:pPr>
        <w:spacing w:line="23" w:lineRule="atLeast"/>
        <w:rPr>
          <w:rFonts w:ascii="Palatino Linotype" w:hAnsi="Palatino Linotype"/>
          <w:bCs/>
          <w:sz w:val="18"/>
          <w:szCs w:val="18"/>
        </w:rPr>
      </w:pPr>
      <w:r w:rsidRPr="00A01675">
        <w:rPr>
          <w:rFonts w:ascii="Palatino Linotype" w:hAnsi="Palatino Linotype"/>
          <w:bCs/>
          <w:sz w:val="18"/>
          <w:szCs w:val="18"/>
        </w:rPr>
        <w:t>Source: World Federation of Exchanges</w:t>
      </w:r>
    </w:p>
    <w:p w:rsidR="003C2485" w:rsidRPr="00A01675" w:rsidRDefault="003C2485" w:rsidP="003C2485">
      <w:pPr>
        <w:rPr>
          <w:rFonts w:ascii="Palatino Linotype" w:hAnsi="Palatino Linotype"/>
          <w:bCs/>
          <w:sz w:val="22"/>
          <w:szCs w:val="22"/>
        </w:rPr>
      </w:pPr>
    </w:p>
    <w:p w:rsidR="003C2485" w:rsidRDefault="003C2485" w:rsidP="003C2485">
      <w:pPr>
        <w:spacing w:line="23" w:lineRule="atLeast"/>
        <w:jc w:val="both"/>
        <w:outlineLvl w:val="0"/>
        <w:rPr>
          <w:rFonts w:ascii="Palatino Linotype" w:hAnsi="Palatino Linotype"/>
          <w:b/>
          <w:bCs/>
          <w:szCs w:val="22"/>
        </w:rPr>
      </w:pPr>
    </w:p>
    <w:p w:rsidR="003C2485" w:rsidRPr="00A01675" w:rsidRDefault="003C2485" w:rsidP="003C2485">
      <w:pPr>
        <w:spacing w:line="23" w:lineRule="atLeast"/>
        <w:jc w:val="both"/>
        <w:outlineLvl w:val="0"/>
        <w:rPr>
          <w:rFonts w:ascii="Palatino Linotype" w:hAnsi="Palatino Linotype"/>
          <w:b/>
          <w:bCs/>
          <w:szCs w:val="22"/>
        </w:rPr>
      </w:pPr>
      <w:r w:rsidRPr="00A01675">
        <w:rPr>
          <w:rFonts w:ascii="Palatino Linotype" w:hAnsi="Palatino Linotype"/>
          <w:b/>
          <w:bCs/>
          <w:szCs w:val="22"/>
        </w:rPr>
        <w:t>Table A3: Domestic Market Capitalisation of Major Exchanges (USD billion)</w:t>
      </w:r>
    </w:p>
    <w:tbl>
      <w:tblPr>
        <w:tblW w:w="7343" w:type="dxa"/>
        <w:jc w:val="center"/>
        <w:tblLook w:val="04A0" w:firstRow="1" w:lastRow="0" w:firstColumn="1" w:lastColumn="0" w:noHBand="0" w:noVBand="1"/>
      </w:tblPr>
      <w:tblGrid>
        <w:gridCol w:w="3812"/>
        <w:gridCol w:w="1177"/>
        <w:gridCol w:w="1177"/>
        <w:gridCol w:w="1177"/>
      </w:tblGrid>
      <w:tr w:rsidR="003C2485" w:rsidRPr="000975D9" w:rsidTr="003C2485">
        <w:trPr>
          <w:trHeight w:val="254"/>
          <w:jc w:val="center"/>
        </w:trPr>
        <w:tc>
          <w:tcPr>
            <w:tcW w:w="3812"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rsidR="003C2485" w:rsidRPr="000975D9" w:rsidRDefault="003C2485" w:rsidP="003C2485">
            <w:pPr>
              <w:rPr>
                <w:rFonts w:ascii="Palatino Linotype" w:eastAsia="Times New Roman" w:hAnsi="Palatino Linotype" w:cs="Calibri"/>
                <w:b/>
                <w:bCs/>
                <w:color w:val="000000"/>
                <w:sz w:val="18"/>
                <w:szCs w:val="18"/>
                <w:lang w:val="en-IN" w:eastAsia="en-IN" w:bidi="hi-IN"/>
              </w:rPr>
            </w:pPr>
            <w:r w:rsidRPr="000975D9">
              <w:rPr>
                <w:rFonts w:ascii="Palatino Linotype" w:eastAsia="Times New Roman" w:hAnsi="Palatino Linotype" w:cs="Calibri"/>
                <w:b/>
                <w:bCs/>
                <w:color w:val="000000"/>
                <w:sz w:val="18"/>
                <w:szCs w:val="18"/>
                <w:lang w:val="en-IN" w:eastAsia="en-IN" w:bidi="hi-IN"/>
              </w:rPr>
              <w:t>Exchange</w:t>
            </w:r>
          </w:p>
        </w:tc>
        <w:tc>
          <w:tcPr>
            <w:tcW w:w="1177" w:type="dxa"/>
            <w:tcBorders>
              <w:top w:val="single" w:sz="4" w:space="0" w:color="auto"/>
              <w:left w:val="nil"/>
              <w:bottom w:val="single" w:sz="4" w:space="0" w:color="auto"/>
              <w:right w:val="single" w:sz="4" w:space="0" w:color="auto"/>
            </w:tcBorders>
            <w:shd w:val="clear" w:color="000000" w:fill="B4C6E7"/>
            <w:noWrap/>
            <w:vAlign w:val="center"/>
            <w:hideMark/>
          </w:tcPr>
          <w:p w:rsidR="003C2485" w:rsidRPr="000975D9" w:rsidRDefault="003C2485" w:rsidP="003C2485">
            <w:pPr>
              <w:jc w:val="center"/>
              <w:rPr>
                <w:rFonts w:ascii="Palatino Linotype" w:hAnsi="Palatino Linotype" w:cs="Calibri"/>
                <w:b/>
                <w:bCs/>
                <w:color w:val="000000"/>
                <w:sz w:val="18"/>
                <w:szCs w:val="18"/>
                <w:lang w:val="en-IN" w:eastAsia="en-IN" w:bidi="hi-IN"/>
              </w:rPr>
            </w:pPr>
            <w:r w:rsidRPr="000975D9">
              <w:rPr>
                <w:rFonts w:ascii="Palatino Linotype" w:hAnsi="Palatino Linotype" w:cs="Calibri"/>
                <w:b/>
                <w:bCs/>
                <w:color w:val="000000"/>
                <w:sz w:val="18"/>
                <w:szCs w:val="18"/>
              </w:rPr>
              <w:t>Jun-21</w:t>
            </w:r>
          </w:p>
        </w:tc>
        <w:tc>
          <w:tcPr>
            <w:tcW w:w="1177" w:type="dxa"/>
            <w:tcBorders>
              <w:top w:val="single" w:sz="4" w:space="0" w:color="auto"/>
              <w:left w:val="nil"/>
              <w:bottom w:val="single" w:sz="4" w:space="0" w:color="auto"/>
              <w:right w:val="single" w:sz="4" w:space="0" w:color="auto"/>
            </w:tcBorders>
            <w:shd w:val="clear" w:color="000000" w:fill="B4C6E7"/>
            <w:noWrap/>
            <w:vAlign w:val="center"/>
            <w:hideMark/>
          </w:tcPr>
          <w:p w:rsidR="003C2485" w:rsidRPr="000975D9" w:rsidRDefault="003C2485" w:rsidP="003C2485">
            <w:pPr>
              <w:jc w:val="center"/>
              <w:rPr>
                <w:rFonts w:ascii="Palatino Linotype" w:hAnsi="Palatino Linotype" w:cs="Calibri"/>
                <w:b/>
                <w:bCs/>
                <w:color w:val="000000"/>
                <w:sz w:val="18"/>
                <w:szCs w:val="18"/>
              </w:rPr>
            </w:pPr>
            <w:r w:rsidRPr="000975D9">
              <w:rPr>
                <w:rFonts w:ascii="Palatino Linotype" w:hAnsi="Palatino Linotype" w:cs="Calibri"/>
                <w:b/>
                <w:bCs/>
                <w:color w:val="000000"/>
                <w:sz w:val="18"/>
                <w:szCs w:val="18"/>
              </w:rPr>
              <w:t>Jul-21</w:t>
            </w:r>
          </w:p>
        </w:tc>
        <w:tc>
          <w:tcPr>
            <w:tcW w:w="1177" w:type="dxa"/>
            <w:tcBorders>
              <w:top w:val="single" w:sz="4" w:space="0" w:color="auto"/>
              <w:left w:val="nil"/>
              <w:bottom w:val="single" w:sz="4" w:space="0" w:color="auto"/>
              <w:right w:val="single" w:sz="4" w:space="0" w:color="auto"/>
            </w:tcBorders>
            <w:shd w:val="clear" w:color="000000" w:fill="B4C6E7"/>
            <w:noWrap/>
            <w:vAlign w:val="center"/>
            <w:hideMark/>
          </w:tcPr>
          <w:p w:rsidR="003C2485" w:rsidRPr="000975D9" w:rsidRDefault="003C2485" w:rsidP="003C2485">
            <w:pPr>
              <w:rPr>
                <w:rFonts w:ascii="Palatino Linotype" w:hAnsi="Palatino Linotype" w:cs="Calibri"/>
                <w:b/>
                <w:bCs/>
                <w:color w:val="000000"/>
                <w:sz w:val="18"/>
                <w:szCs w:val="18"/>
              </w:rPr>
            </w:pPr>
            <w:r w:rsidRPr="000975D9">
              <w:rPr>
                <w:rFonts w:ascii="Palatino Linotype" w:hAnsi="Palatino Linotype" w:cs="Calibri"/>
                <w:b/>
                <w:bCs/>
                <w:color w:val="000000"/>
                <w:sz w:val="18"/>
                <w:szCs w:val="18"/>
              </w:rPr>
              <w:t>% Change MoM</w:t>
            </w:r>
          </w:p>
        </w:tc>
      </w:tr>
      <w:tr w:rsidR="003C2485" w:rsidRPr="000975D9" w:rsidTr="003C2485">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3C2485" w:rsidRPr="000975D9" w:rsidRDefault="003C2485" w:rsidP="003C2485">
            <w:pPr>
              <w:rPr>
                <w:rFonts w:ascii="Palatino Linotype" w:eastAsia="Times New Roman" w:hAnsi="Palatino Linotype" w:cs="Calibri"/>
                <w:color w:val="000000"/>
                <w:sz w:val="18"/>
                <w:szCs w:val="18"/>
                <w:lang w:val="en-IN" w:eastAsia="en-IN" w:bidi="hi-IN"/>
              </w:rPr>
            </w:pPr>
            <w:r w:rsidRPr="000975D9">
              <w:rPr>
                <w:rFonts w:ascii="Palatino Linotype" w:eastAsia="Times New Roman" w:hAnsi="Palatino Linotype" w:cs="Calibri"/>
                <w:color w:val="000000"/>
                <w:sz w:val="18"/>
                <w:szCs w:val="18"/>
                <w:lang w:val="en-IN" w:eastAsia="en-IN" w:bidi="hi-IN"/>
              </w:rPr>
              <w:t>Nasdaq - US</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22,112</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22,533</w:t>
            </w:r>
          </w:p>
        </w:tc>
        <w:tc>
          <w:tcPr>
            <w:tcW w:w="1177" w:type="dxa"/>
            <w:tcBorders>
              <w:top w:val="nil"/>
              <w:left w:val="nil"/>
              <w:bottom w:val="single" w:sz="4" w:space="0" w:color="auto"/>
              <w:right w:val="single" w:sz="4" w:space="0" w:color="auto"/>
            </w:tcBorders>
            <w:shd w:val="clear" w:color="auto" w:fill="auto"/>
            <w:noWrap/>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1.9%</w:t>
            </w:r>
          </w:p>
        </w:tc>
      </w:tr>
      <w:tr w:rsidR="003C2485" w:rsidRPr="000975D9" w:rsidTr="003C2485">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3C2485" w:rsidRPr="000975D9" w:rsidRDefault="003C2485" w:rsidP="003C2485">
            <w:pPr>
              <w:rPr>
                <w:rFonts w:ascii="Palatino Linotype" w:eastAsia="Times New Roman" w:hAnsi="Palatino Linotype" w:cs="Calibri"/>
                <w:color w:val="000000"/>
                <w:sz w:val="18"/>
                <w:szCs w:val="18"/>
                <w:lang w:val="en-IN" w:eastAsia="en-IN" w:bidi="hi-IN"/>
              </w:rPr>
            </w:pPr>
            <w:r w:rsidRPr="000975D9">
              <w:rPr>
                <w:rFonts w:ascii="Palatino Linotype" w:eastAsia="Times New Roman" w:hAnsi="Palatino Linotype" w:cs="Calibri"/>
                <w:color w:val="000000"/>
                <w:sz w:val="18"/>
                <w:szCs w:val="18"/>
                <w:lang w:val="en-IN" w:eastAsia="en-IN" w:bidi="hi-IN"/>
              </w:rPr>
              <w:t>NYSE</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24,896</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NA</w:t>
            </w:r>
          </w:p>
        </w:tc>
        <w:tc>
          <w:tcPr>
            <w:tcW w:w="1177" w:type="dxa"/>
            <w:tcBorders>
              <w:top w:val="nil"/>
              <w:left w:val="nil"/>
              <w:bottom w:val="single" w:sz="4" w:space="0" w:color="auto"/>
              <w:right w:val="single" w:sz="4" w:space="0" w:color="auto"/>
            </w:tcBorders>
            <w:shd w:val="clear" w:color="auto" w:fill="auto"/>
            <w:noWrap/>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NA</w:t>
            </w:r>
          </w:p>
        </w:tc>
      </w:tr>
      <w:tr w:rsidR="003C2485" w:rsidRPr="000975D9" w:rsidTr="003C2485">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3C2485" w:rsidRPr="000975D9" w:rsidRDefault="003C2485" w:rsidP="003C2485">
            <w:pPr>
              <w:rPr>
                <w:rFonts w:ascii="Palatino Linotype" w:eastAsia="Times New Roman" w:hAnsi="Palatino Linotype" w:cs="Calibri"/>
                <w:color w:val="000000"/>
                <w:sz w:val="18"/>
                <w:szCs w:val="18"/>
                <w:lang w:val="en-IN" w:eastAsia="en-IN" w:bidi="hi-IN"/>
              </w:rPr>
            </w:pPr>
            <w:r w:rsidRPr="000975D9">
              <w:rPr>
                <w:rFonts w:ascii="Palatino Linotype" w:eastAsia="Times New Roman" w:hAnsi="Palatino Linotype" w:cs="Calibri"/>
                <w:color w:val="000000"/>
                <w:sz w:val="18"/>
                <w:szCs w:val="18"/>
                <w:lang w:val="en-IN" w:eastAsia="en-IN" w:bidi="hi-IN"/>
              </w:rPr>
              <w:t>LSE Group London Stock Exchange</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3,710</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3,800</w:t>
            </w:r>
          </w:p>
        </w:tc>
        <w:tc>
          <w:tcPr>
            <w:tcW w:w="1177" w:type="dxa"/>
            <w:tcBorders>
              <w:top w:val="nil"/>
              <w:left w:val="nil"/>
              <w:bottom w:val="single" w:sz="4" w:space="0" w:color="auto"/>
              <w:right w:val="single" w:sz="4" w:space="0" w:color="auto"/>
            </w:tcBorders>
            <w:shd w:val="clear" w:color="auto" w:fill="auto"/>
            <w:noWrap/>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2.4%</w:t>
            </w:r>
          </w:p>
        </w:tc>
      </w:tr>
      <w:tr w:rsidR="003C2485" w:rsidRPr="000975D9" w:rsidTr="003C2485">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3C2485" w:rsidRPr="000975D9" w:rsidRDefault="003C2485" w:rsidP="003C2485">
            <w:pPr>
              <w:rPr>
                <w:rFonts w:ascii="Palatino Linotype" w:eastAsia="Times New Roman" w:hAnsi="Palatino Linotype" w:cs="Calibri"/>
                <w:color w:val="000000"/>
                <w:sz w:val="18"/>
                <w:szCs w:val="18"/>
                <w:lang w:val="en-IN" w:eastAsia="en-IN" w:bidi="hi-IN"/>
              </w:rPr>
            </w:pPr>
            <w:r w:rsidRPr="000975D9">
              <w:rPr>
                <w:rFonts w:ascii="Palatino Linotype" w:eastAsia="Times New Roman" w:hAnsi="Palatino Linotype" w:cs="Calibri"/>
                <w:color w:val="000000"/>
                <w:sz w:val="18"/>
                <w:szCs w:val="18"/>
                <w:lang w:val="en-IN" w:eastAsia="en-IN" w:bidi="hi-IN"/>
              </w:rPr>
              <w:t>Deutsche Boerse AG</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2,574</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2,593</w:t>
            </w:r>
          </w:p>
        </w:tc>
        <w:tc>
          <w:tcPr>
            <w:tcW w:w="1177" w:type="dxa"/>
            <w:tcBorders>
              <w:top w:val="nil"/>
              <w:left w:val="nil"/>
              <w:bottom w:val="single" w:sz="4" w:space="0" w:color="auto"/>
              <w:right w:val="single" w:sz="4" w:space="0" w:color="auto"/>
            </w:tcBorders>
            <w:shd w:val="clear" w:color="auto" w:fill="auto"/>
            <w:noWrap/>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0.7%</w:t>
            </w:r>
          </w:p>
        </w:tc>
      </w:tr>
      <w:tr w:rsidR="003C2485" w:rsidRPr="000975D9" w:rsidTr="003C2485">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3C2485" w:rsidRPr="000975D9" w:rsidRDefault="003C2485" w:rsidP="003C2485">
            <w:pPr>
              <w:rPr>
                <w:rFonts w:ascii="Palatino Linotype" w:eastAsia="Times New Roman" w:hAnsi="Palatino Linotype" w:cs="Calibri"/>
                <w:color w:val="000000"/>
                <w:sz w:val="18"/>
                <w:szCs w:val="18"/>
                <w:lang w:val="en-IN" w:eastAsia="en-IN" w:bidi="hi-IN"/>
              </w:rPr>
            </w:pPr>
            <w:r w:rsidRPr="000975D9">
              <w:rPr>
                <w:rFonts w:ascii="Palatino Linotype" w:eastAsia="Times New Roman" w:hAnsi="Palatino Linotype" w:cs="Calibri"/>
                <w:color w:val="000000"/>
                <w:sz w:val="18"/>
                <w:szCs w:val="18"/>
                <w:lang w:val="en-IN" w:eastAsia="en-IN" w:bidi="hi-IN"/>
              </w:rPr>
              <w:t>BME Spanish Exchanges</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809</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806</w:t>
            </w:r>
          </w:p>
        </w:tc>
        <w:tc>
          <w:tcPr>
            <w:tcW w:w="1177" w:type="dxa"/>
            <w:tcBorders>
              <w:top w:val="nil"/>
              <w:left w:val="nil"/>
              <w:bottom w:val="single" w:sz="4" w:space="0" w:color="auto"/>
              <w:right w:val="single" w:sz="4" w:space="0" w:color="auto"/>
            </w:tcBorders>
            <w:shd w:val="clear" w:color="auto" w:fill="auto"/>
            <w:noWrap/>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-0.5%</w:t>
            </w:r>
          </w:p>
        </w:tc>
      </w:tr>
      <w:tr w:rsidR="003C2485" w:rsidRPr="000975D9" w:rsidTr="003C2485">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3C2485" w:rsidRPr="000975D9" w:rsidRDefault="003C2485" w:rsidP="003C2485">
            <w:pPr>
              <w:rPr>
                <w:rFonts w:ascii="Palatino Linotype" w:eastAsia="Times New Roman" w:hAnsi="Palatino Linotype" w:cs="Calibri"/>
                <w:color w:val="000000"/>
                <w:sz w:val="18"/>
                <w:szCs w:val="18"/>
                <w:lang w:val="en-IN" w:eastAsia="en-IN" w:bidi="hi-IN"/>
              </w:rPr>
            </w:pPr>
            <w:r w:rsidRPr="000975D9">
              <w:rPr>
                <w:rFonts w:ascii="Palatino Linotype" w:eastAsia="Times New Roman" w:hAnsi="Palatino Linotype" w:cs="Calibri"/>
                <w:color w:val="000000"/>
                <w:sz w:val="18"/>
                <w:szCs w:val="18"/>
                <w:lang w:val="en-IN" w:eastAsia="en-IN" w:bidi="hi-IN"/>
              </w:rPr>
              <w:t>Japan Exchange Group</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6,686</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6,601</w:t>
            </w:r>
          </w:p>
        </w:tc>
        <w:tc>
          <w:tcPr>
            <w:tcW w:w="1177" w:type="dxa"/>
            <w:tcBorders>
              <w:top w:val="nil"/>
              <w:left w:val="nil"/>
              <w:bottom w:val="single" w:sz="4" w:space="0" w:color="auto"/>
              <w:right w:val="single" w:sz="4" w:space="0" w:color="auto"/>
            </w:tcBorders>
            <w:shd w:val="clear" w:color="auto" w:fill="auto"/>
            <w:noWrap/>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-1.3%</w:t>
            </w:r>
          </w:p>
        </w:tc>
      </w:tr>
      <w:tr w:rsidR="003C2485" w:rsidRPr="000975D9" w:rsidTr="003C2485">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3C2485" w:rsidRPr="000975D9" w:rsidRDefault="003C2485" w:rsidP="003C2485">
            <w:pPr>
              <w:rPr>
                <w:rFonts w:ascii="Palatino Linotype" w:eastAsia="Times New Roman" w:hAnsi="Palatino Linotype" w:cs="Calibri"/>
                <w:color w:val="000000"/>
                <w:sz w:val="18"/>
                <w:szCs w:val="18"/>
                <w:lang w:val="en-IN" w:eastAsia="en-IN" w:bidi="hi-IN"/>
              </w:rPr>
            </w:pPr>
            <w:r w:rsidRPr="000975D9">
              <w:rPr>
                <w:rFonts w:ascii="Palatino Linotype" w:eastAsia="Times New Roman" w:hAnsi="Palatino Linotype" w:cs="Calibri"/>
                <w:color w:val="000000"/>
                <w:sz w:val="18"/>
                <w:szCs w:val="18"/>
                <w:lang w:val="en-IN" w:eastAsia="en-IN" w:bidi="hi-IN"/>
              </w:rPr>
              <w:t>Singapore Exchange</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670</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668</w:t>
            </w:r>
          </w:p>
        </w:tc>
        <w:tc>
          <w:tcPr>
            <w:tcW w:w="1177" w:type="dxa"/>
            <w:tcBorders>
              <w:top w:val="nil"/>
              <w:left w:val="nil"/>
              <w:bottom w:val="single" w:sz="4" w:space="0" w:color="auto"/>
              <w:right w:val="single" w:sz="4" w:space="0" w:color="auto"/>
            </w:tcBorders>
            <w:shd w:val="clear" w:color="auto" w:fill="auto"/>
            <w:noWrap/>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-0.4%</w:t>
            </w:r>
          </w:p>
        </w:tc>
      </w:tr>
      <w:tr w:rsidR="003C2485" w:rsidRPr="000975D9" w:rsidTr="003C2485">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3C2485" w:rsidRPr="000975D9" w:rsidRDefault="003C2485" w:rsidP="003C2485">
            <w:pPr>
              <w:rPr>
                <w:rFonts w:ascii="Palatino Linotype" w:eastAsia="Times New Roman" w:hAnsi="Palatino Linotype" w:cs="Calibri"/>
                <w:color w:val="000000"/>
                <w:sz w:val="18"/>
                <w:szCs w:val="18"/>
                <w:lang w:val="en-IN" w:eastAsia="en-IN" w:bidi="hi-IN"/>
              </w:rPr>
            </w:pPr>
            <w:r w:rsidRPr="000975D9">
              <w:rPr>
                <w:rFonts w:ascii="Palatino Linotype" w:eastAsia="Times New Roman" w:hAnsi="Palatino Linotype" w:cs="Calibri"/>
                <w:color w:val="000000"/>
                <w:sz w:val="18"/>
                <w:szCs w:val="18"/>
                <w:lang w:val="en-IN" w:eastAsia="en-IN" w:bidi="hi-IN"/>
              </w:rPr>
              <w:t>Hong Kong Exchanges and Clearing</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6,806</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6,001</w:t>
            </w:r>
          </w:p>
        </w:tc>
        <w:tc>
          <w:tcPr>
            <w:tcW w:w="1177" w:type="dxa"/>
            <w:tcBorders>
              <w:top w:val="nil"/>
              <w:left w:val="nil"/>
              <w:bottom w:val="single" w:sz="4" w:space="0" w:color="auto"/>
              <w:right w:val="single" w:sz="4" w:space="0" w:color="auto"/>
            </w:tcBorders>
            <w:shd w:val="clear" w:color="auto" w:fill="auto"/>
            <w:noWrap/>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-11.8%</w:t>
            </w:r>
          </w:p>
        </w:tc>
      </w:tr>
      <w:tr w:rsidR="003C2485" w:rsidRPr="000975D9" w:rsidTr="003C2485">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3C2485" w:rsidRPr="000975D9" w:rsidRDefault="003C2485" w:rsidP="003C2485">
            <w:pPr>
              <w:rPr>
                <w:rFonts w:ascii="Palatino Linotype" w:eastAsia="Times New Roman" w:hAnsi="Palatino Linotype" w:cs="Calibri"/>
                <w:color w:val="000000"/>
                <w:sz w:val="18"/>
                <w:szCs w:val="18"/>
                <w:lang w:val="en-IN" w:eastAsia="en-IN" w:bidi="hi-IN"/>
              </w:rPr>
            </w:pPr>
            <w:r w:rsidRPr="000975D9">
              <w:rPr>
                <w:rFonts w:ascii="Palatino Linotype" w:eastAsia="Times New Roman" w:hAnsi="Palatino Linotype" w:cs="Calibri"/>
                <w:color w:val="000000"/>
                <w:sz w:val="18"/>
                <w:szCs w:val="18"/>
                <w:lang w:val="en-IN" w:eastAsia="en-IN" w:bidi="hi-IN"/>
              </w:rPr>
              <w:t>Korea Exchange</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2,418</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2,326</w:t>
            </w:r>
          </w:p>
        </w:tc>
        <w:tc>
          <w:tcPr>
            <w:tcW w:w="1177" w:type="dxa"/>
            <w:tcBorders>
              <w:top w:val="nil"/>
              <w:left w:val="nil"/>
              <w:bottom w:val="single" w:sz="4" w:space="0" w:color="auto"/>
              <w:right w:val="single" w:sz="4" w:space="0" w:color="auto"/>
            </w:tcBorders>
            <w:shd w:val="clear" w:color="auto" w:fill="auto"/>
            <w:noWrap/>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-3.8%</w:t>
            </w:r>
          </w:p>
        </w:tc>
      </w:tr>
      <w:tr w:rsidR="003C2485" w:rsidRPr="000975D9" w:rsidTr="003C2485">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3C2485" w:rsidRPr="000975D9" w:rsidRDefault="003C2485" w:rsidP="003C2485">
            <w:pPr>
              <w:rPr>
                <w:rFonts w:ascii="Palatino Linotype" w:eastAsia="Times New Roman" w:hAnsi="Palatino Linotype" w:cs="Calibri"/>
                <w:color w:val="000000"/>
                <w:sz w:val="18"/>
                <w:szCs w:val="18"/>
                <w:lang w:val="en-IN" w:eastAsia="en-IN" w:bidi="hi-IN"/>
              </w:rPr>
            </w:pPr>
            <w:r w:rsidRPr="000975D9">
              <w:rPr>
                <w:rFonts w:ascii="Palatino Linotype" w:eastAsia="Times New Roman" w:hAnsi="Palatino Linotype" w:cs="Calibri"/>
                <w:color w:val="000000"/>
                <w:sz w:val="18"/>
                <w:szCs w:val="18"/>
                <w:lang w:val="en-IN" w:eastAsia="en-IN" w:bidi="hi-IN"/>
              </w:rPr>
              <w:t>ASX Australian Securities Exchange</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1,874</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1,857</w:t>
            </w:r>
          </w:p>
        </w:tc>
        <w:tc>
          <w:tcPr>
            <w:tcW w:w="1177" w:type="dxa"/>
            <w:tcBorders>
              <w:top w:val="nil"/>
              <w:left w:val="nil"/>
              <w:bottom w:val="single" w:sz="4" w:space="0" w:color="auto"/>
              <w:right w:val="single" w:sz="4" w:space="0" w:color="auto"/>
            </w:tcBorders>
            <w:shd w:val="clear" w:color="auto" w:fill="auto"/>
            <w:noWrap/>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-0.9%</w:t>
            </w:r>
          </w:p>
        </w:tc>
      </w:tr>
      <w:tr w:rsidR="003C2485" w:rsidRPr="000975D9" w:rsidTr="003C2485">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3C2485" w:rsidRPr="000975D9" w:rsidRDefault="003C2485" w:rsidP="003C2485">
            <w:pPr>
              <w:rPr>
                <w:rFonts w:ascii="Palatino Linotype" w:eastAsia="Times New Roman" w:hAnsi="Palatino Linotype" w:cs="Calibri"/>
                <w:color w:val="000000"/>
                <w:sz w:val="18"/>
                <w:szCs w:val="18"/>
                <w:lang w:val="en-IN" w:eastAsia="en-IN" w:bidi="hi-IN"/>
              </w:rPr>
            </w:pPr>
            <w:r w:rsidRPr="000975D9">
              <w:rPr>
                <w:rFonts w:ascii="Palatino Linotype" w:eastAsia="Times New Roman" w:hAnsi="Palatino Linotype" w:cs="Calibri"/>
                <w:color w:val="000000"/>
                <w:sz w:val="18"/>
                <w:szCs w:val="18"/>
                <w:lang w:val="en-IN" w:eastAsia="en-IN" w:bidi="hi-IN"/>
              </w:rPr>
              <w:t>B3 - Brasil Bolsa Balcão</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1,136</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1,065</w:t>
            </w:r>
          </w:p>
        </w:tc>
        <w:tc>
          <w:tcPr>
            <w:tcW w:w="1177" w:type="dxa"/>
            <w:tcBorders>
              <w:top w:val="nil"/>
              <w:left w:val="nil"/>
              <w:bottom w:val="single" w:sz="4" w:space="0" w:color="auto"/>
              <w:right w:val="single" w:sz="4" w:space="0" w:color="auto"/>
            </w:tcBorders>
            <w:shd w:val="clear" w:color="auto" w:fill="auto"/>
            <w:noWrap/>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-6.3%</w:t>
            </w:r>
          </w:p>
        </w:tc>
      </w:tr>
      <w:tr w:rsidR="003C2485" w:rsidRPr="000975D9" w:rsidTr="003C2485">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3C2485" w:rsidRPr="000975D9" w:rsidRDefault="003C2485" w:rsidP="003C2485">
            <w:pPr>
              <w:rPr>
                <w:rFonts w:ascii="Palatino Linotype" w:eastAsia="Times New Roman" w:hAnsi="Palatino Linotype" w:cs="Calibri"/>
                <w:color w:val="000000"/>
                <w:sz w:val="18"/>
                <w:szCs w:val="18"/>
                <w:lang w:val="en-IN" w:eastAsia="en-IN" w:bidi="hi-IN"/>
              </w:rPr>
            </w:pPr>
            <w:r w:rsidRPr="000975D9">
              <w:rPr>
                <w:rFonts w:ascii="Palatino Linotype" w:eastAsia="Times New Roman" w:hAnsi="Palatino Linotype" w:cs="Calibri"/>
                <w:color w:val="000000"/>
                <w:sz w:val="18"/>
                <w:szCs w:val="18"/>
                <w:lang w:val="en-IN" w:eastAsia="en-IN" w:bidi="hi-IN"/>
              </w:rPr>
              <w:t>Moscow Exchange</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818</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817</w:t>
            </w:r>
          </w:p>
        </w:tc>
        <w:tc>
          <w:tcPr>
            <w:tcW w:w="1177" w:type="dxa"/>
            <w:tcBorders>
              <w:top w:val="nil"/>
              <w:left w:val="nil"/>
              <w:bottom w:val="single" w:sz="4" w:space="0" w:color="auto"/>
              <w:right w:val="single" w:sz="4" w:space="0" w:color="auto"/>
            </w:tcBorders>
            <w:shd w:val="clear" w:color="auto" w:fill="auto"/>
            <w:noWrap/>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-0.2%</w:t>
            </w:r>
          </w:p>
        </w:tc>
      </w:tr>
      <w:tr w:rsidR="003C2485" w:rsidRPr="000975D9" w:rsidTr="003C2485">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3C2485" w:rsidRPr="000975D9" w:rsidRDefault="003C2485" w:rsidP="003C2485">
            <w:pPr>
              <w:rPr>
                <w:rFonts w:ascii="Palatino Linotype" w:eastAsia="Times New Roman" w:hAnsi="Palatino Linotype" w:cs="Calibri"/>
                <w:color w:val="000000"/>
                <w:sz w:val="18"/>
                <w:szCs w:val="18"/>
                <w:lang w:val="en-IN" w:eastAsia="en-IN" w:bidi="hi-IN"/>
              </w:rPr>
            </w:pPr>
            <w:r w:rsidRPr="000975D9">
              <w:rPr>
                <w:rFonts w:ascii="Palatino Linotype" w:eastAsia="Times New Roman" w:hAnsi="Palatino Linotype" w:cs="Calibri"/>
                <w:color w:val="000000"/>
                <w:sz w:val="18"/>
                <w:szCs w:val="18"/>
                <w:lang w:val="en-IN" w:eastAsia="en-IN" w:bidi="hi-IN"/>
              </w:rPr>
              <w:t>National Stock Exchange of India</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3,068</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3,142</w:t>
            </w:r>
          </w:p>
        </w:tc>
        <w:tc>
          <w:tcPr>
            <w:tcW w:w="1177" w:type="dxa"/>
            <w:tcBorders>
              <w:top w:val="nil"/>
              <w:left w:val="nil"/>
              <w:bottom w:val="single" w:sz="4" w:space="0" w:color="auto"/>
              <w:right w:val="single" w:sz="4" w:space="0" w:color="auto"/>
            </w:tcBorders>
            <w:shd w:val="clear" w:color="auto" w:fill="auto"/>
            <w:noWrap/>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2.4%</w:t>
            </w:r>
          </w:p>
        </w:tc>
      </w:tr>
      <w:tr w:rsidR="003C2485" w:rsidRPr="000975D9" w:rsidTr="003C2485">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3C2485" w:rsidRPr="000975D9" w:rsidRDefault="003C2485" w:rsidP="003C2485">
            <w:pPr>
              <w:rPr>
                <w:rFonts w:ascii="Palatino Linotype" w:eastAsia="Times New Roman" w:hAnsi="Palatino Linotype" w:cs="Calibri"/>
                <w:color w:val="000000"/>
                <w:sz w:val="18"/>
                <w:szCs w:val="18"/>
                <w:lang w:val="en-IN" w:eastAsia="en-IN" w:bidi="hi-IN"/>
              </w:rPr>
            </w:pPr>
            <w:r w:rsidRPr="000975D9">
              <w:rPr>
                <w:rFonts w:ascii="Palatino Linotype" w:eastAsia="Times New Roman" w:hAnsi="Palatino Linotype" w:cs="Calibri"/>
                <w:color w:val="000000"/>
                <w:sz w:val="18"/>
                <w:szCs w:val="18"/>
                <w:lang w:val="en-IN" w:eastAsia="en-IN" w:bidi="hi-IN"/>
              </w:rPr>
              <w:t>Shanghai Stock Exchange</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7,617</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7,267</w:t>
            </w:r>
          </w:p>
        </w:tc>
        <w:tc>
          <w:tcPr>
            <w:tcW w:w="1177" w:type="dxa"/>
            <w:tcBorders>
              <w:top w:val="nil"/>
              <w:left w:val="nil"/>
              <w:bottom w:val="single" w:sz="4" w:space="0" w:color="auto"/>
              <w:right w:val="single" w:sz="4" w:space="0" w:color="auto"/>
            </w:tcBorders>
            <w:shd w:val="clear" w:color="auto" w:fill="auto"/>
            <w:noWrap/>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-4.6%</w:t>
            </w:r>
          </w:p>
        </w:tc>
      </w:tr>
      <w:tr w:rsidR="003C2485" w:rsidRPr="000975D9" w:rsidTr="003C2485">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3C2485" w:rsidRPr="000975D9" w:rsidRDefault="003C2485" w:rsidP="003C2485">
            <w:pPr>
              <w:rPr>
                <w:rFonts w:ascii="Palatino Linotype" w:eastAsia="Times New Roman" w:hAnsi="Palatino Linotype" w:cs="Calibri"/>
                <w:color w:val="000000"/>
                <w:sz w:val="18"/>
                <w:szCs w:val="18"/>
                <w:lang w:val="en-IN" w:eastAsia="en-IN" w:bidi="hi-IN"/>
              </w:rPr>
            </w:pPr>
            <w:r w:rsidRPr="000975D9">
              <w:rPr>
                <w:rFonts w:ascii="Palatino Linotype" w:eastAsia="Times New Roman" w:hAnsi="Palatino Linotype" w:cs="Calibri"/>
                <w:color w:val="000000"/>
                <w:sz w:val="18"/>
                <w:szCs w:val="18"/>
                <w:lang w:val="en-IN" w:eastAsia="en-IN" w:bidi="hi-IN"/>
              </w:rPr>
              <w:t>Shenzhen Stock Exchange</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5,760</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5,586</w:t>
            </w:r>
          </w:p>
        </w:tc>
        <w:tc>
          <w:tcPr>
            <w:tcW w:w="1177" w:type="dxa"/>
            <w:tcBorders>
              <w:top w:val="nil"/>
              <w:left w:val="nil"/>
              <w:bottom w:val="single" w:sz="4" w:space="0" w:color="auto"/>
              <w:right w:val="single" w:sz="4" w:space="0" w:color="auto"/>
            </w:tcBorders>
            <w:shd w:val="clear" w:color="auto" w:fill="auto"/>
            <w:noWrap/>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-3.0%</w:t>
            </w:r>
          </w:p>
        </w:tc>
      </w:tr>
      <w:tr w:rsidR="003C2485" w:rsidRPr="000975D9" w:rsidTr="003C2485">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3C2485" w:rsidRPr="000975D9" w:rsidRDefault="003C2485" w:rsidP="003C2485">
            <w:pPr>
              <w:rPr>
                <w:rFonts w:ascii="Palatino Linotype" w:eastAsia="Times New Roman" w:hAnsi="Palatino Linotype" w:cs="Calibri"/>
                <w:color w:val="000000"/>
                <w:sz w:val="18"/>
                <w:szCs w:val="18"/>
                <w:lang w:val="en-IN" w:eastAsia="en-IN" w:bidi="hi-IN"/>
              </w:rPr>
            </w:pPr>
            <w:r w:rsidRPr="000975D9">
              <w:rPr>
                <w:rFonts w:ascii="Palatino Linotype" w:eastAsia="Times New Roman" w:hAnsi="Palatino Linotype" w:cs="Calibri"/>
                <w:color w:val="000000"/>
                <w:sz w:val="18"/>
                <w:szCs w:val="18"/>
                <w:lang w:val="en-IN" w:eastAsia="en-IN" w:bidi="hi-IN"/>
              </w:rPr>
              <w:t>Johannesburg Stock Exchange</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1,149</w:t>
            </w:r>
          </w:p>
        </w:tc>
        <w:tc>
          <w:tcPr>
            <w:tcW w:w="1177" w:type="dxa"/>
            <w:tcBorders>
              <w:top w:val="nil"/>
              <w:left w:val="nil"/>
              <w:bottom w:val="single" w:sz="4" w:space="0" w:color="auto"/>
              <w:right w:val="single" w:sz="4" w:space="0" w:color="auto"/>
            </w:tcBorders>
            <w:shd w:val="clear" w:color="auto" w:fill="auto"/>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 xml:space="preserve"> 1,137</w:t>
            </w:r>
          </w:p>
        </w:tc>
        <w:tc>
          <w:tcPr>
            <w:tcW w:w="1177" w:type="dxa"/>
            <w:tcBorders>
              <w:top w:val="nil"/>
              <w:left w:val="nil"/>
              <w:bottom w:val="single" w:sz="4" w:space="0" w:color="auto"/>
              <w:right w:val="single" w:sz="4" w:space="0" w:color="auto"/>
            </w:tcBorders>
            <w:shd w:val="clear" w:color="auto" w:fill="auto"/>
            <w:noWrap/>
            <w:vAlign w:val="center"/>
            <w:hideMark/>
          </w:tcPr>
          <w:p w:rsidR="003C2485" w:rsidRPr="000975D9" w:rsidRDefault="003C2485" w:rsidP="003C2485">
            <w:pPr>
              <w:jc w:val="right"/>
              <w:rPr>
                <w:rFonts w:ascii="Palatino Linotype" w:hAnsi="Palatino Linotype" w:cs="Calibri"/>
                <w:color w:val="000000"/>
                <w:sz w:val="18"/>
                <w:szCs w:val="18"/>
              </w:rPr>
            </w:pPr>
            <w:r w:rsidRPr="000975D9">
              <w:rPr>
                <w:rFonts w:ascii="Palatino Linotype" w:hAnsi="Palatino Linotype" w:cs="Calibri"/>
                <w:color w:val="000000"/>
                <w:sz w:val="18"/>
                <w:szCs w:val="18"/>
              </w:rPr>
              <w:t>-1.0%</w:t>
            </w:r>
          </w:p>
        </w:tc>
      </w:tr>
    </w:tbl>
    <w:p w:rsidR="003C2485" w:rsidRPr="00A01675" w:rsidRDefault="003C2485" w:rsidP="003C2485">
      <w:pPr>
        <w:spacing w:line="23" w:lineRule="atLeast"/>
        <w:ind w:left="851"/>
        <w:jc w:val="both"/>
        <w:outlineLvl w:val="0"/>
        <w:rPr>
          <w:rFonts w:ascii="Palatino Linotype" w:hAnsi="Palatino Linotype"/>
          <w:bCs/>
          <w:sz w:val="18"/>
          <w:szCs w:val="18"/>
        </w:rPr>
      </w:pPr>
      <w:r w:rsidRPr="00A01675">
        <w:rPr>
          <w:rFonts w:ascii="Palatino Linotype" w:hAnsi="Palatino Linotype"/>
          <w:bCs/>
          <w:sz w:val="18"/>
          <w:szCs w:val="18"/>
        </w:rPr>
        <w:t xml:space="preserve"> </w:t>
      </w:r>
      <w:r>
        <w:rPr>
          <w:rFonts w:ascii="Palatino Linotype" w:hAnsi="Palatino Linotype"/>
          <w:bCs/>
          <w:sz w:val="18"/>
          <w:szCs w:val="18"/>
        </w:rPr>
        <w:t xml:space="preserve">        </w:t>
      </w:r>
      <w:r w:rsidRPr="00A01675">
        <w:rPr>
          <w:rFonts w:ascii="Palatino Linotype" w:hAnsi="Palatino Linotype"/>
          <w:bCs/>
          <w:sz w:val="18"/>
          <w:szCs w:val="18"/>
        </w:rPr>
        <w:t>NA: Not Available</w:t>
      </w:r>
    </w:p>
    <w:p w:rsidR="003C2485" w:rsidRPr="00A01675" w:rsidRDefault="003C2485" w:rsidP="003C2485">
      <w:pPr>
        <w:spacing w:line="23" w:lineRule="atLeast"/>
        <w:ind w:left="851"/>
        <w:jc w:val="both"/>
        <w:outlineLvl w:val="0"/>
        <w:rPr>
          <w:rFonts w:ascii="Palatino Linotype" w:hAnsi="Palatino Linotype"/>
          <w:bCs/>
          <w:sz w:val="18"/>
          <w:szCs w:val="18"/>
        </w:rPr>
      </w:pPr>
      <w:r>
        <w:rPr>
          <w:rFonts w:ascii="Palatino Linotype" w:hAnsi="Palatino Linotype"/>
          <w:bCs/>
          <w:sz w:val="18"/>
          <w:szCs w:val="18"/>
        </w:rPr>
        <w:t xml:space="preserve">         </w:t>
      </w:r>
      <w:r w:rsidRPr="00A01675">
        <w:rPr>
          <w:rFonts w:ascii="Palatino Linotype" w:hAnsi="Palatino Linotype"/>
          <w:bCs/>
          <w:sz w:val="18"/>
          <w:szCs w:val="18"/>
        </w:rPr>
        <w:t>Source: World Federation of Exchanges</w:t>
      </w:r>
    </w:p>
    <w:p w:rsidR="003C2485" w:rsidRPr="00A01675" w:rsidRDefault="003C2485" w:rsidP="003C2485">
      <w:pPr>
        <w:spacing w:line="23" w:lineRule="atLeast"/>
        <w:jc w:val="both"/>
        <w:outlineLvl w:val="0"/>
        <w:rPr>
          <w:rFonts w:ascii="Palatino Linotype" w:hAnsi="Palatino Linotype"/>
          <w:b/>
          <w:bCs/>
          <w:szCs w:val="22"/>
        </w:rPr>
      </w:pPr>
    </w:p>
    <w:p w:rsidR="003C2485" w:rsidRPr="00A01675" w:rsidRDefault="003C2485" w:rsidP="003C2485">
      <w:pPr>
        <w:spacing w:line="23" w:lineRule="atLeast"/>
        <w:jc w:val="both"/>
        <w:outlineLvl w:val="0"/>
        <w:rPr>
          <w:rFonts w:ascii="Palatino Linotype" w:hAnsi="Palatino Linotype"/>
          <w:b/>
          <w:bCs/>
          <w:szCs w:val="22"/>
        </w:rPr>
      </w:pPr>
    </w:p>
    <w:p w:rsidR="003C2485" w:rsidRPr="00A01675" w:rsidRDefault="003C2485" w:rsidP="003C2485">
      <w:pPr>
        <w:spacing w:line="23" w:lineRule="atLeast"/>
        <w:jc w:val="both"/>
        <w:outlineLvl w:val="0"/>
        <w:rPr>
          <w:rFonts w:ascii="Palatino Linotype" w:hAnsi="Palatino Linotype"/>
          <w:b/>
          <w:bCs/>
          <w:szCs w:val="22"/>
        </w:rPr>
      </w:pPr>
      <w:r>
        <w:rPr>
          <w:rFonts w:ascii="Palatino Linotype" w:hAnsi="Palatino Linotype"/>
          <w:b/>
          <w:bCs/>
          <w:szCs w:val="22"/>
        </w:rPr>
        <w:br w:type="page"/>
      </w:r>
      <w:r w:rsidRPr="00A01675">
        <w:rPr>
          <w:rFonts w:ascii="Palatino Linotype" w:hAnsi="Palatino Linotype"/>
          <w:b/>
          <w:bCs/>
          <w:szCs w:val="22"/>
        </w:rPr>
        <w:t>Table A4: Stock Futures and Stock Options Traded in Major Exchanges</w:t>
      </w:r>
    </w:p>
    <w:p w:rsidR="003C2485" w:rsidRPr="00A01675" w:rsidRDefault="003C2485" w:rsidP="003C2485">
      <w:pPr>
        <w:spacing w:line="23" w:lineRule="atLeast"/>
        <w:ind w:right="-744"/>
        <w:jc w:val="right"/>
        <w:outlineLvl w:val="0"/>
        <w:rPr>
          <w:rFonts w:ascii="Palatino Linotype" w:hAnsi="Palatino Linotype"/>
          <w:bCs/>
          <w:sz w:val="22"/>
          <w:szCs w:val="22"/>
        </w:rPr>
      </w:pPr>
      <w:r w:rsidRPr="00A01675">
        <w:rPr>
          <w:rFonts w:ascii="Palatino Linotype" w:hAnsi="Palatino Linotype"/>
          <w:bCs/>
          <w:sz w:val="22"/>
          <w:szCs w:val="22"/>
        </w:rPr>
        <w:t>Notional Turnover in (USD million)</w:t>
      </w:r>
    </w:p>
    <w:tbl>
      <w:tblPr>
        <w:tblW w:w="10943" w:type="dxa"/>
        <w:jc w:val="center"/>
        <w:tblLook w:val="04A0" w:firstRow="1" w:lastRow="0" w:firstColumn="1" w:lastColumn="0" w:noHBand="0" w:noVBand="1"/>
      </w:tblPr>
      <w:tblGrid>
        <w:gridCol w:w="3646"/>
        <w:gridCol w:w="1224"/>
        <w:gridCol w:w="1162"/>
        <w:gridCol w:w="1169"/>
        <w:gridCol w:w="1216"/>
        <w:gridCol w:w="123"/>
        <w:gridCol w:w="1162"/>
        <w:gridCol w:w="13"/>
        <w:gridCol w:w="1215"/>
        <w:gridCol w:w="13"/>
      </w:tblGrid>
      <w:tr w:rsidR="003C2485" w:rsidRPr="00395D65" w:rsidTr="003C2485">
        <w:trPr>
          <w:trHeight w:val="221"/>
          <w:jc w:val="center"/>
        </w:trPr>
        <w:tc>
          <w:tcPr>
            <w:tcW w:w="3646"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Exchange</w:t>
            </w:r>
          </w:p>
        </w:tc>
        <w:tc>
          <w:tcPr>
            <w:tcW w:w="7297" w:type="dxa"/>
            <w:gridSpan w:val="9"/>
            <w:tcBorders>
              <w:top w:val="single" w:sz="8" w:space="0" w:color="auto"/>
              <w:left w:val="nil"/>
              <w:bottom w:val="single" w:sz="8" w:space="0" w:color="auto"/>
              <w:right w:val="single" w:sz="8" w:space="0" w:color="000000"/>
            </w:tcBorders>
            <w:shd w:val="clear" w:color="000000" w:fill="B4C6E7"/>
            <w:vAlign w:val="center"/>
            <w:hideMark/>
          </w:tcPr>
          <w:p w:rsidR="003C2485" w:rsidRPr="00395D65" w:rsidRDefault="003C2485" w:rsidP="003C2485">
            <w:pPr>
              <w:jc w:val="center"/>
              <w:rPr>
                <w:rFonts w:ascii="Palatino Linotype"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Jul-21</w:t>
            </w:r>
          </w:p>
        </w:tc>
      </w:tr>
      <w:tr w:rsidR="003C2485" w:rsidRPr="00395D65" w:rsidTr="003C2485">
        <w:trPr>
          <w:trHeight w:val="221"/>
          <w:jc w:val="center"/>
        </w:trPr>
        <w:tc>
          <w:tcPr>
            <w:tcW w:w="3646" w:type="dxa"/>
            <w:vMerge/>
            <w:tcBorders>
              <w:top w:val="single" w:sz="8" w:space="0" w:color="auto"/>
              <w:left w:val="single" w:sz="8" w:space="0" w:color="auto"/>
              <w:bottom w:val="single" w:sz="8" w:space="0" w:color="000000"/>
              <w:right w:val="single" w:sz="8" w:space="0" w:color="auto"/>
            </w:tcBorders>
            <w:vAlign w:val="center"/>
            <w:hideMark/>
          </w:tcPr>
          <w:p w:rsidR="003C2485" w:rsidRPr="00395D65" w:rsidRDefault="003C2485" w:rsidP="003C2485">
            <w:pPr>
              <w:rPr>
                <w:rFonts w:ascii="Palatino Linotype" w:eastAsia="Times New Roman" w:hAnsi="Palatino Linotype" w:cs="Calibri"/>
                <w:b/>
                <w:bCs/>
                <w:color w:val="000000"/>
                <w:sz w:val="18"/>
                <w:szCs w:val="18"/>
                <w:lang w:val="en-IN" w:eastAsia="en-IN" w:bidi="hi-IN"/>
              </w:rPr>
            </w:pPr>
          </w:p>
        </w:tc>
        <w:tc>
          <w:tcPr>
            <w:tcW w:w="3555" w:type="dxa"/>
            <w:gridSpan w:val="3"/>
            <w:tcBorders>
              <w:top w:val="single" w:sz="8" w:space="0" w:color="auto"/>
              <w:left w:val="nil"/>
              <w:bottom w:val="single" w:sz="8" w:space="0" w:color="auto"/>
              <w:right w:val="single" w:sz="8" w:space="0" w:color="000000"/>
            </w:tcBorders>
            <w:shd w:val="clear" w:color="000000" w:fill="B4C6E7"/>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Single Stock Futures</w:t>
            </w:r>
          </w:p>
        </w:tc>
        <w:tc>
          <w:tcPr>
            <w:tcW w:w="3742" w:type="dxa"/>
            <w:gridSpan w:val="6"/>
            <w:tcBorders>
              <w:top w:val="single" w:sz="8" w:space="0" w:color="auto"/>
              <w:left w:val="nil"/>
              <w:bottom w:val="single" w:sz="8" w:space="0" w:color="auto"/>
              <w:right w:val="single" w:sz="8" w:space="0" w:color="000000"/>
            </w:tcBorders>
            <w:shd w:val="clear" w:color="000000" w:fill="B4C6E7"/>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Single Stock Options</w:t>
            </w:r>
          </w:p>
        </w:tc>
      </w:tr>
      <w:tr w:rsidR="003C2485" w:rsidRPr="00395D65" w:rsidTr="003C2485">
        <w:trPr>
          <w:trHeight w:val="211"/>
          <w:jc w:val="center"/>
        </w:trPr>
        <w:tc>
          <w:tcPr>
            <w:tcW w:w="3646" w:type="dxa"/>
            <w:vMerge/>
            <w:tcBorders>
              <w:top w:val="single" w:sz="8" w:space="0" w:color="auto"/>
              <w:left w:val="single" w:sz="8" w:space="0" w:color="auto"/>
              <w:bottom w:val="single" w:sz="8" w:space="0" w:color="000000"/>
              <w:right w:val="single" w:sz="8" w:space="0" w:color="auto"/>
            </w:tcBorders>
            <w:vAlign w:val="center"/>
            <w:hideMark/>
          </w:tcPr>
          <w:p w:rsidR="003C2485" w:rsidRPr="00395D65" w:rsidRDefault="003C2485" w:rsidP="003C2485">
            <w:pPr>
              <w:rPr>
                <w:rFonts w:ascii="Palatino Linotype" w:eastAsia="Times New Roman" w:hAnsi="Palatino Linotype" w:cs="Calibri"/>
                <w:b/>
                <w:bCs/>
                <w:color w:val="000000"/>
                <w:sz w:val="18"/>
                <w:szCs w:val="18"/>
                <w:lang w:val="en-IN" w:eastAsia="en-IN" w:bidi="hi-IN"/>
              </w:rPr>
            </w:pPr>
          </w:p>
        </w:tc>
        <w:tc>
          <w:tcPr>
            <w:tcW w:w="1224" w:type="dxa"/>
            <w:tcBorders>
              <w:top w:val="nil"/>
              <w:left w:val="nil"/>
              <w:bottom w:val="nil"/>
              <w:right w:val="single" w:sz="8" w:space="0" w:color="auto"/>
            </w:tcBorders>
            <w:shd w:val="clear" w:color="000000" w:fill="B4C6E7"/>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Number of</w:t>
            </w:r>
          </w:p>
        </w:tc>
        <w:tc>
          <w:tcPr>
            <w:tcW w:w="1162" w:type="dxa"/>
            <w:tcBorders>
              <w:top w:val="nil"/>
              <w:left w:val="nil"/>
              <w:bottom w:val="nil"/>
              <w:right w:val="single" w:sz="8" w:space="0" w:color="auto"/>
            </w:tcBorders>
            <w:shd w:val="clear" w:color="000000" w:fill="B4C6E7"/>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Notional</w:t>
            </w:r>
          </w:p>
        </w:tc>
        <w:tc>
          <w:tcPr>
            <w:tcW w:w="1169" w:type="dxa"/>
            <w:tcBorders>
              <w:top w:val="nil"/>
              <w:left w:val="nil"/>
              <w:bottom w:val="nil"/>
              <w:right w:val="single" w:sz="8" w:space="0" w:color="auto"/>
            </w:tcBorders>
            <w:shd w:val="clear" w:color="000000" w:fill="B4C6E7"/>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Open</w:t>
            </w:r>
          </w:p>
        </w:tc>
        <w:tc>
          <w:tcPr>
            <w:tcW w:w="1216" w:type="dxa"/>
            <w:tcBorders>
              <w:top w:val="nil"/>
              <w:left w:val="nil"/>
              <w:bottom w:val="nil"/>
              <w:right w:val="single" w:sz="8" w:space="0" w:color="auto"/>
            </w:tcBorders>
            <w:shd w:val="clear" w:color="000000" w:fill="B4C6E7"/>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Number of</w:t>
            </w:r>
          </w:p>
        </w:tc>
        <w:tc>
          <w:tcPr>
            <w:tcW w:w="1298" w:type="dxa"/>
            <w:gridSpan w:val="3"/>
            <w:tcBorders>
              <w:top w:val="nil"/>
              <w:left w:val="nil"/>
              <w:bottom w:val="nil"/>
              <w:right w:val="single" w:sz="8" w:space="0" w:color="auto"/>
            </w:tcBorders>
            <w:shd w:val="clear" w:color="000000" w:fill="B4C6E7"/>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Notional</w:t>
            </w:r>
          </w:p>
        </w:tc>
        <w:tc>
          <w:tcPr>
            <w:tcW w:w="1228" w:type="dxa"/>
            <w:gridSpan w:val="2"/>
            <w:tcBorders>
              <w:top w:val="nil"/>
              <w:left w:val="nil"/>
              <w:bottom w:val="nil"/>
              <w:right w:val="single" w:sz="8" w:space="0" w:color="auto"/>
            </w:tcBorders>
            <w:shd w:val="clear" w:color="000000" w:fill="B4C6E7"/>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Open</w:t>
            </w:r>
          </w:p>
        </w:tc>
      </w:tr>
      <w:tr w:rsidR="003C2485" w:rsidRPr="00395D65" w:rsidTr="003C2485">
        <w:trPr>
          <w:trHeight w:val="370"/>
          <w:jc w:val="center"/>
        </w:trPr>
        <w:tc>
          <w:tcPr>
            <w:tcW w:w="3646" w:type="dxa"/>
            <w:vMerge/>
            <w:tcBorders>
              <w:top w:val="single" w:sz="8" w:space="0" w:color="auto"/>
              <w:left w:val="single" w:sz="8" w:space="0" w:color="auto"/>
              <w:bottom w:val="single" w:sz="8" w:space="0" w:color="000000"/>
              <w:right w:val="single" w:sz="8" w:space="0" w:color="auto"/>
            </w:tcBorders>
            <w:vAlign w:val="center"/>
            <w:hideMark/>
          </w:tcPr>
          <w:p w:rsidR="003C2485" w:rsidRPr="00395D65" w:rsidRDefault="003C2485" w:rsidP="003C2485">
            <w:pPr>
              <w:rPr>
                <w:rFonts w:ascii="Palatino Linotype" w:eastAsia="Times New Roman" w:hAnsi="Palatino Linotype" w:cs="Calibri"/>
                <w:b/>
                <w:bCs/>
                <w:color w:val="000000"/>
                <w:sz w:val="18"/>
                <w:szCs w:val="18"/>
                <w:lang w:val="en-IN" w:eastAsia="en-IN" w:bidi="hi-IN"/>
              </w:rPr>
            </w:pPr>
          </w:p>
        </w:tc>
        <w:tc>
          <w:tcPr>
            <w:tcW w:w="1224" w:type="dxa"/>
            <w:tcBorders>
              <w:top w:val="nil"/>
              <w:left w:val="nil"/>
              <w:bottom w:val="single" w:sz="8" w:space="0" w:color="auto"/>
              <w:right w:val="single" w:sz="8" w:space="0" w:color="auto"/>
            </w:tcBorders>
            <w:shd w:val="clear" w:color="000000" w:fill="B4C6E7"/>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Contracts Traded</w:t>
            </w:r>
          </w:p>
        </w:tc>
        <w:tc>
          <w:tcPr>
            <w:tcW w:w="1162" w:type="dxa"/>
            <w:tcBorders>
              <w:top w:val="nil"/>
              <w:left w:val="nil"/>
              <w:bottom w:val="single" w:sz="8" w:space="0" w:color="auto"/>
              <w:right w:val="single" w:sz="8" w:space="0" w:color="auto"/>
            </w:tcBorders>
            <w:shd w:val="clear" w:color="000000" w:fill="B4C6E7"/>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Turnover</w:t>
            </w:r>
          </w:p>
        </w:tc>
        <w:tc>
          <w:tcPr>
            <w:tcW w:w="1169" w:type="dxa"/>
            <w:tcBorders>
              <w:top w:val="nil"/>
              <w:left w:val="nil"/>
              <w:bottom w:val="single" w:sz="8" w:space="0" w:color="auto"/>
              <w:right w:val="single" w:sz="8" w:space="0" w:color="auto"/>
            </w:tcBorders>
            <w:shd w:val="clear" w:color="000000" w:fill="B4C6E7"/>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Interest</w:t>
            </w:r>
          </w:p>
        </w:tc>
        <w:tc>
          <w:tcPr>
            <w:tcW w:w="1216" w:type="dxa"/>
            <w:tcBorders>
              <w:top w:val="nil"/>
              <w:left w:val="nil"/>
              <w:bottom w:val="single" w:sz="8" w:space="0" w:color="auto"/>
              <w:right w:val="single" w:sz="8" w:space="0" w:color="auto"/>
            </w:tcBorders>
            <w:shd w:val="clear" w:color="000000" w:fill="B4C6E7"/>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Contracts Traded</w:t>
            </w:r>
          </w:p>
        </w:tc>
        <w:tc>
          <w:tcPr>
            <w:tcW w:w="1298" w:type="dxa"/>
            <w:gridSpan w:val="3"/>
            <w:tcBorders>
              <w:top w:val="nil"/>
              <w:left w:val="nil"/>
              <w:bottom w:val="single" w:sz="8" w:space="0" w:color="auto"/>
              <w:right w:val="single" w:sz="8" w:space="0" w:color="auto"/>
            </w:tcBorders>
            <w:shd w:val="clear" w:color="000000" w:fill="B4C6E7"/>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Turnover</w:t>
            </w:r>
          </w:p>
        </w:tc>
        <w:tc>
          <w:tcPr>
            <w:tcW w:w="1228" w:type="dxa"/>
            <w:gridSpan w:val="2"/>
            <w:tcBorders>
              <w:top w:val="nil"/>
              <w:left w:val="nil"/>
              <w:bottom w:val="single" w:sz="8" w:space="0" w:color="auto"/>
              <w:right w:val="single" w:sz="8" w:space="0" w:color="auto"/>
            </w:tcBorders>
            <w:shd w:val="clear" w:color="000000" w:fill="B4C6E7"/>
            <w:vAlign w:val="center"/>
            <w:hideMark/>
          </w:tcPr>
          <w:p w:rsidR="003C2485" w:rsidRPr="00395D65" w:rsidRDefault="003C2485" w:rsidP="003C2485">
            <w:pPr>
              <w:jc w:val="cente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Interest</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B3 - Brasil Bolsa Balcão</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lang w:val="en-IN" w:eastAsia="en-IN" w:bidi="hi-IN"/>
              </w:rPr>
            </w:pPr>
            <w:r w:rsidRPr="00395D65">
              <w:rPr>
                <w:rFonts w:ascii="Palatino Linotype" w:hAnsi="Palatino Linotype" w:cs="Calibri"/>
                <w:color w:val="000000"/>
                <w:sz w:val="18"/>
                <w:szCs w:val="18"/>
              </w:rPr>
              <w:t xml:space="preserve"> 21,342,600</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137</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10,032,600</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136,333,075</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27,849</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55,763,680</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Bolsa de Valores de Colombia</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6,769</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4</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14,637</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0</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0</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0</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Bolsa Mexicana de Valores</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450</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0</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3,150</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13,000</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27,700</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Cboe Global Markets</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140,659,710</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303,301,491</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Nasdaq - US</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176,074,778</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MIAX Exchange Group</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84,129,194</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2,270,244</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ASX Australian Securities Exchange</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9,344</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49</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107,902</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4,293,911</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9,951</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5,536,020</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Hong Kong Exchanges and Clearing</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225,418</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1,578</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38,687</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14,766,491</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93,445</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11,103,633</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Japan Exchange Group</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6,447</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17,293</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Korea Exchange</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85,142,239</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70,136</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6,518,985</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1,944,159</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197,133</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National Stock Exchange of India</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19,278,363</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210,929</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2,122,318</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49,338,034</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556,652</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1,070,904</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Singapore Exchange</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236,520</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37,994</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Taiwan Futures Exchange</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8,636,212</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79,103</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452,714</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7,179</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72</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1,698</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Thailand Futures Exchange</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3,636,911</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2,613,886</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Athens Stock Exchange</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477,920</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92</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552,627</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408</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0</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974</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BME Spanish Exchanges</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6,372</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8</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1,500,299</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512,184</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600</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7,254,275</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Borsa Istanbul</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77,617,611</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7,241</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10,058,074</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1,051,087</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89</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1,262,239</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Budapest Stock Exchange</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5,777</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41</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5,736</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0</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0</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0</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Deutsche Boerse AG</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3,916,355</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18,049</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5,566,501</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13,101,691</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60,881</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65,191,337</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Euronext</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1,219,730</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5,367</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1,545,774</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6,149,123</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30,907</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19,866,439</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Moscow Exchange</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17,728,570</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5,673</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3,075,520</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167,490</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64</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431,820</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Nasdaq Nordic and Baltics</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69,145</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103</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137,969</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1,329,678</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2,852</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4,302,817</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Tehran Stock Exchange</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2,100,126</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143</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Tel-Aviv Stock Exchange</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203,022</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0</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100,996</w:t>
            </w:r>
          </w:p>
        </w:tc>
      </w:tr>
      <w:tr w:rsidR="003C2485" w:rsidRPr="00395D65" w:rsidTr="003C2485">
        <w:trPr>
          <w:gridAfter w:val="1"/>
          <w:wAfter w:w="13" w:type="dxa"/>
          <w:trHeight w:val="21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Warsaw Stock Exchange</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115,955</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284</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42,539</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0</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0</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0</w:t>
            </w:r>
          </w:p>
        </w:tc>
      </w:tr>
      <w:tr w:rsidR="003C2485" w:rsidRPr="00395D65" w:rsidTr="003C2485">
        <w:trPr>
          <w:gridAfter w:val="1"/>
          <w:wAfter w:w="13" w:type="dxa"/>
          <w:trHeight w:val="221"/>
          <w:jc w:val="center"/>
        </w:trPr>
        <w:tc>
          <w:tcPr>
            <w:tcW w:w="3646" w:type="dxa"/>
            <w:tcBorders>
              <w:top w:val="nil"/>
              <w:left w:val="single" w:sz="8" w:space="0" w:color="auto"/>
              <w:bottom w:val="nil"/>
              <w:right w:val="single" w:sz="8" w:space="0" w:color="auto"/>
            </w:tcBorders>
            <w:shd w:val="clear" w:color="000000" w:fill="B4C6E7"/>
            <w:vAlign w:val="center"/>
            <w:hideMark/>
          </w:tcPr>
          <w:p w:rsidR="003C2485" w:rsidRPr="00395D65" w:rsidRDefault="003C2485" w:rsidP="003C2485">
            <w:pPr>
              <w:rPr>
                <w:rFonts w:ascii="Palatino Linotype" w:eastAsia="Times New Roman" w:hAnsi="Palatino Linotype" w:cs="Calibri"/>
                <w:color w:val="000000"/>
                <w:sz w:val="18"/>
                <w:szCs w:val="18"/>
                <w:lang w:val="en-IN" w:eastAsia="en-IN" w:bidi="hi-IN"/>
              </w:rPr>
            </w:pPr>
            <w:r w:rsidRPr="00395D65">
              <w:rPr>
                <w:rFonts w:ascii="Palatino Linotype" w:eastAsia="Times New Roman" w:hAnsi="Palatino Linotype" w:cs="Calibri"/>
                <w:color w:val="000000"/>
                <w:sz w:val="18"/>
                <w:szCs w:val="18"/>
                <w:lang w:val="en-IN" w:eastAsia="en-IN" w:bidi="hi-IN"/>
              </w:rPr>
              <w:t>Dubai Gold and Commodities Exchange</w:t>
            </w:r>
          </w:p>
        </w:tc>
        <w:tc>
          <w:tcPr>
            <w:tcW w:w="1224"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1,683</w:t>
            </w:r>
          </w:p>
        </w:tc>
        <w:tc>
          <w:tcPr>
            <w:tcW w:w="1162" w:type="dxa"/>
            <w:tcBorders>
              <w:top w:val="nil"/>
              <w:left w:val="nil"/>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5</w:t>
            </w:r>
          </w:p>
        </w:tc>
        <w:tc>
          <w:tcPr>
            <w:tcW w:w="1169"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 xml:space="preserve"> 168</w:t>
            </w:r>
          </w:p>
        </w:tc>
        <w:tc>
          <w:tcPr>
            <w:tcW w:w="1339"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162" w:type="dxa"/>
            <w:tcBorders>
              <w:top w:val="nil"/>
              <w:left w:val="nil"/>
              <w:bottom w:val="nil"/>
              <w:right w:val="nil"/>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c>
          <w:tcPr>
            <w:tcW w:w="1228" w:type="dxa"/>
            <w:gridSpan w:val="2"/>
            <w:tcBorders>
              <w:top w:val="nil"/>
              <w:left w:val="single" w:sz="8" w:space="0" w:color="auto"/>
              <w:bottom w:val="nil"/>
              <w:right w:val="single" w:sz="8" w:space="0" w:color="auto"/>
            </w:tcBorders>
            <w:shd w:val="clear" w:color="auto" w:fill="auto"/>
            <w:vAlign w:val="center"/>
            <w:hideMark/>
          </w:tcPr>
          <w:p w:rsidR="003C2485" w:rsidRPr="00395D65" w:rsidRDefault="003C2485" w:rsidP="003C2485">
            <w:pPr>
              <w:jc w:val="right"/>
              <w:rPr>
                <w:rFonts w:ascii="Palatino Linotype" w:hAnsi="Palatino Linotype" w:cs="Calibri"/>
                <w:color w:val="000000"/>
                <w:sz w:val="18"/>
                <w:szCs w:val="18"/>
              </w:rPr>
            </w:pPr>
            <w:r w:rsidRPr="00395D65">
              <w:rPr>
                <w:rFonts w:ascii="Palatino Linotype" w:hAnsi="Palatino Linotype" w:cs="Calibri"/>
                <w:color w:val="000000"/>
                <w:sz w:val="18"/>
                <w:szCs w:val="18"/>
              </w:rPr>
              <w:t>NA</w:t>
            </w:r>
          </w:p>
        </w:tc>
      </w:tr>
      <w:tr w:rsidR="003C2485" w:rsidRPr="00395D65" w:rsidTr="003C2485">
        <w:trPr>
          <w:gridAfter w:val="1"/>
          <w:wAfter w:w="13" w:type="dxa"/>
          <w:trHeight w:val="221"/>
          <w:jc w:val="center"/>
        </w:trPr>
        <w:tc>
          <w:tcPr>
            <w:tcW w:w="3646" w:type="dxa"/>
            <w:tcBorders>
              <w:top w:val="single" w:sz="8" w:space="0" w:color="auto"/>
              <w:left w:val="single" w:sz="8" w:space="0" w:color="auto"/>
              <w:bottom w:val="single" w:sz="8" w:space="0" w:color="auto"/>
              <w:right w:val="nil"/>
            </w:tcBorders>
            <w:shd w:val="clear" w:color="000000" w:fill="D9E1F2"/>
            <w:vAlign w:val="center"/>
            <w:hideMark/>
          </w:tcPr>
          <w:p w:rsidR="003C2485" w:rsidRPr="00395D65" w:rsidRDefault="003C2485" w:rsidP="003C2485">
            <w:pPr>
              <w:rPr>
                <w:rFonts w:ascii="Palatino Linotype" w:eastAsia="Times New Roman" w:hAnsi="Palatino Linotype" w:cs="Calibri"/>
                <w:b/>
                <w:bCs/>
                <w:color w:val="000000"/>
                <w:sz w:val="18"/>
                <w:szCs w:val="18"/>
                <w:lang w:val="en-IN" w:eastAsia="en-IN" w:bidi="hi-IN"/>
              </w:rPr>
            </w:pPr>
            <w:r w:rsidRPr="00395D65">
              <w:rPr>
                <w:rFonts w:ascii="Palatino Linotype" w:eastAsia="Times New Roman" w:hAnsi="Palatino Linotype" w:cs="Calibri"/>
                <w:b/>
                <w:bCs/>
                <w:color w:val="000000"/>
                <w:sz w:val="18"/>
                <w:szCs w:val="18"/>
                <w:lang w:val="en-IN" w:eastAsia="en-IN" w:bidi="hi-IN"/>
              </w:rPr>
              <w:t>Grand Total</w:t>
            </w:r>
          </w:p>
        </w:tc>
        <w:tc>
          <w:tcPr>
            <w:tcW w:w="1224" w:type="dxa"/>
            <w:tcBorders>
              <w:top w:val="single" w:sz="8" w:space="0" w:color="auto"/>
              <w:left w:val="nil"/>
              <w:bottom w:val="single" w:sz="8" w:space="0" w:color="auto"/>
              <w:right w:val="nil"/>
            </w:tcBorders>
            <w:shd w:val="clear" w:color="000000" w:fill="D9E1F2"/>
            <w:vAlign w:val="bottom"/>
            <w:hideMark/>
          </w:tcPr>
          <w:p w:rsidR="003C2485" w:rsidRPr="00395D65" w:rsidRDefault="003C2485" w:rsidP="003C2485">
            <w:pPr>
              <w:jc w:val="right"/>
              <w:rPr>
                <w:rFonts w:ascii="Palatino Linotype" w:hAnsi="Palatino Linotype" w:cs="Calibri"/>
                <w:b/>
                <w:bCs/>
                <w:color w:val="000000"/>
                <w:sz w:val="18"/>
                <w:szCs w:val="18"/>
              </w:rPr>
            </w:pPr>
            <w:r w:rsidRPr="00395D65">
              <w:rPr>
                <w:rFonts w:ascii="Palatino Linotype" w:hAnsi="Palatino Linotype" w:cs="Calibri"/>
                <w:b/>
                <w:bCs/>
                <w:color w:val="000000"/>
                <w:sz w:val="18"/>
                <w:szCs w:val="18"/>
              </w:rPr>
              <w:t xml:space="preserve"> 239,673,944</w:t>
            </w:r>
          </w:p>
        </w:tc>
        <w:tc>
          <w:tcPr>
            <w:tcW w:w="1162" w:type="dxa"/>
            <w:tcBorders>
              <w:top w:val="single" w:sz="8" w:space="0" w:color="auto"/>
              <w:left w:val="nil"/>
              <w:bottom w:val="single" w:sz="8" w:space="0" w:color="auto"/>
              <w:right w:val="nil"/>
            </w:tcBorders>
            <w:shd w:val="clear" w:color="000000" w:fill="D9E1F2"/>
            <w:vAlign w:val="bottom"/>
            <w:hideMark/>
          </w:tcPr>
          <w:p w:rsidR="003C2485" w:rsidRPr="00395D65" w:rsidRDefault="003C2485" w:rsidP="003C2485">
            <w:pPr>
              <w:jc w:val="right"/>
              <w:rPr>
                <w:rFonts w:ascii="Palatino Linotype" w:hAnsi="Palatino Linotype" w:cs="Calibri"/>
                <w:b/>
                <w:bCs/>
                <w:color w:val="000000"/>
                <w:sz w:val="18"/>
                <w:szCs w:val="18"/>
              </w:rPr>
            </w:pPr>
            <w:r w:rsidRPr="00395D65">
              <w:rPr>
                <w:rFonts w:ascii="Palatino Linotype" w:hAnsi="Palatino Linotype" w:cs="Calibri"/>
                <w:b/>
                <w:bCs/>
                <w:color w:val="000000"/>
                <w:sz w:val="18"/>
                <w:szCs w:val="18"/>
              </w:rPr>
              <w:t xml:space="preserve"> 398,801</w:t>
            </w:r>
          </w:p>
        </w:tc>
        <w:tc>
          <w:tcPr>
            <w:tcW w:w="1169" w:type="dxa"/>
            <w:tcBorders>
              <w:top w:val="single" w:sz="8" w:space="0" w:color="auto"/>
              <w:left w:val="nil"/>
              <w:bottom w:val="single" w:sz="8" w:space="0" w:color="auto"/>
              <w:right w:val="nil"/>
            </w:tcBorders>
            <w:shd w:val="clear" w:color="000000" w:fill="D9E1F2"/>
            <w:vAlign w:val="bottom"/>
            <w:hideMark/>
          </w:tcPr>
          <w:p w:rsidR="003C2485" w:rsidRPr="00395D65" w:rsidRDefault="003C2485" w:rsidP="003C2485">
            <w:pPr>
              <w:jc w:val="right"/>
              <w:rPr>
                <w:rFonts w:ascii="Palatino Linotype" w:hAnsi="Palatino Linotype" w:cs="Calibri"/>
                <w:b/>
                <w:bCs/>
                <w:color w:val="000000"/>
                <w:sz w:val="18"/>
                <w:szCs w:val="18"/>
              </w:rPr>
            </w:pPr>
            <w:r w:rsidRPr="00395D65">
              <w:rPr>
                <w:rFonts w:ascii="Palatino Linotype" w:hAnsi="Palatino Linotype" w:cs="Calibri"/>
                <w:b/>
                <w:bCs/>
                <w:color w:val="000000"/>
                <w:sz w:val="18"/>
                <w:szCs w:val="18"/>
              </w:rPr>
              <w:t xml:space="preserve"> 44,428,080</w:t>
            </w:r>
          </w:p>
        </w:tc>
        <w:tc>
          <w:tcPr>
            <w:tcW w:w="1339" w:type="dxa"/>
            <w:gridSpan w:val="2"/>
            <w:tcBorders>
              <w:top w:val="single" w:sz="8" w:space="0" w:color="auto"/>
              <w:left w:val="nil"/>
              <w:bottom w:val="single" w:sz="8" w:space="0" w:color="auto"/>
              <w:right w:val="nil"/>
            </w:tcBorders>
            <w:shd w:val="clear" w:color="000000" w:fill="D9E1F2"/>
            <w:vAlign w:val="bottom"/>
            <w:hideMark/>
          </w:tcPr>
          <w:p w:rsidR="003C2485" w:rsidRPr="00395D65" w:rsidRDefault="003C2485" w:rsidP="003C2485">
            <w:pPr>
              <w:jc w:val="right"/>
              <w:rPr>
                <w:rFonts w:ascii="Palatino Linotype" w:hAnsi="Palatino Linotype" w:cs="Calibri"/>
                <w:b/>
                <w:bCs/>
                <w:color w:val="000000"/>
                <w:sz w:val="18"/>
                <w:szCs w:val="18"/>
              </w:rPr>
            </w:pPr>
            <w:r w:rsidRPr="00395D65">
              <w:rPr>
                <w:rFonts w:ascii="Palatino Linotype" w:hAnsi="Palatino Linotype" w:cs="Calibri"/>
                <w:b/>
                <w:bCs/>
                <w:color w:val="000000"/>
                <w:sz w:val="18"/>
                <w:szCs w:val="18"/>
              </w:rPr>
              <w:t xml:space="preserve"> 632,180,787</w:t>
            </w:r>
          </w:p>
        </w:tc>
        <w:tc>
          <w:tcPr>
            <w:tcW w:w="1162" w:type="dxa"/>
            <w:tcBorders>
              <w:top w:val="single" w:sz="8" w:space="0" w:color="auto"/>
              <w:left w:val="nil"/>
              <w:bottom w:val="single" w:sz="8" w:space="0" w:color="auto"/>
              <w:right w:val="nil"/>
            </w:tcBorders>
            <w:shd w:val="clear" w:color="000000" w:fill="D9E1F2"/>
            <w:vAlign w:val="bottom"/>
            <w:hideMark/>
          </w:tcPr>
          <w:p w:rsidR="003C2485" w:rsidRPr="00395D65" w:rsidRDefault="003C2485" w:rsidP="003C2485">
            <w:pPr>
              <w:jc w:val="right"/>
              <w:rPr>
                <w:rFonts w:ascii="Palatino Linotype" w:hAnsi="Palatino Linotype" w:cs="Calibri"/>
                <w:b/>
                <w:bCs/>
                <w:color w:val="000000"/>
                <w:sz w:val="18"/>
                <w:szCs w:val="18"/>
              </w:rPr>
            </w:pPr>
            <w:r w:rsidRPr="00395D65">
              <w:rPr>
                <w:rFonts w:ascii="Palatino Linotype" w:hAnsi="Palatino Linotype" w:cs="Calibri"/>
                <w:b/>
                <w:bCs/>
                <w:color w:val="000000"/>
                <w:sz w:val="18"/>
                <w:szCs w:val="18"/>
              </w:rPr>
              <w:t xml:space="preserve"> 3,053,751</w:t>
            </w:r>
          </w:p>
        </w:tc>
        <w:tc>
          <w:tcPr>
            <w:tcW w:w="1228" w:type="dxa"/>
            <w:gridSpan w:val="2"/>
            <w:tcBorders>
              <w:top w:val="single" w:sz="8" w:space="0" w:color="auto"/>
              <w:left w:val="nil"/>
              <w:bottom w:val="single" w:sz="8" w:space="0" w:color="auto"/>
              <w:right w:val="single" w:sz="8" w:space="0" w:color="auto"/>
            </w:tcBorders>
            <w:shd w:val="clear" w:color="000000" w:fill="D9E1F2"/>
            <w:vAlign w:val="bottom"/>
            <w:hideMark/>
          </w:tcPr>
          <w:p w:rsidR="003C2485" w:rsidRPr="00395D65" w:rsidRDefault="003C2485" w:rsidP="003C2485">
            <w:pPr>
              <w:jc w:val="right"/>
              <w:rPr>
                <w:rFonts w:ascii="Palatino Linotype" w:hAnsi="Palatino Linotype" w:cs="Calibri"/>
                <w:b/>
                <w:bCs/>
                <w:color w:val="000000"/>
                <w:sz w:val="18"/>
                <w:szCs w:val="18"/>
              </w:rPr>
            </w:pPr>
            <w:r w:rsidRPr="00395D65">
              <w:rPr>
                <w:rFonts w:ascii="Palatino Linotype" w:hAnsi="Palatino Linotype" w:cs="Calibri"/>
                <w:b/>
                <w:bCs/>
                <w:color w:val="000000"/>
                <w:sz w:val="18"/>
                <w:szCs w:val="18"/>
              </w:rPr>
              <w:t xml:space="preserve"> 475,430,449</w:t>
            </w:r>
          </w:p>
        </w:tc>
      </w:tr>
    </w:tbl>
    <w:p w:rsidR="003C2485" w:rsidRPr="00A01675" w:rsidRDefault="003C2485" w:rsidP="003C2485">
      <w:pPr>
        <w:tabs>
          <w:tab w:val="left" w:pos="3306"/>
          <w:tab w:val="left" w:pos="4629"/>
          <w:tab w:val="left" w:pos="5685"/>
          <w:tab w:val="left" w:pos="6835"/>
          <w:tab w:val="left" w:pos="7999"/>
          <w:tab w:val="left" w:pos="9070"/>
        </w:tabs>
        <w:spacing w:line="23" w:lineRule="atLeast"/>
        <w:rPr>
          <w:rFonts w:ascii="Palatino Linotype" w:eastAsia="Times New Roman" w:hAnsi="Palatino Linotype" w:cs="Calibri"/>
          <w:color w:val="000000"/>
          <w:sz w:val="20"/>
          <w:szCs w:val="20"/>
          <w:lang w:val="en-IN" w:eastAsia="en-IN"/>
        </w:rPr>
      </w:pPr>
      <w:r w:rsidRPr="00A01675">
        <w:rPr>
          <w:rFonts w:ascii="Palatino Linotype" w:hAnsi="Palatino Linotype"/>
          <w:bCs/>
          <w:sz w:val="18"/>
          <w:szCs w:val="18"/>
        </w:rPr>
        <w:t>NA: Not Available</w:t>
      </w:r>
    </w:p>
    <w:p w:rsidR="003C2485" w:rsidRPr="00A01675" w:rsidRDefault="003C2485" w:rsidP="003C2485">
      <w:pPr>
        <w:tabs>
          <w:tab w:val="left" w:pos="3306"/>
          <w:tab w:val="left" w:pos="4629"/>
          <w:tab w:val="left" w:pos="5685"/>
          <w:tab w:val="left" w:pos="6835"/>
          <w:tab w:val="left" w:pos="7999"/>
          <w:tab w:val="left" w:pos="9070"/>
        </w:tabs>
        <w:spacing w:line="23" w:lineRule="atLeast"/>
        <w:rPr>
          <w:rFonts w:ascii="Palatino Linotype" w:hAnsi="Palatino Linotype"/>
          <w:bCs/>
          <w:sz w:val="18"/>
          <w:szCs w:val="18"/>
        </w:rPr>
      </w:pPr>
      <w:r w:rsidRPr="00A01675">
        <w:rPr>
          <w:rFonts w:ascii="Palatino Linotype" w:hAnsi="Palatino Linotype"/>
          <w:bCs/>
          <w:sz w:val="18"/>
          <w:szCs w:val="18"/>
        </w:rPr>
        <w:t>Source: World Federation of Exchanges</w:t>
      </w:r>
    </w:p>
    <w:p w:rsidR="003C2485" w:rsidRPr="00A01675" w:rsidRDefault="003C2485" w:rsidP="003C2485">
      <w:pPr>
        <w:rPr>
          <w:rFonts w:ascii="Palatino Linotype" w:eastAsia="Times New Roman" w:hAnsi="Palatino Linotype"/>
          <w:bCs/>
          <w:sz w:val="22"/>
          <w:szCs w:val="22"/>
          <w:lang w:val="en-US"/>
        </w:rPr>
      </w:pPr>
    </w:p>
    <w:p w:rsidR="003C2485" w:rsidRPr="00A01675" w:rsidRDefault="003C2485" w:rsidP="003C2485">
      <w:pPr>
        <w:rPr>
          <w:rFonts w:ascii="Palatino Linotype" w:eastAsia="Times New Roman" w:hAnsi="Palatino Linotype"/>
          <w:bCs/>
          <w:sz w:val="22"/>
          <w:szCs w:val="22"/>
          <w:lang w:val="en-US"/>
        </w:rPr>
      </w:pPr>
      <w:r w:rsidRPr="00A01675">
        <w:rPr>
          <w:rFonts w:ascii="Palatino Linotype" w:eastAsia="Times New Roman" w:hAnsi="Palatino Linotype"/>
          <w:bCs/>
          <w:sz w:val="22"/>
          <w:szCs w:val="22"/>
          <w:lang w:val="en-US"/>
        </w:rPr>
        <w:br w:type="page"/>
      </w:r>
    </w:p>
    <w:p w:rsidR="003C2485" w:rsidRPr="00A01675" w:rsidRDefault="003C2485" w:rsidP="003C2485">
      <w:pPr>
        <w:spacing w:line="23" w:lineRule="atLeast"/>
        <w:rPr>
          <w:rFonts w:ascii="Palatino Linotype" w:eastAsia="Times New Roman" w:hAnsi="Palatino Linotype"/>
          <w:b/>
          <w:bCs/>
          <w:szCs w:val="22"/>
          <w:lang w:val="en-US"/>
        </w:rPr>
      </w:pPr>
      <w:r w:rsidRPr="00A01675">
        <w:rPr>
          <w:rFonts w:ascii="Palatino Linotype" w:eastAsia="Times New Roman" w:hAnsi="Palatino Linotype"/>
          <w:b/>
          <w:bCs/>
          <w:szCs w:val="22"/>
          <w:lang w:val="en-US"/>
        </w:rPr>
        <w:t xml:space="preserve">Table A5: Index Futures and Index Options Traded in Major Exchanges </w:t>
      </w:r>
    </w:p>
    <w:p w:rsidR="003C2485" w:rsidRPr="00A01675" w:rsidRDefault="003C2485" w:rsidP="003C2485">
      <w:pPr>
        <w:spacing w:line="23" w:lineRule="atLeast"/>
        <w:ind w:right="-177"/>
        <w:jc w:val="right"/>
        <w:rPr>
          <w:rFonts w:ascii="Palatino Linotype" w:eastAsia="Times New Roman" w:hAnsi="Palatino Linotype"/>
          <w:bCs/>
          <w:sz w:val="22"/>
          <w:szCs w:val="22"/>
          <w:lang w:val="en-US"/>
        </w:rPr>
      </w:pPr>
      <w:r w:rsidRPr="00A01675">
        <w:rPr>
          <w:rFonts w:ascii="Palatino Linotype" w:hAnsi="Palatino Linotype"/>
          <w:bCs/>
          <w:sz w:val="22"/>
          <w:szCs w:val="22"/>
        </w:rPr>
        <w:t>Notional Turnover in (USD million)</w:t>
      </w:r>
    </w:p>
    <w:tbl>
      <w:tblPr>
        <w:tblW w:w="5302" w:type="pct"/>
        <w:tblLook w:val="04A0" w:firstRow="1" w:lastRow="0" w:firstColumn="1" w:lastColumn="0" w:noHBand="0" w:noVBand="1"/>
      </w:tblPr>
      <w:tblGrid>
        <w:gridCol w:w="3182"/>
        <w:gridCol w:w="1626"/>
        <w:gridCol w:w="1090"/>
        <w:gridCol w:w="1103"/>
        <w:gridCol w:w="1285"/>
        <w:gridCol w:w="1090"/>
        <w:gridCol w:w="1088"/>
      </w:tblGrid>
      <w:tr w:rsidR="003C2485" w:rsidRPr="002A7EF3" w:rsidTr="003C2485">
        <w:trPr>
          <w:trHeight w:val="224"/>
        </w:trPr>
        <w:tc>
          <w:tcPr>
            <w:tcW w:w="1520"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3C2485" w:rsidRPr="002A7EF3" w:rsidRDefault="003C2485" w:rsidP="003C2485">
            <w:pPr>
              <w:jc w:val="center"/>
              <w:rPr>
                <w:rFonts w:ascii="Palatino Linotype" w:eastAsia="Times New Roman" w:hAnsi="Palatino Linotype" w:cs="Calibri"/>
                <w:b/>
                <w:bCs/>
                <w:color w:val="000000"/>
                <w:sz w:val="18"/>
                <w:szCs w:val="18"/>
                <w:lang w:val="en-IN" w:eastAsia="en-IN" w:bidi="hi-IN"/>
              </w:rPr>
            </w:pPr>
            <w:r w:rsidRPr="002A7EF3">
              <w:rPr>
                <w:rFonts w:ascii="Palatino Linotype" w:eastAsia="Times New Roman" w:hAnsi="Palatino Linotype" w:cs="Calibri"/>
                <w:b/>
                <w:bCs/>
                <w:color w:val="000000"/>
                <w:sz w:val="18"/>
                <w:szCs w:val="18"/>
                <w:lang w:val="en-IN" w:eastAsia="en-IN" w:bidi="hi-IN"/>
              </w:rPr>
              <w:t>Exchange</w:t>
            </w:r>
          </w:p>
        </w:tc>
        <w:tc>
          <w:tcPr>
            <w:tcW w:w="3480" w:type="pct"/>
            <w:gridSpan w:val="6"/>
            <w:tcBorders>
              <w:top w:val="single" w:sz="4" w:space="0" w:color="auto"/>
              <w:left w:val="nil"/>
              <w:bottom w:val="single" w:sz="4" w:space="0" w:color="auto"/>
              <w:right w:val="single" w:sz="4" w:space="0" w:color="auto"/>
            </w:tcBorders>
            <w:shd w:val="clear" w:color="000000" w:fill="B4C6E7"/>
            <w:vAlign w:val="center"/>
            <w:hideMark/>
          </w:tcPr>
          <w:p w:rsidR="003C2485" w:rsidRPr="002A7EF3" w:rsidRDefault="003C2485" w:rsidP="003C2485">
            <w:pPr>
              <w:jc w:val="center"/>
              <w:rPr>
                <w:rFonts w:ascii="Palatino Linotype" w:hAnsi="Palatino Linotype" w:cs="Calibri"/>
                <w:b/>
                <w:bCs/>
                <w:color w:val="000000"/>
                <w:sz w:val="18"/>
                <w:szCs w:val="18"/>
                <w:lang w:val="en-IN" w:eastAsia="en-IN" w:bidi="hi-IN"/>
              </w:rPr>
            </w:pPr>
            <w:r w:rsidRPr="002A7EF3">
              <w:rPr>
                <w:rFonts w:ascii="Palatino Linotype" w:eastAsia="Times New Roman" w:hAnsi="Palatino Linotype" w:cs="Calibri"/>
                <w:b/>
                <w:bCs/>
                <w:color w:val="000000"/>
                <w:sz w:val="18"/>
                <w:szCs w:val="18"/>
                <w:lang w:val="en-IN" w:eastAsia="en-IN" w:bidi="hi-IN"/>
              </w:rPr>
              <w:t>Jul-21</w:t>
            </w:r>
          </w:p>
        </w:tc>
      </w:tr>
      <w:tr w:rsidR="003C2485" w:rsidRPr="002A7EF3" w:rsidTr="003C2485">
        <w:trPr>
          <w:trHeight w:val="224"/>
        </w:trPr>
        <w:tc>
          <w:tcPr>
            <w:tcW w:w="1520" w:type="pct"/>
            <w:vMerge/>
            <w:tcBorders>
              <w:top w:val="single" w:sz="4" w:space="0" w:color="auto"/>
              <w:left w:val="single" w:sz="4" w:space="0" w:color="auto"/>
              <w:bottom w:val="single" w:sz="4" w:space="0" w:color="auto"/>
              <w:right w:val="single" w:sz="4" w:space="0" w:color="auto"/>
            </w:tcBorders>
            <w:vAlign w:val="center"/>
            <w:hideMark/>
          </w:tcPr>
          <w:p w:rsidR="003C2485" w:rsidRPr="002A7EF3" w:rsidRDefault="003C2485" w:rsidP="003C2485">
            <w:pPr>
              <w:rPr>
                <w:rFonts w:ascii="Palatino Linotype" w:eastAsia="Times New Roman" w:hAnsi="Palatino Linotype" w:cs="Calibri"/>
                <w:b/>
                <w:bCs/>
                <w:color w:val="000000"/>
                <w:sz w:val="18"/>
                <w:szCs w:val="18"/>
                <w:lang w:val="en-IN" w:eastAsia="en-IN" w:bidi="hi-IN"/>
              </w:rPr>
            </w:pPr>
          </w:p>
        </w:tc>
        <w:tc>
          <w:tcPr>
            <w:tcW w:w="1824" w:type="pct"/>
            <w:gridSpan w:val="3"/>
            <w:tcBorders>
              <w:top w:val="single" w:sz="4" w:space="0" w:color="auto"/>
              <w:left w:val="nil"/>
              <w:bottom w:val="single" w:sz="4" w:space="0" w:color="auto"/>
              <w:right w:val="single" w:sz="4" w:space="0" w:color="000000"/>
            </w:tcBorders>
            <w:shd w:val="clear" w:color="000000" w:fill="B4C6E7"/>
            <w:vAlign w:val="center"/>
            <w:hideMark/>
          </w:tcPr>
          <w:p w:rsidR="003C2485" w:rsidRPr="002A7EF3" w:rsidRDefault="003C2485" w:rsidP="003C2485">
            <w:pPr>
              <w:jc w:val="center"/>
              <w:rPr>
                <w:rFonts w:ascii="Palatino Linotype" w:eastAsia="Times New Roman" w:hAnsi="Palatino Linotype" w:cs="Calibri"/>
                <w:b/>
                <w:bCs/>
                <w:color w:val="000000"/>
                <w:sz w:val="18"/>
                <w:szCs w:val="18"/>
                <w:lang w:val="en-IN" w:eastAsia="en-IN" w:bidi="hi-IN"/>
              </w:rPr>
            </w:pPr>
            <w:r w:rsidRPr="002A7EF3">
              <w:rPr>
                <w:rFonts w:ascii="Palatino Linotype" w:eastAsia="Times New Roman" w:hAnsi="Palatino Linotype" w:cs="Calibri"/>
                <w:b/>
                <w:bCs/>
                <w:color w:val="000000"/>
                <w:sz w:val="18"/>
                <w:szCs w:val="18"/>
                <w:lang w:val="en-IN" w:eastAsia="en-IN" w:bidi="hi-IN"/>
              </w:rPr>
              <w:t>Stock Index Futures</w:t>
            </w:r>
          </w:p>
        </w:tc>
        <w:tc>
          <w:tcPr>
            <w:tcW w:w="1656" w:type="pct"/>
            <w:gridSpan w:val="3"/>
            <w:tcBorders>
              <w:top w:val="single" w:sz="4" w:space="0" w:color="auto"/>
              <w:left w:val="single" w:sz="4" w:space="0" w:color="auto"/>
              <w:bottom w:val="single" w:sz="4" w:space="0" w:color="auto"/>
              <w:right w:val="single" w:sz="4" w:space="0" w:color="000000"/>
            </w:tcBorders>
            <w:shd w:val="clear" w:color="000000" w:fill="B4C6E7"/>
            <w:vAlign w:val="center"/>
            <w:hideMark/>
          </w:tcPr>
          <w:p w:rsidR="003C2485" w:rsidRPr="002A7EF3" w:rsidRDefault="003C2485" w:rsidP="003C2485">
            <w:pPr>
              <w:jc w:val="center"/>
              <w:rPr>
                <w:rFonts w:ascii="Palatino Linotype" w:eastAsia="Times New Roman" w:hAnsi="Palatino Linotype" w:cs="Calibri"/>
                <w:b/>
                <w:bCs/>
                <w:color w:val="000000"/>
                <w:sz w:val="18"/>
                <w:szCs w:val="18"/>
                <w:lang w:val="en-IN" w:eastAsia="en-IN" w:bidi="hi-IN"/>
              </w:rPr>
            </w:pPr>
            <w:r w:rsidRPr="002A7EF3">
              <w:rPr>
                <w:rFonts w:ascii="Palatino Linotype" w:eastAsia="Times New Roman" w:hAnsi="Palatino Linotype" w:cs="Calibri"/>
                <w:b/>
                <w:bCs/>
                <w:color w:val="000000"/>
                <w:sz w:val="18"/>
                <w:szCs w:val="18"/>
                <w:lang w:val="en-IN" w:eastAsia="en-IN" w:bidi="hi-IN"/>
              </w:rPr>
              <w:t>Stock Index Options</w:t>
            </w:r>
          </w:p>
        </w:tc>
      </w:tr>
      <w:tr w:rsidR="003C2485" w:rsidRPr="002A7EF3" w:rsidTr="003C2485">
        <w:trPr>
          <w:trHeight w:val="584"/>
        </w:trPr>
        <w:tc>
          <w:tcPr>
            <w:tcW w:w="1520" w:type="pct"/>
            <w:vMerge/>
            <w:tcBorders>
              <w:top w:val="single" w:sz="4" w:space="0" w:color="auto"/>
              <w:left w:val="single" w:sz="4" w:space="0" w:color="auto"/>
              <w:bottom w:val="single" w:sz="4" w:space="0" w:color="auto"/>
              <w:right w:val="single" w:sz="4" w:space="0" w:color="auto"/>
            </w:tcBorders>
            <w:vAlign w:val="center"/>
            <w:hideMark/>
          </w:tcPr>
          <w:p w:rsidR="003C2485" w:rsidRPr="002A7EF3" w:rsidRDefault="003C2485" w:rsidP="003C2485">
            <w:pPr>
              <w:rPr>
                <w:rFonts w:ascii="Palatino Linotype" w:eastAsia="Times New Roman" w:hAnsi="Palatino Linotype" w:cs="Calibri"/>
                <w:b/>
                <w:bCs/>
                <w:color w:val="000000"/>
                <w:sz w:val="18"/>
                <w:szCs w:val="18"/>
                <w:lang w:val="en-IN" w:eastAsia="en-IN" w:bidi="hi-IN"/>
              </w:rPr>
            </w:pPr>
          </w:p>
        </w:tc>
        <w:tc>
          <w:tcPr>
            <w:tcW w:w="777" w:type="pct"/>
            <w:tcBorders>
              <w:top w:val="single" w:sz="4" w:space="0" w:color="auto"/>
              <w:left w:val="nil"/>
              <w:bottom w:val="single" w:sz="4" w:space="0" w:color="auto"/>
              <w:right w:val="single" w:sz="4" w:space="0" w:color="auto"/>
            </w:tcBorders>
            <w:shd w:val="clear" w:color="000000" w:fill="B4C6E7"/>
            <w:vAlign w:val="center"/>
            <w:hideMark/>
          </w:tcPr>
          <w:p w:rsidR="003C2485" w:rsidRPr="002A7EF3" w:rsidRDefault="003C2485" w:rsidP="003C2485">
            <w:pPr>
              <w:jc w:val="center"/>
              <w:rPr>
                <w:rFonts w:ascii="Palatino Linotype" w:eastAsia="Times New Roman" w:hAnsi="Palatino Linotype" w:cs="Calibri"/>
                <w:b/>
                <w:bCs/>
                <w:color w:val="000000"/>
                <w:sz w:val="18"/>
                <w:szCs w:val="18"/>
                <w:lang w:val="en-IN" w:eastAsia="en-IN" w:bidi="hi-IN"/>
              </w:rPr>
            </w:pPr>
            <w:r w:rsidRPr="002A7EF3">
              <w:rPr>
                <w:rFonts w:ascii="Palatino Linotype" w:eastAsia="Times New Roman" w:hAnsi="Palatino Linotype" w:cs="Calibri"/>
                <w:b/>
                <w:bCs/>
                <w:color w:val="000000"/>
                <w:sz w:val="18"/>
                <w:szCs w:val="18"/>
                <w:lang w:val="en-IN" w:eastAsia="en-IN" w:bidi="hi-IN"/>
              </w:rPr>
              <w:t>Number of</w:t>
            </w:r>
            <w:r w:rsidRPr="002A7EF3">
              <w:rPr>
                <w:rFonts w:ascii="Palatino Linotype" w:eastAsia="Times New Roman" w:hAnsi="Palatino Linotype" w:cs="Calibri"/>
                <w:b/>
                <w:bCs/>
                <w:color w:val="000000"/>
                <w:sz w:val="18"/>
                <w:szCs w:val="18"/>
                <w:lang w:val="en-IN" w:eastAsia="en-IN" w:bidi="hi-IN"/>
              </w:rPr>
              <w:br/>
              <w:t>Contracts Traded</w:t>
            </w:r>
          </w:p>
        </w:tc>
        <w:tc>
          <w:tcPr>
            <w:tcW w:w="521" w:type="pct"/>
            <w:tcBorders>
              <w:top w:val="single" w:sz="4" w:space="0" w:color="auto"/>
              <w:left w:val="nil"/>
              <w:bottom w:val="single" w:sz="4" w:space="0" w:color="auto"/>
              <w:right w:val="single" w:sz="4" w:space="0" w:color="auto"/>
            </w:tcBorders>
            <w:shd w:val="clear" w:color="000000" w:fill="B4C6E7"/>
            <w:vAlign w:val="center"/>
            <w:hideMark/>
          </w:tcPr>
          <w:p w:rsidR="003C2485" w:rsidRPr="002A7EF3" w:rsidRDefault="003C2485" w:rsidP="003C2485">
            <w:pPr>
              <w:jc w:val="center"/>
              <w:rPr>
                <w:rFonts w:ascii="Palatino Linotype" w:eastAsia="Times New Roman" w:hAnsi="Palatino Linotype" w:cs="Calibri"/>
                <w:b/>
                <w:bCs/>
                <w:color w:val="000000"/>
                <w:sz w:val="18"/>
                <w:szCs w:val="18"/>
                <w:lang w:val="en-IN" w:eastAsia="en-IN" w:bidi="hi-IN"/>
              </w:rPr>
            </w:pPr>
            <w:r w:rsidRPr="002A7EF3">
              <w:rPr>
                <w:rFonts w:ascii="Palatino Linotype" w:eastAsia="Times New Roman" w:hAnsi="Palatino Linotype" w:cs="Calibri"/>
                <w:b/>
                <w:bCs/>
                <w:color w:val="000000"/>
                <w:sz w:val="18"/>
                <w:szCs w:val="18"/>
                <w:lang w:val="en-IN" w:eastAsia="en-IN" w:bidi="hi-IN"/>
              </w:rPr>
              <w:t>Notional</w:t>
            </w:r>
            <w:r w:rsidRPr="002A7EF3">
              <w:rPr>
                <w:rFonts w:ascii="Palatino Linotype" w:eastAsia="Times New Roman" w:hAnsi="Palatino Linotype" w:cs="Calibri"/>
                <w:b/>
                <w:bCs/>
                <w:color w:val="000000"/>
                <w:sz w:val="18"/>
                <w:szCs w:val="18"/>
                <w:lang w:val="en-IN" w:eastAsia="en-IN" w:bidi="hi-IN"/>
              </w:rPr>
              <w:br/>
              <w:t>Turnover</w:t>
            </w:r>
          </w:p>
        </w:tc>
        <w:tc>
          <w:tcPr>
            <w:tcW w:w="527" w:type="pct"/>
            <w:tcBorders>
              <w:top w:val="single" w:sz="4" w:space="0" w:color="auto"/>
              <w:left w:val="nil"/>
              <w:bottom w:val="single" w:sz="4" w:space="0" w:color="auto"/>
              <w:right w:val="single" w:sz="4" w:space="0" w:color="auto"/>
            </w:tcBorders>
            <w:shd w:val="clear" w:color="000000" w:fill="B4C6E7"/>
            <w:vAlign w:val="center"/>
            <w:hideMark/>
          </w:tcPr>
          <w:p w:rsidR="003C2485" w:rsidRPr="002A7EF3" w:rsidRDefault="003C2485" w:rsidP="003C2485">
            <w:pPr>
              <w:jc w:val="center"/>
              <w:rPr>
                <w:rFonts w:ascii="Palatino Linotype" w:eastAsia="Times New Roman" w:hAnsi="Palatino Linotype" w:cs="Calibri"/>
                <w:b/>
                <w:bCs/>
                <w:color w:val="000000"/>
                <w:sz w:val="18"/>
                <w:szCs w:val="18"/>
                <w:lang w:val="en-IN" w:eastAsia="en-IN" w:bidi="hi-IN"/>
              </w:rPr>
            </w:pPr>
            <w:r w:rsidRPr="002A7EF3">
              <w:rPr>
                <w:rFonts w:ascii="Palatino Linotype" w:eastAsia="Times New Roman" w:hAnsi="Palatino Linotype" w:cs="Calibri"/>
                <w:b/>
                <w:bCs/>
                <w:color w:val="000000"/>
                <w:sz w:val="18"/>
                <w:szCs w:val="18"/>
                <w:lang w:val="en-IN" w:eastAsia="en-IN" w:bidi="hi-IN"/>
              </w:rPr>
              <w:t>Open</w:t>
            </w:r>
            <w:r w:rsidRPr="002A7EF3">
              <w:rPr>
                <w:rFonts w:ascii="Palatino Linotype" w:eastAsia="Times New Roman" w:hAnsi="Palatino Linotype" w:cs="Calibri"/>
                <w:b/>
                <w:bCs/>
                <w:color w:val="000000"/>
                <w:sz w:val="18"/>
                <w:szCs w:val="18"/>
                <w:lang w:val="en-IN" w:eastAsia="en-IN" w:bidi="hi-IN"/>
              </w:rPr>
              <w:br/>
              <w:t>Interest</w:t>
            </w:r>
          </w:p>
        </w:tc>
        <w:tc>
          <w:tcPr>
            <w:tcW w:w="614" w:type="pct"/>
            <w:tcBorders>
              <w:top w:val="single" w:sz="4" w:space="0" w:color="auto"/>
              <w:left w:val="nil"/>
              <w:bottom w:val="single" w:sz="4" w:space="0" w:color="auto"/>
              <w:right w:val="single" w:sz="4" w:space="0" w:color="auto"/>
            </w:tcBorders>
            <w:shd w:val="clear" w:color="000000" w:fill="B4C6E7"/>
            <w:vAlign w:val="center"/>
            <w:hideMark/>
          </w:tcPr>
          <w:p w:rsidR="003C2485" w:rsidRPr="002A7EF3" w:rsidRDefault="003C2485" w:rsidP="003C2485">
            <w:pPr>
              <w:jc w:val="center"/>
              <w:rPr>
                <w:rFonts w:ascii="Palatino Linotype" w:eastAsia="Times New Roman" w:hAnsi="Palatino Linotype" w:cs="Calibri"/>
                <w:b/>
                <w:bCs/>
                <w:color w:val="000000"/>
                <w:sz w:val="18"/>
                <w:szCs w:val="18"/>
                <w:lang w:val="en-IN" w:eastAsia="en-IN" w:bidi="hi-IN"/>
              </w:rPr>
            </w:pPr>
            <w:r w:rsidRPr="002A7EF3">
              <w:rPr>
                <w:rFonts w:ascii="Palatino Linotype" w:eastAsia="Times New Roman" w:hAnsi="Palatino Linotype" w:cs="Calibri"/>
                <w:b/>
                <w:bCs/>
                <w:color w:val="000000"/>
                <w:sz w:val="18"/>
                <w:szCs w:val="18"/>
                <w:lang w:val="en-IN" w:eastAsia="en-IN" w:bidi="hi-IN"/>
              </w:rPr>
              <w:t>Number of</w:t>
            </w:r>
            <w:r w:rsidRPr="002A7EF3">
              <w:rPr>
                <w:rFonts w:ascii="Palatino Linotype" w:eastAsia="Times New Roman" w:hAnsi="Palatino Linotype" w:cs="Calibri"/>
                <w:b/>
                <w:bCs/>
                <w:color w:val="000000"/>
                <w:sz w:val="18"/>
                <w:szCs w:val="18"/>
                <w:lang w:val="en-IN" w:eastAsia="en-IN" w:bidi="hi-IN"/>
              </w:rPr>
              <w:br/>
              <w:t>Contracts Traded</w:t>
            </w:r>
          </w:p>
        </w:tc>
        <w:tc>
          <w:tcPr>
            <w:tcW w:w="521" w:type="pct"/>
            <w:tcBorders>
              <w:top w:val="single" w:sz="4" w:space="0" w:color="auto"/>
              <w:left w:val="nil"/>
              <w:bottom w:val="single" w:sz="4" w:space="0" w:color="auto"/>
              <w:right w:val="single" w:sz="4" w:space="0" w:color="auto"/>
            </w:tcBorders>
            <w:shd w:val="clear" w:color="000000" w:fill="B4C6E7"/>
            <w:vAlign w:val="center"/>
            <w:hideMark/>
          </w:tcPr>
          <w:p w:rsidR="003C2485" w:rsidRPr="002A7EF3" w:rsidRDefault="003C2485" w:rsidP="003C2485">
            <w:pPr>
              <w:jc w:val="center"/>
              <w:rPr>
                <w:rFonts w:ascii="Palatino Linotype" w:eastAsia="Times New Roman" w:hAnsi="Palatino Linotype" w:cs="Calibri"/>
                <w:b/>
                <w:bCs/>
                <w:color w:val="000000"/>
                <w:sz w:val="18"/>
                <w:szCs w:val="18"/>
                <w:lang w:val="en-IN" w:eastAsia="en-IN" w:bidi="hi-IN"/>
              </w:rPr>
            </w:pPr>
            <w:r w:rsidRPr="002A7EF3">
              <w:rPr>
                <w:rFonts w:ascii="Palatino Linotype" w:eastAsia="Times New Roman" w:hAnsi="Palatino Linotype" w:cs="Calibri"/>
                <w:b/>
                <w:bCs/>
                <w:color w:val="000000"/>
                <w:sz w:val="18"/>
                <w:szCs w:val="18"/>
                <w:lang w:val="en-IN" w:eastAsia="en-IN" w:bidi="hi-IN"/>
              </w:rPr>
              <w:t>Notional</w:t>
            </w:r>
            <w:r w:rsidRPr="002A7EF3">
              <w:rPr>
                <w:rFonts w:ascii="Palatino Linotype" w:eastAsia="Times New Roman" w:hAnsi="Palatino Linotype" w:cs="Calibri"/>
                <w:b/>
                <w:bCs/>
                <w:color w:val="000000"/>
                <w:sz w:val="18"/>
                <w:szCs w:val="18"/>
                <w:lang w:val="en-IN" w:eastAsia="en-IN" w:bidi="hi-IN"/>
              </w:rPr>
              <w:br/>
              <w:t>Turnover</w:t>
            </w:r>
          </w:p>
        </w:tc>
        <w:tc>
          <w:tcPr>
            <w:tcW w:w="521" w:type="pct"/>
            <w:tcBorders>
              <w:top w:val="single" w:sz="4" w:space="0" w:color="auto"/>
              <w:left w:val="nil"/>
              <w:bottom w:val="single" w:sz="4" w:space="0" w:color="auto"/>
              <w:right w:val="single" w:sz="4" w:space="0" w:color="auto"/>
            </w:tcBorders>
            <w:shd w:val="clear" w:color="000000" w:fill="B4C6E7"/>
            <w:vAlign w:val="center"/>
            <w:hideMark/>
          </w:tcPr>
          <w:p w:rsidR="003C2485" w:rsidRPr="002A7EF3" w:rsidRDefault="003C2485" w:rsidP="003C2485">
            <w:pPr>
              <w:jc w:val="center"/>
              <w:rPr>
                <w:rFonts w:ascii="Palatino Linotype" w:eastAsia="Times New Roman" w:hAnsi="Palatino Linotype" w:cs="Calibri"/>
                <w:b/>
                <w:bCs/>
                <w:color w:val="000000"/>
                <w:sz w:val="18"/>
                <w:szCs w:val="18"/>
                <w:lang w:val="en-IN" w:eastAsia="en-IN" w:bidi="hi-IN"/>
              </w:rPr>
            </w:pPr>
            <w:r w:rsidRPr="002A7EF3">
              <w:rPr>
                <w:rFonts w:ascii="Palatino Linotype" w:eastAsia="Times New Roman" w:hAnsi="Palatino Linotype" w:cs="Calibri"/>
                <w:b/>
                <w:bCs/>
                <w:color w:val="000000"/>
                <w:sz w:val="18"/>
                <w:szCs w:val="18"/>
                <w:lang w:val="en-IN" w:eastAsia="en-IN" w:bidi="hi-IN"/>
              </w:rPr>
              <w:t>Open</w:t>
            </w:r>
            <w:r w:rsidRPr="002A7EF3">
              <w:rPr>
                <w:rFonts w:ascii="Palatino Linotype" w:eastAsia="Times New Roman" w:hAnsi="Palatino Linotype" w:cs="Calibri"/>
                <w:b/>
                <w:bCs/>
                <w:color w:val="000000"/>
                <w:sz w:val="18"/>
                <w:szCs w:val="18"/>
                <w:lang w:val="en-IN" w:eastAsia="en-IN" w:bidi="hi-IN"/>
              </w:rPr>
              <w:br/>
              <w:t>Interest</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B3 - Brasil Bolsa Balcão</w:t>
            </w:r>
          </w:p>
        </w:tc>
        <w:tc>
          <w:tcPr>
            <w:tcW w:w="777" w:type="pct"/>
            <w:tcBorders>
              <w:top w:val="single" w:sz="8" w:space="0" w:color="auto"/>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lang w:val="en-IN" w:eastAsia="en-IN" w:bidi="hi-IN"/>
              </w:rPr>
            </w:pPr>
            <w:r w:rsidRPr="002A7EF3">
              <w:rPr>
                <w:rFonts w:ascii="Palatino Linotype" w:hAnsi="Palatino Linotype" w:cs="Calibri"/>
                <w:color w:val="000000"/>
                <w:sz w:val="18"/>
                <w:szCs w:val="18"/>
              </w:rPr>
              <w:t xml:space="preserve"> 405,487,634</w:t>
            </w:r>
          </w:p>
        </w:tc>
        <w:tc>
          <w:tcPr>
            <w:tcW w:w="521" w:type="pct"/>
            <w:tcBorders>
              <w:top w:val="single" w:sz="8" w:space="0" w:color="auto"/>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3,036,362</w:t>
            </w:r>
          </w:p>
        </w:tc>
        <w:tc>
          <w:tcPr>
            <w:tcW w:w="527" w:type="pct"/>
            <w:tcBorders>
              <w:top w:val="single" w:sz="8" w:space="0" w:color="auto"/>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1,412,557</w:t>
            </w:r>
          </w:p>
        </w:tc>
        <w:tc>
          <w:tcPr>
            <w:tcW w:w="614" w:type="pct"/>
            <w:tcBorders>
              <w:top w:val="single" w:sz="8" w:space="0" w:color="auto"/>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6,110,425</w:t>
            </w:r>
          </w:p>
        </w:tc>
        <w:tc>
          <w:tcPr>
            <w:tcW w:w="521" w:type="pct"/>
            <w:tcBorders>
              <w:top w:val="single" w:sz="8" w:space="0" w:color="auto"/>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3,294</w:t>
            </w:r>
          </w:p>
        </w:tc>
        <w:tc>
          <w:tcPr>
            <w:tcW w:w="521" w:type="pct"/>
            <w:tcBorders>
              <w:top w:val="single" w:sz="8" w:space="0" w:color="auto"/>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511,403</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Bolsa de Valores de Colombia</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3,002</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2</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6,109</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Bolsa Mexicana de Valores</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20,142</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498</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17,820</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490</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12</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462</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Cboe Global Markets</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40,276,280</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23,175,570</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Nasdaq - US</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727,266</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MIAX Exchange Group</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33,510</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88</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3,257</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7</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Matba Rofex</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80,597</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74</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6,799</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589</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0</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345</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CME Group</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85,575,679</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11,569,392</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4,706,578</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14,546,348</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3,362,721</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3,719,523</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Cboe Futures Exchange</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4,709,282</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316,448</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ASX Australian Securities Exchange</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845,449</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111,559</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289,905</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423,191</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22,296</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428,870</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Hong Kong Exchanges and Clearing</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9,107,702</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885,538</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692,061</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2,795,245</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284,576</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1,833,915</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Japan Exchange Group</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22,324,216</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1,010,318</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1,394,418</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1,910,425</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1,568,203</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Korea Exchange</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7,210,179</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437,879</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606,724</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42,826,049</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3,714,183</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2,661,785</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National Stock Exchange of India</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6,217,505</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69,612</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292,690</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1148,363,055</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14,378,995</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3,927,420</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Singapore Exchange</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15,236,473</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1,465,787</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402,296</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1,549,882</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Taiwan Futures Exchange</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10,732,263</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697,818</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147,049</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17,645,049</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556,957</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405,522</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Thailand Futures Exchange</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3,376,759</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368,501</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110,465</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59,364</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Bursa Malaysia Derivatives</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210,247</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3,776</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30,316</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417</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0</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156</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China Financial Futures Exchange</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6,364,029</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1,321,282</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594,546</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2,856,408</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3,448</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192,844</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Athens Stock Exchange</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24,388</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121</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5,791</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3,726</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18</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1,753</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BME Spanish Exchanges</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542,425</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48,752</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109,553</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86,666</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856</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608,339</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Borsa Istanbul</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4,119,862</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7,318</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557,337</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17,643</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32</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26,339</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Budapest Stock Exchange</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24,988</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39</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11,864</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0</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0</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0</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Deutsche Boerse AG</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27,999,496</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1,800,088</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9,839,950</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25,068,729</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1,097,975</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51,148,458</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Euronext</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3,257,238</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320,313</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757,894</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1,562,537</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129,890</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875,811</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Moscow Exchange</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12,626,854</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40,336</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514,266</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1,230,885</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3,952</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464,440</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Nasdaq Nordic and Baltics</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2,779,284</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74,584</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443,173</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352,558</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9,507</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332,288</w:t>
            </w:r>
          </w:p>
        </w:tc>
      </w:tr>
      <w:tr w:rsidR="003C2485" w:rsidRPr="002A7EF3" w:rsidTr="003C2485">
        <w:trPr>
          <w:trHeight w:val="224"/>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Tel-Aviv Stock Exchange</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NA</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2,166,288</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112,180</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138,747</w:t>
            </w:r>
          </w:p>
        </w:tc>
      </w:tr>
      <w:tr w:rsidR="003C2485" w:rsidRPr="002A7EF3" w:rsidTr="003C2485">
        <w:trPr>
          <w:trHeight w:val="236"/>
        </w:trPr>
        <w:tc>
          <w:tcPr>
            <w:tcW w:w="1520" w:type="pct"/>
            <w:tcBorders>
              <w:top w:val="nil"/>
              <w:left w:val="single" w:sz="4" w:space="0" w:color="auto"/>
              <w:bottom w:val="nil"/>
              <w:right w:val="nil"/>
            </w:tcBorders>
            <w:shd w:val="clear" w:color="000000" w:fill="B4C6E7"/>
            <w:vAlign w:val="center"/>
            <w:hideMark/>
          </w:tcPr>
          <w:p w:rsidR="003C2485" w:rsidRPr="002A7EF3" w:rsidRDefault="003C2485" w:rsidP="003C2485">
            <w:pPr>
              <w:rPr>
                <w:rFonts w:ascii="Palatino Linotype" w:eastAsia="Times New Roman" w:hAnsi="Palatino Linotype" w:cs="Calibri"/>
                <w:color w:val="000000"/>
                <w:sz w:val="18"/>
                <w:szCs w:val="18"/>
                <w:lang w:val="en-IN" w:eastAsia="en-IN" w:bidi="hi-IN"/>
              </w:rPr>
            </w:pPr>
            <w:r w:rsidRPr="002A7EF3">
              <w:rPr>
                <w:rFonts w:ascii="Palatino Linotype" w:eastAsia="Times New Roman" w:hAnsi="Palatino Linotype" w:cs="Calibri"/>
                <w:color w:val="000000"/>
                <w:sz w:val="18"/>
                <w:szCs w:val="18"/>
                <w:lang w:val="en-IN" w:eastAsia="en-IN" w:bidi="hi-IN"/>
              </w:rPr>
              <w:t>Warsaw Stock Exchange</w:t>
            </w:r>
          </w:p>
        </w:tc>
        <w:tc>
          <w:tcPr>
            <w:tcW w:w="777" w:type="pct"/>
            <w:tcBorders>
              <w:top w:val="nil"/>
              <w:left w:val="single" w:sz="8" w:space="0" w:color="auto"/>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292,693</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3,391</w:t>
            </w:r>
          </w:p>
        </w:tc>
        <w:tc>
          <w:tcPr>
            <w:tcW w:w="527"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46,589</w:t>
            </w:r>
          </w:p>
        </w:tc>
        <w:tc>
          <w:tcPr>
            <w:tcW w:w="614"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10,656</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63</w:t>
            </w:r>
          </w:p>
        </w:tc>
        <w:tc>
          <w:tcPr>
            <w:tcW w:w="521" w:type="pct"/>
            <w:tcBorders>
              <w:top w:val="nil"/>
              <w:left w:val="nil"/>
              <w:bottom w:val="nil"/>
              <w:right w:val="single" w:sz="8" w:space="0" w:color="auto"/>
            </w:tcBorders>
            <w:shd w:val="clear" w:color="auto" w:fill="auto"/>
            <w:vAlign w:val="center"/>
            <w:hideMark/>
          </w:tcPr>
          <w:p w:rsidR="003C2485" w:rsidRPr="002A7EF3" w:rsidRDefault="003C2485" w:rsidP="003C2485">
            <w:pPr>
              <w:jc w:val="right"/>
              <w:rPr>
                <w:rFonts w:ascii="Palatino Linotype" w:hAnsi="Palatino Linotype" w:cs="Calibri"/>
                <w:color w:val="000000"/>
                <w:sz w:val="18"/>
                <w:szCs w:val="18"/>
              </w:rPr>
            </w:pPr>
            <w:r w:rsidRPr="002A7EF3">
              <w:rPr>
                <w:rFonts w:ascii="Palatino Linotype" w:hAnsi="Palatino Linotype" w:cs="Calibri"/>
                <w:color w:val="000000"/>
                <w:sz w:val="18"/>
                <w:szCs w:val="18"/>
              </w:rPr>
              <w:t xml:space="preserve"> 12,765</w:t>
            </w:r>
          </w:p>
        </w:tc>
      </w:tr>
      <w:tr w:rsidR="003C2485" w:rsidRPr="002A7EF3" w:rsidTr="003C2485">
        <w:trPr>
          <w:trHeight w:val="236"/>
        </w:trPr>
        <w:tc>
          <w:tcPr>
            <w:tcW w:w="1520" w:type="pct"/>
            <w:tcBorders>
              <w:top w:val="single" w:sz="8" w:space="0" w:color="auto"/>
              <w:left w:val="single" w:sz="8" w:space="0" w:color="auto"/>
              <w:bottom w:val="single" w:sz="8" w:space="0" w:color="auto"/>
              <w:right w:val="nil"/>
            </w:tcBorders>
            <w:shd w:val="clear" w:color="000000" w:fill="D9E1F2"/>
            <w:vAlign w:val="center"/>
            <w:hideMark/>
          </w:tcPr>
          <w:p w:rsidR="003C2485" w:rsidRPr="002A7EF3" w:rsidRDefault="003C2485" w:rsidP="003C2485">
            <w:pPr>
              <w:rPr>
                <w:rFonts w:ascii="Palatino Linotype" w:eastAsia="Times New Roman" w:hAnsi="Palatino Linotype" w:cs="Calibri"/>
                <w:b/>
                <w:bCs/>
                <w:color w:val="000000"/>
                <w:sz w:val="18"/>
                <w:szCs w:val="18"/>
                <w:lang w:val="en-IN" w:eastAsia="en-IN" w:bidi="hi-IN"/>
              </w:rPr>
            </w:pPr>
            <w:r w:rsidRPr="002A7EF3">
              <w:rPr>
                <w:rFonts w:ascii="Palatino Linotype" w:eastAsia="Times New Roman" w:hAnsi="Palatino Linotype" w:cs="Calibri"/>
                <w:b/>
                <w:bCs/>
                <w:color w:val="000000"/>
                <w:sz w:val="18"/>
                <w:szCs w:val="18"/>
                <w:lang w:val="en-IN" w:eastAsia="en-IN" w:bidi="hi-IN"/>
              </w:rPr>
              <w:t>Grand Total</w:t>
            </w:r>
          </w:p>
        </w:tc>
        <w:tc>
          <w:tcPr>
            <w:tcW w:w="777" w:type="pct"/>
            <w:tcBorders>
              <w:top w:val="single" w:sz="8" w:space="0" w:color="auto"/>
              <w:left w:val="nil"/>
              <w:bottom w:val="single" w:sz="8" w:space="0" w:color="auto"/>
              <w:right w:val="nil"/>
            </w:tcBorders>
            <w:shd w:val="clear" w:color="000000" w:fill="D9E1F2"/>
            <w:vAlign w:val="bottom"/>
            <w:hideMark/>
          </w:tcPr>
          <w:p w:rsidR="003C2485" w:rsidRPr="002A7EF3" w:rsidRDefault="003C2485" w:rsidP="003C2485">
            <w:pPr>
              <w:jc w:val="right"/>
              <w:rPr>
                <w:rFonts w:ascii="Palatino Linotype" w:hAnsi="Palatino Linotype" w:cs="Calibri"/>
                <w:b/>
                <w:bCs/>
                <w:color w:val="000000"/>
                <w:sz w:val="18"/>
                <w:szCs w:val="18"/>
              </w:rPr>
            </w:pPr>
            <w:r w:rsidRPr="002A7EF3">
              <w:rPr>
                <w:rFonts w:ascii="Palatino Linotype" w:hAnsi="Palatino Linotype" w:cs="Calibri"/>
                <w:b/>
                <w:bCs/>
                <w:color w:val="000000"/>
                <w:sz w:val="18"/>
                <w:szCs w:val="18"/>
              </w:rPr>
              <w:t xml:space="preserve"> 629,201,896</w:t>
            </w:r>
          </w:p>
        </w:tc>
        <w:tc>
          <w:tcPr>
            <w:tcW w:w="521" w:type="pct"/>
            <w:tcBorders>
              <w:top w:val="single" w:sz="8" w:space="0" w:color="auto"/>
              <w:left w:val="nil"/>
              <w:bottom w:val="single" w:sz="8" w:space="0" w:color="auto"/>
              <w:right w:val="nil"/>
            </w:tcBorders>
            <w:shd w:val="clear" w:color="000000" w:fill="D9E1F2"/>
            <w:vAlign w:val="bottom"/>
            <w:hideMark/>
          </w:tcPr>
          <w:p w:rsidR="003C2485" w:rsidRPr="002A7EF3" w:rsidRDefault="003C2485" w:rsidP="003C2485">
            <w:pPr>
              <w:jc w:val="right"/>
              <w:rPr>
                <w:rFonts w:ascii="Palatino Linotype" w:hAnsi="Palatino Linotype" w:cs="Calibri"/>
                <w:b/>
                <w:bCs/>
                <w:color w:val="000000"/>
                <w:sz w:val="18"/>
                <w:szCs w:val="18"/>
              </w:rPr>
            </w:pPr>
            <w:r w:rsidRPr="002A7EF3">
              <w:rPr>
                <w:rFonts w:ascii="Palatino Linotype" w:hAnsi="Palatino Linotype" w:cs="Calibri"/>
                <w:b/>
                <w:bCs/>
                <w:color w:val="000000"/>
                <w:sz w:val="18"/>
                <w:szCs w:val="18"/>
              </w:rPr>
              <w:t xml:space="preserve"> 21,439,055</w:t>
            </w:r>
          </w:p>
        </w:tc>
        <w:tc>
          <w:tcPr>
            <w:tcW w:w="527" w:type="pct"/>
            <w:tcBorders>
              <w:top w:val="single" w:sz="8" w:space="0" w:color="auto"/>
              <w:left w:val="nil"/>
              <w:bottom w:val="single" w:sz="8" w:space="0" w:color="auto"/>
              <w:right w:val="nil"/>
            </w:tcBorders>
            <w:shd w:val="clear" w:color="000000" w:fill="D9E1F2"/>
            <w:vAlign w:val="bottom"/>
            <w:hideMark/>
          </w:tcPr>
          <w:p w:rsidR="003C2485" w:rsidRPr="002A7EF3" w:rsidRDefault="003C2485" w:rsidP="003C2485">
            <w:pPr>
              <w:jc w:val="right"/>
              <w:rPr>
                <w:rFonts w:ascii="Palatino Linotype" w:hAnsi="Palatino Linotype" w:cs="Calibri"/>
                <w:b/>
                <w:bCs/>
                <w:color w:val="000000"/>
                <w:sz w:val="18"/>
                <w:szCs w:val="18"/>
              </w:rPr>
            </w:pPr>
            <w:r w:rsidRPr="002A7EF3">
              <w:rPr>
                <w:rFonts w:ascii="Palatino Linotype" w:hAnsi="Palatino Linotype" w:cs="Calibri"/>
                <w:b/>
                <w:bCs/>
                <w:color w:val="000000"/>
                <w:sz w:val="18"/>
                <w:szCs w:val="18"/>
              </w:rPr>
              <w:t xml:space="preserve"> 24,634,813</w:t>
            </w:r>
          </w:p>
        </w:tc>
        <w:tc>
          <w:tcPr>
            <w:tcW w:w="614" w:type="pct"/>
            <w:tcBorders>
              <w:top w:val="single" w:sz="8" w:space="0" w:color="auto"/>
              <w:left w:val="nil"/>
              <w:bottom w:val="single" w:sz="8" w:space="0" w:color="auto"/>
              <w:right w:val="nil"/>
            </w:tcBorders>
            <w:shd w:val="clear" w:color="000000" w:fill="D9E1F2"/>
            <w:vAlign w:val="bottom"/>
            <w:hideMark/>
          </w:tcPr>
          <w:p w:rsidR="003C2485" w:rsidRPr="002A7EF3" w:rsidRDefault="003C2485" w:rsidP="003C2485">
            <w:pPr>
              <w:jc w:val="right"/>
              <w:rPr>
                <w:rFonts w:ascii="Palatino Linotype" w:hAnsi="Palatino Linotype" w:cs="Calibri"/>
                <w:b/>
                <w:bCs/>
                <w:color w:val="000000"/>
                <w:sz w:val="18"/>
                <w:szCs w:val="18"/>
              </w:rPr>
            </w:pPr>
            <w:r w:rsidRPr="002A7EF3">
              <w:rPr>
                <w:rFonts w:ascii="Palatino Linotype" w:hAnsi="Palatino Linotype" w:cs="Calibri"/>
                <w:b/>
                <w:bCs/>
                <w:color w:val="000000"/>
                <w:sz w:val="18"/>
                <w:szCs w:val="18"/>
              </w:rPr>
              <w:t xml:space="preserve"> 1309,496,943</w:t>
            </w:r>
          </w:p>
        </w:tc>
        <w:tc>
          <w:tcPr>
            <w:tcW w:w="521" w:type="pct"/>
            <w:tcBorders>
              <w:top w:val="single" w:sz="8" w:space="0" w:color="auto"/>
              <w:left w:val="nil"/>
              <w:bottom w:val="single" w:sz="8" w:space="0" w:color="auto"/>
              <w:right w:val="nil"/>
            </w:tcBorders>
            <w:shd w:val="clear" w:color="000000" w:fill="D9E1F2"/>
            <w:vAlign w:val="bottom"/>
            <w:hideMark/>
          </w:tcPr>
          <w:p w:rsidR="003C2485" w:rsidRPr="002A7EF3" w:rsidRDefault="003C2485" w:rsidP="003C2485">
            <w:pPr>
              <w:jc w:val="right"/>
              <w:rPr>
                <w:rFonts w:ascii="Palatino Linotype" w:hAnsi="Palatino Linotype" w:cs="Calibri"/>
                <w:b/>
                <w:bCs/>
                <w:color w:val="000000"/>
                <w:sz w:val="18"/>
                <w:szCs w:val="18"/>
              </w:rPr>
            </w:pPr>
            <w:r w:rsidRPr="002A7EF3">
              <w:rPr>
                <w:rFonts w:ascii="Palatino Linotype" w:hAnsi="Palatino Linotype" w:cs="Calibri"/>
                <w:b/>
                <w:bCs/>
                <w:color w:val="000000"/>
                <w:sz w:val="18"/>
                <w:szCs w:val="18"/>
              </w:rPr>
              <w:t xml:space="preserve"> 23,680,961</w:t>
            </w:r>
          </w:p>
        </w:tc>
        <w:tc>
          <w:tcPr>
            <w:tcW w:w="521" w:type="pct"/>
            <w:tcBorders>
              <w:top w:val="single" w:sz="8" w:space="0" w:color="auto"/>
              <w:left w:val="nil"/>
              <w:bottom w:val="single" w:sz="8" w:space="0" w:color="auto"/>
              <w:right w:val="single" w:sz="8" w:space="0" w:color="auto"/>
            </w:tcBorders>
            <w:shd w:val="clear" w:color="000000" w:fill="D9E1F2"/>
            <w:vAlign w:val="bottom"/>
            <w:hideMark/>
          </w:tcPr>
          <w:p w:rsidR="003C2485" w:rsidRPr="002A7EF3" w:rsidRDefault="003C2485" w:rsidP="003C2485">
            <w:pPr>
              <w:jc w:val="right"/>
              <w:rPr>
                <w:rFonts w:ascii="Palatino Linotype" w:hAnsi="Palatino Linotype" w:cs="Calibri"/>
                <w:b/>
                <w:bCs/>
                <w:color w:val="000000"/>
                <w:sz w:val="18"/>
                <w:szCs w:val="18"/>
              </w:rPr>
            </w:pPr>
            <w:r w:rsidRPr="002A7EF3">
              <w:rPr>
                <w:rFonts w:ascii="Palatino Linotype" w:hAnsi="Palatino Linotype" w:cs="Calibri"/>
                <w:b/>
                <w:bCs/>
                <w:color w:val="000000"/>
                <w:sz w:val="18"/>
                <w:szCs w:val="18"/>
              </w:rPr>
              <w:t xml:space="preserve"> 93,644,204</w:t>
            </w:r>
          </w:p>
        </w:tc>
      </w:tr>
    </w:tbl>
    <w:p w:rsidR="003C2485" w:rsidRPr="00A01675" w:rsidRDefault="003C2485" w:rsidP="003C2485">
      <w:pPr>
        <w:spacing w:line="23" w:lineRule="atLeast"/>
        <w:jc w:val="both"/>
        <w:outlineLvl w:val="0"/>
        <w:rPr>
          <w:rFonts w:ascii="Palatino Linotype" w:eastAsia="Times New Roman" w:hAnsi="Palatino Linotype" w:cs="Calibri"/>
          <w:color w:val="000000"/>
          <w:sz w:val="20"/>
          <w:szCs w:val="20"/>
          <w:lang w:val="en-IN" w:eastAsia="en-IN"/>
        </w:rPr>
      </w:pPr>
      <w:r w:rsidRPr="00A01675">
        <w:rPr>
          <w:rFonts w:ascii="Palatino Linotype" w:hAnsi="Palatino Linotype"/>
          <w:bCs/>
          <w:sz w:val="18"/>
          <w:szCs w:val="18"/>
        </w:rPr>
        <w:t>NA: Not Available</w:t>
      </w:r>
      <w:r w:rsidRPr="00A01675">
        <w:rPr>
          <w:rFonts w:ascii="Palatino Linotype" w:eastAsia="Times New Roman" w:hAnsi="Palatino Linotype" w:cs="Calibri"/>
          <w:color w:val="000000"/>
          <w:sz w:val="20"/>
          <w:szCs w:val="20"/>
          <w:lang w:val="en-IN" w:eastAsia="en-IN"/>
        </w:rPr>
        <w:t>.</w:t>
      </w:r>
    </w:p>
    <w:p w:rsidR="003C2485" w:rsidRPr="00A01675" w:rsidRDefault="003C2485" w:rsidP="003C2485">
      <w:pPr>
        <w:spacing w:line="23" w:lineRule="atLeast"/>
        <w:jc w:val="both"/>
        <w:outlineLvl w:val="0"/>
        <w:rPr>
          <w:rFonts w:ascii="Palatino Linotype" w:eastAsia="Times New Roman" w:hAnsi="Palatino Linotype"/>
          <w:bCs/>
          <w:sz w:val="18"/>
          <w:szCs w:val="18"/>
          <w:lang w:val="en-US"/>
        </w:rPr>
      </w:pPr>
      <w:r w:rsidRPr="00A01675">
        <w:rPr>
          <w:rFonts w:ascii="Palatino Linotype" w:hAnsi="Palatino Linotype"/>
          <w:bCs/>
          <w:sz w:val="18"/>
          <w:szCs w:val="18"/>
        </w:rPr>
        <w:t>Source: World Federation of Exchanges</w:t>
      </w:r>
      <w:r w:rsidRPr="00A01675">
        <w:rPr>
          <w:rFonts w:ascii="Palatino Linotype" w:eastAsia="Times New Roman" w:hAnsi="Palatino Linotype"/>
          <w:bCs/>
          <w:sz w:val="18"/>
          <w:szCs w:val="18"/>
          <w:lang w:val="en-US"/>
        </w:rPr>
        <w:tab/>
      </w:r>
    </w:p>
    <w:p w:rsidR="003C2485" w:rsidRPr="00A01675" w:rsidRDefault="003C2485" w:rsidP="003C2485">
      <w:pPr>
        <w:spacing w:line="23" w:lineRule="atLeast"/>
        <w:jc w:val="both"/>
        <w:outlineLvl w:val="0"/>
        <w:rPr>
          <w:rFonts w:ascii="Palatino Linotype" w:eastAsia="Times New Roman" w:hAnsi="Palatino Linotype"/>
          <w:bCs/>
          <w:sz w:val="18"/>
          <w:szCs w:val="18"/>
          <w:lang w:val="en-US"/>
        </w:rPr>
      </w:pPr>
    </w:p>
    <w:p w:rsidR="003C2485" w:rsidRPr="00A01675" w:rsidRDefault="003C2485" w:rsidP="003C2485">
      <w:pPr>
        <w:rPr>
          <w:rFonts w:ascii="Palatino Linotype" w:hAnsi="Palatino Linotype"/>
          <w:bCs/>
          <w:sz w:val="22"/>
          <w:szCs w:val="22"/>
        </w:rPr>
      </w:pPr>
      <w:r w:rsidRPr="00A01675">
        <w:rPr>
          <w:rFonts w:ascii="Palatino Linotype" w:hAnsi="Palatino Linotype"/>
          <w:bCs/>
          <w:sz w:val="22"/>
          <w:szCs w:val="22"/>
        </w:rPr>
        <w:br w:type="page"/>
      </w:r>
    </w:p>
    <w:p w:rsidR="003C2485" w:rsidRPr="00A01675" w:rsidRDefault="003C2485" w:rsidP="003C2485">
      <w:pPr>
        <w:spacing w:line="23" w:lineRule="atLeast"/>
        <w:jc w:val="both"/>
        <w:rPr>
          <w:rFonts w:ascii="Palatino Linotype" w:hAnsi="Palatino Linotype"/>
          <w:b/>
          <w:sz w:val="28"/>
          <w:lang w:val="en-US"/>
        </w:rPr>
      </w:pPr>
      <w:r w:rsidRPr="00A01675">
        <w:rPr>
          <w:rFonts w:ascii="Palatino Linotype" w:hAnsi="Palatino Linotype"/>
          <w:b/>
          <w:bCs/>
          <w:szCs w:val="22"/>
        </w:rPr>
        <w:t>Table A6: Currency Futures and Options Traded in Major Exchanges</w:t>
      </w:r>
    </w:p>
    <w:p w:rsidR="003C2485" w:rsidRPr="00A01675" w:rsidRDefault="003C2485" w:rsidP="003C2485">
      <w:pPr>
        <w:ind w:right="-318"/>
        <w:jc w:val="right"/>
        <w:rPr>
          <w:rFonts w:ascii="Palatino Linotype" w:eastAsia="Times New Roman" w:hAnsi="Palatino Linotype"/>
          <w:bCs/>
          <w:sz w:val="22"/>
          <w:szCs w:val="22"/>
          <w:lang w:val="en-US"/>
        </w:rPr>
      </w:pPr>
      <w:r w:rsidRPr="00A01675">
        <w:rPr>
          <w:rFonts w:ascii="Palatino Linotype" w:hAnsi="Palatino Linotype"/>
          <w:bCs/>
          <w:sz w:val="22"/>
          <w:szCs w:val="22"/>
        </w:rPr>
        <w:t>Notional Turnover in (USD million)</w:t>
      </w:r>
    </w:p>
    <w:tbl>
      <w:tblPr>
        <w:tblW w:w="5059" w:type="pct"/>
        <w:tblLook w:val="04A0" w:firstRow="1" w:lastRow="0" w:firstColumn="1" w:lastColumn="0" w:noHBand="0" w:noVBand="1"/>
      </w:tblPr>
      <w:tblGrid>
        <w:gridCol w:w="3433"/>
        <w:gridCol w:w="1189"/>
        <w:gridCol w:w="1046"/>
        <w:gridCol w:w="1090"/>
        <w:gridCol w:w="1188"/>
        <w:gridCol w:w="1046"/>
        <w:gridCol w:w="992"/>
      </w:tblGrid>
      <w:tr w:rsidR="003C2485" w:rsidRPr="008205D3" w:rsidTr="003C2485">
        <w:trPr>
          <w:trHeight w:val="222"/>
        </w:trPr>
        <w:tc>
          <w:tcPr>
            <w:tcW w:w="1719"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3C2485" w:rsidRPr="008205D3" w:rsidRDefault="003C2485" w:rsidP="003C2485">
            <w:pPr>
              <w:jc w:val="center"/>
              <w:rPr>
                <w:rFonts w:ascii="Palatino Linotype" w:eastAsia="Times New Roman" w:hAnsi="Palatino Linotype" w:cs="Calibri"/>
                <w:b/>
                <w:bCs/>
                <w:color w:val="000000"/>
                <w:sz w:val="18"/>
                <w:szCs w:val="18"/>
                <w:lang w:val="en-IN" w:eastAsia="en-IN" w:bidi="hi-IN"/>
              </w:rPr>
            </w:pPr>
            <w:r w:rsidRPr="008205D3">
              <w:rPr>
                <w:rFonts w:ascii="Palatino Linotype" w:eastAsia="Times New Roman" w:hAnsi="Palatino Linotype" w:cs="Calibri"/>
                <w:b/>
                <w:bCs/>
                <w:color w:val="000000"/>
                <w:sz w:val="18"/>
                <w:szCs w:val="18"/>
                <w:lang w:val="en-IN" w:eastAsia="en-IN" w:bidi="hi-IN"/>
              </w:rPr>
              <w:t>Exchange</w:t>
            </w:r>
          </w:p>
        </w:tc>
        <w:tc>
          <w:tcPr>
            <w:tcW w:w="3281" w:type="pct"/>
            <w:gridSpan w:val="6"/>
            <w:tcBorders>
              <w:top w:val="single" w:sz="4" w:space="0" w:color="auto"/>
              <w:left w:val="nil"/>
              <w:bottom w:val="single" w:sz="4" w:space="0" w:color="auto"/>
              <w:right w:val="single" w:sz="4" w:space="0" w:color="auto"/>
            </w:tcBorders>
            <w:shd w:val="clear" w:color="000000" w:fill="B4C6E7"/>
            <w:vAlign w:val="center"/>
            <w:hideMark/>
          </w:tcPr>
          <w:p w:rsidR="003C2485" w:rsidRPr="008205D3" w:rsidRDefault="003C2485" w:rsidP="003C2485">
            <w:pPr>
              <w:jc w:val="center"/>
              <w:rPr>
                <w:rFonts w:ascii="Palatino Linotype" w:eastAsia="Times New Roman" w:hAnsi="Palatino Linotype" w:cs="Calibri"/>
                <w:b/>
                <w:bCs/>
                <w:color w:val="000000"/>
                <w:sz w:val="18"/>
                <w:szCs w:val="18"/>
                <w:lang w:val="en-IN" w:eastAsia="en-IN" w:bidi="hi-IN"/>
              </w:rPr>
            </w:pPr>
            <w:r w:rsidRPr="008205D3">
              <w:rPr>
                <w:rFonts w:ascii="Palatino Linotype" w:eastAsia="Times New Roman" w:hAnsi="Palatino Linotype" w:cs="Calibri"/>
                <w:b/>
                <w:bCs/>
                <w:color w:val="000000"/>
                <w:sz w:val="18"/>
                <w:szCs w:val="18"/>
                <w:lang w:val="en-IN" w:eastAsia="en-IN" w:bidi="hi-IN"/>
              </w:rPr>
              <w:t>Jul-21</w:t>
            </w:r>
          </w:p>
        </w:tc>
      </w:tr>
      <w:tr w:rsidR="003C2485" w:rsidRPr="008205D3" w:rsidTr="003C2485">
        <w:trPr>
          <w:trHeight w:val="222"/>
        </w:trPr>
        <w:tc>
          <w:tcPr>
            <w:tcW w:w="1719" w:type="pct"/>
            <w:vMerge/>
            <w:tcBorders>
              <w:top w:val="single" w:sz="4" w:space="0" w:color="auto"/>
              <w:left w:val="single" w:sz="4" w:space="0" w:color="auto"/>
              <w:bottom w:val="single" w:sz="4" w:space="0" w:color="auto"/>
              <w:right w:val="single" w:sz="4" w:space="0" w:color="auto"/>
            </w:tcBorders>
            <w:vAlign w:val="center"/>
            <w:hideMark/>
          </w:tcPr>
          <w:p w:rsidR="003C2485" w:rsidRPr="008205D3" w:rsidRDefault="003C2485" w:rsidP="003C2485">
            <w:pPr>
              <w:rPr>
                <w:rFonts w:ascii="Palatino Linotype" w:eastAsia="Times New Roman" w:hAnsi="Palatino Linotype" w:cs="Calibri"/>
                <w:b/>
                <w:bCs/>
                <w:color w:val="000000"/>
                <w:sz w:val="18"/>
                <w:szCs w:val="18"/>
                <w:lang w:val="en-IN" w:eastAsia="en-IN" w:bidi="hi-IN"/>
              </w:rPr>
            </w:pPr>
          </w:p>
        </w:tc>
        <w:tc>
          <w:tcPr>
            <w:tcW w:w="1665" w:type="pct"/>
            <w:gridSpan w:val="3"/>
            <w:tcBorders>
              <w:top w:val="single" w:sz="4" w:space="0" w:color="auto"/>
              <w:left w:val="nil"/>
              <w:bottom w:val="single" w:sz="4" w:space="0" w:color="auto"/>
              <w:right w:val="single" w:sz="4" w:space="0" w:color="auto"/>
            </w:tcBorders>
            <w:shd w:val="clear" w:color="000000" w:fill="B4C6E7"/>
            <w:vAlign w:val="center"/>
            <w:hideMark/>
          </w:tcPr>
          <w:p w:rsidR="003C2485" w:rsidRPr="008205D3" w:rsidRDefault="003C2485" w:rsidP="003C2485">
            <w:pPr>
              <w:jc w:val="center"/>
              <w:rPr>
                <w:rFonts w:ascii="Palatino Linotype" w:eastAsia="Times New Roman" w:hAnsi="Palatino Linotype" w:cs="Calibri"/>
                <w:b/>
                <w:bCs/>
                <w:color w:val="000000"/>
                <w:sz w:val="18"/>
                <w:szCs w:val="18"/>
                <w:lang w:val="en-IN" w:eastAsia="en-IN" w:bidi="hi-IN"/>
              </w:rPr>
            </w:pPr>
            <w:r w:rsidRPr="008205D3">
              <w:rPr>
                <w:rFonts w:ascii="Palatino Linotype" w:eastAsia="Times New Roman" w:hAnsi="Palatino Linotype" w:cs="Calibri"/>
                <w:b/>
                <w:bCs/>
                <w:color w:val="000000"/>
                <w:sz w:val="18"/>
                <w:szCs w:val="18"/>
                <w:lang w:val="en-IN" w:eastAsia="en-IN" w:bidi="hi-IN"/>
              </w:rPr>
              <w:t>Currency Futures</w:t>
            </w:r>
          </w:p>
        </w:tc>
        <w:tc>
          <w:tcPr>
            <w:tcW w:w="1616" w:type="pct"/>
            <w:gridSpan w:val="3"/>
            <w:tcBorders>
              <w:top w:val="single" w:sz="4" w:space="0" w:color="auto"/>
              <w:left w:val="nil"/>
              <w:bottom w:val="single" w:sz="4" w:space="0" w:color="auto"/>
              <w:right w:val="single" w:sz="4" w:space="0" w:color="auto"/>
            </w:tcBorders>
            <w:shd w:val="clear" w:color="000000" w:fill="B4C6E7"/>
            <w:vAlign w:val="center"/>
            <w:hideMark/>
          </w:tcPr>
          <w:p w:rsidR="003C2485" w:rsidRPr="008205D3" w:rsidRDefault="003C2485" w:rsidP="003C2485">
            <w:pPr>
              <w:jc w:val="center"/>
              <w:rPr>
                <w:rFonts w:ascii="Palatino Linotype" w:eastAsia="Times New Roman" w:hAnsi="Palatino Linotype" w:cs="Calibri"/>
                <w:b/>
                <w:bCs/>
                <w:color w:val="000000"/>
                <w:sz w:val="18"/>
                <w:szCs w:val="18"/>
                <w:lang w:val="en-IN" w:eastAsia="en-IN" w:bidi="hi-IN"/>
              </w:rPr>
            </w:pPr>
            <w:r w:rsidRPr="008205D3">
              <w:rPr>
                <w:rFonts w:ascii="Palatino Linotype" w:eastAsia="Times New Roman" w:hAnsi="Palatino Linotype" w:cs="Calibri"/>
                <w:b/>
                <w:bCs/>
                <w:color w:val="000000"/>
                <w:sz w:val="18"/>
                <w:szCs w:val="18"/>
                <w:lang w:val="en-IN" w:eastAsia="en-IN" w:bidi="hi-IN"/>
              </w:rPr>
              <w:t>Currency Options</w:t>
            </w:r>
          </w:p>
        </w:tc>
      </w:tr>
      <w:tr w:rsidR="003C2485" w:rsidRPr="008205D3" w:rsidTr="003C2485">
        <w:trPr>
          <w:trHeight w:val="577"/>
        </w:trPr>
        <w:tc>
          <w:tcPr>
            <w:tcW w:w="1719" w:type="pct"/>
            <w:vMerge/>
            <w:tcBorders>
              <w:top w:val="single" w:sz="4" w:space="0" w:color="auto"/>
              <w:left w:val="single" w:sz="4" w:space="0" w:color="auto"/>
              <w:bottom w:val="single" w:sz="4" w:space="0" w:color="auto"/>
              <w:right w:val="single" w:sz="4" w:space="0" w:color="auto"/>
            </w:tcBorders>
            <w:vAlign w:val="center"/>
            <w:hideMark/>
          </w:tcPr>
          <w:p w:rsidR="003C2485" w:rsidRPr="008205D3" w:rsidRDefault="003C2485" w:rsidP="003C2485">
            <w:pPr>
              <w:rPr>
                <w:rFonts w:ascii="Palatino Linotype" w:eastAsia="Times New Roman" w:hAnsi="Palatino Linotype" w:cs="Calibri"/>
                <w:b/>
                <w:bCs/>
                <w:color w:val="000000"/>
                <w:sz w:val="18"/>
                <w:szCs w:val="18"/>
                <w:lang w:val="en-IN" w:eastAsia="en-IN" w:bidi="hi-IN"/>
              </w:rPr>
            </w:pPr>
          </w:p>
        </w:tc>
        <w:tc>
          <w:tcPr>
            <w:tcW w:w="595" w:type="pct"/>
            <w:tcBorders>
              <w:top w:val="nil"/>
              <w:left w:val="nil"/>
              <w:bottom w:val="single" w:sz="4" w:space="0" w:color="auto"/>
              <w:right w:val="single" w:sz="4" w:space="0" w:color="auto"/>
            </w:tcBorders>
            <w:shd w:val="clear" w:color="000000" w:fill="B4C6E7"/>
            <w:vAlign w:val="center"/>
            <w:hideMark/>
          </w:tcPr>
          <w:p w:rsidR="003C2485" w:rsidRPr="008205D3" w:rsidRDefault="003C2485" w:rsidP="003C2485">
            <w:pPr>
              <w:jc w:val="center"/>
              <w:rPr>
                <w:rFonts w:ascii="Palatino Linotype" w:eastAsia="Times New Roman" w:hAnsi="Palatino Linotype" w:cs="Calibri"/>
                <w:b/>
                <w:bCs/>
                <w:color w:val="000000"/>
                <w:sz w:val="18"/>
                <w:szCs w:val="18"/>
                <w:lang w:val="en-IN" w:eastAsia="en-IN" w:bidi="hi-IN"/>
              </w:rPr>
            </w:pPr>
            <w:r w:rsidRPr="008205D3">
              <w:rPr>
                <w:rFonts w:ascii="Palatino Linotype" w:eastAsia="Times New Roman" w:hAnsi="Palatino Linotype" w:cs="Calibri"/>
                <w:b/>
                <w:bCs/>
                <w:color w:val="000000"/>
                <w:sz w:val="18"/>
                <w:szCs w:val="18"/>
                <w:lang w:val="en-IN" w:eastAsia="en-IN" w:bidi="hi-IN"/>
              </w:rPr>
              <w:t>Number of</w:t>
            </w:r>
            <w:r w:rsidRPr="008205D3">
              <w:rPr>
                <w:rFonts w:ascii="Palatino Linotype" w:eastAsia="Times New Roman" w:hAnsi="Palatino Linotype" w:cs="Calibri"/>
                <w:b/>
                <w:bCs/>
                <w:color w:val="000000"/>
                <w:sz w:val="18"/>
                <w:szCs w:val="18"/>
                <w:lang w:val="en-IN" w:eastAsia="en-IN" w:bidi="hi-IN"/>
              </w:rPr>
              <w:br/>
              <w:t>Contracts Traded</w:t>
            </w:r>
          </w:p>
        </w:tc>
        <w:tc>
          <w:tcPr>
            <w:tcW w:w="524" w:type="pct"/>
            <w:tcBorders>
              <w:top w:val="nil"/>
              <w:left w:val="nil"/>
              <w:bottom w:val="single" w:sz="4" w:space="0" w:color="auto"/>
              <w:right w:val="single" w:sz="4" w:space="0" w:color="auto"/>
            </w:tcBorders>
            <w:shd w:val="clear" w:color="000000" w:fill="B4C6E7"/>
            <w:vAlign w:val="center"/>
            <w:hideMark/>
          </w:tcPr>
          <w:p w:rsidR="003C2485" w:rsidRPr="008205D3" w:rsidRDefault="003C2485" w:rsidP="003C2485">
            <w:pPr>
              <w:jc w:val="center"/>
              <w:rPr>
                <w:rFonts w:ascii="Palatino Linotype" w:eastAsia="Times New Roman" w:hAnsi="Palatino Linotype" w:cs="Calibri"/>
                <w:b/>
                <w:bCs/>
                <w:color w:val="000000"/>
                <w:sz w:val="18"/>
                <w:szCs w:val="18"/>
                <w:lang w:val="en-IN" w:eastAsia="en-IN" w:bidi="hi-IN"/>
              </w:rPr>
            </w:pPr>
            <w:r w:rsidRPr="008205D3">
              <w:rPr>
                <w:rFonts w:ascii="Palatino Linotype" w:eastAsia="Times New Roman" w:hAnsi="Palatino Linotype" w:cs="Calibri"/>
                <w:b/>
                <w:bCs/>
                <w:color w:val="000000"/>
                <w:sz w:val="18"/>
                <w:szCs w:val="18"/>
                <w:lang w:val="en-IN" w:eastAsia="en-IN" w:bidi="hi-IN"/>
              </w:rPr>
              <w:t>Notional</w:t>
            </w:r>
            <w:r w:rsidRPr="008205D3">
              <w:rPr>
                <w:rFonts w:ascii="Palatino Linotype" w:eastAsia="Times New Roman" w:hAnsi="Palatino Linotype" w:cs="Calibri"/>
                <w:b/>
                <w:bCs/>
                <w:color w:val="000000"/>
                <w:sz w:val="18"/>
                <w:szCs w:val="18"/>
                <w:lang w:val="en-IN" w:eastAsia="en-IN" w:bidi="hi-IN"/>
              </w:rPr>
              <w:br/>
              <w:t>Turnover</w:t>
            </w:r>
          </w:p>
        </w:tc>
        <w:tc>
          <w:tcPr>
            <w:tcW w:w="546" w:type="pct"/>
            <w:tcBorders>
              <w:top w:val="nil"/>
              <w:left w:val="nil"/>
              <w:bottom w:val="single" w:sz="4" w:space="0" w:color="auto"/>
              <w:right w:val="single" w:sz="4" w:space="0" w:color="auto"/>
            </w:tcBorders>
            <w:shd w:val="clear" w:color="000000" w:fill="B4C6E7"/>
            <w:vAlign w:val="center"/>
            <w:hideMark/>
          </w:tcPr>
          <w:p w:rsidR="003C2485" w:rsidRPr="008205D3" w:rsidRDefault="003C2485" w:rsidP="003C2485">
            <w:pPr>
              <w:jc w:val="center"/>
              <w:rPr>
                <w:rFonts w:ascii="Palatino Linotype" w:eastAsia="Times New Roman" w:hAnsi="Palatino Linotype" w:cs="Calibri"/>
                <w:b/>
                <w:bCs/>
                <w:color w:val="000000"/>
                <w:sz w:val="18"/>
                <w:szCs w:val="18"/>
                <w:lang w:val="en-IN" w:eastAsia="en-IN" w:bidi="hi-IN"/>
              </w:rPr>
            </w:pPr>
            <w:r w:rsidRPr="008205D3">
              <w:rPr>
                <w:rFonts w:ascii="Palatino Linotype" w:eastAsia="Times New Roman" w:hAnsi="Palatino Linotype" w:cs="Calibri"/>
                <w:b/>
                <w:bCs/>
                <w:color w:val="000000"/>
                <w:sz w:val="18"/>
                <w:szCs w:val="18"/>
                <w:lang w:val="en-IN" w:eastAsia="en-IN" w:bidi="hi-IN"/>
              </w:rPr>
              <w:t>Open</w:t>
            </w:r>
            <w:r w:rsidRPr="008205D3">
              <w:rPr>
                <w:rFonts w:ascii="Palatino Linotype" w:eastAsia="Times New Roman" w:hAnsi="Palatino Linotype" w:cs="Calibri"/>
                <w:b/>
                <w:bCs/>
                <w:color w:val="000000"/>
                <w:sz w:val="18"/>
                <w:szCs w:val="18"/>
                <w:lang w:val="en-IN" w:eastAsia="en-IN" w:bidi="hi-IN"/>
              </w:rPr>
              <w:br/>
              <w:t>Interest</w:t>
            </w:r>
          </w:p>
        </w:tc>
        <w:tc>
          <w:tcPr>
            <w:tcW w:w="595" w:type="pct"/>
            <w:tcBorders>
              <w:top w:val="nil"/>
              <w:left w:val="nil"/>
              <w:bottom w:val="single" w:sz="4" w:space="0" w:color="auto"/>
              <w:right w:val="single" w:sz="4" w:space="0" w:color="auto"/>
            </w:tcBorders>
            <w:shd w:val="clear" w:color="000000" w:fill="B4C6E7"/>
            <w:vAlign w:val="center"/>
            <w:hideMark/>
          </w:tcPr>
          <w:p w:rsidR="003C2485" w:rsidRPr="008205D3" w:rsidRDefault="003C2485" w:rsidP="003C2485">
            <w:pPr>
              <w:jc w:val="center"/>
              <w:rPr>
                <w:rFonts w:ascii="Palatino Linotype" w:eastAsia="Times New Roman" w:hAnsi="Palatino Linotype" w:cs="Calibri"/>
                <w:b/>
                <w:bCs/>
                <w:color w:val="000000"/>
                <w:sz w:val="18"/>
                <w:szCs w:val="18"/>
                <w:lang w:val="en-IN" w:eastAsia="en-IN" w:bidi="hi-IN"/>
              </w:rPr>
            </w:pPr>
            <w:r w:rsidRPr="008205D3">
              <w:rPr>
                <w:rFonts w:ascii="Palatino Linotype" w:eastAsia="Times New Roman" w:hAnsi="Palatino Linotype" w:cs="Calibri"/>
                <w:b/>
                <w:bCs/>
                <w:color w:val="000000"/>
                <w:sz w:val="18"/>
                <w:szCs w:val="18"/>
                <w:lang w:val="en-IN" w:eastAsia="en-IN" w:bidi="hi-IN"/>
              </w:rPr>
              <w:t>Number of</w:t>
            </w:r>
            <w:r w:rsidRPr="008205D3">
              <w:rPr>
                <w:rFonts w:ascii="Palatino Linotype" w:eastAsia="Times New Roman" w:hAnsi="Palatino Linotype" w:cs="Calibri"/>
                <w:b/>
                <w:bCs/>
                <w:color w:val="000000"/>
                <w:sz w:val="18"/>
                <w:szCs w:val="18"/>
                <w:lang w:val="en-IN" w:eastAsia="en-IN" w:bidi="hi-IN"/>
              </w:rPr>
              <w:br/>
              <w:t>Contracts Traded</w:t>
            </w:r>
          </w:p>
        </w:tc>
        <w:tc>
          <w:tcPr>
            <w:tcW w:w="524" w:type="pct"/>
            <w:tcBorders>
              <w:top w:val="nil"/>
              <w:left w:val="nil"/>
              <w:bottom w:val="single" w:sz="4" w:space="0" w:color="auto"/>
              <w:right w:val="single" w:sz="4" w:space="0" w:color="auto"/>
            </w:tcBorders>
            <w:shd w:val="clear" w:color="000000" w:fill="B4C6E7"/>
            <w:vAlign w:val="center"/>
            <w:hideMark/>
          </w:tcPr>
          <w:p w:rsidR="003C2485" w:rsidRPr="008205D3" w:rsidRDefault="003C2485" w:rsidP="003C2485">
            <w:pPr>
              <w:jc w:val="center"/>
              <w:rPr>
                <w:rFonts w:ascii="Palatino Linotype" w:eastAsia="Times New Roman" w:hAnsi="Palatino Linotype" w:cs="Calibri"/>
                <w:b/>
                <w:bCs/>
                <w:color w:val="000000"/>
                <w:sz w:val="18"/>
                <w:szCs w:val="18"/>
                <w:lang w:val="en-IN" w:eastAsia="en-IN" w:bidi="hi-IN"/>
              </w:rPr>
            </w:pPr>
            <w:r w:rsidRPr="008205D3">
              <w:rPr>
                <w:rFonts w:ascii="Palatino Linotype" w:eastAsia="Times New Roman" w:hAnsi="Palatino Linotype" w:cs="Calibri"/>
                <w:b/>
                <w:bCs/>
                <w:color w:val="000000"/>
                <w:sz w:val="18"/>
                <w:szCs w:val="18"/>
                <w:lang w:val="en-IN" w:eastAsia="en-IN" w:bidi="hi-IN"/>
              </w:rPr>
              <w:t>Notional</w:t>
            </w:r>
            <w:r w:rsidRPr="008205D3">
              <w:rPr>
                <w:rFonts w:ascii="Palatino Linotype" w:eastAsia="Times New Roman" w:hAnsi="Palatino Linotype" w:cs="Calibri"/>
                <w:b/>
                <w:bCs/>
                <w:color w:val="000000"/>
                <w:sz w:val="18"/>
                <w:szCs w:val="18"/>
                <w:lang w:val="en-IN" w:eastAsia="en-IN" w:bidi="hi-IN"/>
              </w:rPr>
              <w:br/>
              <w:t>Turnover</w:t>
            </w:r>
          </w:p>
        </w:tc>
        <w:tc>
          <w:tcPr>
            <w:tcW w:w="497" w:type="pct"/>
            <w:tcBorders>
              <w:top w:val="nil"/>
              <w:left w:val="nil"/>
              <w:bottom w:val="single" w:sz="4" w:space="0" w:color="auto"/>
              <w:right w:val="single" w:sz="4" w:space="0" w:color="auto"/>
            </w:tcBorders>
            <w:shd w:val="clear" w:color="000000" w:fill="B4C6E7"/>
            <w:vAlign w:val="center"/>
            <w:hideMark/>
          </w:tcPr>
          <w:p w:rsidR="003C2485" w:rsidRPr="008205D3" w:rsidRDefault="003C2485" w:rsidP="003C2485">
            <w:pPr>
              <w:jc w:val="center"/>
              <w:rPr>
                <w:rFonts w:ascii="Palatino Linotype" w:eastAsia="Times New Roman" w:hAnsi="Palatino Linotype" w:cs="Calibri"/>
                <w:b/>
                <w:bCs/>
                <w:color w:val="000000"/>
                <w:sz w:val="18"/>
                <w:szCs w:val="18"/>
                <w:lang w:val="en-IN" w:eastAsia="en-IN" w:bidi="hi-IN"/>
              </w:rPr>
            </w:pPr>
            <w:r w:rsidRPr="008205D3">
              <w:rPr>
                <w:rFonts w:ascii="Palatino Linotype" w:eastAsia="Times New Roman" w:hAnsi="Palatino Linotype" w:cs="Calibri"/>
                <w:b/>
                <w:bCs/>
                <w:color w:val="000000"/>
                <w:sz w:val="18"/>
                <w:szCs w:val="18"/>
                <w:lang w:val="en-IN" w:eastAsia="en-IN" w:bidi="hi-IN"/>
              </w:rPr>
              <w:t>Open</w:t>
            </w:r>
            <w:r w:rsidRPr="008205D3">
              <w:rPr>
                <w:rFonts w:ascii="Palatino Linotype" w:eastAsia="Times New Roman" w:hAnsi="Palatino Linotype" w:cs="Calibri"/>
                <w:b/>
                <w:bCs/>
                <w:color w:val="000000"/>
                <w:sz w:val="18"/>
                <w:szCs w:val="18"/>
                <w:lang w:val="en-IN" w:eastAsia="en-IN" w:bidi="hi-IN"/>
              </w:rPr>
              <w:br/>
              <w:t>Interest</w:t>
            </w:r>
          </w:p>
        </w:tc>
      </w:tr>
      <w:tr w:rsidR="003C2485" w:rsidRPr="008205D3" w:rsidTr="003C2485">
        <w:trPr>
          <w:trHeight w:val="222"/>
        </w:trPr>
        <w:tc>
          <w:tcPr>
            <w:tcW w:w="1719" w:type="pct"/>
            <w:tcBorders>
              <w:top w:val="nil"/>
              <w:left w:val="single" w:sz="4" w:space="0" w:color="auto"/>
              <w:bottom w:val="nil"/>
              <w:right w:val="nil"/>
            </w:tcBorders>
            <w:shd w:val="clear" w:color="000000" w:fill="B4C6E7"/>
            <w:vAlign w:val="center"/>
            <w:hideMark/>
          </w:tcPr>
          <w:p w:rsidR="003C2485" w:rsidRPr="008205D3" w:rsidRDefault="003C2485" w:rsidP="003C2485">
            <w:pPr>
              <w:rPr>
                <w:rFonts w:ascii="Palatino Linotype" w:eastAsia="Times New Roman" w:hAnsi="Palatino Linotype" w:cs="Calibri"/>
                <w:color w:val="000000"/>
                <w:sz w:val="18"/>
                <w:szCs w:val="18"/>
                <w:lang w:val="en-IN" w:eastAsia="en-IN" w:bidi="hi-IN"/>
              </w:rPr>
            </w:pPr>
            <w:r w:rsidRPr="008205D3">
              <w:rPr>
                <w:rFonts w:ascii="Palatino Linotype" w:eastAsia="Times New Roman" w:hAnsi="Palatino Linotype" w:cs="Calibri"/>
                <w:color w:val="000000"/>
                <w:sz w:val="18"/>
                <w:szCs w:val="18"/>
                <w:lang w:val="en-IN" w:eastAsia="en-IN" w:bidi="hi-IN"/>
              </w:rPr>
              <w:t>B3 - Brasil Bolsa Balcão</w:t>
            </w:r>
          </w:p>
        </w:tc>
        <w:tc>
          <w:tcPr>
            <w:tcW w:w="595" w:type="pct"/>
            <w:tcBorders>
              <w:top w:val="single" w:sz="8" w:space="0" w:color="auto"/>
              <w:left w:val="single" w:sz="8" w:space="0" w:color="auto"/>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lang w:val="en-IN" w:eastAsia="en-IN" w:bidi="hi-IN"/>
              </w:rPr>
            </w:pPr>
            <w:r w:rsidRPr="008205D3">
              <w:rPr>
                <w:rFonts w:ascii="Palatino Linotype" w:hAnsi="Palatino Linotype" w:cs="Calibri"/>
                <w:color w:val="000000"/>
                <w:sz w:val="18"/>
                <w:szCs w:val="18"/>
              </w:rPr>
              <w:t xml:space="preserve"> 80,069,067</w:t>
            </w:r>
          </w:p>
        </w:tc>
        <w:tc>
          <w:tcPr>
            <w:tcW w:w="524" w:type="pct"/>
            <w:tcBorders>
              <w:top w:val="single" w:sz="8" w:space="0" w:color="auto"/>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1,025,738</w:t>
            </w:r>
          </w:p>
        </w:tc>
        <w:tc>
          <w:tcPr>
            <w:tcW w:w="546" w:type="pct"/>
            <w:tcBorders>
              <w:top w:val="single" w:sz="8" w:space="0" w:color="auto"/>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1,202,139</w:t>
            </w:r>
          </w:p>
        </w:tc>
        <w:tc>
          <w:tcPr>
            <w:tcW w:w="595" w:type="pct"/>
            <w:tcBorders>
              <w:top w:val="single" w:sz="8" w:space="0" w:color="auto"/>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596,785</w:t>
            </w:r>
          </w:p>
        </w:tc>
        <w:tc>
          <w:tcPr>
            <w:tcW w:w="524" w:type="pct"/>
            <w:tcBorders>
              <w:top w:val="single" w:sz="8" w:space="0" w:color="auto"/>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345</w:t>
            </w:r>
          </w:p>
        </w:tc>
        <w:tc>
          <w:tcPr>
            <w:tcW w:w="497" w:type="pct"/>
            <w:tcBorders>
              <w:top w:val="single" w:sz="8" w:space="0" w:color="auto"/>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652,381</w:t>
            </w:r>
          </w:p>
        </w:tc>
      </w:tr>
      <w:tr w:rsidR="003C2485" w:rsidRPr="008205D3" w:rsidTr="003C2485">
        <w:trPr>
          <w:trHeight w:val="222"/>
        </w:trPr>
        <w:tc>
          <w:tcPr>
            <w:tcW w:w="1719" w:type="pct"/>
            <w:tcBorders>
              <w:top w:val="nil"/>
              <w:left w:val="single" w:sz="4" w:space="0" w:color="auto"/>
              <w:bottom w:val="nil"/>
              <w:right w:val="nil"/>
            </w:tcBorders>
            <w:shd w:val="clear" w:color="000000" w:fill="B4C6E7"/>
            <w:vAlign w:val="center"/>
            <w:hideMark/>
          </w:tcPr>
          <w:p w:rsidR="003C2485" w:rsidRPr="008205D3" w:rsidRDefault="003C2485" w:rsidP="003C2485">
            <w:pPr>
              <w:rPr>
                <w:rFonts w:ascii="Palatino Linotype" w:eastAsia="Times New Roman" w:hAnsi="Palatino Linotype" w:cs="Calibri"/>
                <w:color w:val="000000"/>
                <w:sz w:val="18"/>
                <w:szCs w:val="18"/>
                <w:lang w:val="en-IN" w:eastAsia="en-IN" w:bidi="hi-IN"/>
              </w:rPr>
            </w:pPr>
            <w:r w:rsidRPr="008205D3">
              <w:rPr>
                <w:rFonts w:ascii="Palatino Linotype" w:eastAsia="Times New Roman" w:hAnsi="Palatino Linotype" w:cs="Calibri"/>
                <w:color w:val="000000"/>
                <w:sz w:val="18"/>
                <w:szCs w:val="18"/>
                <w:lang w:val="en-IN" w:eastAsia="en-IN" w:bidi="hi-IN"/>
              </w:rPr>
              <w:t>Bolsa de Valores de Colombia</w:t>
            </w:r>
          </w:p>
        </w:tc>
        <w:tc>
          <w:tcPr>
            <w:tcW w:w="595" w:type="pct"/>
            <w:tcBorders>
              <w:top w:val="nil"/>
              <w:left w:val="single" w:sz="8" w:space="0" w:color="auto"/>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17,554</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789</w:t>
            </w:r>
          </w:p>
        </w:tc>
        <w:tc>
          <w:tcPr>
            <w:tcW w:w="546"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12,249</w:t>
            </w:r>
          </w:p>
        </w:tc>
        <w:tc>
          <w:tcPr>
            <w:tcW w:w="595"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184</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0</w:t>
            </w:r>
          </w:p>
        </w:tc>
        <w:tc>
          <w:tcPr>
            <w:tcW w:w="497"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227</w:t>
            </w:r>
          </w:p>
        </w:tc>
      </w:tr>
      <w:tr w:rsidR="003C2485" w:rsidRPr="008205D3" w:rsidTr="003C2485">
        <w:trPr>
          <w:trHeight w:val="222"/>
        </w:trPr>
        <w:tc>
          <w:tcPr>
            <w:tcW w:w="1719" w:type="pct"/>
            <w:tcBorders>
              <w:top w:val="nil"/>
              <w:left w:val="single" w:sz="4" w:space="0" w:color="auto"/>
              <w:bottom w:val="nil"/>
              <w:right w:val="nil"/>
            </w:tcBorders>
            <w:shd w:val="clear" w:color="000000" w:fill="B4C6E7"/>
            <w:vAlign w:val="center"/>
            <w:hideMark/>
          </w:tcPr>
          <w:p w:rsidR="003C2485" w:rsidRPr="008205D3" w:rsidRDefault="003C2485" w:rsidP="003C2485">
            <w:pPr>
              <w:rPr>
                <w:rFonts w:ascii="Palatino Linotype" w:eastAsia="Times New Roman" w:hAnsi="Palatino Linotype" w:cs="Calibri"/>
                <w:color w:val="000000"/>
                <w:sz w:val="18"/>
                <w:szCs w:val="18"/>
                <w:lang w:val="en-IN" w:eastAsia="en-IN" w:bidi="hi-IN"/>
              </w:rPr>
            </w:pPr>
            <w:r w:rsidRPr="008205D3">
              <w:rPr>
                <w:rFonts w:ascii="Palatino Linotype" w:eastAsia="Times New Roman" w:hAnsi="Palatino Linotype" w:cs="Calibri"/>
                <w:color w:val="000000"/>
                <w:sz w:val="18"/>
                <w:szCs w:val="18"/>
                <w:lang w:val="en-IN" w:eastAsia="en-IN" w:bidi="hi-IN"/>
              </w:rPr>
              <w:t>Bolsa Mexicana de Valores</w:t>
            </w:r>
          </w:p>
        </w:tc>
        <w:tc>
          <w:tcPr>
            <w:tcW w:w="595" w:type="pct"/>
            <w:tcBorders>
              <w:top w:val="nil"/>
              <w:left w:val="single" w:sz="8" w:space="0" w:color="auto"/>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153,683</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1,555</w:t>
            </w:r>
          </w:p>
        </w:tc>
        <w:tc>
          <w:tcPr>
            <w:tcW w:w="546"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607,239</w:t>
            </w:r>
          </w:p>
        </w:tc>
        <w:tc>
          <w:tcPr>
            <w:tcW w:w="595"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400</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4</w:t>
            </w:r>
          </w:p>
        </w:tc>
        <w:tc>
          <w:tcPr>
            <w:tcW w:w="497"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3,440</w:t>
            </w:r>
          </w:p>
        </w:tc>
      </w:tr>
      <w:tr w:rsidR="003C2485" w:rsidRPr="008205D3" w:rsidTr="003C2485">
        <w:trPr>
          <w:trHeight w:val="222"/>
        </w:trPr>
        <w:tc>
          <w:tcPr>
            <w:tcW w:w="1719" w:type="pct"/>
            <w:tcBorders>
              <w:top w:val="nil"/>
              <w:left w:val="single" w:sz="4" w:space="0" w:color="auto"/>
              <w:bottom w:val="nil"/>
              <w:right w:val="nil"/>
            </w:tcBorders>
            <w:shd w:val="clear" w:color="000000" w:fill="B4C6E7"/>
            <w:vAlign w:val="center"/>
            <w:hideMark/>
          </w:tcPr>
          <w:p w:rsidR="003C2485" w:rsidRPr="008205D3" w:rsidRDefault="003C2485" w:rsidP="003C2485">
            <w:pPr>
              <w:rPr>
                <w:rFonts w:ascii="Palatino Linotype" w:eastAsia="Times New Roman" w:hAnsi="Palatino Linotype" w:cs="Calibri"/>
                <w:color w:val="000000"/>
                <w:sz w:val="18"/>
                <w:szCs w:val="18"/>
                <w:lang w:val="en-IN" w:eastAsia="en-IN" w:bidi="hi-IN"/>
              </w:rPr>
            </w:pPr>
            <w:r w:rsidRPr="008205D3">
              <w:rPr>
                <w:rFonts w:ascii="Palatino Linotype" w:eastAsia="Times New Roman" w:hAnsi="Palatino Linotype" w:cs="Calibri"/>
                <w:color w:val="000000"/>
                <w:sz w:val="18"/>
                <w:szCs w:val="18"/>
                <w:lang w:val="en-IN" w:eastAsia="en-IN" w:bidi="hi-IN"/>
              </w:rPr>
              <w:t>Matba Rofex</w:t>
            </w:r>
          </w:p>
        </w:tc>
        <w:tc>
          <w:tcPr>
            <w:tcW w:w="595" w:type="pct"/>
            <w:tcBorders>
              <w:top w:val="nil"/>
              <w:left w:val="single" w:sz="8" w:space="0" w:color="auto"/>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7,213,920</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7,519</w:t>
            </w:r>
          </w:p>
        </w:tc>
        <w:tc>
          <w:tcPr>
            <w:tcW w:w="546"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2,249,784</w:t>
            </w:r>
          </w:p>
        </w:tc>
        <w:tc>
          <w:tcPr>
            <w:tcW w:w="595"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1,078</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0</w:t>
            </w:r>
          </w:p>
        </w:tc>
        <w:tc>
          <w:tcPr>
            <w:tcW w:w="497"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549</w:t>
            </w:r>
          </w:p>
        </w:tc>
      </w:tr>
      <w:tr w:rsidR="003C2485" w:rsidRPr="008205D3" w:rsidTr="003C2485">
        <w:trPr>
          <w:trHeight w:val="222"/>
        </w:trPr>
        <w:tc>
          <w:tcPr>
            <w:tcW w:w="1719" w:type="pct"/>
            <w:tcBorders>
              <w:top w:val="nil"/>
              <w:left w:val="single" w:sz="4" w:space="0" w:color="auto"/>
              <w:bottom w:val="nil"/>
              <w:right w:val="nil"/>
            </w:tcBorders>
            <w:shd w:val="clear" w:color="000000" w:fill="B4C6E7"/>
            <w:vAlign w:val="center"/>
            <w:hideMark/>
          </w:tcPr>
          <w:p w:rsidR="003C2485" w:rsidRPr="008205D3" w:rsidRDefault="003C2485" w:rsidP="003C2485">
            <w:pPr>
              <w:rPr>
                <w:rFonts w:ascii="Palatino Linotype" w:eastAsia="Times New Roman" w:hAnsi="Palatino Linotype" w:cs="Calibri"/>
                <w:color w:val="000000"/>
                <w:sz w:val="18"/>
                <w:szCs w:val="18"/>
                <w:lang w:val="en-IN" w:eastAsia="en-IN" w:bidi="hi-IN"/>
              </w:rPr>
            </w:pPr>
            <w:r w:rsidRPr="008205D3">
              <w:rPr>
                <w:rFonts w:ascii="Palatino Linotype" w:eastAsia="Times New Roman" w:hAnsi="Palatino Linotype" w:cs="Calibri"/>
                <w:color w:val="000000"/>
                <w:sz w:val="18"/>
                <w:szCs w:val="18"/>
                <w:lang w:val="en-IN" w:eastAsia="en-IN" w:bidi="hi-IN"/>
              </w:rPr>
              <w:t>CME Group</w:t>
            </w:r>
          </w:p>
        </w:tc>
        <w:tc>
          <w:tcPr>
            <w:tcW w:w="595" w:type="pct"/>
            <w:tcBorders>
              <w:top w:val="nil"/>
              <w:left w:val="single" w:sz="8" w:space="0" w:color="auto"/>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14,581,938</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1,371,839</w:t>
            </w:r>
          </w:p>
        </w:tc>
        <w:tc>
          <w:tcPr>
            <w:tcW w:w="546"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1,903,078</w:t>
            </w:r>
          </w:p>
        </w:tc>
        <w:tc>
          <w:tcPr>
            <w:tcW w:w="595"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858,941</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98,055</w:t>
            </w:r>
          </w:p>
        </w:tc>
        <w:tc>
          <w:tcPr>
            <w:tcW w:w="497"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872,943</w:t>
            </w:r>
          </w:p>
        </w:tc>
      </w:tr>
      <w:tr w:rsidR="003C2485" w:rsidRPr="008205D3" w:rsidTr="003C2485">
        <w:trPr>
          <w:trHeight w:val="222"/>
        </w:trPr>
        <w:tc>
          <w:tcPr>
            <w:tcW w:w="1719" w:type="pct"/>
            <w:tcBorders>
              <w:top w:val="nil"/>
              <w:left w:val="single" w:sz="4" w:space="0" w:color="auto"/>
              <w:bottom w:val="nil"/>
              <w:right w:val="nil"/>
            </w:tcBorders>
            <w:shd w:val="clear" w:color="000000" w:fill="B4C6E7"/>
            <w:vAlign w:val="center"/>
            <w:hideMark/>
          </w:tcPr>
          <w:p w:rsidR="003C2485" w:rsidRPr="008205D3" w:rsidRDefault="003C2485" w:rsidP="003C2485">
            <w:pPr>
              <w:rPr>
                <w:rFonts w:ascii="Palatino Linotype" w:eastAsia="Times New Roman" w:hAnsi="Palatino Linotype" w:cs="Calibri"/>
                <w:color w:val="000000"/>
                <w:sz w:val="18"/>
                <w:szCs w:val="18"/>
                <w:lang w:val="en-IN" w:eastAsia="en-IN" w:bidi="hi-IN"/>
              </w:rPr>
            </w:pPr>
            <w:r w:rsidRPr="008205D3">
              <w:rPr>
                <w:rFonts w:ascii="Palatino Linotype" w:eastAsia="Times New Roman" w:hAnsi="Palatino Linotype" w:cs="Calibri"/>
                <w:color w:val="000000"/>
                <w:sz w:val="18"/>
                <w:szCs w:val="18"/>
                <w:lang w:val="en-IN" w:eastAsia="en-IN" w:bidi="hi-IN"/>
              </w:rPr>
              <w:t>Hong Kong Exchanges and Clearing</w:t>
            </w:r>
          </w:p>
        </w:tc>
        <w:tc>
          <w:tcPr>
            <w:tcW w:w="595" w:type="pct"/>
            <w:tcBorders>
              <w:top w:val="nil"/>
              <w:left w:val="single" w:sz="8" w:space="0" w:color="auto"/>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250,938</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16,069</w:t>
            </w:r>
          </w:p>
        </w:tc>
        <w:tc>
          <w:tcPr>
            <w:tcW w:w="546"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26,693</w:t>
            </w:r>
          </w:p>
        </w:tc>
        <w:tc>
          <w:tcPr>
            <w:tcW w:w="595"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423</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42</w:t>
            </w:r>
          </w:p>
        </w:tc>
        <w:tc>
          <w:tcPr>
            <w:tcW w:w="497"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2,456</w:t>
            </w:r>
          </w:p>
        </w:tc>
      </w:tr>
      <w:tr w:rsidR="003C2485" w:rsidRPr="008205D3" w:rsidTr="003C2485">
        <w:trPr>
          <w:trHeight w:val="222"/>
        </w:trPr>
        <w:tc>
          <w:tcPr>
            <w:tcW w:w="1719" w:type="pct"/>
            <w:tcBorders>
              <w:top w:val="nil"/>
              <w:left w:val="single" w:sz="4" w:space="0" w:color="auto"/>
              <w:bottom w:val="nil"/>
              <w:right w:val="nil"/>
            </w:tcBorders>
            <w:shd w:val="clear" w:color="000000" w:fill="B4C6E7"/>
            <w:vAlign w:val="center"/>
            <w:hideMark/>
          </w:tcPr>
          <w:p w:rsidR="003C2485" w:rsidRPr="008205D3" w:rsidRDefault="003C2485" w:rsidP="003C2485">
            <w:pPr>
              <w:rPr>
                <w:rFonts w:ascii="Palatino Linotype" w:eastAsia="Times New Roman" w:hAnsi="Palatino Linotype" w:cs="Calibri"/>
                <w:color w:val="000000"/>
                <w:sz w:val="18"/>
                <w:szCs w:val="18"/>
                <w:lang w:val="en-IN" w:eastAsia="en-IN" w:bidi="hi-IN"/>
              </w:rPr>
            </w:pPr>
            <w:r w:rsidRPr="008205D3">
              <w:rPr>
                <w:rFonts w:ascii="Palatino Linotype" w:eastAsia="Times New Roman" w:hAnsi="Palatino Linotype" w:cs="Calibri"/>
                <w:color w:val="000000"/>
                <w:sz w:val="18"/>
                <w:szCs w:val="18"/>
                <w:lang w:val="en-IN" w:eastAsia="en-IN" w:bidi="hi-IN"/>
              </w:rPr>
              <w:t>Korea Exchange</w:t>
            </w:r>
          </w:p>
        </w:tc>
        <w:tc>
          <w:tcPr>
            <w:tcW w:w="595" w:type="pct"/>
            <w:tcBorders>
              <w:top w:val="nil"/>
              <w:left w:val="single" w:sz="8" w:space="0" w:color="auto"/>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8,656,918</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86,175</w:t>
            </w:r>
          </w:p>
        </w:tc>
        <w:tc>
          <w:tcPr>
            <w:tcW w:w="546"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903,608</w:t>
            </w:r>
          </w:p>
        </w:tc>
        <w:tc>
          <w:tcPr>
            <w:tcW w:w="595"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NA</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NA</w:t>
            </w:r>
          </w:p>
        </w:tc>
        <w:tc>
          <w:tcPr>
            <w:tcW w:w="497"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NA</w:t>
            </w:r>
          </w:p>
        </w:tc>
      </w:tr>
      <w:tr w:rsidR="003C2485" w:rsidRPr="008205D3" w:rsidTr="003C2485">
        <w:trPr>
          <w:trHeight w:val="222"/>
        </w:trPr>
        <w:tc>
          <w:tcPr>
            <w:tcW w:w="1719" w:type="pct"/>
            <w:tcBorders>
              <w:top w:val="nil"/>
              <w:left w:val="single" w:sz="4" w:space="0" w:color="auto"/>
              <w:bottom w:val="nil"/>
              <w:right w:val="nil"/>
            </w:tcBorders>
            <w:shd w:val="clear" w:color="000000" w:fill="B4C6E7"/>
            <w:vAlign w:val="center"/>
            <w:hideMark/>
          </w:tcPr>
          <w:p w:rsidR="003C2485" w:rsidRPr="008205D3" w:rsidRDefault="003C2485" w:rsidP="003C2485">
            <w:pPr>
              <w:rPr>
                <w:rFonts w:ascii="Palatino Linotype" w:eastAsia="Times New Roman" w:hAnsi="Palatino Linotype" w:cs="Calibri"/>
                <w:color w:val="000000"/>
                <w:sz w:val="18"/>
                <w:szCs w:val="18"/>
                <w:lang w:val="en-IN" w:eastAsia="en-IN" w:bidi="hi-IN"/>
              </w:rPr>
            </w:pPr>
            <w:r w:rsidRPr="008205D3">
              <w:rPr>
                <w:rFonts w:ascii="Palatino Linotype" w:eastAsia="Times New Roman" w:hAnsi="Palatino Linotype" w:cs="Calibri"/>
                <w:color w:val="000000"/>
                <w:sz w:val="18"/>
                <w:szCs w:val="18"/>
                <w:lang w:val="en-IN" w:eastAsia="en-IN" w:bidi="hi-IN"/>
              </w:rPr>
              <w:t>National Stock Exchange of India</w:t>
            </w:r>
          </w:p>
        </w:tc>
        <w:tc>
          <w:tcPr>
            <w:tcW w:w="595" w:type="pct"/>
            <w:tcBorders>
              <w:top w:val="nil"/>
              <w:left w:val="single" w:sz="8" w:space="0" w:color="auto"/>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63,933,391</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68,598</w:t>
            </w:r>
          </w:p>
        </w:tc>
        <w:tc>
          <w:tcPr>
            <w:tcW w:w="546"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3,779,060</w:t>
            </w:r>
          </w:p>
        </w:tc>
        <w:tc>
          <w:tcPr>
            <w:tcW w:w="595"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117,223,337</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117,936</w:t>
            </w:r>
          </w:p>
        </w:tc>
        <w:tc>
          <w:tcPr>
            <w:tcW w:w="497"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4,125,472</w:t>
            </w:r>
          </w:p>
        </w:tc>
      </w:tr>
      <w:tr w:rsidR="003C2485" w:rsidRPr="008205D3" w:rsidTr="003C2485">
        <w:trPr>
          <w:trHeight w:val="222"/>
        </w:trPr>
        <w:tc>
          <w:tcPr>
            <w:tcW w:w="1719" w:type="pct"/>
            <w:tcBorders>
              <w:top w:val="nil"/>
              <w:left w:val="single" w:sz="4" w:space="0" w:color="auto"/>
              <w:bottom w:val="nil"/>
              <w:right w:val="nil"/>
            </w:tcBorders>
            <w:shd w:val="clear" w:color="000000" w:fill="B4C6E7"/>
            <w:vAlign w:val="center"/>
            <w:hideMark/>
          </w:tcPr>
          <w:p w:rsidR="003C2485" w:rsidRPr="008205D3" w:rsidRDefault="003C2485" w:rsidP="003C2485">
            <w:pPr>
              <w:rPr>
                <w:rFonts w:ascii="Palatino Linotype" w:eastAsia="Times New Roman" w:hAnsi="Palatino Linotype" w:cs="Calibri"/>
                <w:color w:val="000000"/>
                <w:sz w:val="18"/>
                <w:szCs w:val="18"/>
                <w:lang w:val="en-IN" w:eastAsia="en-IN" w:bidi="hi-IN"/>
              </w:rPr>
            </w:pPr>
            <w:r w:rsidRPr="008205D3">
              <w:rPr>
                <w:rFonts w:ascii="Palatino Linotype" w:eastAsia="Times New Roman" w:hAnsi="Palatino Linotype" w:cs="Calibri"/>
                <w:color w:val="000000"/>
                <w:sz w:val="18"/>
                <w:szCs w:val="18"/>
                <w:lang w:val="en-IN" w:eastAsia="en-IN" w:bidi="hi-IN"/>
              </w:rPr>
              <w:t>Singapore Exchange</w:t>
            </w:r>
          </w:p>
        </w:tc>
        <w:tc>
          <w:tcPr>
            <w:tcW w:w="595" w:type="pct"/>
            <w:tcBorders>
              <w:top w:val="nil"/>
              <w:left w:val="single" w:sz="8" w:space="0" w:color="auto"/>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2,175,133</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NA</w:t>
            </w:r>
          </w:p>
        </w:tc>
        <w:tc>
          <w:tcPr>
            <w:tcW w:w="546"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162,169</w:t>
            </w:r>
          </w:p>
        </w:tc>
        <w:tc>
          <w:tcPr>
            <w:tcW w:w="595"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7</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NA</w:t>
            </w:r>
          </w:p>
        </w:tc>
        <w:tc>
          <w:tcPr>
            <w:tcW w:w="497"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11</w:t>
            </w:r>
          </w:p>
        </w:tc>
      </w:tr>
      <w:tr w:rsidR="003C2485" w:rsidRPr="008205D3" w:rsidTr="003C2485">
        <w:trPr>
          <w:trHeight w:val="222"/>
        </w:trPr>
        <w:tc>
          <w:tcPr>
            <w:tcW w:w="1719" w:type="pct"/>
            <w:tcBorders>
              <w:top w:val="nil"/>
              <w:left w:val="single" w:sz="4" w:space="0" w:color="auto"/>
              <w:bottom w:val="nil"/>
              <w:right w:val="nil"/>
            </w:tcBorders>
            <w:shd w:val="clear" w:color="000000" w:fill="B4C6E7"/>
            <w:vAlign w:val="center"/>
            <w:hideMark/>
          </w:tcPr>
          <w:p w:rsidR="003C2485" w:rsidRPr="008205D3" w:rsidRDefault="003C2485" w:rsidP="003C2485">
            <w:pPr>
              <w:rPr>
                <w:rFonts w:ascii="Palatino Linotype" w:eastAsia="Times New Roman" w:hAnsi="Palatino Linotype" w:cs="Calibri"/>
                <w:color w:val="000000"/>
                <w:sz w:val="18"/>
                <w:szCs w:val="18"/>
                <w:lang w:val="en-IN" w:eastAsia="en-IN" w:bidi="hi-IN"/>
              </w:rPr>
            </w:pPr>
            <w:r w:rsidRPr="008205D3">
              <w:rPr>
                <w:rFonts w:ascii="Palatino Linotype" w:eastAsia="Times New Roman" w:hAnsi="Palatino Linotype" w:cs="Calibri"/>
                <w:color w:val="000000"/>
                <w:sz w:val="18"/>
                <w:szCs w:val="18"/>
                <w:lang w:val="en-IN" w:eastAsia="en-IN" w:bidi="hi-IN"/>
              </w:rPr>
              <w:t>Taiwan Futures Exchange</w:t>
            </w:r>
          </w:p>
        </w:tc>
        <w:tc>
          <w:tcPr>
            <w:tcW w:w="595" w:type="pct"/>
            <w:tcBorders>
              <w:top w:val="nil"/>
              <w:left w:val="single" w:sz="8" w:space="0" w:color="auto"/>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9,399</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263</w:t>
            </w:r>
          </w:p>
        </w:tc>
        <w:tc>
          <w:tcPr>
            <w:tcW w:w="546"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2,681</w:t>
            </w:r>
          </w:p>
        </w:tc>
        <w:tc>
          <w:tcPr>
            <w:tcW w:w="595"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0</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0</w:t>
            </w:r>
          </w:p>
        </w:tc>
        <w:tc>
          <w:tcPr>
            <w:tcW w:w="497"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160</w:t>
            </w:r>
          </w:p>
        </w:tc>
      </w:tr>
      <w:tr w:rsidR="003C2485" w:rsidRPr="008205D3" w:rsidTr="003C2485">
        <w:trPr>
          <w:trHeight w:val="222"/>
        </w:trPr>
        <w:tc>
          <w:tcPr>
            <w:tcW w:w="1719" w:type="pct"/>
            <w:tcBorders>
              <w:top w:val="nil"/>
              <w:left w:val="single" w:sz="4" w:space="0" w:color="auto"/>
              <w:bottom w:val="nil"/>
              <w:right w:val="nil"/>
            </w:tcBorders>
            <w:shd w:val="clear" w:color="000000" w:fill="B4C6E7"/>
            <w:vAlign w:val="center"/>
            <w:hideMark/>
          </w:tcPr>
          <w:p w:rsidR="003C2485" w:rsidRPr="008205D3" w:rsidRDefault="003C2485" w:rsidP="003C2485">
            <w:pPr>
              <w:rPr>
                <w:rFonts w:ascii="Palatino Linotype" w:eastAsia="Times New Roman" w:hAnsi="Palatino Linotype" w:cs="Calibri"/>
                <w:color w:val="000000"/>
                <w:sz w:val="18"/>
                <w:szCs w:val="18"/>
                <w:lang w:val="en-IN" w:eastAsia="en-IN" w:bidi="hi-IN"/>
              </w:rPr>
            </w:pPr>
            <w:r w:rsidRPr="008205D3">
              <w:rPr>
                <w:rFonts w:ascii="Palatino Linotype" w:eastAsia="Times New Roman" w:hAnsi="Palatino Linotype" w:cs="Calibri"/>
                <w:color w:val="000000"/>
                <w:sz w:val="18"/>
                <w:szCs w:val="18"/>
                <w:lang w:val="en-IN" w:eastAsia="en-IN" w:bidi="hi-IN"/>
              </w:rPr>
              <w:t>Thailand Futures Exchange</w:t>
            </w:r>
          </w:p>
        </w:tc>
        <w:tc>
          <w:tcPr>
            <w:tcW w:w="595" w:type="pct"/>
            <w:tcBorders>
              <w:top w:val="nil"/>
              <w:left w:val="single" w:sz="8" w:space="0" w:color="auto"/>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194,372</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NA</w:t>
            </w:r>
          </w:p>
        </w:tc>
        <w:tc>
          <w:tcPr>
            <w:tcW w:w="546"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121,096</w:t>
            </w:r>
          </w:p>
        </w:tc>
        <w:tc>
          <w:tcPr>
            <w:tcW w:w="595"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NA</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NA</w:t>
            </w:r>
          </w:p>
        </w:tc>
        <w:tc>
          <w:tcPr>
            <w:tcW w:w="497"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NA</w:t>
            </w:r>
          </w:p>
        </w:tc>
      </w:tr>
      <w:tr w:rsidR="003C2485" w:rsidRPr="008205D3" w:rsidTr="003C2485">
        <w:trPr>
          <w:trHeight w:val="222"/>
        </w:trPr>
        <w:tc>
          <w:tcPr>
            <w:tcW w:w="1719" w:type="pct"/>
            <w:tcBorders>
              <w:top w:val="nil"/>
              <w:left w:val="single" w:sz="4" w:space="0" w:color="auto"/>
              <w:bottom w:val="nil"/>
              <w:right w:val="nil"/>
            </w:tcBorders>
            <w:shd w:val="clear" w:color="000000" w:fill="B4C6E7"/>
            <w:vAlign w:val="center"/>
            <w:hideMark/>
          </w:tcPr>
          <w:p w:rsidR="003C2485" w:rsidRPr="008205D3" w:rsidRDefault="003C2485" w:rsidP="003C2485">
            <w:pPr>
              <w:rPr>
                <w:rFonts w:ascii="Palatino Linotype" w:eastAsia="Times New Roman" w:hAnsi="Palatino Linotype" w:cs="Calibri"/>
                <w:color w:val="000000"/>
                <w:sz w:val="18"/>
                <w:szCs w:val="18"/>
                <w:lang w:val="en-IN" w:eastAsia="en-IN" w:bidi="hi-IN"/>
              </w:rPr>
            </w:pPr>
            <w:r w:rsidRPr="008205D3">
              <w:rPr>
                <w:rFonts w:ascii="Palatino Linotype" w:eastAsia="Times New Roman" w:hAnsi="Palatino Linotype" w:cs="Calibri"/>
                <w:color w:val="000000"/>
                <w:sz w:val="18"/>
                <w:szCs w:val="18"/>
                <w:lang w:val="en-IN" w:eastAsia="en-IN" w:bidi="hi-IN"/>
              </w:rPr>
              <w:t>Borsa Istanbul</w:t>
            </w:r>
          </w:p>
        </w:tc>
        <w:tc>
          <w:tcPr>
            <w:tcW w:w="595" w:type="pct"/>
            <w:tcBorders>
              <w:top w:val="nil"/>
              <w:left w:val="single" w:sz="8" w:space="0" w:color="auto"/>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3,786,166</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3,993</w:t>
            </w:r>
          </w:p>
        </w:tc>
        <w:tc>
          <w:tcPr>
            <w:tcW w:w="546"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1,466,599</w:t>
            </w:r>
          </w:p>
        </w:tc>
        <w:tc>
          <w:tcPr>
            <w:tcW w:w="595"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59,085</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61</w:t>
            </w:r>
          </w:p>
        </w:tc>
        <w:tc>
          <w:tcPr>
            <w:tcW w:w="497"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39,758</w:t>
            </w:r>
          </w:p>
        </w:tc>
      </w:tr>
      <w:tr w:rsidR="003C2485" w:rsidRPr="008205D3" w:rsidTr="003C2485">
        <w:trPr>
          <w:trHeight w:val="222"/>
        </w:trPr>
        <w:tc>
          <w:tcPr>
            <w:tcW w:w="1719" w:type="pct"/>
            <w:tcBorders>
              <w:top w:val="nil"/>
              <w:left w:val="single" w:sz="4" w:space="0" w:color="auto"/>
              <w:bottom w:val="nil"/>
              <w:right w:val="nil"/>
            </w:tcBorders>
            <w:shd w:val="clear" w:color="000000" w:fill="B4C6E7"/>
            <w:vAlign w:val="center"/>
            <w:hideMark/>
          </w:tcPr>
          <w:p w:rsidR="003C2485" w:rsidRPr="008205D3" w:rsidRDefault="003C2485" w:rsidP="003C2485">
            <w:pPr>
              <w:rPr>
                <w:rFonts w:ascii="Palatino Linotype" w:eastAsia="Times New Roman" w:hAnsi="Palatino Linotype" w:cs="Calibri"/>
                <w:color w:val="000000"/>
                <w:sz w:val="18"/>
                <w:szCs w:val="18"/>
                <w:lang w:val="en-IN" w:eastAsia="en-IN" w:bidi="hi-IN"/>
              </w:rPr>
            </w:pPr>
            <w:r w:rsidRPr="008205D3">
              <w:rPr>
                <w:rFonts w:ascii="Palatino Linotype" w:eastAsia="Times New Roman" w:hAnsi="Palatino Linotype" w:cs="Calibri"/>
                <w:color w:val="000000"/>
                <w:sz w:val="18"/>
                <w:szCs w:val="18"/>
                <w:lang w:val="en-IN" w:eastAsia="en-IN" w:bidi="hi-IN"/>
              </w:rPr>
              <w:t>Budapest Stock Exchange</w:t>
            </w:r>
          </w:p>
        </w:tc>
        <w:tc>
          <w:tcPr>
            <w:tcW w:w="595" w:type="pct"/>
            <w:tcBorders>
              <w:top w:val="nil"/>
              <w:left w:val="single" w:sz="8" w:space="0" w:color="auto"/>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564,100</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668</w:t>
            </w:r>
          </w:p>
        </w:tc>
        <w:tc>
          <w:tcPr>
            <w:tcW w:w="546"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626,203</w:t>
            </w:r>
          </w:p>
        </w:tc>
        <w:tc>
          <w:tcPr>
            <w:tcW w:w="595"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4,000</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4</w:t>
            </w:r>
          </w:p>
        </w:tc>
        <w:tc>
          <w:tcPr>
            <w:tcW w:w="497"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4,000</w:t>
            </w:r>
          </w:p>
        </w:tc>
      </w:tr>
      <w:tr w:rsidR="003C2485" w:rsidRPr="008205D3" w:rsidTr="003C2485">
        <w:trPr>
          <w:trHeight w:val="222"/>
        </w:trPr>
        <w:tc>
          <w:tcPr>
            <w:tcW w:w="1719" w:type="pct"/>
            <w:tcBorders>
              <w:top w:val="nil"/>
              <w:left w:val="single" w:sz="4" w:space="0" w:color="auto"/>
              <w:bottom w:val="nil"/>
              <w:right w:val="nil"/>
            </w:tcBorders>
            <w:shd w:val="clear" w:color="000000" w:fill="B4C6E7"/>
            <w:vAlign w:val="center"/>
            <w:hideMark/>
          </w:tcPr>
          <w:p w:rsidR="003C2485" w:rsidRPr="008205D3" w:rsidRDefault="003C2485" w:rsidP="003C2485">
            <w:pPr>
              <w:rPr>
                <w:rFonts w:ascii="Palatino Linotype" w:eastAsia="Times New Roman" w:hAnsi="Palatino Linotype" w:cs="Calibri"/>
                <w:color w:val="000000"/>
                <w:sz w:val="18"/>
                <w:szCs w:val="18"/>
                <w:lang w:val="en-IN" w:eastAsia="en-IN" w:bidi="hi-IN"/>
              </w:rPr>
            </w:pPr>
            <w:r w:rsidRPr="008205D3">
              <w:rPr>
                <w:rFonts w:ascii="Palatino Linotype" w:eastAsia="Times New Roman" w:hAnsi="Palatino Linotype" w:cs="Calibri"/>
                <w:color w:val="000000"/>
                <w:sz w:val="18"/>
                <w:szCs w:val="18"/>
                <w:lang w:val="en-IN" w:eastAsia="en-IN" w:bidi="hi-IN"/>
              </w:rPr>
              <w:t>Moscow Exchange</w:t>
            </w:r>
          </w:p>
        </w:tc>
        <w:tc>
          <w:tcPr>
            <w:tcW w:w="595" w:type="pct"/>
            <w:tcBorders>
              <w:top w:val="nil"/>
              <w:left w:val="single" w:sz="8" w:space="0" w:color="auto"/>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69,917,986</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72,969</w:t>
            </w:r>
          </w:p>
        </w:tc>
        <w:tc>
          <w:tcPr>
            <w:tcW w:w="546"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4,078,656</w:t>
            </w:r>
          </w:p>
        </w:tc>
        <w:tc>
          <w:tcPr>
            <w:tcW w:w="595"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2,121,027</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2,214</w:t>
            </w:r>
          </w:p>
        </w:tc>
        <w:tc>
          <w:tcPr>
            <w:tcW w:w="497"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1,442,266</w:t>
            </w:r>
          </w:p>
        </w:tc>
      </w:tr>
      <w:tr w:rsidR="003C2485" w:rsidRPr="008205D3" w:rsidTr="003C2485">
        <w:trPr>
          <w:trHeight w:val="222"/>
        </w:trPr>
        <w:tc>
          <w:tcPr>
            <w:tcW w:w="1719" w:type="pct"/>
            <w:tcBorders>
              <w:top w:val="nil"/>
              <w:left w:val="single" w:sz="4" w:space="0" w:color="auto"/>
              <w:bottom w:val="nil"/>
              <w:right w:val="nil"/>
            </w:tcBorders>
            <w:shd w:val="clear" w:color="000000" w:fill="B4C6E7"/>
            <w:vAlign w:val="center"/>
            <w:hideMark/>
          </w:tcPr>
          <w:p w:rsidR="003C2485" w:rsidRPr="008205D3" w:rsidRDefault="003C2485" w:rsidP="003C2485">
            <w:pPr>
              <w:rPr>
                <w:rFonts w:ascii="Palatino Linotype" w:eastAsia="Times New Roman" w:hAnsi="Palatino Linotype" w:cs="Calibri"/>
                <w:color w:val="000000"/>
                <w:sz w:val="18"/>
                <w:szCs w:val="18"/>
                <w:lang w:val="en-IN" w:eastAsia="en-IN" w:bidi="hi-IN"/>
              </w:rPr>
            </w:pPr>
            <w:r w:rsidRPr="008205D3">
              <w:rPr>
                <w:rFonts w:ascii="Palatino Linotype" w:eastAsia="Times New Roman" w:hAnsi="Palatino Linotype" w:cs="Calibri"/>
                <w:color w:val="000000"/>
                <w:sz w:val="18"/>
                <w:szCs w:val="18"/>
                <w:lang w:val="en-IN" w:eastAsia="en-IN" w:bidi="hi-IN"/>
              </w:rPr>
              <w:t>Tel-Aviv Stock Exchange</w:t>
            </w:r>
          </w:p>
        </w:tc>
        <w:tc>
          <w:tcPr>
            <w:tcW w:w="595" w:type="pct"/>
            <w:tcBorders>
              <w:top w:val="nil"/>
              <w:left w:val="single" w:sz="8" w:space="0" w:color="auto"/>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NA</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NA</w:t>
            </w:r>
          </w:p>
        </w:tc>
        <w:tc>
          <w:tcPr>
            <w:tcW w:w="546"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NA</w:t>
            </w:r>
          </w:p>
        </w:tc>
        <w:tc>
          <w:tcPr>
            <w:tcW w:w="595"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773,811</w:t>
            </w:r>
          </w:p>
        </w:tc>
        <w:tc>
          <w:tcPr>
            <w:tcW w:w="524"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7,885</w:t>
            </w:r>
          </w:p>
        </w:tc>
        <w:tc>
          <w:tcPr>
            <w:tcW w:w="497" w:type="pct"/>
            <w:tcBorders>
              <w:top w:val="nil"/>
              <w:left w:val="nil"/>
              <w:bottom w:val="nil"/>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627,754</w:t>
            </w:r>
          </w:p>
        </w:tc>
      </w:tr>
      <w:tr w:rsidR="003C2485" w:rsidRPr="008205D3" w:rsidTr="003C2485">
        <w:trPr>
          <w:trHeight w:val="233"/>
        </w:trPr>
        <w:tc>
          <w:tcPr>
            <w:tcW w:w="1719" w:type="pct"/>
            <w:tcBorders>
              <w:top w:val="nil"/>
              <w:left w:val="single" w:sz="4" w:space="0" w:color="auto"/>
              <w:bottom w:val="nil"/>
              <w:right w:val="nil"/>
            </w:tcBorders>
            <w:shd w:val="clear" w:color="000000" w:fill="B4C6E7"/>
            <w:vAlign w:val="center"/>
            <w:hideMark/>
          </w:tcPr>
          <w:p w:rsidR="003C2485" w:rsidRPr="008205D3" w:rsidRDefault="003C2485" w:rsidP="003C2485">
            <w:pPr>
              <w:rPr>
                <w:rFonts w:ascii="Palatino Linotype" w:eastAsia="Times New Roman" w:hAnsi="Palatino Linotype" w:cs="Calibri"/>
                <w:color w:val="000000"/>
                <w:sz w:val="18"/>
                <w:szCs w:val="18"/>
                <w:lang w:val="en-IN" w:eastAsia="en-IN" w:bidi="hi-IN"/>
              </w:rPr>
            </w:pPr>
            <w:r w:rsidRPr="008205D3">
              <w:rPr>
                <w:rFonts w:ascii="Palatino Linotype" w:eastAsia="Times New Roman" w:hAnsi="Palatino Linotype" w:cs="Calibri"/>
                <w:color w:val="000000"/>
                <w:sz w:val="18"/>
                <w:szCs w:val="18"/>
                <w:lang w:val="en-IN" w:eastAsia="en-IN" w:bidi="hi-IN"/>
              </w:rPr>
              <w:t>Dubai Gold and Commodities Exchange</w:t>
            </w:r>
          </w:p>
        </w:tc>
        <w:tc>
          <w:tcPr>
            <w:tcW w:w="595" w:type="pct"/>
            <w:tcBorders>
              <w:top w:val="nil"/>
              <w:left w:val="single" w:sz="8" w:space="0" w:color="auto"/>
              <w:bottom w:val="single" w:sz="8" w:space="0" w:color="auto"/>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566,446</w:t>
            </w:r>
          </w:p>
        </w:tc>
        <w:tc>
          <w:tcPr>
            <w:tcW w:w="524" w:type="pct"/>
            <w:tcBorders>
              <w:top w:val="nil"/>
              <w:left w:val="nil"/>
              <w:bottom w:val="single" w:sz="8" w:space="0" w:color="auto"/>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3,216</w:t>
            </w:r>
          </w:p>
        </w:tc>
        <w:tc>
          <w:tcPr>
            <w:tcW w:w="546" w:type="pct"/>
            <w:tcBorders>
              <w:top w:val="nil"/>
              <w:left w:val="nil"/>
              <w:bottom w:val="single" w:sz="8" w:space="0" w:color="auto"/>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180,183</w:t>
            </w:r>
          </w:p>
        </w:tc>
        <w:tc>
          <w:tcPr>
            <w:tcW w:w="595" w:type="pct"/>
            <w:tcBorders>
              <w:top w:val="nil"/>
              <w:left w:val="nil"/>
              <w:bottom w:val="single" w:sz="8" w:space="0" w:color="auto"/>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0</w:t>
            </w:r>
          </w:p>
        </w:tc>
        <w:tc>
          <w:tcPr>
            <w:tcW w:w="524" w:type="pct"/>
            <w:tcBorders>
              <w:top w:val="nil"/>
              <w:left w:val="nil"/>
              <w:bottom w:val="single" w:sz="8" w:space="0" w:color="auto"/>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0</w:t>
            </w:r>
          </w:p>
        </w:tc>
        <w:tc>
          <w:tcPr>
            <w:tcW w:w="497" w:type="pct"/>
            <w:tcBorders>
              <w:top w:val="nil"/>
              <w:left w:val="nil"/>
              <w:bottom w:val="single" w:sz="8" w:space="0" w:color="auto"/>
              <w:right w:val="single" w:sz="8" w:space="0" w:color="auto"/>
            </w:tcBorders>
            <w:shd w:val="clear" w:color="auto" w:fill="auto"/>
            <w:vAlign w:val="center"/>
            <w:hideMark/>
          </w:tcPr>
          <w:p w:rsidR="003C2485" w:rsidRPr="008205D3" w:rsidRDefault="003C2485" w:rsidP="003C2485">
            <w:pPr>
              <w:jc w:val="right"/>
              <w:rPr>
                <w:rFonts w:ascii="Palatino Linotype" w:hAnsi="Palatino Linotype" w:cs="Calibri"/>
                <w:color w:val="000000"/>
                <w:sz w:val="18"/>
                <w:szCs w:val="18"/>
              </w:rPr>
            </w:pPr>
            <w:r w:rsidRPr="008205D3">
              <w:rPr>
                <w:rFonts w:ascii="Palatino Linotype" w:hAnsi="Palatino Linotype" w:cs="Calibri"/>
                <w:color w:val="000000"/>
                <w:sz w:val="18"/>
                <w:szCs w:val="18"/>
              </w:rPr>
              <w:t xml:space="preserve"> 0</w:t>
            </w:r>
          </w:p>
        </w:tc>
      </w:tr>
      <w:tr w:rsidR="003C2485" w:rsidRPr="008205D3" w:rsidTr="003C2485">
        <w:trPr>
          <w:trHeight w:val="233"/>
        </w:trPr>
        <w:tc>
          <w:tcPr>
            <w:tcW w:w="1719" w:type="pct"/>
            <w:tcBorders>
              <w:top w:val="single" w:sz="8" w:space="0" w:color="auto"/>
              <w:left w:val="single" w:sz="8" w:space="0" w:color="auto"/>
              <w:bottom w:val="single" w:sz="8" w:space="0" w:color="auto"/>
              <w:right w:val="nil"/>
            </w:tcBorders>
            <w:shd w:val="clear" w:color="000000" w:fill="D9E1F2"/>
            <w:vAlign w:val="center"/>
            <w:hideMark/>
          </w:tcPr>
          <w:p w:rsidR="003C2485" w:rsidRPr="008205D3" w:rsidRDefault="003C2485" w:rsidP="003C2485">
            <w:pPr>
              <w:rPr>
                <w:rFonts w:ascii="Palatino Linotype" w:eastAsia="Times New Roman" w:hAnsi="Palatino Linotype" w:cs="Calibri"/>
                <w:b/>
                <w:bCs/>
                <w:color w:val="000000"/>
                <w:sz w:val="18"/>
                <w:szCs w:val="18"/>
                <w:lang w:val="en-IN" w:eastAsia="en-IN" w:bidi="hi-IN"/>
              </w:rPr>
            </w:pPr>
            <w:r w:rsidRPr="008205D3">
              <w:rPr>
                <w:rFonts w:ascii="Palatino Linotype" w:eastAsia="Times New Roman" w:hAnsi="Palatino Linotype" w:cs="Calibri"/>
                <w:b/>
                <w:bCs/>
                <w:color w:val="000000"/>
                <w:sz w:val="18"/>
                <w:szCs w:val="18"/>
                <w:lang w:val="en-IN" w:eastAsia="en-IN" w:bidi="hi-IN"/>
              </w:rPr>
              <w:t>Grand Total</w:t>
            </w:r>
          </w:p>
        </w:tc>
        <w:tc>
          <w:tcPr>
            <w:tcW w:w="595" w:type="pct"/>
            <w:tcBorders>
              <w:top w:val="nil"/>
              <w:left w:val="nil"/>
              <w:bottom w:val="single" w:sz="8" w:space="0" w:color="auto"/>
              <w:right w:val="nil"/>
            </w:tcBorders>
            <w:shd w:val="clear" w:color="000000" w:fill="D9E1F2"/>
            <w:vAlign w:val="bottom"/>
            <w:hideMark/>
          </w:tcPr>
          <w:p w:rsidR="003C2485" w:rsidRPr="008205D3" w:rsidRDefault="003C2485" w:rsidP="003C2485">
            <w:pPr>
              <w:jc w:val="right"/>
              <w:rPr>
                <w:rFonts w:ascii="Palatino Linotype" w:hAnsi="Palatino Linotype" w:cs="Calibri"/>
                <w:b/>
                <w:bCs/>
                <w:color w:val="000000"/>
                <w:sz w:val="18"/>
                <w:szCs w:val="18"/>
              </w:rPr>
            </w:pPr>
            <w:r w:rsidRPr="008205D3">
              <w:rPr>
                <w:rFonts w:ascii="Palatino Linotype" w:hAnsi="Palatino Linotype" w:cs="Calibri"/>
                <w:b/>
                <w:bCs/>
                <w:color w:val="000000"/>
                <w:sz w:val="18"/>
                <w:szCs w:val="18"/>
              </w:rPr>
              <w:t xml:space="preserve"> 252,091,011</w:t>
            </w:r>
          </w:p>
        </w:tc>
        <w:tc>
          <w:tcPr>
            <w:tcW w:w="524" w:type="pct"/>
            <w:tcBorders>
              <w:top w:val="nil"/>
              <w:left w:val="nil"/>
              <w:bottom w:val="single" w:sz="8" w:space="0" w:color="auto"/>
              <w:right w:val="nil"/>
            </w:tcBorders>
            <w:shd w:val="clear" w:color="000000" w:fill="D9E1F2"/>
            <w:vAlign w:val="bottom"/>
            <w:hideMark/>
          </w:tcPr>
          <w:p w:rsidR="003C2485" w:rsidRPr="008205D3" w:rsidRDefault="003C2485" w:rsidP="003C2485">
            <w:pPr>
              <w:jc w:val="right"/>
              <w:rPr>
                <w:rFonts w:ascii="Palatino Linotype" w:hAnsi="Palatino Linotype" w:cs="Calibri"/>
                <w:b/>
                <w:bCs/>
                <w:color w:val="000000"/>
                <w:sz w:val="18"/>
                <w:szCs w:val="18"/>
              </w:rPr>
            </w:pPr>
            <w:r w:rsidRPr="008205D3">
              <w:rPr>
                <w:rFonts w:ascii="Palatino Linotype" w:hAnsi="Palatino Linotype" w:cs="Calibri"/>
                <w:b/>
                <w:bCs/>
                <w:color w:val="000000"/>
                <w:sz w:val="18"/>
                <w:szCs w:val="18"/>
              </w:rPr>
              <w:t xml:space="preserve"> 2,659,391</w:t>
            </w:r>
          </w:p>
        </w:tc>
        <w:tc>
          <w:tcPr>
            <w:tcW w:w="546" w:type="pct"/>
            <w:tcBorders>
              <w:top w:val="nil"/>
              <w:left w:val="nil"/>
              <w:bottom w:val="single" w:sz="8" w:space="0" w:color="auto"/>
              <w:right w:val="nil"/>
            </w:tcBorders>
            <w:shd w:val="clear" w:color="000000" w:fill="D9E1F2"/>
            <w:vAlign w:val="bottom"/>
            <w:hideMark/>
          </w:tcPr>
          <w:p w:rsidR="003C2485" w:rsidRPr="008205D3" w:rsidRDefault="003C2485" w:rsidP="003C2485">
            <w:pPr>
              <w:jc w:val="right"/>
              <w:rPr>
                <w:rFonts w:ascii="Palatino Linotype" w:hAnsi="Palatino Linotype" w:cs="Calibri"/>
                <w:b/>
                <w:bCs/>
                <w:color w:val="000000"/>
                <w:sz w:val="18"/>
                <w:szCs w:val="18"/>
              </w:rPr>
            </w:pPr>
            <w:r w:rsidRPr="008205D3">
              <w:rPr>
                <w:rFonts w:ascii="Palatino Linotype" w:hAnsi="Palatino Linotype" w:cs="Calibri"/>
                <w:b/>
                <w:bCs/>
                <w:color w:val="000000"/>
                <w:sz w:val="18"/>
                <w:szCs w:val="18"/>
              </w:rPr>
              <w:t xml:space="preserve"> 17,321,437</w:t>
            </w:r>
          </w:p>
        </w:tc>
        <w:tc>
          <w:tcPr>
            <w:tcW w:w="595" w:type="pct"/>
            <w:tcBorders>
              <w:top w:val="nil"/>
              <w:left w:val="nil"/>
              <w:bottom w:val="single" w:sz="8" w:space="0" w:color="auto"/>
              <w:right w:val="nil"/>
            </w:tcBorders>
            <w:shd w:val="clear" w:color="000000" w:fill="D9E1F2"/>
            <w:vAlign w:val="bottom"/>
            <w:hideMark/>
          </w:tcPr>
          <w:p w:rsidR="003C2485" w:rsidRPr="008205D3" w:rsidRDefault="003C2485" w:rsidP="003C2485">
            <w:pPr>
              <w:jc w:val="right"/>
              <w:rPr>
                <w:rFonts w:ascii="Palatino Linotype" w:hAnsi="Palatino Linotype" w:cs="Calibri"/>
                <w:b/>
                <w:bCs/>
                <w:color w:val="000000"/>
                <w:sz w:val="18"/>
                <w:szCs w:val="18"/>
              </w:rPr>
            </w:pPr>
            <w:r w:rsidRPr="008205D3">
              <w:rPr>
                <w:rFonts w:ascii="Palatino Linotype" w:hAnsi="Palatino Linotype" w:cs="Calibri"/>
                <w:b/>
                <w:bCs/>
                <w:color w:val="000000"/>
                <w:sz w:val="18"/>
                <w:szCs w:val="18"/>
              </w:rPr>
              <w:t xml:space="preserve"> 121,639,078</w:t>
            </w:r>
          </w:p>
        </w:tc>
        <w:tc>
          <w:tcPr>
            <w:tcW w:w="524" w:type="pct"/>
            <w:tcBorders>
              <w:top w:val="nil"/>
              <w:left w:val="nil"/>
              <w:bottom w:val="single" w:sz="8" w:space="0" w:color="auto"/>
              <w:right w:val="nil"/>
            </w:tcBorders>
            <w:shd w:val="clear" w:color="000000" w:fill="D9E1F2"/>
            <w:vAlign w:val="bottom"/>
            <w:hideMark/>
          </w:tcPr>
          <w:p w:rsidR="003C2485" w:rsidRPr="008205D3" w:rsidRDefault="003C2485" w:rsidP="003C2485">
            <w:pPr>
              <w:jc w:val="right"/>
              <w:rPr>
                <w:rFonts w:ascii="Palatino Linotype" w:hAnsi="Palatino Linotype" w:cs="Calibri"/>
                <w:b/>
                <w:bCs/>
                <w:color w:val="000000"/>
                <w:sz w:val="18"/>
                <w:szCs w:val="18"/>
              </w:rPr>
            </w:pPr>
            <w:r w:rsidRPr="008205D3">
              <w:rPr>
                <w:rFonts w:ascii="Palatino Linotype" w:hAnsi="Palatino Linotype" w:cs="Calibri"/>
                <w:b/>
                <w:bCs/>
                <w:color w:val="000000"/>
                <w:sz w:val="18"/>
                <w:szCs w:val="18"/>
              </w:rPr>
              <w:t xml:space="preserve"> 226,546</w:t>
            </w:r>
          </w:p>
        </w:tc>
        <w:tc>
          <w:tcPr>
            <w:tcW w:w="497" w:type="pct"/>
            <w:tcBorders>
              <w:top w:val="nil"/>
              <w:left w:val="nil"/>
              <w:bottom w:val="single" w:sz="8" w:space="0" w:color="auto"/>
              <w:right w:val="single" w:sz="8" w:space="0" w:color="auto"/>
            </w:tcBorders>
            <w:shd w:val="clear" w:color="000000" w:fill="D9E1F2"/>
            <w:vAlign w:val="bottom"/>
            <w:hideMark/>
          </w:tcPr>
          <w:p w:rsidR="003C2485" w:rsidRPr="008205D3" w:rsidRDefault="003C2485" w:rsidP="003C2485">
            <w:pPr>
              <w:jc w:val="right"/>
              <w:rPr>
                <w:rFonts w:ascii="Palatino Linotype" w:hAnsi="Palatino Linotype" w:cs="Calibri"/>
                <w:b/>
                <w:bCs/>
                <w:color w:val="000000"/>
                <w:sz w:val="18"/>
                <w:szCs w:val="18"/>
              </w:rPr>
            </w:pPr>
            <w:r w:rsidRPr="008205D3">
              <w:rPr>
                <w:rFonts w:ascii="Palatino Linotype" w:hAnsi="Palatino Linotype" w:cs="Calibri"/>
                <w:b/>
                <w:bCs/>
                <w:color w:val="000000"/>
                <w:sz w:val="18"/>
                <w:szCs w:val="18"/>
              </w:rPr>
              <w:t xml:space="preserve"> 7,771,417</w:t>
            </w:r>
          </w:p>
        </w:tc>
      </w:tr>
    </w:tbl>
    <w:p w:rsidR="003C2485" w:rsidRPr="00A01675" w:rsidRDefault="003C2485" w:rsidP="003C2485">
      <w:pPr>
        <w:tabs>
          <w:tab w:val="left" w:pos="3306"/>
          <w:tab w:val="left" w:pos="4629"/>
          <w:tab w:val="left" w:pos="5685"/>
          <w:tab w:val="left" w:pos="6759"/>
          <w:tab w:val="left" w:pos="7923"/>
          <w:tab w:val="left" w:pos="8994"/>
        </w:tabs>
        <w:spacing w:line="23" w:lineRule="atLeast"/>
        <w:rPr>
          <w:rFonts w:ascii="Palatino Linotype" w:eastAsia="Times New Roman" w:hAnsi="Palatino Linotype"/>
          <w:bCs/>
          <w:sz w:val="18"/>
          <w:szCs w:val="18"/>
          <w:lang w:val="en-US"/>
        </w:rPr>
      </w:pPr>
      <w:r w:rsidRPr="00A01675">
        <w:rPr>
          <w:rFonts w:ascii="Palatino Linotype" w:eastAsia="Times New Roman" w:hAnsi="Palatino Linotype"/>
          <w:bCs/>
          <w:sz w:val="18"/>
          <w:szCs w:val="18"/>
          <w:lang w:val="en-US"/>
        </w:rPr>
        <w:tab/>
      </w:r>
      <w:r w:rsidRPr="00A01675">
        <w:rPr>
          <w:rFonts w:ascii="Palatino Linotype" w:eastAsia="Times New Roman" w:hAnsi="Palatino Linotype"/>
          <w:bCs/>
          <w:sz w:val="18"/>
          <w:szCs w:val="18"/>
          <w:lang w:val="en-US"/>
        </w:rPr>
        <w:tab/>
      </w:r>
      <w:r w:rsidRPr="00A01675">
        <w:rPr>
          <w:rFonts w:ascii="Palatino Linotype" w:eastAsia="Times New Roman" w:hAnsi="Palatino Linotype"/>
          <w:bCs/>
          <w:sz w:val="18"/>
          <w:szCs w:val="18"/>
          <w:lang w:val="en-US"/>
        </w:rPr>
        <w:tab/>
      </w:r>
      <w:r w:rsidRPr="00A01675">
        <w:rPr>
          <w:rFonts w:ascii="Palatino Linotype" w:eastAsia="Times New Roman" w:hAnsi="Palatino Linotype"/>
          <w:bCs/>
          <w:sz w:val="18"/>
          <w:szCs w:val="18"/>
          <w:lang w:val="en-US"/>
        </w:rPr>
        <w:tab/>
      </w:r>
      <w:r w:rsidRPr="00A01675">
        <w:rPr>
          <w:rFonts w:ascii="Palatino Linotype" w:eastAsia="Times New Roman" w:hAnsi="Palatino Linotype"/>
          <w:bCs/>
          <w:sz w:val="18"/>
          <w:szCs w:val="18"/>
          <w:lang w:val="en-US"/>
        </w:rPr>
        <w:tab/>
      </w:r>
    </w:p>
    <w:p w:rsidR="003C2485" w:rsidRPr="00A01675" w:rsidRDefault="003C2485" w:rsidP="003C2485">
      <w:pPr>
        <w:spacing w:line="23" w:lineRule="atLeast"/>
        <w:jc w:val="both"/>
        <w:rPr>
          <w:rFonts w:ascii="Palatino Linotype" w:hAnsi="Palatino Linotype"/>
          <w:bCs/>
          <w:sz w:val="18"/>
          <w:szCs w:val="18"/>
        </w:rPr>
      </w:pPr>
      <w:r w:rsidRPr="00A01675">
        <w:rPr>
          <w:rFonts w:ascii="Palatino Linotype" w:hAnsi="Palatino Linotype"/>
          <w:bCs/>
          <w:sz w:val="18"/>
          <w:szCs w:val="18"/>
        </w:rPr>
        <w:t>NA: Not Available</w:t>
      </w:r>
    </w:p>
    <w:p w:rsidR="003C2485" w:rsidRPr="00A01675" w:rsidRDefault="003C2485" w:rsidP="003C2485">
      <w:pPr>
        <w:spacing w:line="23" w:lineRule="atLeast"/>
        <w:jc w:val="both"/>
        <w:outlineLvl w:val="0"/>
        <w:rPr>
          <w:rFonts w:ascii="Palatino Linotype" w:hAnsi="Palatino Linotype"/>
          <w:bCs/>
          <w:sz w:val="18"/>
          <w:szCs w:val="18"/>
        </w:rPr>
      </w:pPr>
      <w:r w:rsidRPr="00A01675">
        <w:rPr>
          <w:rFonts w:ascii="Palatino Linotype" w:hAnsi="Palatino Linotype"/>
          <w:bCs/>
          <w:sz w:val="18"/>
          <w:szCs w:val="18"/>
        </w:rPr>
        <w:t>Source: World Federation of Exchanges</w:t>
      </w:r>
    </w:p>
    <w:p w:rsidR="003C2485" w:rsidRPr="00A01675" w:rsidRDefault="003C2485" w:rsidP="003C2485">
      <w:pPr>
        <w:spacing w:line="23" w:lineRule="atLeast"/>
        <w:rPr>
          <w:rFonts w:ascii="Palatino Linotype" w:hAnsi="Palatino Linotype"/>
          <w:bCs/>
          <w:sz w:val="22"/>
          <w:szCs w:val="22"/>
        </w:rPr>
      </w:pPr>
    </w:p>
    <w:p w:rsidR="003C2485" w:rsidRPr="00A01675" w:rsidRDefault="003C2485" w:rsidP="003C2485">
      <w:pPr>
        <w:rPr>
          <w:rFonts w:ascii="Palatino Linotype" w:eastAsia="Times New Roman" w:hAnsi="Palatino Linotype"/>
          <w:bCs/>
          <w:sz w:val="22"/>
          <w:szCs w:val="22"/>
          <w:lang w:val="en-US"/>
        </w:rPr>
      </w:pPr>
      <w:r w:rsidRPr="00A01675">
        <w:rPr>
          <w:rFonts w:ascii="Palatino Linotype" w:eastAsia="Times New Roman" w:hAnsi="Palatino Linotype"/>
          <w:b/>
          <w:bCs/>
          <w:szCs w:val="22"/>
          <w:lang w:val="en-US"/>
        </w:rPr>
        <w:br w:type="page"/>
        <w:t>Table A7: Interest Rate Futures and Options Traded in Major Exchanges</w:t>
      </w:r>
    </w:p>
    <w:p w:rsidR="003C2485" w:rsidRPr="00A01675" w:rsidRDefault="003C2485" w:rsidP="003C2485">
      <w:pPr>
        <w:spacing w:line="23" w:lineRule="atLeast"/>
        <w:ind w:right="-602"/>
        <w:jc w:val="right"/>
        <w:rPr>
          <w:rFonts w:ascii="Palatino Linotype" w:eastAsia="Times New Roman" w:hAnsi="Palatino Linotype"/>
          <w:bCs/>
          <w:sz w:val="22"/>
          <w:szCs w:val="22"/>
          <w:lang w:val="en-US"/>
        </w:rPr>
      </w:pPr>
      <w:r w:rsidRPr="00A01675">
        <w:rPr>
          <w:rFonts w:ascii="Palatino Linotype" w:hAnsi="Palatino Linotype"/>
          <w:bCs/>
          <w:sz w:val="22"/>
          <w:szCs w:val="22"/>
        </w:rPr>
        <w:t>Notional Turnover in (USD million)</w:t>
      </w:r>
    </w:p>
    <w:tbl>
      <w:tblPr>
        <w:tblW w:w="5337" w:type="pct"/>
        <w:jc w:val="center"/>
        <w:tblLook w:val="04A0" w:firstRow="1" w:lastRow="0" w:firstColumn="1" w:lastColumn="0" w:noHBand="0" w:noVBand="1"/>
      </w:tblPr>
      <w:tblGrid>
        <w:gridCol w:w="3485"/>
        <w:gridCol w:w="1500"/>
        <w:gridCol w:w="1188"/>
        <w:gridCol w:w="1089"/>
        <w:gridCol w:w="1089"/>
        <w:gridCol w:w="1089"/>
        <w:gridCol w:w="1093"/>
      </w:tblGrid>
      <w:tr w:rsidR="003C2485" w:rsidRPr="00A01675" w:rsidTr="003C2485">
        <w:trPr>
          <w:trHeight w:val="166"/>
          <w:jc w:val="center"/>
        </w:trPr>
        <w:tc>
          <w:tcPr>
            <w:tcW w:w="1654"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3C2485" w:rsidRPr="00A01675" w:rsidRDefault="003C2485" w:rsidP="003C2485">
            <w:pPr>
              <w:jc w:val="center"/>
              <w:rPr>
                <w:rFonts w:ascii="Palatino Linotype" w:eastAsia="Times New Roman" w:hAnsi="Palatino Linotype" w:cs="Calibri"/>
                <w:b/>
                <w:bCs/>
                <w:color w:val="000000"/>
                <w:sz w:val="20"/>
                <w:szCs w:val="20"/>
                <w:lang w:val="en-IN" w:eastAsia="en-IN" w:bidi="hi-IN"/>
              </w:rPr>
            </w:pPr>
            <w:r w:rsidRPr="00A01675">
              <w:rPr>
                <w:rFonts w:ascii="Palatino Linotype" w:eastAsia="Times New Roman" w:hAnsi="Palatino Linotype" w:cs="Calibri"/>
                <w:b/>
                <w:bCs/>
                <w:color w:val="000000"/>
                <w:sz w:val="20"/>
                <w:szCs w:val="20"/>
                <w:lang w:val="en-IN" w:eastAsia="en-IN" w:bidi="hi-IN"/>
              </w:rPr>
              <w:t>Exchange</w:t>
            </w:r>
          </w:p>
        </w:tc>
        <w:tc>
          <w:tcPr>
            <w:tcW w:w="3346" w:type="pct"/>
            <w:gridSpan w:val="6"/>
            <w:tcBorders>
              <w:top w:val="single" w:sz="4" w:space="0" w:color="auto"/>
              <w:left w:val="nil"/>
              <w:bottom w:val="single" w:sz="4" w:space="0" w:color="auto"/>
              <w:right w:val="single" w:sz="4" w:space="0" w:color="auto"/>
            </w:tcBorders>
            <w:shd w:val="clear" w:color="000000" w:fill="B4C6E7"/>
            <w:vAlign w:val="center"/>
            <w:hideMark/>
          </w:tcPr>
          <w:p w:rsidR="003C2485" w:rsidRPr="00A01675" w:rsidRDefault="003C2485" w:rsidP="003C2485">
            <w:pPr>
              <w:jc w:val="center"/>
              <w:rPr>
                <w:rFonts w:ascii="Palatino Linotype" w:eastAsia="Times New Roman" w:hAnsi="Palatino Linotype" w:cs="Calibri"/>
                <w:b/>
                <w:bCs/>
                <w:color w:val="000000"/>
                <w:sz w:val="20"/>
                <w:szCs w:val="20"/>
                <w:lang w:val="en-IN" w:eastAsia="en-IN" w:bidi="hi-IN"/>
              </w:rPr>
            </w:pPr>
            <w:r w:rsidRPr="008205D3">
              <w:rPr>
                <w:rFonts w:ascii="Palatino Linotype" w:eastAsia="Times New Roman" w:hAnsi="Palatino Linotype" w:cs="Calibri"/>
                <w:b/>
                <w:bCs/>
                <w:color w:val="000000"/>
                <w:sz w:val="18"/>
                <w:szCs w:val="18"/>
                <w:lang w:val="en-IN" w:eastAsia="en-IN" w:bidi="hi-IN"/>
              </w:rPr>
              <w:t>Jul-21</w:t>
            </w:r>
          </w:p>
        </w:tc>
      </w:tr>
      <w:tr w:rsidR="003C2485" w:rsidRPr="00A01675" w:rsidTr="003C2485">
        <w:trPr>
          <w:trHeight w:val="166"/>
          <w:jc w:val="center"/>
        </w:trPr>
        <w:tc>
          <w:tcPr>
            <w:tcW w:w="1654" w:type="pct"/>
            <w:vMerge/>
            <w:tcBorders>
              <w:top w:val="single" w:sz="4" w:space="0" w:color="auto"/>
              <w:left w:val="single" w:sz="4" w:space="0" w:color="auto"/>
              <w:bottom w:val="single" w:sz="4" w:space="0" w:color="auto"/>
              <w:right w:val="single" w:sz="4" w:space="0" w:color="auto"/>
            </w:tcBorders>
            <w:vAlign w:val="center"/>
            <w:hideMark/>
          </w:tcPr>
          <w:p w:rsidR="003C2485" w:rsidRPr="00A01675" w:rsidRDefault="003C2485" w:rsidP="003C2485">
            <w:pPr>
              <w:rPr>
                <w:rFonts w:ascii="Palatino Linotype" w:eastAsia="Times New Roman" w:hAnsi="Palatino Linotype" w:cs="Calibri"/>
                <w:b/>
                <w:bCs/>
                <w:color w:val="000000"/>
                <w:sz w:val="20"/>
                <w:szCs w:val="20"/>
                <w:lang w:val="en-IN" w:eastAsia="en-IN" w:bidi="hi-IN"/>
              </w:rPr>
            </w:pPr>
          </w:p>
        </w:tc>
        <w:tc>
          <w:tcPr>
            <w:tcW w:w="1793" w:type="pct"/>
            <w:gridSpan w:val="3"/>
            <w:tcBorders>
              <w:top w:val="single" w:sz="4" w:space="0" w:color="auto"/>
              <w:left w:val="nil"/>
              <w:bottom w:val="single" w:sz="4" w:space="0" w:color="auto"/>
              <w:right w:val="single" w:sz="4" w:space="0" w:color="auto"/>
            </w:tcBorders>
            <w:shd w:val="clear" w:color="000000" w:fill="B4C6E7"/>
            <w:vAlign w:val="center"/>
            <w:hideMark/>
          </w:tcPr>
          <w:p w:rsidR="003C2485" w:rsidRPr="00A01675" w:rsidRDefault="003C2485" w:rsidP="003C2485">
            <w:pPr>
              <w:jc w:val="center"/>
              <w:rPr>
                <w:rFonts w:ascii="Palatino Linotype" w:eastAsia="Times New Roman" w:hAnsi="Palatino Linotype" w:cs="Calibri"/>
                <w:b/>
                <w:bCs/>
                <w:color w:val="000000"/>
                <w:sz w:val="20"/>
                <w:szCs w:val="20"/>
                <w:lang w:val="en-IN" w:eastAsia="en-IN" w:bidi="hi-IN"/>
              </w:rPr>
            </w:pPr>
            <w:r w:rsidRPr="00A01675">
              <w:rPr>
                <w:rFonts w:ascii="Palatino Linotype" w:eastAsia="Times New Roman" w:hAnsi="Palatino Linotype" w:cs="Calibri"/>
                <w:b/>
                <w:bCs/>
                <w:color w:val="000000"/>
                <w:sz w:val="20"/>
                <w:szCs w:val="20"/>
                <w:lang w:val="en-IN" w:eastAsia="en-IN" w:bidi="hi-IN"/>
              </w:rPr>
              <w:t>Interest Rate Futures</w:t>
            </w:r>
          </w:p>
        </w:tc>
        <w:tc>
          <w:tcPr>
            <w:tcW w:w="1553" w:type="pct"/>
            <w:gridSpan w:val="3"/>
            <w:tcBorders>
              <w:top w:val="single" w:sz="4" w:space="0" w:color="auto"/>
              <w:left w:val="nil"/>
              <w:bottom w:val="single" w:sz="4" w:space="0" w:color="auto"/>
              <w:right w:val="single" w:sz="4" w:space="0" w:color="auto"/>
            </w:tcBorders>
            <w:shd w:val="clear" w:color="000000" w:fill="B4C6E7"/>
            <w:vAlign w:val="center"/>
            <w:hideMark/>
          </w:tcPr>
          <w:p w:rsidR="003C2485" w:rsidRPr="00A01675" w:rsidRDefault="003C2485" w:rsidP="003C2485">
            <w:pPr>
              <w:jc w:val="center"/>
              <w:rPr>
                <w:rFonts w:ascii="Palatino Linotype" w:eastAsia="Times New Roman" w:hAnsi="Palatino Linotype" w:cs="Calibri"/>
                <w:b/>
                <w:bCs/>
                <w:color w:val="000000"/>
                <w:sz w:val="20"/>
                <w:szCs w:val="20"/>
                <w:lang w:val="en-IN" w:eastAsia="en-IN" w:bidi="hi-IN"/>
              </w:rPr>
            </w:pPr>
            <w:r w:rsidRPr="00A01675">
              <w:rPr>
                <w:rFonts w:ascii="Palatino Linotype" w:eastAsia="Times New Roman" w:hAnsi="Palatino Linotype" w:cs="Calibri"/>
                <w:b/>
                <w:bCs/>
                <w:color w:val="000000"/>
                <w:sz w:val="20"/>
                <w:szCs w:val="20"/>
                <w:lang w:val="en-IN" w:eastAsia="en-IN" w:bidi="hi-IN"/>
              </w:rPr>
              <w:t>Interest Rate Options</w:t>
            </w:r>
          </w:p>
        </w:tc>
      </w:tr>
      <w:tr w:rsidR="003C2485" w:rsidRPr="00A01675" w:rsidTr="003C2485">
        <w:trPr>
          <w:trHeight w:val="435"/>
          <w:jc w:val="center"/>
        </w:trPr>
        <w:tc>
          <w:tcPr>
            <w:tcW w:w="1654" w:type="pct"/>
            <w:vMerge/>
            <w:tcBorders>
              <w:top w:val="single" w:sz="4" w:space="0" w:color="auto"/>
              <w:left w:val="single" w:sz="4" w:space="0" w:color="auto"/>
              <w:bottom w:val="single" w:sz="4" w:space="0" w:color="auto"/>
              <w:right w:val="single" w:sz="4" w:space="0" w:color="auto"/>
            </w:tcBorders>
            <w:vAlign w:val="center"/>
            <w:hideMark/>
          </w:tcPr>
          <w:p w:rsidR="003C2485" w:rsidRPr="00A01675" w:rsidRDefault="003C2485" w:rsidP="003C2485">
            <w:pPr>
              <w:rPr>
                <w:rFonts w:ascii="Palatino Linotype" w:eastAsia="Times New Roman" w:hAnsi="Palatino Linotype" w:cs="Calibri"/>
                <w:b/>
                <w:bCs/>
                <w:color w:val="000000"/>
                <w:sz w:val="20"/>
                <w:szCs w:val="20"/>
                <w:lang w:val="en-IN" w:eastAsia="en-IN" w:bidi="hi-IN"/>
              </w:rPr>
            </w:pPr>
          </w:p>
        </w:tc>
        <w:tc>
          <w:tcPr>
            <w:tcW w:w="712" w:type="pct"/>
            <w:tcBorders>
              <w:top w:val="nil"/>
              <w:left w:val="nil"/>
              <w:bottom w:val="single" w:sz="4" w:space="0" w:color="auto"/>
              <w:right w:val="single" w:sz="4" w:space="0" w:color="auto"/>
            </w:tcBorders>
            <w:shd w:val="clear" w:color="000000" w:fill="B4C6E7"/>
            <w:vAlign w:val="center"/>
            <w:hideMark/>
          </w:tcPr>
          <w:p w:rsidR="003C2485" w:rsidRPr="00A01675" w:rsidRDefault="003C2485" w:rsidP="003C2485">
            <w:pPr>
              <w:jc w:val="center"/>
              <w:rPr>
                <w:rFonts w:ascii="Palatino Linotype" w:eastAsia="Times New Roman" w:hAnsi="Palatino Linotype" w:cs="Calibri"/>
                <w:b/>
                <w:bCs/>
                <w:color w:val="000000"/>
                <w:sz w:val="20"/>
                <w:szCs w:val="20"/>
                <w:lang w:val="en-IN" w:eastAsia="en-IN" w:bidi="hi-IN"/>
              </w:rPr>
            </w:pPr>
            <w:r w:rsidRPr="00A01675">
              <w:rPr>
                <w:rFonts w:ascii="Palatino Linotype" w:eastAsia="Times New Roman" w:hAnsi="Palatino Linotype" w:cs="Calibri"/>
                <w:b/>
                <w:bCs/>
                <w:color w:val="000000"/>
                <w:sz w:val="20"/>
                <w:szCs w:val="20"/>
                <w:lang w:val="en-IN" w:eastAsia="en-IN" w:bidi="hi-IN"/>
              </w:rPr>
              <w:t>Number of</w:t>
            </w:r>
            <w:r w:rsidRPr="00A01675">
              <w:rPr>
                <w:rFonts w:ascii="Palatino Linotype" w:eastAsia="Times New Roman" w:hAnsi="Palatino Linotype" w:cs="Calibri"/>
                <w:b/>
                <w:bCs/>
                <w:color w:val="000000"/>
                <w:sz w:val="20"/>
                <w:szCs w:val="20"/>
                <w:lang w:val="en-IN" w:eastAsia="en-IN" w:bidi="hi-IN"/>
              </w:rPr>
              <w:br/>
              <w:t>Contracts Traded</w:t>
            </w:r>
          </w:p>
        </w:tc>
        <w:tc>
          <w:tcPr>
            <w:tcW w:w="564" w:type="pct"/>
            <w:tcBorders>
              <w:top w:val="nil"/>
              <w:left w:val="nil"/>
              <w:bottom w:val="single" w:sz="4" w:space="0" w:color="auto"/>
              <w:right w:val="single" w:sz="4" w:space="0" w:color="auto"/>
            </w:tcBorders>
            <w:shd w:val="clear" w:color="000000" w:fill="B4C6E7"/>
            <w:vAlign w:val="center"/>
            <w:hideMark/>
          </w:tcPr>
          <w:p w:rsidR="003C2485" w:rsidRPr="00A01675" w:rsidRDefault="003C2485" w:rsidP="003C2485">
            <w:pPr>
              <w:jc w:val="center"/>
              <w:rPr>
                <w:rFonts w:ascii="Palatino Linotype" w:eastAsia="Times New Roman" w:hAnsi="Palatino Linotype" w:cs="Calibri"/>
                <w:b/>
                <w:bCs/>
                <w:color w:val="000000"/>
                <w:sz w:val="20"/>
                <w:szCs w:val="20"/>
                <w:lang w:val="en-IN" w:eastAsia="en-IN" w:bidi="hi-IN"/>
              </w:rPr>
            </w:pPr>
            <w:r w:rsidRPr="00A01675">
              <w:rPr>
                <w:rFonts w:ascii="Palatino Linotype" w:eastAsia="Times New Roman" w:hAnsi="Palatino Linotype" w:cs="Calibri"/>
                <w:b/>
                <w:bCs/>
                <w:color w:val="000000"/>
                <w:sz w:val="20"/>
                <w:szCs w:val="20"/>
                <w:lang w:val="en-IN" w:eastAsia="en-IN" w:bidi="hi-IN"/>
              </w:rPr>
              <w:t>Notional</w:t>
            </w:r>
            <w:r w:rsidRPr="00A01675">
              <w:rPr>
                <w:rFonts w:ascii="Palatino Linotype" w:eastAsia="Times New Roman" w:hAnsi="Palatino Linotype" w:cs="Calibri"/>
                <w:b/>
                <w:bCs/>
                <w:color w:val="000000"/>
                <w:sz w:val="20"/>
                <w:szCs w:val="20"/>
                <w:lang w:val="en-IN" w:eastAsia="en-IN" w:bidi="hi-IN"/>
              </w:rPr>
              <w:br/>
              <w:t>Turnover</w:t>
            </w:r>
          </w:p>
        </w:tc>
        <w:tc>
          <w:tcPr>
            <w:tcW w:w="517" w:type="pct"/>
            <w:tcBorders>
              <w:top w:val="nil"/>
              <w:left w:val="nil"/>
              <w:bottom w:val="single" w:sz="4" w:space="0" w:color="auto"/>
              <w:right w:val="single" w:sz="4" w:space="0" w:color="auto"/>
            </w:tcBorders>
            <w:shd w:val="clear" w:color="000000" w:fill="B4C6E7"/>
            <w:vAlign w:val="center"/>
            <w:hideMark/>
          </w:tcPr>
          <w:p w:rsidR="003C2485" w:rsidRPr="00A01675" w:rsidRDefault="003C2485" w:rsidP="003C2485">
            <w:pPr>
              <w:jc w:val="center"/>
              <w:rPr>
                <w:rFonts w:ascii="Palatino Linotype" w:eastAsia="Times New Roman" w:hAnsi="Palatino Linotype" w:cs="Calibri"/>
                <w:b/>
                <w:bCs/>
                <w:color w:val="000000"/>
                <w:sz w:val="20"/>
                <w:szCs w:val="20"/>
                <w:lang w:val="en-IN" w:eastAsia="en-IN" w:bidi="hi-IN"/>
              </w:rPr>
            </w:pPr>
            <w:r w:rsidRPr="00A01675">
              <w:rPr>
                <w:rFonts w:ascii="Palatino Linotype" w:eastAsia="Times New Roman" w:hAnsi="Palatino Linotype" w:cs="Calibri"/>
                <w:b/>
                <w:bCs/>
                <w:color w:val="000000"/>
                <w:sz w:val="20"/>
                <w:szCs w:val="20"/>
                <w:lang w:val="en-IN" w:eastAsia="en-IN" w:bidi="hi-IN"/>
              </w:rPr>
              <w:t>Open</w:t>
            </w:r>
            <w:r w:rsidRPr="00A01675">
              <w:rPr>
                <w:rFonts w:ascii="Palatino Linotype" w:eastAsia="Times New Roman" w:hAnsi="Palatino Linotype" w:cs="Calibri"/>
                <w:b/>
                <w:bCs/>
                <w:color w:val="000000"/>
                <w:sz w:val="20"/>
                <w:szCs w:val="20"/>
                <w:lang w:val="en-IN" w:eastAsia="en-IN" w:bidi="hi-IN"/>
              </w:rPr>
              <w:br/>
              <w:t>Interest</w:t>
            </w:r>
          </w:p>
        </w:tc>
        <w:tc>
          <w:tcPr>
            <w:tcW w:w="517" w:type="pct"/>
            <w:tcBorders>
              <w:top w:val="nil"/>
              <w:left w:val="nil"/>
              <w:bottom w:val="single" w:sz="4" w:space="0" w:color="auto"/>
              <w:right w:val="single" w:sz="4" w:space="0" w:color="auto"/>
            </w:tcBorders>
            <w:shd w:val="clear" w:color="000000" w:fill="B4C6E7"/>
            <w:vAlign w:val="center"/>
            <w:hideMark/>
          </w:tcPr>
          <w:p w:rsidR="003C2485" w:rsidRPr="00A01675" w:rsidRDefault="003C2485" w:rsidP="003C2485">
            <w:pPr>
              <w:jc w:val="center"/>
              <w:rPr>
                <w:rFonts w:ascii="Palatino Linotype" w:eastAsia="Times New Roman" w:hAnsi="Palatino Linotype" w:cs="Calibri"/>
                <w:b/>
                <w:bCs/>
                <w:color w:val="000000"/>
                <w:sz w:val="20"/>
                <w:szCs w:val="20"/>
                <w:lang w:val="en-IN" w:eastAsia="en-IN" w:bidi="hi-IN"/>
              </w:rPr>
            </w:pPr>
            <w:r w:rsidRPr="00A01675">
              <w:rPr>
                <w:rFonts w:ascii="Palatino Linotype" w:eastAsia="Times New Roman" w:hAnsi="Palatino Linotype" w:cs="Calibri"/>
                <w:b/>
                <w:bCs/>
                <w:color w:val="000000"/>
                <w:sz w:val="20"/>
                <w:szCs w:val="20"/>
                <w:lang w:val="en-IN" w:eastAsia="en-IN" w:bidi="hi-IN"/>
              </w:rPr>
              <w:t>Number of</w:t>
            </w:r>
            <w:r w:rsidRPr="00A01675">
              <w:rPr>
                <w:rFonts w:ascii="Palatino Linotype" w:eastAsia="Times New Roman" w:hAnsi="Palatino Linotype" w:cs="Calibri"/>
                <w:b/>
                <w:bCs/>
                <w:color w:val="000000"/>
                <w:sz w:val="20"/>
                <w:szCs w:val="20"/>
                <w:lang w:val="en-IN" w:eastAsia="en-IN" w:bidi="hi-IN"/>
              </w:rPr>
              <w:br/>
              <w:t>Contracts Traded</w:t>
            </w:r>
          </w:p>
        </w:tc>
        <w:tc>
          <w:tcPr>
            <w:tcW w:w="517" w:type="pct"/>
            <w:tcBorders>
              <w:top w:val="nil"/>
              <w:left w:val="nil"/>
              <w:bottom w:val="single" w:sz="4" w:space="0" w:color="auto"/>
              <w:right w:val="single" w:sz="4" w:space="0" w:color="auto"/>
            </w:tcBorders>
            <w:shd w:val="clear" w:color="000000" w:fill="B4C6E7"/>
            <w:vAlign w:val="center"/>
            <w:hideMark/>
          </w:tcPr>
          <w:p w:rsidR="003C2485" w:rsidRPr="00A01675" w:rsidRDefault="003C2485" w:rsidP="003C2485">
            <w:pPr>
              <w:jc w:val="center"/>
              <w:rPr>
                <w:rFonts w:ascii="Palatino Linotype" w:eastAsia="Times New Roman" w:hAnsi="Palatino Linotype" w:cs="Calibri"/>
                <w:b/>
                <w:bCs/>
                <w:color w:val="000000"/>
                <w:sz w:val="20"/>
                <w:szCs w:val="20"/>
                <w:lang w:val="en-IN" w:eastAsia="en-IN" w:bidi="hi-IN"/>
              </w:rPr>
            </w:pPr>
            <w:r w:rsidRPr="00A01675">
              <w:rPr>
                <w:rFonts w:ascii="Palatino Linotype" w:eastAsia="Times New Roman" w:hAnsi="Palatino Linotype" w:cs="Calibri"/>
                <w:b/>
                <w:bCs/>
                <w:color w:val="000000"/>
                <w:sz w:val="20"/>
                <w:szCs w:val="20"/>
                <w:lang w:val="en-IN" w:eastAsia="en-IN" w:bidi="hi-IN"/>
              </w:rPr>
              <w:t>Notional</w:t>
            </w:r>
            <w:r w:rsidRPr="00A01675">
              <w:rPr>
                <w:rFonts w:ascii="Palatino Linotype" w:eastAsia="Times New Roman" w:hAnsi="Palatino Linotype" w:cs="Calibri"/>
                <w:b/>
                <w:bCs/>
                <w:color w:val="000000"/>
                <w:sz w:val="20"/>
                <w:szCs w:val="20"/>
                <w:lang w:val="en-IN" w:eastAsia="en-IN" w:bidi="hi-IN"/>
              </w:rPr>
              <w:br/>
              <w:t>Turnover</w:t>
            </w:r>
          </w:p>
        </w:tc>
        <w:tc>
          <w:tcPr>
            <w:tcW w:w="519" w:type="pct"/>
            <w:tcBorders>
              <w:top w:val="nil"/>
              <w:left w:val="nil"/>
              <w:bottom w:val="single" w:sz="4" w:space="0" w:color="auto"/>
              <w:right w:val="single" w:sz="4" w:space="0" w:color="auto"/>
            </w:tcBorders>
            <w:shd w:val="clear" w:color="000000" w:fill="B4C6E7"/>
            <w:vAlign w:val="center"/>
            <w:hideMark/>
          </w:tcPr>
          <w:p w:rsidR="003C2485" w:rsidRPr="00A01675" w:rsidRDefault="003C2485" w:rsidP="003C2485">
            <w:pPr>
              <w:jc w:val="center"/>
              <w:rPr>
                <w:rFonts w:ascii="Palatino Linotype" w:eastAsia="Times New Roman" w:hAnsi="Palatino Linotype" w:cs="Calibri"/>
                <w:b/>
                <w:bCs/>
                <w:color w:val="000000"/>
                <w:sz w:val="20"/>
                <w:szCs w:val="20"/>
                <w:lang w:val="en-IN" w:eastAsia="en-IN" w:bidi="hi-IN"/>
              </w:rPr>
            </w:pPr>
            <w:r w:rsidRPr="00A01675">
              <w:rPr>
                <w:rFonts w:ascii="Palatino Linotype" w:eastAsia="Times New Roman" w:hAnsi="Palatino Linotype" w:cs="Calibri"/>
                <w:b/>
                <w:bCs/>
                <w:color w:val="000000"/>
                <w:sz w:val="20"/>
                <w:szCs w:val="20"/>
                <w:lang w:val="en-IN" w:eastAsia="en-IN" w:bidi="hi-IN"/>
              </w:rPr>
              <w:t>Open</w:t>
            </w:r>
            <w:r w:rsidRPr="00A01675">
              <w:rPr>
                <w:rFonts w:ascii="Palatino Linotype" w:eastAsia="Times New Roman" w:hAnsi="Palatino Linotype" w:cs="Calibri"/>
                <w:b/>
                <w:bCs/>
                <w:color w:val="000000"/>
                <w:sz w:val="20"/>
                <w:szCs w:val="20"/>
                <w:lang w:val="en-IN" w:eastAsia="en-IN" w:bidi="hi-IN"/>
              </w:rPr>
              <w:br/>
              <w:t>Interest</w:t>
            </w:r>
          </w:p>
        </w:tc>
      </w:tr>
      <w:tr w:rsidR="003C2485" w:rsidRPr="00A01675" w:rsidTr="003C2485">
        <w:trPr>
          <w:trHeight w:val="166"/>
          <w:jc w:val="center"/>
        </w:trPr>
        <w:tc>
          <w:tcPr>
            <w:tcW w:w="1654" w:type="pct"/>
            <w:tcBorders>
              <w:top w:val="nil"/>
              <w:left w:val="single" w:sz="4" w:space="0" w:color="auto"/>
              <w:bottom w:val="nil"/>
              <w:right w:val="nil"/>
            </w:tcBorders>
            <w:shd w:val="clear" w:color="000000" w:fill="B4C6E7"/>
            <w:vAlign w:val="center"/>
            <w:hideMark/>
          </w:tcPr>
          <w:p w:rsidR="003C2485" w:rsidRPr="00A01675" w:rsidRDefault="003C2485" w:rsidP="003C2485">
            <w:pPr>
              <w:rPr>
                <w:rFonts w:ascii="Palatino Linotype" w:eastAsia="Times New Roman" w:hAnsi="Palatino Linotype" w:cs="Calibri"/>
                <w:color w:val="000000"/>
                <w:sz w:val="20"/>
                <w:szCs w:val="20"/>
                <w:lang w:val="en-IN" w:eastAsia="en-IN" w:bidi="hi-IN"/>
              </w:rPr>
            </w:pPr>
            <w:r w:rsidRPr="00A01675">
              <w:rPr>
                <w:rFonts w:ascii="Palatino Linotype" w:eastAsia="Times New Roman" w:hAnsi="Palatino Linotype" w:cs="Calibri"/>
                <w:color w:val="000000"/>
                <w:sz w:val="20"/>
                <w:szCs w:val="20"/>
                <w:lang w:val="en-IN" w:eastAsia="en-IN" w:bidi="hi-IN"/>
              </w:rPr>
              <w:t>B3 - Brasil Bolsa Balcão</w:t>
            </w:r>
          </w:p>
        </w:tc>
        <w:tc>
          <w:tcPr>
            <w:tcW w:w="712" w:type="pct"/>
            <w:tcBorders>
              <w:top w:val="single" w:sz="8" w:space="0" w:color="auto"/>
              <w:left w:val="single" w:sz="8" w:space="0" w:color="auto"/>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lang w:val="en-IN" w:eastAsia="en-IN" w:bidi="hi-IN"/>
              </w:rPr>
            </w:pPr>
            <w:r>
              <w:rPr>
                <w:rFonts w:ascii="Garamond" w:hAnsi="Garamond" w:cs="Calibri"/>
                <w:color w:val="000000"/>
                <w:sz w:val="20"/>
                <w:szCs w:val="20"/>
              </w:rPr>
              <w:t xml:space="preserve"> 47,914,630</w:t>
            </w:r>
          </w:p>
        </w:tc>
        <w:tc>
          <w:tcPr>
            <w:tcW w:w="564" w:type="pct"/>
            <w:tcBorders>
              <w:top w:val="single" w:sz="8" w:space="0" w:color="auto"/>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848,963</w:t>
            </w:r>
          </w:p>
        </w:tc>
        <w:tc>
          <w:tcPr>
            <w:tcW w:w="517" w:type="pct"/>
            <w:tcBorders>
              <w:top w:val="single" w:sz="8" w:space="0" w:color="auto"/>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33,244,219</w:t>
            </w:r>
          </w:p>
        </w:tc>
        <w:tc>
          <w:tcPr>
            <w:tcW w:w="517" w:type="pct"/>
            <w:tcBorders>
              <w:top w:val="single" w:sz="8" w:space="0" w:color="auto"/>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5,012,934</w:t>
            </w:r>
          </w:p>
        </w:tc>
        <w:tc>
          <w:tcPr>
            <w:tcW w:w="517" w:type="pct"/>
            <w:tcBorders>
              <w:top w:val="single" w:sz="8" w:space="0" w:color="auto"/>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29</w:t>
            </w:r>
          </w:p>
        </w:tc>
        <w:tc>
          <w:tcPr>
            <w:tcW w:w="519" w:type="pct"/>
            <w:tcBorders>
              <w:top w:val="single" w:sz="8" w:space="0" w:color="auto"/>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34,406,022</w:t>
            </w:r>
          </w:p>
        </w:tc>
      </w:tr>
      <w:tr w:rsidR="003C2485" w:rsidRPr="00A01675" w:rsidTr="003C2485">
        <w:trPr>
          <w:trHeight w:val="166"/>
          <w:jc w:val="center"/>
        </w:trPr>
        <w:tc>
          <w:tcPr>
            <w:tcW w:w="1654" w:type="pct"/>
            <w:tcBorders>
              <w:top w:val="nil"/>
              <w:left w:val="single" w:sz="4" w:space="0" w:color="auto"/>
              <w:bottom w:val="nil"/>
              <w:right w:val="nil"/>
            </w:tcBorders>
            <w:shd w:val="clear" w:color="000000" w:fill="B4C6E7"/>
            <w:vAlign w:val="center"/>
            <w:hideMark/>
          </w:tcPr>
          <w:p w:rsidR="003C2485" w:rsidRPr="00A01675" w:rsidRDefault="003C2485" w:rsidP="003C2485">
            <w:pPr>
              <w:rPr>
                <w:rFonts w:ascii="Palatino Linotype" w:eastAsia="Times New Roman" w:hAnsi="Palatino Linotype" w:cs="Calibri"/>
                <w:color w:val="000000"/>
                <w:sz w:val="20"/>
                <w:szCs w:val="20"/>
                <w:lang w:val="en-IN" w:eastAsia="en-IN" w:bidi="hi-IN"/>
              </w:rPr>
            </w:pPr>
            <w:r w:rsidRPr="00A01675">
              <w:rPr>
                <w:rFonts w:ascii="Palatino Linotype" w:eastAsia="Times New Roman" w:hAnsi="Palatino Linotype" w:cs="Calibri"/>
                <w:color w:val="000000"/>
                <w:sz w:val="20"/>
                <w:szCs w:val="20"/>
                <w:lang w:val="en-IN" w:eastAsia="en-IN" w:bidi="hi-IN"/>
              </w:rPr>
              <w:t>Bolsa de Valores de Colombia</w:t>
            </w:r>
          </w:p>
        </w:tc>
        <w:tc>
          <w:tcPr>
            <w:tcW w:w="712" w:type="pct"/>
            <w:tcBorders>
              <w:top w:val="nil"/>
              <w:left w:val="single" w:sz="8" w:space="0" w:color="auto"/>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5,215</w:t>
            </w:r>
          </w:p>
        </w:tc>
        <w:tc>
          <w:tcPr>
            <w:tcW w:w="564"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367</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14,181</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NA</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NA</w:t>
            </w:r>
          </w:p>
        </w:tc>
        <w:tc>
          <w:tcPr>
            <w:tcW w:w="519"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NA</w:t>
            </w:r>
          </w:p>
        </w:tc>
      </w:tr>
      <w:tr w:rsidR="003C2485" w:rsidRPr="00A01675" w:rsidTr="003C2485">
        <w:trPr>
          <w:trHeight w:val="166"/>
          <w:jc w:val="center"/>
        </w:trPr>
        <w:tc>
          <w:tcPr>
            <w:tcW w:w="1654" w:type="pct"/>
            <w:tcBorders>
              <w:top w:val="nil"/>
              <w:left w:val="single" w:sz="4" w:space="0" w:color="auto"/>
              <w:bottom w:val="nil"/>
              <w:right w:val="nil"/>
            </w:tcBorders>
            <w:shd w:val="clear" w:color="000000" w:fill="B4C6E7"/>
            <w:vAlign w:val="center"/>
            <w:hideMark/>
          </w:tcPr>
          <w:p w:rsidR="003C2485" w:rsidRPr="00A01675" w:rsidRDefault="003C2485" w:rsidP="003C2485">
            <w:pPr>
              <w:rPr>
                <w:rFonts w:ascii="Palatino Linotype" w:eastAsia="Times New Roman" w:hAnsi="Palatino Linotype" w:cs="Calibri"/>
                <w:color w:val="000000"/>
                <w:sz w:val="20"/>
                <w:szCs w:val="20"/>
                <w:lang w:val="en-IN" w:eastAsia="en-IN" w:bidi="hi-IN"/>
              </w:rPr>
            </w:pPr>
            <w:r w:rsidRPr="00A01675">
              <w:rPr>
                <w:rFonts w:ascii="Palatino Linotype" w:eastAsia="Times New Roman" w:hAnsi="Palatino Linotype" w:cs="Calibri"/>
                <w:color w:val="000000"/>
                <w:sz w:val="20"/>
                <w:szCs w:val="20"/>
                <w:lang w:val="en-IN" w:eastAsia="en-IN" w:bidi="hi-IN"/>
              </w:rPr>
              <w:t>Bolsa Mexicana de Valores</w:t>
            </w:r>
          </w:p>
        </w:tc>
        <w:tc>
          <w:tcPr>
            <w:tcW w:w="712" w:type="pct"/>
            <w:tcBorders>
              <w:top w:val="nil"/>
              <w:left w:val="single" w:sz="8" w:space="0" w:color="auto"/>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2,800</w:t>
            </w:r>
          </w:p>
        </w:tc>
        <w:tc>
          <w:tcPr>
            <w:tcW w:w="564"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14</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7,300</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NA</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NA</w:t>
            </w:r>
          </w:p>
        </w:tc>
        <w:tc>
          <w:tcPr>
            <w:tcW w:w="519"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NA</w:t>
            </w:r>
          </w:p>
        </w:tc>
      </w:tr>
      <w:tr w:rsidR="003C2485" w:rsidRPr="00A01675" w:rsidTr="003C2485">
        <w:trPr>
          <w:trHeight w:val="166"/>
          <w:jc w:val="center"/>
        </w:trPr>
        <w:tc>
          <w:tcPr>
            <w:tcW w:w="1654" w:type="pct"/>
            <w:tcBorders>
              <w:top w:val="nil"/>
              <w:left w:val="single" w:sz="4" w:space="0" w:color="auto"/>
              <w:bottom w:val="nil"/>
              <w:right w:val="nil"/>
            </w:tcBorders>
            <w:shd w:val="clear" w:color="000000" w:fill="B4C6E7"/>
            <w:vAlign w:val="center"/>
            <w:hideMark/>
          </w:tcPr>
          <w:p w:rsidR="003C2485" w:rsidRPr="00A01675" w:rsidRDefault="003C2485" w:rsidP="003C2485">
            <w:pPr>
              <w:rPr>
                <w:rFonts w:ascii="Palatino Linotype" w:eastAsia="Times New Roman" w:hAnsi="Palatino Linotype" w:cs="Calibri"/>
                <w:color w:val="000000"/>
                <w:sz w:val="20"/>
                <w:szCs w:val="20"/>
                <w:lang w:val="en-IN" w:eastAsia="en-IN" w:bidi="hi-IN"/>
              </w:rPr>
            </w:pPr>
            <w:r w:rsidRPr="00A01675">
              <w:rPr>
                <w:rFonts w:ascii="Palatino Linotype" w:eastAsia="Times New Roman" w:hAnsi="Palatino Linotype" w:cs="Calibri"/>
                <w:color w:val="000000"/>
                <w:sz w:val="20"/>
                <w:szCs w:val="20"/>
                <w:lang w:val="en-IN" w:eastAsia="en-IN" w:bidi="hi-IN"/>
              </w:rPr>
              <w:t>CME Group</w:t>
            </w:r>
          </w:p>
        </w:tc>
        <w:tc>
          <w:tcPr>
            <w:tcW w:w="712" w:type="pct"/>
            <w:tcBorders>
              <w:top w:val="nil"/>
              <w:left w:val="single" w:sz="8" w:space="0" w:color="auto"/>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125,700,942</w:t>
            </w:r>
          </w:p>
        </w:tc>
        <w:tc>
          <w:tcPr>
            <w:tcW w:w="564"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67,368,948</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27,977,908</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38,425,014</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22,945,828</w:t>
            </w:r>
          </w:p>
        </w:tc>
        <w:tc>
          <w:tcPr>
            <w:tcW w:w="519"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40,945,480</w:t>
            </w:r>
          </w:p>
        </w:tc>
      </w:tr>
      <w:tr w:rsidR="003C2485" w:rsidRPr="00A01675" w:rsidTr="003C2485">
        <w:trPr>
          <w:trHeight w:val="166"/>
          <w:jc w:val="center"/>
        </w:trPr>
        <w:tc>
          <w:tcPr>
            <w:tcW w:w="1654" w:type="pct"/>
            <w:tcBorders>
              <w:top w:val="nil"/>
              <w:left w:val="single" w:sz="4" w:space="0" w:color="auto"/>
              <w:bottom w:val="nil"/>
              <w:right w:val="nil"/>
            </w:tcBorders>
            <w:shd w:val="clear" w:color="000000" w:fill="B4C6E7"/>
            <w:vAlign w:val="center"/>
            <w:hideMark/>
          </w:tcPr>
          <w:p w:rsidR="003C2485" w:rsidRPr="00A01675" w:rsidRDefault="003C2485" w:rsidP="003C2485">
            <w:pPr>
              <w:rPr>
                <w:rFonts w:ascii="Palatino Linotype" w:eastAsia="Times New Roman" w:hAnsi="Palatino Linotype" w:cs="Calibri"/>
                <w:color w:val="000000"/>
                <w:sz w:val="20"/>
                <w:szCs w:val="20"/>
                <w:lang w:val="en-IN" w:eastAsia="en-IN" w:bidi="hi-IN"/>
              </w:rPr>
            </w:pPr>
            <w:r w:rsidRPr="00A01675">
              <w:rPr>
                <w:rFonts w:ascii="Palatino Linotype" w:eastAsia="Times New Roman" w:hAnsi="Palatino Linotype" w:cs="Calibri"/>
                <w:color w:val="000000"/>
                <w:sz w:val="20"/>
                <w:szCs w:val="20"/>
                <w:lang w:val="en-IN" w:eastAsia="en-IN" w:bidi="hi-IN"/>
              </w:rPr>
              <w:t>ASX Australian Securities Exchange</w:t>
            </w:r>
          </w:p>
        </w:tc>
        <w:tc>
          <w:tcPr>
            <w:tcW w:w="712" w:type="pct"/>
            <w:tcBorders>
              <w:top w:val="nil"/>
              <w:left w:val="single" w:sz="8" w:space="0" w:color="auto"/>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8,808,666</w:t>
            </w:r>
          </w:p>
        </w:tc>
        <w:tc>
          <w:tcPr>
            <w:tcW w:w="564"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1,614,197</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3,187,118</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2,710</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199</w:t>
            </w:r>
          </w:p>
        </w:tc>
        <w:tc>
          <w:tcPr>
            <w:tcW w:w="519"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6,210</w:t>
            </w:r>
          </w:p>
        </w:tc>
      </w:tr>
      <w:tr w:rsidR="003C2485" w:rsidRPr="00A01675" w:rsidTr="003C2485">
        <w:trPr>
          <w:trHeight w:val="166"/>
          <w:jc w:val="center"/>
        </w:trPr>
        <w:tc>
          <w:tcPr>
            <w:tcW w:w="1654" w:type="pct"/>
            <w:tcBorders>
              <w:top w:val="nil"/>
              <w:left w:val="single" w:sz="4" w:space="0" w:color="auto"/>
              <w:bottom w:val="nil"/>
              <w:right w:val="nil"/>
            </w:tcBorders>
            <w:shd w:val="clear" w:color="000000" w:fill="B4C6E7"/>
            <w:vAlign w:val="center"/>
            <w:hideMark/>
          </w:tcPr>
          <w:p w:rsidR="003C2485" w:rsidRPr="00A01675" w:rsidRDefault="003C2485" w:rsidP="003C2485">
            <w:pPr>
              <w:rPr>
                <w:rFonts w:ascii="Palatino Linotype" w:eastAsia="Times New Roman" w:hAnsi="Palatino Linotype" w:cs="Calibri"/>
                <w:color w:val="000000"/>
                <w:sz w:val="20"/>
                <w:szCs w:val="20"/>
                <w:lang w:val="en-IN" w:eastAsia="en-IN" w:bidi="hi-IN"/>
              </w:rPr>
            </w:pPr>
            <w:r w:rsidRPr="00A01675">
              <w:rPr>
                <w:rFonts w:ascii="Palatino Linotype" w:eastAsia="Times New Roman" w:hAnsi="Palatino Linotype" w:cs="Calibri"/>
                <w:color w:val="000000"/>
                <w:sz w:val="20"/>
                <w:szCs w:val="20"/>
                <w:lang w:val="en-IN" w:eastAsia="en-IN" w:bidi="hi-IN"/>
              </w:rPr>
              <w:t>Japan Exchange Group</w:t>
            </w:r>
          </w:p>
        </w:tc>
        <w:tc>
          <w:tcPr>
            <w:tcW w:w="712" w:type="pct"/>
            <w:tcBorders>
              <w:top w:val="nil"/>
              <w:left w:val="single" w:sz="8" w:space="0" w:color="auto"/>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548,304</w:t>
            </w:r>
          </w:p>
        </w:tc>
        <w:tc>
          <w:tcPr>
            <w:tcW w:w="564"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NA</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100,015</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18,058</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NA</w:t>
            </w:r>
          </w:p>
        </w:tc>
        <w:tc>
          <w:tcPr>
            <w:tcW w:w="519"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1,223</w:t>
            </w:r>
          </w:p>
        </w:tc>
      </w:tr>
      <w:tr w:rsidR="003C2485" w:rsidRPr="00A01675" w:rsidTr="003C2485">
        <w:trPr>
          <w:trHeight w:val="166"/>
          <w:jc w:val="center"/>
        </w:trPr>
        <w:tc>
          <w:tcPr>
            <w:tcW w:w="1654" w:type="pct"/>
            <w:tcBorders>
              <w:top w:val="nil"/>
              <w:left w:val="single" w:sz="4" w:space="0" w:color="auto"/>
              <w:bottom w:val="nil"/>
              <w:right w:val="nil"/>
            </w:tcBorders>
            <w:shd w:val="clear" w:color="000000" w:fill="B4C6E7"/>
            <w:vAlign w:val="center"/>
            <w:hideMark/>
          </w:tcPr>
          <w:p w:rsidR="003C2485" w:rsidRPr="00A01675" w:rsidRDefault="003C2485" w:rsidP="003C2485">
            <w:pPr>
              <w:rPr>
                <w:rFonts w:ascii="Palatino Linotype" w:eastAsia="Times New Roman" w:hAnsi="Palatino Linotype" w:cs="Calibri"/>
                <w:color w:val="000000"/>
                <w:sz w:val="20"/>
                <w:szCs w:val="20"/>
                <w:lang w:val="en-IN" w:eastAsia="en-IN" w:bidi="hi-IN"/>
              </w:rPr>
            </w:pPr>
            <w:r w:rsidRPr="00A01675">
              <w:rPr>
                <w:rFonts w:ascii="Palatino Linotype" w:eastAsia="Times New Roman" w:hAnsi="Palatino Linotype" w:cs="Calibri"/>
                <w:color w:val="000000"/>
                <w:sz w:val="20"/>
                <w:szCs w:val="20"/>
                <w:lang w:val="en-IN" w:eastAsia="en-IN" w:bidi="hi-IN"/>
              </w:rPr>
              <w:t>Korea Exchange</w:t>
            </w:r>
          </w:p>
        </w:tc>
        <w:tc>
          <w:tcPr>
            <w:tcW w:w="712" w:type="pct"/>
            <w:tcBorders>
              <w:top w:val="nil"/>
              <w:left w:val="single" w:sz="8" w:space="0" w:color="auto"/>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4,791,117</w:t>
            </w:r>
          </w:p>
        </w:tc>
        <w:tc>
          <w:tcPr>
            <w:tcW w:w="564"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478,624</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508,871</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NA</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NA</w:t>
            </w:r>
          </w:p>
        </w:tc>
        <w:tc>
          <w:tcPr>
            <w:tcW w:w="519"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NA</w:t>
            </w:r>
          </w:p>
        </w:tc>
      </w:tr>
      <w:tr w:rsidR="003C2485" w:rsidRPr="00A01675" w:rsidTr="003C2485">
        <w:trPr>
          <w:trHeight w:val="166"/>
          <w:jc w:val="center"/>
        </w:trPr>
        <w:tc>
          <w:tcPr>
            <w:tcW w:w="1654" w:type="pct"/>
            <w:tcBorders>
              <w:top w:val="nil"/>
              <w:left w:val="single" w:sz="4" w:space="0" w:color="auto"/>
              <w:bottom w:val="nil"/>
              <w:right w:val="nil"/>
            </w:tcBorders>
            <w:shd w:val="clear" w:color="000000" w:fill="B4C6E7"/>
            <w:vAlign w:val="center"/>
            <w:hideMark/>
          </w:tcPr>
          <w:p w:rsidR="003C2485" w:rsidRPr="00A01675" w:rsidRDefault="003C2485" w:rsidP="003C2485">
            <w:pPr>
              <w:rPr>
                <w:rFonts w:ascii="Palatino Linotype" w:eastAsia="Times New Roman" w:hAnsi="Palatino Linotype" w:cs="Calibri"/>
                <w:color w:val="000000"/>
                <w:sz w:val="20"/>
                <w:szCs w:val="20"/>
                <w:lang w:val="en-IN" w:eastAsia="en-IN" w:bidi="hi-IN"/>
              </w:rPr>
            </w:pPr>
            <w:r w:rsidRPr="00A01675">
              <w:rPr>
                <w:rFonts w:ascii="Palatino Linotype" w:eastAsia="Times New Roman" w:hAnsi="Palatino Linotype" w:cs="Calibri"/>
                <w:color w:val="000000"/>
                <w:sz w:val="20"/>
                <w:szCs w:val="20"/>
                <w:lang w:val="en-IN" w:eastAsia="en-IN" w:bidi="hi-IN"/>
              </w:rPr>
              <w:t>National Stock Exchange of India</w:t>
            </w:r>
          </w:p>
        </w:tc>
        <w:tc>
          <w:tcPr>
            <w:tcW w:w="712" w:type="pct"/>
            <w:tcBorders>
              <w:top w:val="nil"/>
              <w:left w:val="single" w:sz="8" w:space="0" w:color="auto"/>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88,015</w:t>
            </w:r>
          </w:p>
        </w:tc>
        <w:tc>
          <w:tcPr>
            <w:tcW w:w="564"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231</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21,934</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0</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0</w:t>
            </w:r>
          </w:p>
        </w:tc>
        <w:tc>
          <w:tcPr>
            <w:tcW w:w="519"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0</w:t>
            </w:r>
          </w:p>
        </w:tc>
      </w:tr>
      <w:tr w:rsidR="003C2485" w:rsidRPr="00A01675" w:rsidTr="003C2485">
        <w:trPr>
          <w:trHeight w:val="166"/>
          <w:jc w:val="center"/>
        </w:trPr>
        <w:tc>
          <w:tcPr>
            <w:tcW w:w="1654" w:type="pct"/>
            <w:tcBorders>
              <w:top w:val="nil"/>
              <w:left w:val="single" w:sz="4" w:space="0" w:color="auto"/>
              <w:bottom w:val="nil"/>
              <w:right w:val="nil"/>
            </w:tcBorders>
            <w:shd w:val="clear" w:color="000000" w:fill="B4C6E7"/>
            <w:vAlign w:val="center"/>
            <w:hideMark/>
          </w:tcPr>
          <w:p w:rsidR="003C2485" w:rsidRPr="00A01675" w:rsidRDefault="003C2485" w:rsidP="003C2485">
            <w:pPr>
              <w:rPr>
                <w:rFonts w:ascii="Palatino Linotype" w:eastAsia="Times New Roman" w:hAnsi="Palatino Linotype" w:cs="Calibri"/>
                <w:color w:val="000000"/>
                <w:sz w:val="20"/>
                <w:szCs w:val="20"/>
                <w:lang w:val="en-IN" w:eastAsia="en-IN" w:bidi="hi-IN"/>
              </w:rPr>
            </w:pPr>
            <w:r w:rsidRPr="00A01675">
              <w:rPr>
                <w:rFonts w:ascii="Palatino Linotype" w:eastAsia="Times New Roman" w:hAnsi="Palatino Linotype" w:cs="Calibri"/>
                <w:color w:val="000000"/>
                <w:sz w:val="20"/>
                <w:szCs w:val="20"/>
                <w:lang w:val="en-IN" w:eastAsia="en-IN" w:bidi="hi-IN"/>
              </w:rPr>
              <w:t>Singapore Exchange</w:t>
            </w:r>
          </w:p>
        </w:tc>
        <w:tc>
          <w:tcPr>
            <w:tcW w:w="712" w:type="pct"/>
            <w:tcBorders>
              <w:top w:val="nil"/>
              <w:left w:val="single" w:sz="8" w:space="0" w:color="auto"/>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18,853</w:t>
            </w:r>
          </w:p>
        </w:tc>
        <w:tc>
          <w:tcPr>
            <w:tcW w:w="564"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NA</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17,350</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NA</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NA</w:t>
            </w:r>
          </w:p>
        </w:tc>
        <w:tc>
          <w:tcPr>
            <w:tcW w:w="519"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NA</w:t>
            </w:r>
          </w:p>
        </w:tc>
      </w:tr>
      <w:tr w:rsidR="003C2485" w:rsidRPr="00A01675" w:rsidTr="003C2485">
        <w:trPr>
          <w:trHeight w:val="166"/>
          <w:jc w:val="center"/>
        </w:trPr>
        <w:tc>
          <w:tcPr>
            <w:tcW w:w="1654" w:type="pct"/>
            <w:tcBorders>
              <w:top w:val="nil"/>
              <w:left w:val="single" w:sz="4" w:space="0" w:color="auto"/>
              <w:bottom w:val="nil"/>
              <w:right w:val="nil"/>
            </w:tcBorders>
            <w:shd w:val="clear" w:color="000000" w:fill="B4C6E7"/>
            <w:vAlign w:val="center"/>
            <w:hideMark/>
          </w:tcPr>
          <w:p w:rsidR="003C2485" w:rsidRPr="00A01675" w:rsidRDefault="003C2485" w:rsidP="003C2485">
            <w:pPr>
              <w:rPr>
                <w:rFonts w:ascii="Palatino Linotype" w:eastAsia="Times New Roman" w:hAnsi="Palatino Linotype" w:cs="Calibri"/>
                <w:color w:val="000000"/>
                <w:sz w:val="20"/>
                <w:szCs w:val="20"/>
                <w:lang w:val="en-IN" w:eastAsia="en-IN" w:bidi="hi-IN"/>
              </w:rPr>
            </w:pPr>
            <w:r w:rsidRPr="00A01675">
              <w:rPr>
                <w:rFonts w:ascii="Palatino Linotype" w:eastAsia="Times New Roman" w:hAnsi="Palatino Linotype" w:cs="Calibri"/>
                <w:color w:val="000000"/>
                <w:sz w:val="20"/>
                <w:szCs w:val="20"/>
                <w:lang w:val="en-IN" w:eastAsia="en-IN" w:bidi="hi-IN"/>
              </w:rPr>
              <w:t>China Financial Futures Exchange</w:t>
            </w:r>
          </w:p>
        </w:tc>
        <w:tc>
          <w:tcPr>
            <w:tcW w:w="712" w:type="pct"/>
            <w:tcBorders>
              <w:top w:val="nil"/>
              <w:left w:val="single" w:sz="8" w:space="0" w:color="auto"/>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2,152,362</w:t>
            </w:r>
          </w:p>
        </w:tc>
        <w:tc>
          <w:tcPr>
            <w:tcW w:w="564"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361,923</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265,496</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NA</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NA</w:t>
            </w:r>
          </w:p>
        </w:tc>
        <w:tc>
          <w:tcPr>
            <w:tcW w:w="519"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NA</w:t>
            </w:r>
          </w:p>
        </w:tc>
      </w:tr>
      <w:tr w:rsidR="003C2485" w:rsidRPr="00A01675" w:rsidTr="003C2485">
        <w:trPr>
          <w:trHeight w:val="166"/>
          <w:jc w:val="center"/>
        </w:trPr>
        <w:tc>
          <w:tcPr>
            <w:tcW w:w="1654" w:type="pct"/>
            <w:tcBorders>
              <w:top w:val="nil"/>
              <w:left w:val="single" w:sz="4" w:space="0" w:color="auto"/>
              <w:bottom w:val="nil"/>
              <w:right w:val="nil"/>
            </w:tcBorders>
            <w:shd w:val="clear" w:color="000000" w:fill="B4C6E7"/>
            <w:vAlign w:val="center"/>
            <w:hideMark/>
          </w:tcPr>
          <w:p w:rsidR="003C2485" w:rsidRPr="00A01675" w:rsidRDefault="003C2485" w:rsidP="003C2485">
            <w:pPr>
              <w:rPr>
                <w:rFonts w:ascii="Palatino Linotype" w:eastAsia="Times New Roman" w:hAnsi="Palatino Linotype" w:cs="Calibri"/>
                <w:color w:val="000000"/>
                <w:sz w:val="20"/>
                <w:szCs w:val="20"/>
                <w:lang w:val="en-IN" w:eastAsia="en-IN" w:bidi="hi-IN"/>
              </w:rPr>
            </w:pPr>
            <w:r w:rsidRPr="00A01675">
              <w:rPr>
                <w:rFonts w:ascii="Palatino Linotype" w:eastAsia="Times New Roman" w:hAnsi="Palatino Linotype" w:cs="Calibri"/>
                <w:color w:val="000000"/>
                <w:sz w:val="20"/>
                <w:szCs w:val="20"/>
                <w:lang w:val="en-IN" w:eastAsia="en-IN" w:bidi="hi-IN"/>
              </w:rPr>
              <w:t>Deutsche Boerse AG</w:t>
            </w:r>
          </w:p>
        </w:tc>
        <w:tc>
          <w:tcPr>
            <w:tcW w:w="712" w:type="pct"/>
            <w:tcBorders>
              <w:top w:val="nil"/>
              <w:left w:val="single" w:sz="8" w:space="0" w:color="auto"/>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35,026,995</w:t>
            </w:r>
          </w:p>
        </w:tc>
        <w:tc>
          <w:tcPr>
            <w:tcW w:w="564"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6,430,099</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5,506,082</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3,477,916</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661,872</w:t>
            </w:r>
          </w:p>
        </w:tc>
        <w:tc>
          <w:tcPr>
            <w:tcW w:w="519"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1,605,999</w:t>
            </w:r>
          </w:p>
        </w:tc>
      </w:tr>
      <w:tr w:rsidR="003C2485" w:rsidRPr="00A01675" w:rsidTr="003C2485">
        <w:trPr>
          <w:trHeight w:val="166"/>
          <w:jc w:val="center"/>
        </w:trPr>
        <w:tc>
          <w:tcPr>
            <w:tcW w:w="1654" w:type="pct"/>
            <w:tcBorders>
              <w:top w:val="nil"/>
              <w:left w:val="single" w:sz="4" w:space="0" w:color="auto"/>
              <w:bottom w:val="nil"/>
              <w:right w:val="nil"/>
            </w:tcBorders>
            <w:shd w:val="clear" w:color="000000" w:fill="B4C6E7"/>
            <w:vAlign w:val="center"/>
            <w:hideMark/>
          </w:tcPr>
          <w:p w:rsidR="003C2485" w:rsidRPr="00A01675" w:rsidRDefault="003C2485" w:rsidP="003C2485">
            <w:pPr>
              <w:rPr>
                <w:rFonts w:ascii="Palatino Linotype" w:eastAsia="Times New Roman" w:hAnsi="Palatino Linotype" w:cs="Calibri"/>
                <w:color w:val="000000"/>
                <w:sz w:val="20"/>
                <w:szCs w:val="20"/>
                <w:lang w:val="en-IN" w:eastAsia="en-IN" w:bidi="hi-IN"/>
              </w:rPr>
            </w:pPr>
            <w:r w:rsidRPr="00A01675">
              <w:rPr>
                <w:rFonts w:ascii="Palatino Linotype" w:eastAsia="Times New Roman" w:hAnsi="Palatino Linotype" w:cs="Calibri"/>
                <w:color w:val="000000"/>
                <w:sz w:val="20"/>
                <w:szCs w:val="20"/>
                <w:lang w:val="en-IN" w:eastAsia="en-IN" w:bidi="hi-IN"/>
              </w:rPr>
              <w:t>Moscow Exchange</w:t>
            </w:r>
          </w:p>
        </w:tc>
        <w:tc>
          <w:tcPr>
            <w:tcW w:w="712" w:type="pct"/>
            <w:tcBorders>
              <w:top w:val="nil"/>
              <w:left w:val="single" w:sz="8" w:space="0" w:color="auto"/>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13,497</w:t>
            </w:r>
          </w:p>
        </w:tc>
        <w:tc>
          <w:tcPr>
            <w:tcW w:w="564"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2</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53,460</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NA</w:t>
            </w:r>
          </w:p>
        </w:tc>
        <w:tc>
          <w:tcPr>
            <w:tcW w:w="517"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NA</w:t>
            </w:r>
          </w:p>
        </w:tc>
        <w:tc>
          <w:tcPr>
            <w:tcW w:w="519" w:type="pct"/>
            <w:tcBorders>
              <w:top w:val="nil"/>
              <w:left w:val="nil"/>
              <w:bottom w:val="nil"/>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NA</w:t>
            </w:r>
          </w:p>
        </w:tc>
      </w:tr>
      <w:tr w:rsidR="003C2485" w:rsidRPr="00A01675" w:rsidTr="003C2485">
        <w:trPr>
          <w:trHeight w:val="175"/>
          <w:jc w:val="center"/>
        </w:trPr>
        <w:tc>
          <w:tcPr>
            <w:tcW w:w="1654" w:type="pct"/>
            <w:tcBorders>
              <w:top w:val="nil"/>
              <w:left w:val="single" w:sz="4" w:space="0" w:color="auto"/>
              <w:bottom w:val="nil"/>
              <w:right w:val="nil"/>
            </w:tcBorders>
            <w:shd w:val="clear" w:color="000000" w:fill="B4C6E7"/>
            <w:vAlign w:val="center"/>
            <w:hideMark/>
          </w:tcPr>
          <w:p w:rsidR="003C2485" w:rsidRPr="00A01675" w:rsidRDefault="003C2485" w:rsidP="003C2485">
            <w:pPr>
              <w:rPr>
                <w:rFonts w:ascii="Palatino Linotype" w:eastAsia="Times New Roman" w:hAnsi="Palatino Linotype" w:cs="Calibri"/>
                <w:color w:val="000000"/>
                <w:sz w:val="20"/>
                <w:szCs w:val="20"/>
                <w:lang w:val="en-IN" w:eastAsia="en-IN" w:bidi="hi-IN"/>
              </w:rPr>
            </w:pPr>
            <w:r w:rsidRPr="00A01675">
              <w:rPr>
                <w:rFonts w:ascii="Palatino Linotype" w:eastAsia="Times New Roman" w:hAnsi="Palatino Linotype" w:cs="Calibri"/>
                <w:color w:val="000000"/>
                <w:sz w:val="20"/>
                <w:szCs w:val="20"/>
                <w:lang w:val="en-IN" w:eastAsia="en-IN" w:bidi="hi-IN"/>
              </w:rPr>
              <w:t>Nasdaq Nordic and Baltics</w:t>
            </w:r>
          </w:p>
        </w:tc>
        <w:tc>
          <w:tcPr>
            <w:tcW w:w="712" w:type="pct"/>
            <w:tcBorders>
              <w:top w:val="nil"/>
              <w:left w:val="single" w:sz="8" w:space="0" w:color="auto"/>
              <w:bottom w:val="single" w:sz="8" w:space="0" w:color="auto"/>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158,536</w:t>
            </w:r>
          </w:p>
        </w:tc>
        <w:tc>
          <w:tcPr>
            <w:tcW w:w="564" w:type="pct"/>
            <w:tcBorders>
              <w:top w:val="nil"/>
              <w:left w:val="nil"/>
              <w:bottom w:val="single" w:sz="8" w:space="0" w:color="auto"/>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18,454</w:t>
            </w:r>
          </w:p>
        </w:tc>
        <w:tc>
          <w:tcPr>
            <w:tcW w:w="517" w:type="pct"/>
            <w:tcBorders>
              <w:top w:val="nil"/>
              <w:left w:val="nil"/>
              <w:bottom w:val="single" w:sz="8" w:space="0" w:color="auto"/>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1,481,405</w:t>
            </w:r>
          </w:p>
        </w:tc>
        <w:tc>
          <w:tcPr>
            <w:tcW w:w="517" w:type="pct"/>
            <w:tcBorders>
              <w:top w:val="nil"/>
              <w:left w:val="nil"/>
              <w:bottom w:val="single" w:sz="8" w:space="0" w:color="auto"/>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524,674</w:t>
            </w:r>
          </w:p>
        </w:tc>
        <w:tc>
          <w:tcPr>
            <w:tcW w:w="517" w:type="pct"/>
            <w:tcBorders>
              <w:top w:val="nil"/>
              <w:left w:val="nil"/>
              <w:bottom w:val="single" w:sz="8" w:space="0" w:color="auto"/>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61,075</w:t>
            </w:r>
          </w:p>
        </w:tc>
        <w:tc>
          <w:tcPr>
            <w:tcW w:w="519" w:type="pct"/>
            <w:tcBorders>
              <w:top w:val="nil"/>
              <w:left w:val="nil"/>
              <w:bottom w:val="single" w:sz="8" w:space="0" w:color="auto"/>
              <w:right w:val="single" w:sz="8" w:space="0" w:color="auto"/>
            </w:tcBorders>
            <w:shd w:val="clear" w:color="auto" w:fill="auto"/>
            <w:vAlign w:val="center"/>
            <w:hideMark/>
          </w:tcPr>
          <w:p w:rsidR="003C2485" w:rsidRDefault="003C2485" w:rsidP="003C2485">
            <w:pPr>
              <w:jc w:val="right"/>
              <w:rPr>
                <w:rFonts w:ascii="Garamond" w:hAnsi="Garamond" w:cs="Calibri"/>
                <w:color w:val="000000"/>
                <w:sz w:val="20"/>
                <w:szCs w:val="20"/>
              </w:rPr>
            </w:pPr>
            <w:r>
              <w:rPr>
                <w:rFonts w:ascii="Garamond" w:hAnsi="Garamond" w:cs="Calibri"/>
                <w:color w:val="000000"/>
                <w:sz w:val="20"/>
                <w:szCs w:val="20"/>
              </w:rPr>
              <w:t xml:space="preserve"> 0</w:t>
            </w:r>
          </w:p>
        </w:tc>
      </w:tr>
      <w:tr w:rsidR="003C2485" w:rsidRPr="00A01675" w:rsidTr="003C2485">
        <w:trPr>
          <w:trHeight w:val="175"/>
          <w:jc w:val="center"/>
        </w:trPr>
        <w:tc>
          <w:tcPr>
            <w:tcW w:w="1654" w:type="pct"/>
            <w:tcBorders>
              <w:top w:val="single" w:sz="8" w:space="0" w:color="auto"/>
              <w:left w:val="single" w:sz="8" w:space="0" w:color="auto"/>
              <w:bottom w:val="single" w:sz="8" w:space="0" w:color="auto"/>
              <w:right w:val="nil"/>
            </w:tcBorders>
            <w:shd w:val="clear" w:color="000000" w:fill="D9E1F2"/>
            <w:vAlign w:val="center"/>
            <w:hideMark/>
          </w:tcPr>
          <w:p w:rsidR="003C2485" w:rsidRPr="00A01675" w:rsidRDefault="003C2485" w:rsidP="003C2485">
            <w:pPr>
              <w:rPr>
                <w:rFonts w:ascii="Palatino Linotype" w:eastAsia="Times New Roman" w:hAnsi="Palatino Linotype" w:cs="Calibri"/>
                <w:b/>
                <w:bCs/>
                <w:color w:val="000000"/>
                <w:sz w:val="20"/>
                <w:szCs w:val="20"/>
                <w:lang w:val="en-IN" w:eastAsia="en-IN" w:bidi="hi-IN"/>
              </w:rPr>
            </w:pPr>
            <w:r w:rsidRPr="00A01675">
              <w:rPr>
                <w:rFonts w:ascii="Palatino Linotype" w:eastAsia="Times New Roman" w:hAnsi="Palatino Linotype" w:cs="Calibri"/>
                <w:b/>
                <w:bCs/>
                <w:color w:val="000000"/>
                <w:sz w:val="20"/>
                <w:szCs w:val="20"/>
                <w:lang w:val="en-IN" w:eastAsia="en-IN" w:bidi="hi-IN"/>
              </w:rPr>
              <w:t>Grand Total</w:t>
            </w:r>
          </w:p>
        </w:tc>
        <w:tc>
          <w:tcPr>
            <w:tcW w:w="712" w:type="pct"/>
            <w:tcBorders>
              <w:top w:val="nil"/>
              <w:left w:val="nil"/>
              <w:bottom w:val="single" w:sz="8" w:space="0" w:color="auto"/>
              <w:right w:val="nil"/>
            </w:tcBorders>
            <w:shd w:val="clear" w:color="000000" w:fill="D9E1F2"/>
            <w:vAlign w:val="bottom"/>
            <w:hideMark/>
          </w:tcPr>
          <w:p w:rsidR="003C2485" w:rsidRDefault="003C2485" w:rsidP="003C2485">
            <w:pPr>
              <w:jc w:val="right"/>
              <w:rPr>
                <w:rFonts w:ascii="Garamond" w:hAnsi="Garamond" w:cs="Calibri"/>
                <w:b/>
                <w:bCs/>
                <w:color w:val="000000"/>
                <w:sz w:val="20"/>
                <w:szCs w:val="20"/>
              </w:rPr>
            </w:pPr>
            <w:r>
              <w:rPr>
                <w:rFonts w:ascii="Garamond" w:hAnsi="Garamond" w:cs="Calibri"/>
                <w:b/>
                <w:bCs/>
                <w:color w:val="000000"/>
                <w:sz w:val="20"/>
                <w:szCs w:val="20"/>
              </w:rPr>
              <w:t xml:space="preserve"> 225,229,932</w:t>
            </w:r>
          </w:p>
        </w:tc>
        <w:tc>
          <w:tcPr>
            <w:tcW w:w="564" w:type="pct"/>
            <w:tcBorders>
              <w:top w:val="nil"/>
              <w:left w:val="nil"/>
              <w:bottom w:val="single" w:sz="8" w:space="0" w:color="auto"/>
              <w:right w:val="nil"/>
            </w:tcBorders>
            <w:shd w:val="clear" w:color="000000" w:fill="D9E1F2"/>
            <w:vAlign w:val="bottom"/>
            <w:hideMark/>
          </w:tcPr>
          <w:p w:rsidR="003C2485" w:rsidRDefault="003C2485" w:rsidP="003C2485">
            <w:pPr>
              <w:jc w:val="right"/>
              <w:rPr>
                <w:rFonts w:ascii="Garamond" w:hAnsi="Garamond" w:cs="Calibri"/>
                <w:b/>
                <w:bCs/>
                <w:color w:val="000000"/>
                <w:sz w:val="20"/>
                <w:szCs w:val="20"/>
              </w:rPr>
            </w:pPr>
            <w:r>
              <w:rPr>
                <w:rFonts w:ascii="Garamond" w:hAnsi="Garamond" w:cs="Calibri"/>
                <w:b/>
                <w:bCs/>
                <w:color w:val="000000"/>
                <w:sz w:val="20"/>
                <w:szCs w:val="20"/>
              </w:rPr>
              <w:t xml:space="preserve"> 77,121,822</w:t>
            </w:r>
          </w:p>
        </w:tc>
        <w:tc>
          <w:tcPr>
            <w:tcW w:w="517" w:type="pct"/>
            <w:tcBorders>
              <w:top w:val="nil"/>
              <w:left w:val="nil"/>
              <w:bottom w:val="single" w:sz="8" w:space="0" w:color="auto"/>
              <w:right w:val="nil"/>
            </w:tcBorders>
            <w:shd w:val="clear" w:color="000000" w:fill="D9E1F2"/>
            <w:vAlign w:val="bottom"/>
            <w:hideMark/>
          </w:tcPr>
          <w:p w:rsidR="003C2485" w:rsidRDefault="003C2485" w:rsidP="003C2485">
            <w:pPr>
              <w:jc w:val="right"/>
              <w:rPr>
                <w:rFonts w:ascii="Garamond" w:hAnsi="Garamond" w:cs="Calibri"/>
                <w:b/>
                <w:bCs/>
                <w:color w:val="000000"/>
                <w:sz w:val="20"/>
                <w:szCs w:val="20"/>
              </w:rPr>
            </w:pPr>
            <w:r>
              <w:rPr>
                <w:rFonts w:ascii="Garamond" w:hAnsi="Garamond" w:cs="Calibri"/>
                <w:b/>
                <w:bCs/>
                <w:color w:val="000000"/>
                <w:sz w:val="20"/>
                <w:szCs w:val="20"/>
              </w:rPr>
              <w:t xml:space="preserve"> 72,385,339</w:t>
            </w:r>
          </w:p>
        </w:tc>
        <w:tc>
          <w:tcPr>
            <w:tcW w:w="517" w:type="pct"/>
            <w:tcBorders>
              <w:top w:val="nil"/>
              <w:left w:val="nil"/>
              <w:bottom w:val="single" w:sz="8" w:space="0" w:color="auto"/>
              <w:right w:val="nil"/>
            </w:tcBorders>
            <w:shd w:val="clear" w:color="000000" w:fill="D9E1F2"/>
            <w:vAlign w:val="bottom"/>
            <w:hideMark/>
          </w:tcPr>
          <w:p w:rsidR="003C2485" w:rsidRDefault="003C2485" w:rsidP="003C2485">
            <w:pPr>
              <w:jc w:val="right"/>
              <w:rPr>
                <w:rFonts w:ascii="Garamond" w:hAnsi="Garamond" w:cs="Calibri"/>
                <w:b/>
                <w:bCs/>
                <w:color w:val="000000"/>
                <w:sz w:val="20"/>
                <w:szCs w:val="20"/>
              </w:rPr>
            </w:pPr>
            <w:r>
              <w:rPr>
                <w:rFonts w:ascii="Garamond" w:hAnsi="Garamond" w:cs="Calibri"/>
                <w:b/>
                <w:bCs/>
                <w:color w:val="000000"/>
                <w:sz w:val="20"/>
                <w:szCs w:val="20"/>
              </w:rPr>
              <w:t xml:space="preserve"> 47,461,306</w:t>
            </w:r>
          </w:p>
        </w:tc>
        <w:tc>
          <w:tcPr>
            <w:tcW w:w="517" w:type="pct"/>
            <w:tcBorders>
              <w:top w:val="nil"/>
              <w:left w:val="nil"/>
              <w:bottom w:val="single" w:sz="8" w:space="0" w:color="auto"/>
              <w:right w:val="nil"/>
            </w:tcBorders>
            <w:shd w:val="clear" w:color="000000" w:fill="D9E1F2"/>
            <w:vAlign w:val="bottom"/>
            <w:hideMark/>
          </w:tcPr>
          <w:p w:rsidR="003C2485" w:rsidRDefault="003C2485" w:rsidP="003C2485">
            <w:pPr>
              <w:jc w:val="right"/>
              <w:rPr>
                <w:rFonts w:ascii="Garamond" w:hAnsi="Garamond" w:cs="Calibri"/>
                <w:b/>
                <w:bCs/>
                <w:color w:val="000000"/>
                <w:sz w:val="20"/>
                <w:szCs w:val="20"/>
              </w:rPr>
            </w:pPr>
            <w:r>
              <w:rPr>
                <w:rFonts w:ascii="Garamond" w:hAnsi="Garamond" w:cs="Calibri"/>
                <w:b/>
                <w:bCs/>
                <w:color w:val="000000"/>
                <w:sz w:val="20"/>
                <w:szCs w:val="20"/>
              </w:rPr>
              <w:t xml:space="preserve"> 23,669,002</w:t>
            </w:r>
          </w:p>
        </w:tc>
        <w:tc>
          <w:tcPr>
            <w:tcW w:w="519" w:type="pct"/>
            <w:tcBorders>
              <w:top w:val="nil"/>
              <w:left w:val="nil"/>
              <w:bottom w:val="single" w:sz="8" w:space="0" w:color="auto"/>
              <w:right w:val="single" w:sz="8" w:space="0" w:color="auto"/>
            </w:tcBorders>
            <w:shd w:val="clear" w:color="000000" w:fill="D9E1F2"/>
            <w:vAlign w:val="bottom"/>
            <w:hideMark/>
          </w:tcPr>
          <w:p w:rsidR="003C2485" w:rsidRDefault="003C2485" w:rsidP="003C2485">
            <w:pPr>
              <w:jc w:val="right"/>
              <w:rPr>
                <w:rFonts w:ascii="Garamond" w:hAnsi="Garamond" w:cs="Calibri"/>
                <w:b/>
                <w:bCs/>
                <w:color w:val="000000"/>
                <w:sz w:val="20"/>
                <w:szCs w:val="20"/>
              </w:rPr>
            </w:pPr>
            <w:r>
              <w:rPr>
                <w:rFonts w:ascii="Garamond" w:hAnsi="Garamond" w:cs="Calibri"/>
                <w:b/>
                <w:bCs/>
                <w:color w:val="000000"/>
                <w:sz w:val="20"/>
                <w:szCs w:val="20"/>
              </w:rPr>
              <w:t xml:space="preserve"> 76,964,934</w:t>
            </w:r>
          </w:p>
        </w:tc>
      </w:tr>
    </w:tbl>
    <w:p w:rsidR="003C2485" w:rsidRPr="00A01675" w:rsidRDefault="003C2485" w:rsidP="003C2485">
      <w:pPr>
        <w:spacing w:line="23" w:lineRule="atLeast"/>
        <w:rPr>
          <w:rFonts w:ascii="Palatino Linotype" w:eastAsia="Times New Roman" w:hAnsi="Palatino Linotype"/>
          <w:bCs/>
          <w:sz w:val="18"/>
          <w:szCs w:val="18"/>
          <w:lang w:val="en-US"/>
        </w:rPr>
      </w:pPr>
      <w:r w:rsidRPr="00A01675">
        <w:rPr>
          <w:rFonts w:ascii="Palatino Linotype" w:eastAsia="Times New Roman" w:hAnsi="Palatino Linotype"/>
          <w:bCs/>
          <w:sz w:val="18"/>
          <w:szCs w:val="18"/>
          <w:lang w:val="en-US"/>
        </w:rPr>
        <w:tab/>
      </w:r>
    </w:p>
    <w:p w:rsidR="003C2485" w:rsidRPr="00A01675" w:rsidRDefault="003C2485" w:rsidP="003C2485">
      <w:pPr>
        <w:spacing w:line="23" w:lineRule="atLeast"/>
        <w:jc w:val="both"/>
        <w:rPr>
          <w:rFonts w:ascii="Palatino Linotype" w:hAnsi="Palatino Linotype"/>
          <w:bCs/>
          <w:sz w:val="18"/>
          <w:szCs w:val="18"/>
        </w:rPr>
      </w:pPr>
      <w:r w:rsidRPr="00A01675">
        <w:rPr>
          <w:rFonts w:ascii="Palatino Linotype" w:hAnsi="Palatino Linotype"/>
          <w:bCs/>
          <w:sz w:val="18"/>
          <w:szCs w:val="18"/>
        </w:rPr>
        <w:t>NA: Not Available</w:t>
      </w:r>
    </w:p>
    <w:p w:rsidR="003C2485" w:rsidRPr="00A01675" w:rsidRDefault="003C2485" w:rsidP="003C2485">
      <w:pPr>
        <w:spacing w:line="23" w:lineRule="atLeast"/>
        <w:jc w:val="both"/>
        <w:outlineLvl w:val="0"/>
        <w:rPr>
          <w:rFonts w:ascii="Palatino Linotype" w:hAnsi="Palatino Linotype"/>
          <w:bCs/>
          <w:sz w:val="18"/>
          <w:szCs w:val="18"/>
        </w:rPr>
      </w:pPr>
      <w:r w:rsidRPr="00A01675">
        <w:rPr>
          <w:rFonts w:ascii="Palatino Linotype" w:hAnsi="Palatino Linotype"/>
          <w:bCs/>
          <w:sz w:val="18"/>
          <w:szCs w:val="18"/>
        </w:rPr>
        <w:t>Source: World Federation of Exchanges</w:t>
      </w:r>
    </w:p>
    <w:p w:rsidR="003C2485" w:rsidRPr="00A01675" w:rsidRDefault="003C2485" w:rsidP="003C2485">
      <w:pPr>
        <w:rPr>
          <w:rFonts w:ascii="Palatino Linotype" w:eastAsia="Times New Roman" w:hAnsi="Palatino Linotype"/>
          <w:bCs/>
          <w:sz w:val="22"/>
          <w:szCs w:val="22"/>
          <w:lang w:val="en-US"/>
        </w:rPr>
      </w:pPr>
    </w:p>
    <w:p w:rsidR="003C2485" w:rsidRPr="00A01675" w:rsidRDefault="003C2485" w:rsidP="003C2485">
      <w:pPr>
        <w:rPr>
          <w:rFonts w:ascii="Palatino Linotype" w:eastAsia="Times New Roman" w:hAnsi="Palatino Linotype"/>
          <w:bCs/>
          <w:sz w:val="22"/>
          <w:szCs w:val="22"/>
          <w:lang w:val="en-US"/>
        </w:rPr>
      </w:pPr>
      <w:r w:rsidRPr="00A01675">
        <w:rPr>
          <w:rFonts w:ascii="Palatino Linotype" w:eastAsia="Times New Roman" w:hAnsi="Palatino Linotype"/>
          <w:bCs/>
          <w:sz w:val="22"/>
          <w:szCs w:val="22"/>
          <w:lang w:val="en-US"/>
        </w:rPr>
        <w:br w:type="page"/>
      </w:r>
    </w:p>
    <w:p w:rsidR="003C2485" w:rsidRPr="00A01675" w:rsidRDefault="003C2485" w:rsidP="003C2485">
      <w:pPr>
        <w:spacing w:line="23" w:lineRule="atLeast"/>
        <w:rPr>
          <w:rFonts w:ascii="Palatino Linotype" w:hAnsi="Palatino Linotype"/>
          <w:b/>
          <w:bCs/>
          <w:szCs w:val="22"/>
        </w:rPr>
      </w:pPr>
      <w:r w:rsidRPr="00A01675">
        <w:rPr>
          <w:rFonts w:ascii="Palatino Linotype" w:eastAsia="Times New Roman" w:hAnsi="Palatino Linotype"/>
          <w:b/>
          <w:bCs/>
          <w:szCs w:val="22"/>
          <w:lang w:val="en-US"/>
        </w:rPr>
        <w:t>Table A8: Commodity Futures and Options Traded in Major Exchanges</w:t>
      </w:r>
    </w:p>
    <w:p w:rsidR="003C2485" w:rsidRPr="00A01675" w:rsidRDefault="003C2485" w:rsidP="003C2485">
      <w:pPr>
        <w:spacing w:line="23" w:lineRule="atLeast"/>
        <w:ind w:right="348"/>
        <w:jc w:val="right"/>
        <w:rPr>
          <w:rFonts w:ascii="Palatino Linotype" w:hAnsi="Palatino Linotype"/>
          <w:bCs/>
          <w:sz w:val="22"/>
          <w:szCs w:val="22"/>
        </w:rPr>
      </w:pPr>
      <w:r w:rsidRPr="00A01675">
        <w:rPr>
          <w:rFonts w:ascii="Palatino Linotype" w:hAnsi="Palatino Linotype"/>
          <w:bCs/>
          <w:sz w:val="22"/>
          <w:szCs w:val="22"/>
        </w:rPr>
        <w:t>Notional Turnover in (USD million)</w:t>
      </w:r>
    </w:p>
    <w:tbl>
      <w:tblPr>
        <w:tblW w:w="5188" w:type="pct"/>
        <w:tblLook w:val="04A0" w:firstRow="1" w:lastRow="0" w:firstColumn="1" w:lastColumn="0" w:noHBand="0" w:noVBand="1"/>
      </w:tblPr>
      <w:tblGrid>
        <w:gridCol w:w="3429"/>
        <w:gridCol w:w="1246"/>
        <w:gridCol w:w="1247"/>
        <w:gridCol w:w="1091"/>
        <w:gridCol w:w="1089"/>
        <w:gridCol w:w="1046"/>
        <w:gridCol w:w="1091"/>
      </w:tblGrid>
      <w:tr w:rsidR="003C2485" w:rsidRPr="004E4D61" w:rsidTr="003C2485">
        <w:trPr>
          <w:trHeight w:val="222"/>
        </w:trPr>
        <w:tc>
          <w:tcPr>
            <w:tcW w:w="1674"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3C2485" w:rsidRPr="004E4D61" w:rsidRDefault="003C2485" w:rsidP="003C2485">
            <w:pPr>
              <w:jc w:val="center"/>
              <w:rPr>
                <w:rFonts w:ascii="Palatino Linotype" w:eastAsia="Times New Roman" w:hAnsi="Palatino Linotype" w:cs="Calibri"/>
                <w:b/>
                <w:bCs/>
                <w:color w:val="000000"/>
                <w:sz w:val="18"/>
                <w:szCs w:val="18"/>
                <w:lang w:val="en-IN" w:eastAsia="en-IN" w:bidi="hi-IN"/>
              </w:rPr>
            </w:pPr>
            <w:r w:rsidRPr="004E4D61">
              <w:rPr>
                <w:rFonts w:ascii="Palatino Linotype" w:eastAsia="Times New Roman" w:hAnsi="Palatino Linotype" w:cs="Calibri"/>
                <w:b/>
                <w:bCs/>
                <w:color w:val="000000"/>
                <w:sz w:val="18"/>
                <w:szCs w:val="18"/>
                <w:lang w:val="en-IN" w:eastAsia="en-IN" w:bidi="hi-IN"/>
              </w:rPr>
              <w:t>Exchange</w:t>
            </w:r>
          </w:p>
        </w:tc>
        <w:tc>
          <w:tcPr>
            <w:tcW w:w="3326" w:type="pct"/>
            <w:gridSpan w:val="6"/>
            <w:tcBorders>
              <w:top w:val="single" w:sz="4" w:space="0" w:color="auto"/>
              <w:left w:val="nil"/>
              <w:bottom w:val="single" w:sz="4" w:space="0" w:color="auto"/>
              <w:right w:val="single" w:sz="4" w:space="0" w:color="auto"/>
            </w:tcBorders>
            <w:shd w:val="clear" w:color="000000" w:fill="B4C6E7"/>
            <w:vAlign w:val="center"/>
            <w:hideMark/>
          </w:tcPr>
          <w:p w:rsidR="003C2485" w:rsidRPr="004E4D61" w:rsidRDefault="003C2485" w:rsidP="003C2485">
            <w:pPr>
              <w:jc w:val="center"/>
              <w:rPr>
                <w:rFonts w:ascii="Palatino Linotype" w:eastAsia="Times New Roman" w:hAnsi="Palatino Linotype" w:cs="Calibri"/>
                <w:b/>
                <w:bCs/>
                <w:color w:val="000000"/>
                <w:sz w:val="18"/>
                <w:szCs w:val="18"/>
                <w:lang w:val="en-IN" w:eastAsia="en-IN" w:bidi="hi-IN"/>
              </w:rPr>
            </w:pPr>
            <w:r w:rsidRPr="004E4D61">
              <w:rPr>
                <w:rFonts w:ascii="Palatino Linotype" w:eastAsia="Times New Roman" w:hAnsi="Palatino Linotype" w:cs="Calibri"/>
                <w:b/>
                <w:bCs/>
                <w:color w:val="000000"/>
                <w:sz w:val="18"/>
                <w:szCs w:val="18"/>
                <w:lang w:val="en-IN" w:eastAsia="en-IN" w:bidi="hi-IN"/>
              </w:rPr>
              <w:t>Jul-21</w:t>
            </w:r>
          </w:p>
        </w:tc>
      </w:tr>
      <w:tr w:rsidR="003C2485" w:rsidRPr="004E4D61" w:rsidTr="003C2485">
        <w:trPr>
          <w:trHeight w:val="222"/>
        </w:trPr>
        <w:tc>
          <w:tcPr>
            <w:tcW w:w="1674" w:type="pct"/>
            <w:vMerge/>
            <w:tcBorders>
              <w:top w:val="single" w:sz="4" w:space="0" w:color="auto"/>
              <w:left w:val="single" w:sz="4" w:space="0" w:color="auto"/>
              <w:bottom w:val="single" w:sz="4" w:space="0" w:color="auto"/>
              <w:right w:val="single" w:sz="4" w:space="0" w:color="auto"/>
            </w:tcBorders>
            <w:vAlign w:val="center"/>
            <w:hideMark/>
          </w:tcPr>
          <w:p w:rsidR="003C2485" w:rsidRPr="004E4D61" w:rsidRDefault="003C2485" w:rsidP="003C2485">
            <w:pPr>
              <w:rPr>
                <w:rFonts w:ascii="Palatino Linotype" w:eastAsia="Times New Roman" w:hAnsi="Palatino Linotype" w:cs="Calibri"/>
                <w:b/>
                <w:bCs/>
                <w:color w:val="000000"/>
                <w:sz w:val="18"/>
                <w:szCs w:val="18"/>
                <w:lang w:val="en-IN" w:eastAsia="en-IN" w:bidi="hi-IN"/>
              </w:rPr>
            </w:pPr>
          </w:p>
        </w:tc>
        <w:tc>
          <w:tcPr>
            <w:tcW w:w="1750" w:type="pct"/>
            <w:gridSpan w:val="3"/>
            <w:tcBorders>
              <w:top w:val="single" w:sz="4" w:space="0" w:color="auto"/>
              <w:left w:val="nil"/>
              <w:bottom w:val="single" w:sz="4" w:space="0" w:color="auto"/>
              <w:right w:val="single" w:sz="4" w:space="0" w:color="auto"/>
            </w:tcBorders>
            <w:shd w:val="clear" w:color="000000" w:fill="B4C6E7"/>
            <w:vAlign w:val="center"/>
            <w:hideMark/>
          </w:tcPr>
          <w:p w:rsidR="003C2485" w:rsidRPr="004E4D61" w:rsidRDefault="003C2485" w:rsidP="003C2485">
            <w:pPr>
              <w:jc w:val="center"/>
              <w:rPr>
                <w:rFonts w:ascii="Palatino Linotype" w:eastAsia="Times New Roman" w:hAnsi="Palatino Linotype" w:cs="Calibri"/>
                <w:b/>
                <w:bCs/>
                <w:color w:val="000000"/>
                <w:sz w:val="18"/>
                <w:szCs w:val="18"/>
                <w:lang w:val="en-IN" w:eastAsia="en-IN" w:bidi="hi-IN"/>
              </w:rPr>
            </w:pPr>
            <w:r w:rsidRPr="004E4D61">
              <w:rPr>
                <w:rFonts w:ascii="Palatino Linotype" w:eastAsia="Times New Roman" w:hAnsi="Palatino Linotype" w:cs="Calibri"/>
                <w:b/>
                <w:bCs/>
                <w:color w:val="000000"/>
                <w:sz w:val="18"/>
                <w:szCs w:val="18"/>
                <w:lang w:val="en-IN" w:eastAsia="en-IN" w:bidi="hi-IN"/>
              </w:rPr>
              <w:t>Commodities Futures</w:t>
            </w:r>
          </w:p>
        </w:tc>
        <w:tc>
          <w:tcPr>
            <w:tcW w:w="1576" w:type="pct"/>
            <w:gridSpan w:val="3"/>
            <w:tcBorders>
              <w:top w:val="single" w:sz="4" w:space="0" w:color="auto"/>
              <w:left w:val="nil"/>
              <w:bottom w:val="single" w:sz="4" w:space="0" w:color="auto"/>
              <w:right w:val="single" w:sz="4" w:space="0" w:color="auto"/>
            </w:tcBorders>
            <w:shd w:val="clear" w:color="000000" w:fill="B4C6E7"/>
            <w:vAlign w:val="center"/>
            <w:hideMark/>
          </w:tcPr>
          <w:p w:rsidR="003C2485" w:rsidRPr="004E4D61" w:rsidRDefault="003C2485" w:rsidP="003C2485">
            <w:pPr>
              <w:jc w:val="center"/>
              <w:rPr>
                <w:rFonts w:ascii="Palatino Linotype" w:eastAsia="Times New Roman" w:hAnsi="Palatino Linotype" w:cs="Calibri"/>
                <w:b/>
                <w:bCs/>
                <w:color w:val="000000"/>
                <w:sz w:val="18"/>
                <w:szCs w:val="18"/>
                <w:lang w:val="en-IN" w:eastAsia="en-IN" w:bidi="hi-IN"/>
              </w:rPr>
            </w:pPr>
            <w:r w:rsidRPr="004E4D61">
              <w:rPr>
                <w:rFonts w:ascii="Palatino Linotype" w:eastAsia="Times New Roman" w:hAnsi="Palatino Linotype" w:cs="Calibri"/>
                <w:b/>
                <w:bCs/>
                <w:color w:val="000000"/>
                <w:sz w:val="18"/>
                <w:szCs w:val="18"/>
                <w:lang w:val="en-IN" w:eastAsia="en-IN" w:bidi="hi-IN"/>
              </w:rPr>
              <w:t>Commodities Options</w:t>
            </w:r>
          </w:p>
        </w:tc>
      </w:tr>
      <w:tr w:rsidR="003C2485" w:rsidRPr="004E4D61" w:rsidTr="003C2485">
        <w:trPr>
          <w:trHeight w:val="579"/>
        </w:trPr>
        <w:tc>
          <w:tcPr>
            <w:tcW w:w="1674" w:type="pct"/>
            <w:vMerge/>
            <w:tcBorders>
              <w:top w:val="single" w:sz="4" w:space="0" w:color="auto"/>
              <w:left w:val="single" w:sz="4" w:space="0" w:color="auto"/>
              <w:bottom w:val="single" w:sz="4" w:space="0" w:color="auto"/>
              <w:right w:val="single" w:sz="4" w:space="0" w:color="auto"/>
            </w:tcBorders>
            <w:vAlign w:val="center"/>
            <w:hideMark/>
          </w:tcPr>
          <w:p w:rsidR="003C2485" w:rsidRPr="004E4D61" w:rsidRDefault="003C2485" w:rsidP="003C2485">
            <w:pPr>
              <w:rPr>
                <w:rFonts w:ascii="Palatino Linotype" w:eastAsia="Times New Roman" w:hAnsi="Palatino Linotype" w:cs="Calibri"/>
                <w:b/>
                <w:bCs/>
                <w:color w:val="000000"/>
                <w:sz w:val="18"/>
                <w:szCs w:val="18"/>
                <w:lang w:val="en-IN" w:eastAsia="en-IN" w:bidi="hi-IN"/>
              </w:rPr>
            </w:pPr>
          </w:p>
        </w:tc>
        <w:tc>
          <w:tcPr>
            <w:tcW w:w="608" w:type="pct"/>
            <w:tcBorders>
              <w:top w:val="nil"/>
              <w:left w:val="nil"/>
              <w:bottom w:val="single" w:sz="4" w:space="0" w:color="auto"/>
              <w:right w:val="single" w:sz="4" w:space="0" w:color="auto"/>
            </w:tcBorders>
            <w:shd w:val="clear" w:color="000000" w:fill="B4C6E7"/>
            <w:vAlign w:val="center"/>
            <w:hideMark/>
          </w:tcPr>
          <w:p w:rsidR="003C2485" w:rsidRPr="004E4D61" w:rsidRDefault="003C2485" w:rsidP="003C2485">
            <w:pPr>
              <w:jc w:val="center"/>
              <w:rPr>
                <w:rFonts w:ascii="Palatino Linotype" w:eastAsia="Times New Roman" w:hAnsi="Palatino Linotype" w:cs="Calibri"/>
                <w:b/>
                <w:bCs/>
                <w:color w:val="000000"/>
                <w:sz w:val="18"/>
                <w:szCs w:val="18"/>
                <w:lang w:val="en-IN" w:eastAsia="en-IN" w:bidi="hi-IN"/>
              </w:rPr>
            </w:pPr>
            <w:r w:rsidRPr="004E4D61">
              <w:rPr>
                <w:rFonts w:ascii="Palatino Linotype" w:eastAsia="Times New Roman" w:hAnsi="Palatino Linotype" w:cs="Calibri"/>
                <w:b/>
                <w:bCs/>
                <w:color w:val="000000"/>
                <w:sz w:val="18"/>
                <w:szCs w:val="18"/>
                <w:lang w:val="en-IN" w:eastAsia="en-IN" w:bidi="hi-IN"/>
              </w:rPr>
              <w:t>Number of</w:t>
            </w:r>
            <w:r w:rsidRPr="004E4D61">
              <w:rPr>
                <w:rFonts w:ascii="Palatino Linotype" w:eastAsia="Times New Roman" w:hAnsi="Palatino Linotype" w:cs="Calibri"/>
                <w:b/>
                <w:bCs/>
                <w:color w:val="000000"/>
                <w:sz w:val="18"/>
                <w:szCs w:val="18"/>
                <w:lang w:val="en-IN" w:eastAsia="en-IN" w:bidi="hi-IN"/>
              </w:rPr>
              <w:br/>
              <w:t>Contracts Traded</w:t>
            </w:r>
          </w:p>
        </w:tc>
        <w:tc>
          <w:tcPr>
            <w:tcW w:w="609" w:type="pct"/>
            <w:tcBorders>
              <w:top w:val="nil"/>
              <w:left w:val="nil"/>
              <w:bottom w:val="single" w:sz="4" w:space="0" w:color="auto"/>
              <w:right w:val="single" w:sz="4" w:space="0" w:color="auto"/>
            </w:tcBorders>
            <w:shd w:val="clear" w:color="000000" w:fill="B4C6E7"/>
            <w:vAlign w:val="center"/>
            <w:hideMark/>
          </w:tcPr>
          <w:p w:rsidR="003C2485" w:rsidRPr="004E4D61" w:rsidRDefault="003C2485" w:rsidP="003C2485">
            <w:pPr>
              <w:jc w:val="center"/>
              <w:rPr>
                <w:rFonts w:ascii="Palatino Linotype" w:eastAsia="Times New Roman" w:hAnsi="Palatino Linotype" w:cs="Calibri"/>
                <w:b/>
                <w:bCs/>
                <w:color w:val="000000"/>
                <w:sz w:val="18"/>
                <w:szCs w:val="18"/>
                <w:lang w:val="en-IN" w:eastAsia="en-IN" w:bidi="hi-IN"/>
              </w:rPr>
            </w:pPr>
            <w:r w:rsidRPr="004E4D61">
              <w:rPr>
                <w:rFonts w:ascii="Palatino Linotype" w:eastAsia="Times New Roman" w:hAnsi="Palatino Linotype" w:cs="Calibri"/>
                <w:b/>
                <w:bCs/>
                <w:color w:val="000000"/>
                <w:sz w:val="18"/>
                <w:szCs w:val="18"/>
                <w:lang w:val="en-IN" w:eastAsia="en-IN" w:bidi="hi-IN"/>
              </w:rPr>
              <w:t>Notional</w:t>
            </w:r>
            <w:r w:rsidRPr="004E4D61">
              <w:rPr>
                <w:rFonts w:ascii="Palatino Linotype" w:eastAsia="Times New Roman" w:hAnsi="Palatino Linotype" w:cs="Calibri"/>
                <w:b/>
                <w:bCs/>
                <w:color w:val="000000"/>
                <w:sz w:val="18"/>
                <w:szCs w:val="18"/>
                <w:lang w:val="en-IN" w:eastAsia="en-IN" w:bidi="hi-IN"/>
              </w:rPr>
              <w:br/>
              <w:t>Turnover</w:t>
            </w:r>
          </w:p>
        </w:tc>
        <w:tc>
          <w:tcPr>
            <w:tcW w:w="533" w:type="pct"/>
            <w:tcBorders>
              <w:top w:val="nil"/>
              <w:left w:val="nil"/>
              <w:bottom w:val="single" w:sz="4" w:space="0" w:color="auto"/>
              <w:right w:val="single" w:sz="4" w:space="0" w:color="auto"/>
            </w:tcBorders>
            <w:shd w:val="clear" w:color="000000" w:fill="B4C6E7"/>
            <w:vAlign w:val="center"/>
            <w:hideMark/>
          </w:tcPr>
          <w:p w:rsidR="003C2485" w:rsidRPr="004E4D61" w:rsidRDefault="003C2485" w:rsidP="003C2485">
            <w:pPr>
              <w:jc w:val="center"/>
              <w:rPr>
                <w:rFonts w:ascii="Palatino Linotype" w:eastAsia="Times New Roman" w:hAnsi="Palatino Linotype" w:cs="Calibri"/>
                <w:b/>
                <w:bCs/>
                <w:color w:val="000000"/>
                <w:sz w:val="18"/>
                <w:szCs w:val="18"/>
                <w:lang w:val="en-IN" w:eastAsia="en-IN" w:bidi="hi-IN"/>
              </w:rPr>
            </w:pPr>
            <w:r w:rsidRPr="004E4D61">
              <w:rPr>
                <w:rFonts w:ascii="Palatino Linotype" w:eastAsia="Times New Roman" w:hAnsi="Palatino Linotype" w:cs="Calibri"/>
                <w:b/>
                <w:bCs/>
                <w:color w:val="000000"/>
                <w:sz w:val="18"/>
                <w:szCs w:val="18"/>
                <w:lang w:val="en-IN" w:eastAsia="en-IN" w:bidi="hi-IN"/>
              </w:rPr>
              <w:t>Open</w:t>
            </w:r>
            <w:r w:rsidRPr="004E4D61">
              <w:rPr>
                <w:rFonts w:ascii="Palatino Linotype" w:eastAsia="Times New Roman" w:hAnsi="Palatino Linotype" w:cs="Calibri"/>
                <w:b/>
                <w:bCs/>
                <w:color w:val="000000"/>
                <w:sz w:val="18"/>
                <w:szCs w:val="18"/>
                <w:lang w:val="en-IN" w:eastAsia="en-IN" w:bidi="hi-IN"/>
              </w:rPr>
              <w:br/>
              <w:t>Interest</w:t>
            </w:r>
          </w:p>
        </w:tc>
        <w:tc>
          <w:tcPr>
            <w:tcW w:w="532" w:type="pct"/>
            <w:tcBorders>
              <w:top w:val="nil"/>
              <w:left w:val="nil"/>
              <w:bottom w:val="single" w:sz="4" w:space="0" w:color="auto"/>
              <w:right w:val="single" w:sz="4" w:space="0" w:color="auto"/>
            </w:tcBorders>
            <w:shd w:val="clear" w:color="000000" w:fill="B4C6E7"/>
            <w:vAlign w:val="center"/>
            <w:hideMark/>
          </w:tcPr>
          <w:p w:rsidR="003C2485" w:rsidRPr="004E4D61" w:rsidRDefault="003C2485" w:rsidP="003C2485">
            <w:pPr>
              <w:jc w:val="center"/>
              <w:rPr>
                <w:rFonts w:ascii="Palatino Linotype" w:eastAsia="Times New Roman" w:hAnsi="Palatino Linotype" w:cs="Calibri"/>
                <w:b/>
                <w:bCs/>
                <w:color w:val="000000"/>
                <w:sz w:val="18"/>
                <w:szCs w:val="18"/>
                <w:lang w:val="en-IN" w:eastAsia="en-IN" w:bidi="hi-IN"/>
              </w:rPr>
            </w:pPr>
            <w:r w:rsidRPr="004E4D61">
              <w:rPr>
                <w:rFonts w:ascii="Palatino Linotype" w:eastAsia="Times New Roman" w:hAnsi="Palatino Linotype" w:cs="Calibri"/>
                <w:b/>
                <w:bCs/>
                <w:color w:val="000000"/>
                <w:sz w:val="18"/>
                <w:szCs w:val="18"/>
                <w:lang w:val="en-IN" w:eastAsia="en-IN" w:bidi="hi-IN"/>
              </w:rPr>
              <w:t>Number of</w:t>
            </w:r>
            <w:r w:rsidRPr="004E4D61">
              <w:rPr>
                <w:rFonts w:ascii="Palatino Linotype" w:eastAsia="Times New Roman" w:hAnsi="Palatino Linotype" w:cs="Calibri"/>
                <w:b/>
                <w:bCs/>
                <w:color w:val="000000"/>
                <w:sz w:val="18"/>
                <w:szCs w:val="18"/>
                <w:lang w:val="en-IN" w:eastAsia="en-IN" w:bidi="hi-IN"/>
              </w:rPr>
              <w:br/>
              <w:t>Contracts Traded</w:t>
            </w:r>
          </w:p>
        </w:tc>
        <w:tc>
          <w:tcPr>
            <w:tcW w:w="511" w:type="pct"/>
            <w:tcBorders>
              <w:top w:val="nil"/>
              <w:left w:val="nil"/>
              <w:bottom w:val="single" w:sz="4" w:space="0" w:color="auto"/>
              <w:right w:val="single" w:sz="4" w:space="0" w:color="auto"/>
            </w:tcBorders>
            <w:shd w:val="clear" w:color="000000" w:fill="B4C6E7"/>
            <w:vAlign w:val="center"/>
            <w:hideMark/>
          </w:tcPr>
          <w:p w:rsidR="003C2485" w:rsidRPr="004E4D61" w:rsidRDefault="003C2485" w:rsidP="003C2485">
            <w:pPr>
              <w:jc w:val="center"/>
              <w:rPr>
                <w:rFonts w:ascii="Palatino Linotype" w:eastAsia="Times New Roman" w:hAnsi="Palatino Linotype" w:cs="Calibri"/>
                <w:b/>
                <w:bCs/>
                <w:color w:val="000000"/>
                <w:sz w:val="18"/>
                <w:szCs w:val="18"/>
                <w:lang w:val="en-IN" w:eastAsia="en-IN" w:bidi="hi-IN"/>
              </w:rPr>
            </w:pPr>
            <w:r w:rsidRPr="004E4D61">
              <w:rPr>
                <w:rFonts w:ascii="Palatino Linotype" w:eastAsia="Times New Roman" w:hAnsi="Palatino Linotype" w:cs="Calibri"/>
                <w:b/>
                <w:bCs/>
                <w:color w:val="000000"/>
                <w:sz w:val="18"/>
                <w:szCs w:val="18"/>
                <w:lang w:val="en-IN" w:eastAsia="en-IN" w:bidi="hi-IN"/>
              </w:rPr>
              <w:t>Notional</w:t>
            </w:r>
            <w:r w:rsidRPr="004E4D61">
              <w:rPr>
                <w:rFonts w:ascii="Palatino Linotype" w:eastAsia="Times New Roman" w:hAnsi="Palatino Linotype" w:cs="Calibri"/>
                <w:b/>
                <w:bCs/>
                <w:color w:val="000000"/>
                <w:sz w:val="18"/>
                <w:szCs w:val="18"/>
                <w:lang w:val="en-IN" w:eastAsia="en-IN" w:bidi="hi-IN"/>
              </w:rPr>
              <w:br/>
              <w:t>Turnover</w:t>
            </w:r>
          </w:p>
        </w:tc>
        <w:tc>
          <w:tcPr>
            <w:tcW w:w="533" w:type="pct"/>
            <w:tcBorders>
              <w:top w:val="nil"/>
              <w:left w:val="nil"/>
              <w:bottom w:val="single" w:sz="4" w:space="0" w:color="auto"/>
              <w:right w:val="single" w:sz="4" w:space="0" w:color="auto"/>
            </w:tcBorders>
            <w:shd w:val="clear" w:color="000000" w:fill="B4C6E7"/>
            <w:vAlign w:val="center"/>
            <w:hideMark/>
          </w:tcPr>
          <w:p w:rsidR="003C2485" w:rsidRPr="004E4D61" w:rsidRDefault="003C2485" w:rsidP="003C2485">
            <w:pPr>
              <w:jc w:val="center"/>
              <w:rPr>
                <w:rFonts w:ascii="Palatino Linotype" w:eastAsia="Times New Roman" w:hAnsi="Palatino Linotype" w:cs="Calibri"/>
                <w:b/>
                <w:bCs/>
                <w:color w:val="000000"/>
                <w:sz w:val="18"/>
                <w:szCs w:val="18"/>
                <w:lang w:val="en-IN" w:eastAsia="en-IN" w:bidi="hi-IN"/>
              </w:rPr>
            </w:pPr>
            <w:r w:rsidRPr="004E4D61">
              <w:rPr>
                <w:rFonts w:ascii="Palatino Linotype" w:eastAsia="Times New Roman" w:hAnsi="Palatino Linotype" w:cs="Calibri"/>
                <w:b/>
                <w:bCs/>
                <w:color w:val="000000"/>
                <w:sz w:val="18"/>
                <w:szCs w:val="18"/>
                <w:lang w:val="en-IN" w:eastAsia="en-IN" w:bidi="hi-IN"/>
              </w:rPr>
              <w:t>Open</w:t>
            </w:r>
            <w:r w:rsidRPr="004E4D61">
              <w:rPr>
                <w:rFonts w:ascii="Palatino Linotype" w:eastAsia="Times New Roman" w:hAnsi="Palatino Linotype" w:cs="Calibri"/>
                <w:b/>
                <w:bCs/>
                <w:color w:val="000000"/>
                <w:sz w:val="18"/>
                <w:szCs w:val="18"/>
                <w:lang w:val="en-IN" w:eastAsia="en-IN" w:bidi="hi-IN"/>
              </w:rPr>
              <w:br/>
              <w:t>Interest</w:t>
            </w:r>
          </w:p>
        </w:tc>
      </w:tr>
      <w:tr w:rsidR="003C2485" w:rsidRPr="004E4D61" w:rsidTr="003C2485">
        <w:trPr>
          <w:trHeight w:val="222"/>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B3 - Brasil Bolsa Balcão</w:t>
            </w:r>
          </w:p>
        </w:tc>
        <w:tc>
          <w:tcPr>
            <w:tcW w:w="608" w:type="pct"/>
            <w:tcBorders>
              <w:top w:val="single" w:sz="8" w:space="0" w:color="auto"/>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lang w:val="en-IN" w:eastAsia="en-IN" w:bidi="hi-IN"/>
              </w:rPr>
            </w:pPr>
            <w:r w:rsidRPr="004E4D61">
              <w:rPr>
                <w:rFonts w:ascii="Palatino Linotype" w:hAnsi="Palatino Linotype" w:cs="Calibri"/>
                <w:color w:val="000000"/>
                <w:sz w:val="18"/>
                <w:szCs w:val="18"/>
              </w:rPr>
              <w:t xml:space="preserve"> 481,416</w:t>
            </w:r>
          </w:p>
        </w:tc>
        <w:tc>
          <w:tcPr>
            <w:tcW w:w="609" w:type="pct"/>
            <w:tcBorders>
              <w:top w:val="single" w:sz="8" w:space="0" w:color="auto"/>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5,061</w:t>
            </w:r>
          </w:p>
        </w:tc>
        <w:tc>
          <w:tcPr>
            <w:tcW w:w="533" w:type="pct"/>
            <w:tcBorders>
              <w:top w:val="single" w:sz="8" w:space="0" w:color="auto"/>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164,555</w:t>
            </w:r>
          </w:p>
        </w:tc>
        <w:tc>
          <w:tcPr>
            <w:tcW w:w="532" w:type="pct"/>
            <w:tcBorders>
              <w:top w:val="single" w:sz="8" w:space="0" w:color="auto"/>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73,781</w:t>
            </w:r>
          </w:p>
        </w:tc>
        <w:tc>
          <w:tcPr>
            <w:tcW w:w="511" w:type="pct"/>
            <w:tcBorders>
              <w:top w:val="single" w:sz="8" w:space="0" w:color="auto"/>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69</w:t>
            </w:r>
          </w:p>
        </w:tc>
        <w:tc>
          <w:tcPr>
            <w:tcW w:w="533" w:type="pct"/>
            <w:tcBorders>
              <w:top w:val="single" w:sz="8" w:space="0" w:color="auto"/>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169,089</w:t>
            </w:r>
          </w:p>
        </w:tc>
      </w:tr>
      <w:tr w:rsidR="003C2485" w:rsidRPr="004E4D61" w:rsidTr="003C2485">
        <w:trPr>
          <w:trHeight w:val="222"/>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Matba Rofex</w:t>
            </w:r>
          </w:p>
        </w:tc>
        <w:tc>
          <w:tcPr>
            <w:tcW w:w="608" w:type="pct"/>
            <w:tcBorders>
              <w:top w:val="nil"/>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55,350</w:t>
            </w:r>
          </w:p>
        </w:tc>
        <w:tc>
          <w:tcPr>
            <w:tcW w:w="609"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879</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51,069</w:t>
            </w:r>
          </w:p>
        </w:tc>
        <w:tc>
          <w:tcPr>
            <w:tcW w:w="532"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9,907</w:t>
            </w:r>
          </w:p>
        </w:tc>
        <w:tc>
          <w:tcPr>
            <w:tcW w:w="511"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6</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28,465</w:t>
            </w:r>
          </w:p>
        </w:tc>
      </w:tr>
      <w:tr w:rsidR="003C2485" w:rsidRPr="004E4D61" w:rsidTr="003C2485">
        <w:trPr>
          <w:trHeight w:val="222"/>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CME Group</w:t>
            </w:r>
          </w:p>
        </w:tc>
        <w:tc>
          <w:tcPr>
            <w:tcW w:w="608" w:type="pct"/>
            <w:tcBorders>
              <w:top w:val="nil"/>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67,730,646</w:t>
            </w:r>
          </w:p>
        </w:tc>
        <w:tc>
          <w:tcPr>
            <w:tcW w:w="609"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4,683,722</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13,378,033</w:t>
            </w:r>
          </w:p>
        </w:tc>
        <w:tc>
          <w:tcPr>
            <w:tcW w:w="532"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11,305,980</w:t>
            </w:r>
          </w:p>
        </w:tc>
        <w:tc>
          <w:tcPr>
            <w:tcW w:w="511"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637,548</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10,659,700</w:t>
            </w:r>
          </w:p>
        </w:tc>
      </w:tr>
      <w:tr w:rsidR="003C2485" w:rsidRPr="004E4D61" w:rsidTr="003C2485">
        <w:trPr>
          <w:trHeight w:val="222"/>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ASX Australian Securities Exchange</w:t>
            </w:r>
          </w:p>
        </w:tc>
        <w:tc>
          <w:tcPr>
            <w:tcW w:w="608" w:type="pct"/>
            <w:tcBorders>
              <w:top w:val="nil"/>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107,888</w:t>
            </w:r>
          </w:p>
        </w:tc>
        <w:tc>
          <w:tcPr>
            <w:tcW w:w="609"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4,079</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206,433</w:t>
            </w:r>
          </w:p>
        </w:tc>
        <w:tc>
          <w:tcPr>
            <w:tcW w:w="532"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10,409</w:t>
            </w:r>
          </w:p>
        </w:tc>
        <w:tc>
          <w:tcPr>
            <w:tcW w:w="511"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2,659</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47,977</w:t>
            </w:r>
          </w:p>
        </w:tc>
      </w:tr>
      <w:tr w:rsidR="003C2485" w:rsidRPr="004E4D61" w:rsidTr="003C2485">
        <w:trPr>
          <w:trHeight w:val="222"/>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Hong Kong Exchanges and Clearing</w:t>
            </w:r>
          </w:p>
        </w:tc>
        <w:tc>
          <w:tcPr>
            <w:tcW w:w="608" w:type="pct"/>
            <w:tcBorders>
              <w:top w:val="nil"/>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39,248</w:t>
            </w:r>
          </w:p>
        </w:tc>
        <w:tc>
          <w:tcPr>
            <w:tcW w:w="609"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1,246</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2,646</w:t>
            </w:r>
          </w:p>
        </w:tc>
        <w:tc>
          <w:tcPr>
            <w:tcW w:w="532"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c>
          <w:tcPr>
            <w:tcW w:w="511"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r>
      <w:tr w:rsidR="003C2485" w:rsidRPr="004E4D61" w:rsidTr="003C2485">
        <w:trPr>
          <w:trHeight w:val="222"/>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National Stock Exchange of India</w:t>
            </w:r>
          </w:p>
        </w:tc>
        <w:tc>
          <w:tcPr>
            <w:tcW w:w="608" w:type="pct"/>
            <w:tcBorders>
              <w:top w:val="nil"/>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10,286</w:t>
            </w:r>
          </w:p>
        </w:tc>
        <w:tc>
          <w:tcPr>
            <w:tcW w:w="609"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91</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145</w:t>
            </w:r>
          </w:p>
        </w:tc>
        <w:tc>
          <w:tcPr>
            <w:tcW w:w="532"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18,561</w:t>
            </w:r>
          </w:p>
        </w:tc>
        <w:tc>
          <w:tcPr>
            <w:tcW w:w="511"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120</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1,516</w:t>
            </w:r>
          </w:p>
        </w:tc>
      </w:tr>
      <w:tr w:rsidR="003C2485" w:rsidRPr="004E4D61" w:rsidTr="003C2485">
        <w:trPr>
          <w:trHeight w:val="222"/>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NZX Limited</w:t>
            </w:r>
          </w:p>
        </w:tc>
        <w:tc>
          <w:tcPr>
            <w:tcW w:w="608" w:type="pct"/>
            <w:tcBorders>
              <w:top w:val="nil"/>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29,085</w:t>
            </w:r>
          </w:p>
        </w:tc>
        <w:tc>
          <w:tcPr>
            <w:tcW w:w="609"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152</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65,362</w:t>
            </w:r>
          </w:p>
        </w:tc>
        <w:tc>
          <w:tcPr>
            <w:tcW w:w="532"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1,740</w:t>
            </w:r>
          </w:p>
        </w:tc>
        <w:tc>
          <w:tcPr>
            <w:tcW w:w="511"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7</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5,644</w:t>
            </w:r>
          </w:p>
        </w:tc>
      </w:tr>
      <w:tr w:rsidR="003C2485" w:rsidRPr="004E4D61" w:rsidTr="003C2485">
        <w:trPr>
          <w:trHeight w:val="222"/>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Singapore Exchange</w:t>
            </w:r>
          </w:p>
        </w:tc>
        <w:tc>
          <w:tcPr>
            <w:tcW w:w="608" w:type="pct"/>
            <w:tcBorders>
              <w:top w:val="nil"/>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2,027,969</w:t>
            </w:r>
          </w:p>
        </w:tc>
        <w:tc>
          <w:tcPr>
            <w:tcW w:w="609"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1,117,505</w:t>
            </w:r>
          </w:p>
        </w:tc>
        <w:tc>
          <w:tcPr>
            <w:tcW w:w="532"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272,780</w:t>
            </w:r>
          </w:p>
        </w:tc>
        <w:tc>
          <w:tcPr>
            <w:tcW w:w="511"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781,521</w:t>
            </w:r>
          </w:p>
        </w:tc>
      </w:tr>
      <w:tr w:rsidR="003C2485" w:rsidRPr="004E4D61" w:rsidTr="003C2485">
        <w:trPr>
          <w:trHeight w:val="222"/>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Taiwan Futures Exchange</w:t>
            </w:r>
          </w:p>
        </w:tc>
        <w:tc>
          <w:tcPr>
            <w:tcW w:w="608" w:type="pct"/>
            <w:tcBorders>
              <w:top w:val="nil"/>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10,738</w:t>
            </w:r>
          </w:p>
        </w:tc>
        <w:tc>
          <w:tcPr>
            <w:tcW w:w="609"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206</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1,200</w:t>
            </w:r>
          </w:p>
        </w:tc>
        <w:tc>
          <w:tcPr>
            <w:tcW w:w="532"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2,649</w:t>
            </w:r>
          </w:p>
        </w:tc>
        <w:tc>
          <w:tcPr>
            <w:tcW w:w="511"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29</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1,068</w:t>
            </w:r>
          </w:p>
        </w:tc>
      </w:tr>
      <w:tr w:rsidR="003C2485" w:rsidRPr="004E4D61" w:rsidTr="003C2485">
        <w:trPr>
          <w:trHeight w:val="222"/>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Thailand Futures Exchange</w:t>
            </w:r>
          </w:p>
        </w:tc>
        <w:tc>
          <w:tcPr>
            <w:tcW w:w="608" w:type="pct"/>
            <w:tcBorders>
              <w:top w:val="nil"/>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1,142,822</w:t>
            </w:r>
          </w:p>
        </w:tc>
        <w:tc>
          <w:tcPr>
            <w:tcW w:w="609"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45,460</w:t>
            </w:r>
          </w:p>
        </w:tc>
        <w:tc>
          <w:tcPr>
            <w:tcW w:w="532"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c>
          <w:tcPr>
            <w:tcW w:w="511"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r>
      <w:tr w:rsidR="003C2485" w:rsidRPr="004E4D61" w:rsidTr="003C2485">
        <w:trPr>
          <w:trHeight w:val="222"/>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Bursa Malaysia Derivatives</w:t>
            </w:r>
          </w:p>
        </w:tc>
        <w:tc>
          <w:tcPr>
            <w:tcW w:w="608" w:type="pct"/>
            <w:tcBorders>
              <w:top w:val="nil"/>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1,303,914</w:t>
            </w:r>
          </w:p>
        </w:tc>
        <w:tc>
          <w:tcPr>
            <w:tcW w:w="609"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30,650</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195,097</w:t>
            </w:r>
          </w:p>
        </w:tc>
        <w:tc>
          <w:tcPr>
            <w:tcW w:w="532"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6,200</w:t>
            </w:r>
          </w:p>
        </w:tc>
        <w:tc>
          <w:tcPr>
            <w:tcW w:w="511"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0</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25,746</w:t>
            </w:r>
          </w:p>
        </w:tc>
      </w:tr>
      <w:tr w:rsidR="003C2485" w:rsidRPr="004E4D61" w:rsidTr="003C2485">
        <w:trPr>
          <w:trHeight w:val="222"/>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Zhengzhou Commodity Exchange</w:t>
            </w:r>
          </w:p>
        </w:tc>
        <w:tc>
          <w:tcPr>
            <w:tcW w:w="608" w:type="pct"/>
            <w:tcBorders>
              <w:top w:val="nil"/>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201,273,325</w:t>
            </w:r>
          </w:p>
        </w:tc>
        <w:tc>
          <w:tcPr>
            <w:tcW w:w="609"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1,348,907</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9,035,878</w:t>
            </w:r>
          </w:p>
        </w:tc>
        <w:tc>
          <w:tcPr>
            <w:tcW w:w="532"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8,969,288</w:t>
            </w:r>
          </w:p>
        </w:tc>
        <w:tc>
          <w:tcPr>
            <w:tcW w:w="511"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839</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9,282,205</w:t>
            </w:r>
          </w:p>
        </w:tc>
      </w:tr>
      <w:tr w:rsidR="003C2485" w:rsidRPr="004E4D61" w:rsidTr="003C2485">
        <w:trPr>
          <w:trHeight w:val="222"/>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Dalian Commodity Exchange</w:t>
            </w:r>
          </w:p>
        </w:tc>
        <w:tc>
          <w:tcPr>
            <w:tcW w:w="608" w:type="pct"/>
            <w:tcBorders>
              <w:top w:val="nil"/>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197,503,637</w:t>
            </w:r>
          </w:p>
        </w:tc>
        <w:tc>
          <w:tcPr>
            <w:tcW w:w="609"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2,059,809</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9,932,307</w:t>
            </w:r>
          </w:p>
        </w:tc>
        <w:tc>
          <w:tcPr>
            <w:tcW w:w="532"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11,736,825</w:t>
            </w:r>
          </w:p>
        </w:tc>
        <w:tc>
          <w:tcPr>
            <w:tcW w:w="511"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1,770</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1,522,609</w:t>
            </w:r>
          </w:p>
        </w:tc>
      </w:tr>
      <w:tr w:rsidR="003C2485" w:rsidRPr="004E4D61" w:rsidTr="003C2485">
        <w:trPr>
          <w:trHeight w:val="222"/>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Multi Commodity Exchange of India</w:t>
            </w:r>
          </w:p>
        </w:tc>
        <w:tc>
          <w:tcPr>
            <w:tcW w:w="608" w:type="pct"/>
            <w:tcBorders>
              <w:top w:val="nil"/>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12,297,198</w:t>
            </w:r>
          </w:p>
        </w:tc>
        <w:tc>
          <w:tcPr>
            <w:tcW w:w="609"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79,323</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266,476</w:t>
            </w:r>
          </w:p>
        </w:tc>
        <w:tc>
          <w:tcPr>
            <w:tcW w:w="532"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1,480,648</w:t>
            </w:r>
          </w:p>
        </w:tc>
        <w:tc>
          <w:tcPr>
            <w:tcW w:w="511"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13,353</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18,810</w:t>
            </w:r>
          </w:p>
        </w:tc>
      </w:tr>
      <w:tr w:rsidR="003C2485" w:rsidRPr="004E4D61" w:rsidTr="003C2485">
        <w:trPr>
          <w:trHeight w:val="222"/>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Shanghai Futures Exchange</w:t>
            </w:r>
          </w:p>
        </w:tc>
        <w:tc>
          <w:tcPr>
            <w:tcW w:w="608" w:type="pct"/>
            <w:tcBorders>
              <w:top w:val="nil"/>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184,086,168</w:t>
            </w:r>
          </w:p>
        </w:tc>
        <w:tc>
          <w:tcPr>
            <w:tcW w:w="609"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2,603,451</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6,897,635</w:t>
            </w:r>
          </w:p>
        </w:tc>
        <w:tc>
          <w:tcPr>
            <w:tcW w:w="532"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2,491,556</w:t>
            </w:r>
          </w:p>
        </w:tc>
        <w:tc>
          <w:tcPr>
            <w:tcW w:w="511"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1,071</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192,246</w:t>
            </w:r>
          </w:p>
        </w:tc>
      </w:tr>
      <w:tr w:rsidR="003C2485" w:rsidRPr="004E4D61" w:rsidTr="003C2485">
        <w:trPr>
          <w:trHeight w:val="222"/>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Borsa Istanbul</w:t>
            </w:r>
          </w:p>
        </w:tc>
        <w:tc>
          <w:tcPr>
            <w:tcW w:w="608" w:type="pct"/>
            <w:tcBorders>
              <w:top w:val="nil"/>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5,296,282</w:t>
            </w:r>
          </w:p>
        </w:tc>
        <w:tc>
          <w:tcPr>
            <w:tcW w:w="609"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1,904</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1,500,919</w:t>
            </w:r>
          </w:p>
        </w:tc>
        <w:tc>
          <w:tcPr>
            <w:tcW w:w="532"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c>
          <w:tcPr>
            <w:tcW w:w="511"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r>
      <w:tr w:rsidR="003C2485" w:rsidRPr="004E4D61" w:rsidTr="003C2485">
        <w:trPr>
          <w:trHeight w:val="222"/>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Deutsche Boerse AG</w:t>
            </w:r>
          </w:p>
        </w:tc>
        <w:tc>
          <w:tcPr>
            <w:tcW w:w="608" w:type="pct"/>
            <w:tcBorders>
              <w:top w:val="nil"/>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398,111</w:t>
            </w:r>
          </w:p>
        </w:tc>
        <w:tc>
          <w:tcPr>
            <w:tcW w:w="609"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30,054</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2,415,890</w:t>
            </w:r>
          </w:p>
        </w:tc>
        <w:tc>
          <w:tcPr>
            <w:tcW w:w="532"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119,495</w:t>
            </w:r>
          </w:p>
        </w:tc>
        <w:tc>
          <w:tcPr>
            <w:tcW w:w="511"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534</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227,750</w:t>
            </w:r>
          </w:p>
        </w:tc>
      </w:tr>
      <w:tr w:rsidR="003C2485" w:rsidRPr="004E4D61" w:rsidTr="003C2485">
        <w:trPr>
          <w:trHeight w:val="222"/>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Euronext</w:t>
            </w:r>
          </w:p>
        </w:tc>
        <w:tc>
          <w:tcPr>
            <w:tcW w:w="608" w:type="pct"/>
            <w:tcBorders>
              <w:top w:val="nil"/>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1,519,222</w:t>
            </w:r>
          </w:p>
        </w:tc>
        <w:tc>
          <w:tcPr>
            <w:tcW w:w="609"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24,836</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613,112</w:t>
            </w:r>
          </w:p>
        </w:tc>
        <w:tc>
          <w:tcPr>
            <w:tcW w:w="532"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174,260</w:t>
            </w:r>
          </w:p>
        </w:tc>
        <w:tc>
          <w:tcPr>
            <w:tcW w:w="511"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2,594</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351,130</w:t>
            </w:r>
          </w:p>
        </w:tc>
      </w:tr>
      <w:tr w:rsidR="003C2485" w:rsidRPr="004E4D61" w:rsidTr="003C2485">
        <w:trPr>
          <w:trHeight w:val="222"/>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LSE Group London Stock Exchange</w:t>
            </w:r>
          </w:p>
        </w:tc>
        <w:tc>
          <w:tcPr>
            <w:tcW w:w="608" w:type="pct"/>
            <w:tcBorders>
              <w:top w:val="nil"/>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c>
          <w:tcPr>
            <w:tcW w:w="609"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c>
          <w:tcPr>
            <w:tcW w:w="532"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c>
          <w:tcPr>
            <w:tcW w:w="511"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r>
      <w:tr w:rsidR="003C2485" w:rsidRPr="004E4D61" w:rsidTr="003C2485">
        <w:trPr>
          <w:trHeight w:val="222"/>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Moscow Exchange</w:t>
            </w:r>
          </w:p>
        </w:tc>
        <w:tc>
          <w:tcPr>
            <w:tcW w:w="608" w:type="pct"/>
            <w:tcBorders>
              <w:top w:val="nil"/>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57,620,046</w:t>
            </w:r>
          </w:p>
        </w:tc>
        <w:tc>
          <w:tcPr>
            <w:tcW w:w="609"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45,953</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2,167,828</w:t>
            </w:r>
          </w:p>
        </w:tc>
        <w:tc>
          <w:tcPr>
            <w:tcW w:w="532"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547,521</w:t>
            </w:r>
          </w:p>
        </w:tc>
        <w:tc>
          <w:tcPr>
            <w:tcW w:w="511"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402</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112,272</w:t>
            </w:r>
          </w:p>
        </w:tc>
      </w:tr>
      <w:tr w:rsidR="003C2485" w:rsidRPr="004E4D61" w:rsidTr="003C2485">
        <w:trPr>
          <w:trHeight w:val="222"/>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Dubai Gold and Commodities Exchange</w:t>
            </w:r>
          </w:p>
        </w:tc>
        <w:tc>
          <w:tcPr>
            <w:tcW w:w="608" w:type="pct"/>
            <w:tcBorders>
              <w:top w:val="nil"/>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8,066</w:t>
            </w:r>
          </w:p>
        </w:tc>
        <w:tc>
          <w:tcPr>
            <w:tcW w:w="609"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124</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585</w:t>
            </w:r>
          </w:p>
        </w:tc>
        <w:tc>
          <w:tcPr>
            <w:tcW w:w="532"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c>
          <w:tcPr>
            <w:tcW w:w="511"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r>
      <w:tr w:rsidR="003C2485" w:rsidRPr="004E4D61" w:rsidTr="003C2485">
        <w:trPr>
          <w:trHeight w:val="222"/>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London Metal Exchange</w:t>
            </w:r>
          </w:p>
        </w:tc>
        <w:tc>
          <w:tcPr>
            <w:tcW w:w="608" w:type="pct"/>
            <w:tcBorders>
              <w:top w:val="nil"/>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11,016,062</w:t>
            </w:r>
          </w:p>
        </w:tc>
        <w:tc>
          <w:tcPr>
            <w:tcW w:w="609"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1,683,180</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1,872,602</w:t>
            </w:r>
          </w:p>
        </w:tc>
        <w:tc>
          <w:tcPr>
            <w:tcW w:w="532"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486,877</w:t>
            </w:r>
          </w:p>
        </w:tc>
        <w:tc>
          <w:tcPr>
            <w:tcW w:w="511"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80,351</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475,038</w:t>
            </w:r>
          </w:p>
        </w:tc>
      </w:tr>
      <w:tr w:rsidR="003C2485" w:rsidRPr="004E4D61" w:rsidTr="003C2485">
        <w:trPr>
          <w:trHeight w:val="389"/>
        </w:trPr>
        <w:tc>
          <w:tcPr>
            <w:tcW w:w="1674" w:type="pct"/>
            <w:tcBorders>
              <w:top w:val="nil"/>
              <w:left w:val="single" w:sz="4" w:space="0" w:color="auto"/>
              <w:bottom w:val="nil"/>
              <w:right w:val="nil"/>
            </w:tcBorders>
            <w:shd w:val="clear" w:color="000000" w:fill="B4C6E7"/>
            <w:vAlign w:val="center"/>
            <w:hideMark/>
          </w:tcPr>
          <w:p w:rsidR="003C2485" w:rsidRPr="004E4D61" w:rsidRDefault="003C2485" w:rsidP="003C2485">
            <w:pPr>
              <w:rPr>
                <w:rFonts w:ascii="Palatino Linotype" w:eastAsia="Times New Roman" w:hAnsi="Palatino Linotype" w:cs="Calibri"/>
                <w:color w:val="000000"/>
                <w:sz w:val="18"/>
                <w:szCs w:val="18"/>
                <w:lang w:val="en-IN" w:eastAsia="en-IN" w:bidi="hi-IN"/>
              </w:rPr>
            </w:pPr>
            <w:r w:rsidRPr="004E4D61">
              <w:rPr>
                <w:rFonts w:ascii="Palatino Linotype" w:eastAsia="Times New Roman" w:hAnsi="Palatino Linotype" w:cs="Calibri"/>
                <w:color w:val="000000"/>
                <w:sz w:val="18"/>
                <w:szCs w:val="18"/>
                <w:lang w:val="en-IN" w:eastAsia="en-IN" w:bidi="hi-IN"/>
              </w:rPr>
              <w:t>The Saint-Petersburg International Mercantile Exchange</w:t>
            </w:r>
          </w:p>
        </w:tc>
        <w:tc>
          <w:tcPr>
            <w:tcW w:w="608" w:type="pct"/>
            <w:tcBorders>
              <w:top w:val="nil"/>
              <w:left w:val="single" w:sz="8" w:space="0" w:color="auto"/>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50,532</w:t>
            </w:r>
          </w:p>
        </w:tc>
        <w:tc>
          <w:tcPr>
            <w:tcW w:w="609"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94</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 xml:space="preserve"> 9,418</w:t>
            </w:r>
          </w:p>
        </w:tc>
        <w:tc>
          <w:tcPr>
            <w:tcW w:w="532"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c>
          <w:tcPr>
            <w:tcW w:w="511"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c>
          <w:tcPr>
            <w:tcW w:w="533" w:type="pct"/>
            <w:tcBorders>
              <w:top w:val="nil"/>
              <w:left w:val="nil"/>
              <w:bottom w:val="nil"/>
              <w:right w:val="single" w:sz="8" w:space="0" w:color="auto"/>
            </w:tcBorders>
            <w:shd w:val="clear" w:color="auto" w:fill="auto"/>
            <w:vAlign w:val="center"/>
            <w:hideMark/>
          </w:tcPr>
          <w:p w:rsidR="003C2485" w:rsidRPr="004E4D61" w:rsidRDefault="003C2485" w:rsidP="003C2485">
            <w:pPr>
              <w:jc w:val="right"/>
              <w:rPr>
                <w:rFonts w:ascii="Palatino Linotype" w:hAnsi="Palatino Linotype" w:cs="Calibri"/>
                <w:color w:val="000000"/>
                <w:sz w:val="18"/>
                <w:szCs w:val="18"/>
              </w:rPr>
            </w:pPr>
            <w:r w:rsidRPr="004E4D61">
              <w:rPr>
                <w:rFonts w:ascii="Palatino Linotype" w:hAnsi="Palatino Linotype" w:cs="Calibri"/>
                <w:color w:val="000000"/>
                <w:sz w:val="18"/>
                <w:szCs w:val="18"/>
              </w:rPr>
              <w:t>NA</w:t>
            </w:r>
          </w:p>
        </w:tc>
      </w:tr>
      <w:tr w:rsidR="003C2485" w:rsidRPr="004E4D61" w:rsidTr="003C2485">
        <w:trPr>
          <w:trHeight w:val="233"/>
        </w:trPr>
        <w:tc>
          <w:tcPr>
            <w:tcW w:w="1674" w:type="pct"/>
            <w:tcBorders>
              <w:top w:val="single" w:sz="8" w:space="0" w:color="auto"/>
              <w:left w:val="single" w:sz="8" w:space="0" w:color="auto"/>
              <w:bottom w:val="single" w:sz="8" w:space="0" w:color="auto"/>
              <w:right w:val="nil"/>
            </w:tcBorders>
            <w:shd w:val="clear" w:color="000000" w:fill="D9E1F2"/>
            <w:vAlign w:val="center"/>
            <w:hideMark/>
          </w:tcPr>
          <w:p w:rsidR="003C2485" w:rsidRPr="004E4D61" w:rsidRDefault="003C2485" w:rsidP="003C2485">
            <w:pPr>
              <w:rPr>
                <w:rFonts w:ascii="Palatino Linotype" w:eastAsia="Times New Roman" w:hAnsi="Palatino Linotype" w:cs="Calibri"/>
                <w:b/>
                <w:bCs/>
                <w:color w:val="000000"/>
                <w:sz w:val="18"/>
                <w:szCs w:val="18"/>
                <w:lang w:val="en-IN" w:eastAsia="en-IN" w:bidi="hi-IN"/>
              </w:rPr>
            </w:pPr>
            <w:r w:rsidRPr="004E4D61">
              <w:rPr>
                <w:rFonts w:ascii="Palatino Linotype" w:eastAsia="Times New Roman" w:hAnsi="Palatino Linotype" w:cs="Calibri"/>
                <w:b/>
                <w:bCs/>
                <w:color w:val="000000"/>
                <w:sz w:val="18"/>
                <w:szCs w:val="18"/>
                <w:lang w:val="en-IN" w:eastAsia="en-IN" w:bidi="hi-IN"/>
              </w:rPr>
              <w:t>Grand Total</w:t>
            </w:r>
          </w:p>
        </w:tc>
        <w:tc>
          <w:tcPr>
            <w:tcW w:w="608" w:type="pct"/>
            <w:tcBorders>
              <w:top w:val="single" w:sz="8" w:space="0" w:color="auto"/>
              <w:left w:val="nil"/>
              <w:bottom w:val="single" w:sz="8" w:space="0" w:color="auto"/>
              <w:right w:val="nil"/>
            </w:tcBorders>
            <w:shd w:val="clear" w:color="000000" w:fill="D9E1F2"/>
            <w:vAlign w:val="bottom"/>
            <w:hideMark/>
          </w:tcPr>
          <w:p w:rsidR="003C2485" w:rsidRPr="004E4D61" w:rsidRDefault="003C2485" w:rsidP="003C2485">
            <w:pPr>
              <w:jc w:val="right"/>
              <w:rPr>
                <w:rFonts w:ascii="Palatino Linotype" w:hAnsi="Palatino Linotype" w:cs="Calibri"/>
                <w:b/>
                <w:bCs/>
                <w:color w:val="000000"/>
                <w:sz w:val="18"/>
                <w:szCs w:val="18"/>
              </w:rPr>
            </w:pPr>
            <w:r w:rsidRPr="004E4D61">
              <w:rPr>
                <w:rFonts w:ascii="Palatino Linotype" w:hAnsi="Palatino Linotype" w:cs="Calibri"/>
                <w:b/>
                <w:bCs/>
                <w:color w:val="000000"/>
                <w:sz w:val="18"/>
                <w:szCs w:val="18"/>
              </w:rPr>
              <w:t xml:space="preserve"> 744,008,011</w:t>
            </w:r>
          </w:p>
        </w:tc>
        <w:tc>
          <w:tcPr>
            <w:tcW w:w="609" w:type="pct"/>
            <w:tcBorders>
              <w:top w:val="single" w:sz="8" w:space="0" w:color="auto"/>
              <w:left w:val="nil"/>
              <w:bottom w:val="single" w:sz="8" w:space="0" w:color="auto"/>
              <w:right w:val="nil"/>
            </w:tcBorders>
            <w:shd w:val="clear" w:color="000000" w:fill="D9E1F2"/>
            <w:vAlign w:val="bottom"/>
            <w:hideMark/>
          </w:tcPr>
          <w:p w:rsidR="003C2485" w:rsidRPr="004E4D61" w:rsidRDefault="003C2485" w:rsidP="003C2485">
            <w:pPr>
              <w:jc w:val="right"/>
              <w:rPr>
                <w:rFonts w:ascii="Palatino Linotype" w:hAnsi="Palatino Linotype" w:cs="Calibri"/>
                <w:b/>
                <w:bCs/>
                <w:color w:val="000000"/>
                <w:sz w:val="18"/>
                <w:szCs w:val="18"/>
              </w:rPr>
            </w:pPr>
            <w:r w:rsidRPr="004E4D61">
              <w:rPr>
                <w:rFonts w:ascii="Palatino Linotype" w:hAnsi="Palatino Linotype" w:cs="Calibri"/>
                <w:b/>
                <w:bCs/>
                <w:color w:val="000000"/>
                <w:sz w:val="18"/>
                <w:szCs w:val="18"/>
              </w:rPr>
              <w:t xml:space="preserve"> 12,603,720</w:t>
            </w:r>
          </w:p>
        </w:tc>
        <w:tc>
          <w:tcPr>
            <w:tcW w:w="533" w:type="pct"/>
            <w:tcBorders>
              <w:top w:val="single" w:sz="8" w:space="0" w:color="auto"/>
              <w:left w:val="nil"/>
              <w:bottom w:val="single" w:sz="8" w:space="0" w:color="auto"/>
              <w:right w:val="nil"/>
            </w:tcBorders>
            <w:shd w:val="clear" w:color="000000" w:fill="D9E1F2"/>
            <w:vAlign w:val="bottom"/>
            <w:hideMark/>
          </w:tcPr>
          <w:p w:rsidR="003C2485" w:rsidRPr="004E4D61" w:rsidRDefault="003C2485" w:rsidP="003C2485">
            <w:pPr>
              <w:jc w:val="right"/>
              <w:rPr>
                <w:rFonts w:ascii="Palatino Linotype" w:hAnsi="Palatino Linotype" w:cs="Calibri"/>
                <w:b/>
                <w:bCs/>
                <w:color w:val="000000"/>
                <w:sz w:val="18"/>
                <w:szCs w:val="18"/>
              </w:rPr>
            </w:pPr>
            <w:r w:rsidRPr="004E4D61">
              <w:rPr>
                <w:rFonts w:ascii="Palatino Linotype" w:hAnsi="Palatino Linotype" w:cs="Calibri"/>
                <w:b/>
                <w:bCs/>
                <w:color w:val="000000"/>
                <w:sz w:val="18"/>
                <w:szCs w:val="18"/>
              </w:rPr>
              <w:t xml:space="preserve"> 49,940,155</w:t>
            </w:r>
          </w:p>
        </w:tc>
        <w:tc>
          <w:tcPr>
            <w:tcW w:w="532" w:type="pct"/>
            <w:tcBorders>
              <w:top w:val="single" w:sz="8" w:space="0" w:color="auto"/>
              <w:left w:val="nil"/>
              <w:bottom w:val="single" w:sz="8" w:space="0" w:color="auto"/>
              <w:right w:val="nil"/>
            </w:tcBorders>
            <w:shd w:val="clear" w:color="000000" w:fill="D9E1F2"/>
            <w:vAlign w:val="bottom"/>
            <w:hideMark/>
          </w:tcPr>
          <w:p w:rsidR="003C2485" w:rsidRPr="004E4D61" w:rsidRDefault="003C2485" w:rsidP="003C2485">
            <w:pPr>
              <w:jc w:val="right"/>
              <w:rPr>
                <w:rFonts w:ascii="Palatino Linotype" w:hAnsi="Palatino Linotype" w:cs="Calibri"/>
                <w:b/>
                <w:bCs/>
                <w:color w:val="000000"/>
                <w:sz w:val="18"/>
                <w:szCs w:val="18"/>
              </w:rPr>
            </w:pPr>
            <w:r w:rsidRPr="004E4D61">
              <w:rPr>
                <w:rFonts w:ascii="Palatino Linotype" w:hAnsi="Palatino Linotype" w:cs="Calibri"/>
                <w:b/>
                <w:bCs/>
                <w:color w:val="000000"/>
                <w:sz w:val="18"/>
                <w:szCs w:val="18"/>
              </w:rPr>
              <w:t xml:space="preserve"> 37,708,477</w:t>
            </w:r>
          </w:p>
        </w:tc>
        <w:tc>
          <w:tcPr>
            <w:tcW w:w="511" w:type="pct"/>
            <w:tcBorders>
              <w:top w:val="single" w:sz="8" w:space="0" w:color="auto"/>
              <w:left w:val="nil"/>
              <w:bottom w:val="single" w:sz="8" w:space="0" w:color="auto"/>
              <w:right w:val="nil"/>
            </w:tcBorders>
            <w:shd w:val="clear" w:color="000000" w:fill="D9E1F2"/>
            <w:vAlign w:val="bottom"/>
            <w:hideMark/>
          </w:tcPr>
          <w:p w:rsidR="003C2485" w:rsidRPr="004E4D61" w:rsidRDefault="003C2485" w:rsidP="003C2485">
            <w:pPr>
              <w:jc w:val="right"/>
              <w:rPr>
                <w:rFonts w:ascii="Palatino Linotype" w:hAnsi="Palatino Linotype" w:cs="Calibri"/>
                <w:b/>
                <w:bCs/>
                <w:color w:val="000000"/>
                <w:sz w:val="18"/>
                <w:szCs w:val="18"/>
              </w:rPr>
            </w:pPr>
            <w:r w:rsidRPr="004E4D61">
              <w:rPr>
                <w:rFonts w:ascii="Palatino Linotype" w:hAnsi="Palatino Linotype" w:cs="Calibri"/>
                <w:b/>
                <w:bCs/>
                <w:color w:val="000000"/>
                <w:sz w:val="18"/>
                <w:szCs w:val="18"/>
              </w:rPr>
              <w:t xml:space="preserve"> 741,352</w:t>
            </w:r>
          </w:p>
        </w:tc>
        <w:tc>
          <w:tcPr>
            <w:tcW w:w="533" w:type="pct"/>
            <w:tcBorders>
              <w:top w:val="single" w:sz="8" w:space="0" w:color="auto"/>
              <w:left w:val="nil"/>
              <w:bottom w:val="single" w:sz="8" w:space="0" w:color="auto"/>
              <w:right w:val="single" w:sz="8" w:space="0" w:color="auto"/>
            </w:tcBorders>
            <w:shd w:val="clear" w:color="000000" w:fill="D9E1F2"/>
            <w:vAlign w:val="bottom"/>
            <w:hideMark/>
          </w:tcPr>
          <w:p w:rsidR="003C2485" w:rsidRPr="004E4D61" w:rsidRDefault="003C2485" w:rsidP="003C2485">
            <w:pPr>
              <w:jc w:val="right"/>
              <w:rPr>
                <w:rFonts w:ascii="Palatino Linotype" w:hAnsi="Palatino Linotype" w:cs="Calibri"/>
                <w:b/>
                <w:bCs/>
                <w:color w:val="000000"/>
                <w:sz w:val="18"/>
                <w:szCs w:val="18"/>
              </w:rPr>
            </w:pPr>
            <w:r w:rsidRPr="004E4D61">
              <w:rPr>
                <w:rFonts w:ascii="Palatino Linotype" w:hAnsi="Palatino Linotype" w:cs="Calibri"/>
                <w:b/>
                <w:bCs/>
                <w:color w:val="000000"/>
                <w:sz w:val="18"/>
                <w:szCs w:val="18"/>
              </w:rPr>
              <w:t xml:space="preserve"> 23,902,786</w:t>
            </w:r>
          </w:p>
        </w:tc>
      </w:tr>
    </w:tbl>
    <w:p w:rsidR="003C2485" w:rsidRPr="00A01675" w:rsidRDefault="003C2485" w:rsidP="003C2485">
      <w:pPr>
        <w:spacing w:line="23" w:lineRule="atLeast"/>
        <w:rPr>
          <w:rFonts w:ascii="Palatino Linotype" w:hAnsi="Palatino Linotype"/>
          <w:bCs/>
          <w:sz w:val="18"/>
          <w:szCs w:val="18"/>
        </w:rPr>
      </w:pPr>
      <w:r w:rsidRPr="00A01675">
        <w:rPr>
          <w:rFonts w:ascii="Palatino Linotype" w:hAnsi="Palatino Linotype"/>
          <w:bCs/>
          <w:sz w:val="18"/>
          <w:szCs w:val="18"/>
        </w:rPr>
        <w:t xml:space="preserve"> NA: Not Available</w:t>
      </w:r>
    </w:p>
    <w:p w:rsidR="003C2485" w:rsidRPr="00A01675" w:rsidRDefault="003C2485" w:rsidP="003C2485">
      <w:pPr>
        <w:spacing w:line="23" w:lineRule="atLeast"/>
        <w:jc w:val="both"/>
        <w:outlineLvl w:val="0"/>
        <w:rPr>
          <w:rFonts w:ascii="Palatino Linotype" w:hAnsi="Palatino Linotype"/>
          <w:bCs/>
          <w:sz w:val="18"/>
          <w:szCs w:val="18"/>
        </w:rPr>
      </w:pPr>
      <w:r w:rsidRPr="00A01675">
        <w:rPr>
          <w:rFonts w:ascii="Palatino Linotype" w:hAnsi="Palatino Linotype"/>
          <w:bCs/>
          <w:sz w:val="18"/>
          <w:szCs w:val="18"/>
        </w:rPr>
        <w:t>Source: World Federation of Exchanges</w:t>
      </w:r>
    </w:p>
    <w:p w:rsidR="003C2485" w:rsidRPr="00A01675" w:rsidRDefault="003C2485" w:rsidP="003C2485">
      <w:pPr>
        <w:rPr>
          <w:rFonts w:ascii="Palatino Linotype" w:hAnsi="Palatino Linotype"/>
          <w:bCs/>
          <w:sz w:val="18"/>
          <w:szCs w:val="18"/>
        </w:rPr>
      </w:pPr>
      <w:r w:rsidRPr="00A01675">
        <w:rPr>
          <w:rFonts w:ascii="Palatino Linotype" w:hAnsi="Palatino Linotype"/>
          <w:bCs/>
          <w:sz w:val="18"/>
          <w:szCs w:val="18"/>
        </w:rPr>
        <w:br w:type="page"/>
      </w:r>
    </w:p>
    <w:p w:rsidR="003C2485" w:rsidRPr="00A01675" w:rsidRDefault="003C2485" w:rsidP="003C2485">
      <w:pPr>
        <w:spacing w:line="23" w:lineRule="atLeast"/>
        <w:jc w:val="both"/>
        <w:rPr>
          <w:rFonts w:ascii="Palatino Linotype" w:hAnsi="Palatino Linotype"/>
          <w:b/>
          <w:bCs/>
          <w:szCs w:val="22"/>
        </w:rPr>
      </w:pPr>
      <w:r w:rsidRPr="00A01675">
        <w:rPr>
          <w:rFonts w:ascii="Palatino Linotype" w:hAnsi="Palatino Linotype"/>
          <w:b/>
          <w:bCs/>
          <w:szCs w:val="22"/>
        </w:rPr>
        <w:t>Table A9: Major Foreign Holders of US Treasury Securities (USD billion)</w:t>
      </w:r>
    </w:p>
    <w:tbl>
      <w:tblPr>
        <w:tblW w:w="7513" w:type="dxa"/>
        <w:tblInd w:w="108" w:type="dxa"/>
        <w:tblLook w:val="04A0" w:firstRow="1" w:lastRow="0" w:firstColumn="1" w:lastColumn="0" w:noHBand="0" w:noVBand="1"/>
      </w:tblPr>
      <w:tblGrid>
        <w:gridCol w:w="1997"/>
        <w:gridCol w:w="1405"/>
        <w:gridCol w:w="1985"/>
        <w:gridCol w:w="2126"/>
      </w:tblGrid>
      <w:tr w:rsidR="003C2485" w:rsidRPr="00724A6D" w:rsidTr="003C2485">
        <w:trPr>
          <w:trHeight w:val="287"/>
        </w:trPr>
        <w:tc>
          <w:tcPr>
            <w:tcW w:w="1997" w:type="dxa"/>
            <w:vMerge w:val="restart"/>
            <w:tcBorders>
              <w:top w:val="single" w:sz="8" w:space="0" w:color="auto"/>
              <w:left w:val="single" w:sz="8" w:space="0" w:color="auto"/>
              <w:bottom w:val="nil"/>
              <w:right w:val="nil"/>
            </w:tcBorders>
            <w:shd w:val="clear" w:color="auto" w:fill="auto"/>
            <w:noWrap/>
            <w:vAlign w:val="center"/>
            <w:hideMark/>
          </w:tcPr>
          <w:p w:rsidR="003C2485" w:rsidRPr="00724A6D" w:rsidRDefault="003C2485" w:rsidP="003C2485">
            <w:pPr>
              <w:rPr>
                <w:rFonts w:ascii="Garamond" w:eastAsia="Times New Roman" w:hAnsi="Garamond" w:cs="Calibri"/>
                <w:b/>
                <w:bCs/>
                <w:color w:val="000000"/>
                <w:sz w:val="20"/>
                <w:szCs w:val="20"/>
                <w:lang w:val="en-IN" w:eastAsia="en-IN" w:bidi="hi-IN"/>
              </w:rPr>
            </w:pPr>
            <w:r w:rsidRPr="00724A6D">
              <w:rPr>
                <w:rFonts w:ascii="Garamond" w:eastAsia="Times New Roman" w:hAnsi="Garamond" w:cs="Calibri"/>
                <w:b/>
                <w:bCs/>
                <w:color w:val="000000"/>
                <w:sz w:val="20"/>
                <w:szCs w:val="20"/>
                <w:lang w:val="en-IN" w:eastAsia="en-IN" w:bidi="hi-IN"/>
              </w:rPr>
              <w:t>Country</w:t>
            </w:r>
          </w:p>
        </w:tc>
        <w:tc>
          <w:tcPr>
            <w:tcW w:w="1405" w:type="dxa"/>
            <w:vMerge w:val="restart"/>
            <w:tcBorders>
              <w:top w:val="single" w:sz="8" w:space="0" w:color="auto"/>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b/>
                <w:bCs/>
                <w:color w:val="000000"/>
                <w:sz w:val="20"/>
                <w:szCs w:val="20"/>
                <w:lang w:val="en-IN" w:eastAsia="en-IN" w:bidi="hi-IN"/>
              </w:rPr>
            </w:pPr>
            <w:r w:rsidRPr="00724A6D">
              <w:rPr>
                <w:rFonts w:ascii="Garamond" w:eastAsia="Times New Roman" w:hAnsi="Garamond" w:cs="Calibri"/>
                <w:b/>
                <w:bCs/>
                <w:color w:val="000000"/>
                <w:sz w:val="20"/>
                <w:szCs w:val="20"/>
                <w:lang w:val="en-IN" w:eastAsia="en-IN" w:bidi="hi-IN"/>
              </w:rPr>
              <w:t>Jul-21</w:t>
            </w:r>
          </w:p>
        </w:tc>
        <w:tc>
          <w:tcPr>
            <w:tcW w:w="4111" w:type="dxa"/>
            <w:gridSpan w:val="2"/>
            <w:tcBorders>
              <w:top w:val="single" w:sz="8" w:space="0" w:color="auto"/>
              <w:left w:val="nil"/>
              <w:bottom w:val="single" w:sz="8" w:space="0" w:color="auto"/>
              <w:right w:val="single" w:sz="8" w:space="0" w:color="000000"/>
            </w:tcBorders>
            <w:shd w:val="clear" w:color="auto" w:fill="auto"/>
            <w:noWrap/>
            <w:vAlign w:val="center"/>
            <w:hideMark/>
          </w:tcPr>
          <w:p w:rsidR="003C2485" w:rsidRPr="00724A6D" w:rsidRDefault="003C2485" w:rsidP="003C2485">
            <w:pPr>
              <w:jc w:val="center"/>
              <w:rPr>
                <w:rFonts w:ascii="Garamond" w:eastAsia="Times New Roman" w:hAnsi="Garamond" w:cs="Calibri"/>
                <w:b/>
                <w:bCs/>
                <w:color w:val="000000"/>
                <w:sz w:val="20"/>
                <w:szCs w:val="20"/>
                <w:lang w:val="en-IN" w:eastAsia="en-IN" w:bidi="hi-IN"/>
              </w:rPr>
            </w:pPr>
            <w:r>
              <w:rPr>
                <w:rFonts w:ascii="Garamond" w:eastAsia="Times New Roman" w:hAnsi="Garamond" w:cs="Calibri"/>
                <w:b/>
                <w:bCs/>
                <w:color w:val="000000"/>
                <w:sz w:val="20"/>
                <w:szCs w:val="20"/>
                <w:lang w:val="en-IN" w:eastAsia="en-IN" w:bidi="hi-IN"/>
              </w:rPr>
              <w:t>Per cent</w:t>
            </w:r>
            <w:r w:rsidRPr="00724A6D">
              <w:rPr>
                <w:rFonts w:ascii="Garamond" w:eastAsia="Times New Roman" w:hAnsi="Garamond" w:cs="Calibri"/>
                <w:b/>
                <w:bCs/>
                <w:color w:val="000000"/>
                <w:sz w:val="20"/>
                <w:szCs w:val="20"/>
                <w:lang w:val="en-IN" w:eastAsia="en-IN" w:bidi="hi-IN"/>
              </w:rPr>
              <w:t>age change over Period</w:t>
            </w:r>
          </w:p>
        </w:tc>
      </w:tr>
      <w:tr w:rsidR="003C2485" w:rsidRPr="00724A6D" w:rsidTr="003C2485">
        <w:trPr>
          <w:trHeight w:val="287"/>
        </w:trPr>
        <w:tc>
          <w:tcPr>
            <w:tcW w:w="1997" w:type="dxa"/>
            <w:vMerge/>
            <w:tcBorders>
              <w:top w:val="single" w:sz="8" w:space="0" w:color="auto"/>
              <w:left w:val="single" w:sz="8" w:space="0" w:color="auto"/>
              <w:bottom w:val="nil"/>
              <w:right w:val="nil"/>
            </w:tcBorders>
            <w:vAlign w:val="center"/>
            <w:hideMark/>
          </w:tcPr>
          <w:p w:rsidR="003C2485" w:rsidRPr="00724A6D" w:rsidRDefault="003C2485" w:rsidP="003C2485">
            <w:pPr>
              <w:rPr>
                <w:rFonts w:ascii="Garamond" w:eastAsia="Times New Roman" w:hAnsi="Garamond" w:cs="Calibri"/>
                <w:b/>
                <w:bCs/>
                <w:color w:val="000000"/>
                <w:sz w:val="20"/>
                <w:szCs w:val="20"/>
                <w:lang w:val="en-IN" w:eastAsia="en-IN" w:bidi="hi-IN"/>
              </w:rPr>
            </w:pPr>
          </w:p>
        </w:tc>
        <w:tc>
          <w:tcPr>
            <w:tcW w:w="1405" w:type="dxa"/>
            <w:vMerge/>
            <w:tcBorders>
              <w:top w:val="single" w:sz="8" w:space="0" w:color="auto"/>
              <w:left w:val="single" w:sz="8" w:space="0" w:color="auto"/>
              <w:bottom w:val="nil"/>
              <w:right w:val="single" w:sz="8" w:space="0" w:color="auto"/>
            </w:tcBorders>
            <w:vAlign w:val="center"/>
            <w:hideMark/>
          </w:tcPr>
          <w:p w:rsidR="003C2485" w:rsidRPr="00724A6D" w:rsidRDefault="003C2485" w:rsidP="003C2485">
            <w:pPr>
              <w:jc w:val="center"/>
              <w:rPr>
                <w:rFonts w:ascii="Garamond" w:eastAsia="Times New Roman" w:hAnsi="Garamond" w:cs="Calibri"/>
                <w:b/>
                <w:bCs/>
                <w:color w:val="000000"/>
                <w:sz w:val="20"/>
                <w:szCs w:val="20"/>
                <w:lang w:val="en-IN" w:eastAsia="en-IN" w:bidi="hi-IN"/>
              </w:rPr>
            </w:pPr>
          </w:p>
        </w:tc>
        <w:tc>
          <w:tcPr>
            <w:tcW w:w="1985" w:type="dxa"/>
            <w:tcBorders>
              <w:top w:val="nil"/>
              <w:left w:val="nil"/>
              <w:bottom w:val="single" w:sz="8" w:space="0" w:color="auto"/>
              <w:right w:val="nil"/>
            </w:tcBorders>
            <w:shd w:val="clear" w:color="auto" w:fill="auto"/>
            <w:noWrap/>
            <w:vAlign w:val="center"/>
            <w:hideMark/>
          </w:tcPr>
          <w:p w:rsidR="003C2485" w:rsidRPr="00724A6D" w:rsidRDefault="003C2485" w:rsidP="003C2485">
            <w:pPr>
              <w:jc w:val="center"/>
              <w:rPr>
                <w:rFonts w:ascii="Garamond" w:eastAsia="Times New Roman" w:hAnsi="Garamond" w:cs="Calibri"/>
                <w:b/>
                <w:bCs/>
                <w:color w:val="000000"/>
                <w:sz w:val="20"/>
                <w:szCs w:val="20"/>
                <w:lang w:val="en-IN" w:eastAsia="en-IN" w:bidi="hi-IN"/>
              </w:rPr>
            </w:pPr>
            <w:r w:rsidRPr="00724A6D">
              <w:rPr>
                <w:rFonts w:ascii="Garamond" w:eastAsia="Times New Roman" w:hAnsi="Garamond" w:cs="Calibri"/>
                <w:b/>
                <w:bCs/>
                <w:color w:val="000000"/>
                <w:sz w:val="20"/>
                <w:szCs w:val="20"/>
                <w:lang w:val="en-IN" w:eastAsia="en-IN" w:bidi="hi-IN"/>
              </w:rPr>
              <w:t>1-Month</w:t>
            </w:r>
          </w:p>
        </w:tc>
        <w:tc>
          <w:tcPr>
            <w:tcW w:w="2126" w:type="dxa"/>
            <w:tcBorders>
              <w:top w:val="nil"/>
              <w:left w:val="single" w:sz="8" w:space="0" w:color="auto"/>
              <w:bottom w:val="single" w:sz="8" w:space="0" w:color="auto"/>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b/>
                <w:bCs/>
                <w:color w:val="000000"/>
                <w:sz w:val="20"/>
                <w:szCs w:val="20"/>
                <w:lang w:val="en-IN" w:eastAsia="en-IN" w:bidi="hi-IN"/>
              </w:rPr>
            </w:pPr>
            <w:r w:rsidRPr="00724A6D">
              <w:rPr>
                <w:rFonts w:ascii="Garamond" w:eastAsia="Times New Roman" w:hAnsi="Garamond" w:cs="Calibri"/>
                <w:b/>
                <w:bCs/>
                <w:color w:val="000000"/>
                <w:sz w:val="20"/>
                <w:szCs w:val="20"/>
                <w:lang w:val="en-IN" w:eastAsia="en-IN" w:bidi="hi-IN"/>
              </w:rPr>
              <w:t>1-Year</w:t>
            </w:r>
          </w:p>
        </w:tc>
      </w:tr>
      <w:tr w:rsidR="003C2485" w:rsidRPr="00724A6D" w:rsidTr="003C2485">
        <w:trPr>
          <w:trHeight w:val="273"/>
        </w:trPr>
        <w:tc>
          <w:tcPr>
            <w:tcW w:w="1997" w:type="dxa"/>
            <w:tcBorders>
              <w:top w:val="single" w:sz="8" w:space="0" w:color="auto"/>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Japan</w:t>
            </w:r>
          </w:p>
        </w:tc>
        <w:tc>
          <w:tcPr>
            <w:tcW w:w="1405" w:type="dxa"/>
            <w:tcBorders>
              <w:top w:val="single" w:sz="8" w:space="0" w:color="auto"/>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1,310</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2.4</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1.3</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China, Mainland</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1,068</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0.6</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-0.5</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United Kingdom</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540</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1.1</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27.1</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Ireland</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320</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-1.0</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-3.3</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Switzerland</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298</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-2.0</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19.1</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Luxembourg</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292</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-3.4</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10.2</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Cayman Islands</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250</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1.9</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12.6</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Brazil</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249</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-0.2</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-6.5</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Taiwan</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242</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1.2</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15.5</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France</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236</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3.7</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81.8</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Hong Kong</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227</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3.6</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-13.5</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Belgium</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221</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-3.5</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4.1</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b/>
                <w:bCs/>
                <w:color w:val="000000"/>
                <w:sz w:val="20"/>
                <w:szCs w:val="20"/>
                <w:lang w:val="en-IN" w:eastAsia="en-IN" w:bidi="hi-IN"/>
              </w:rPr>
            </w:pPr>
            <w:r w:rsidRPr="00724A6D">
              <w:rPr>
                <w:rFonts w:ascii="Garamond" w:eastAsia="Times New Roman" w:hAnsi="Garamond" w:cs="Calibri"/>
                <w:b/>
                <w:bCs/>
                <w:color w:val="000000"/>
                <w:sz w:val="20"/>
                <w:szCs w:val="20"/>
                <w:lang w:val="en-IN" w:eastAsia="en-IN" w:bidi="hi-IN"/>
              </w:rPr>
              <w:t>India</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b/>
                <w:bCs/>
                <w:color w:val="000000"/>
                <w:sz w:val="20"/>
                <w:szCs w:val="20"/>
                <w:lang w:val="en-IN" w:eastAsia="en-IN" w:bidi="hi-IN"/>
              </w:rPr>
            </w:pPr>
            <w:r w:rsidRPr="00724A6D">
              <w:rPr>
                <w:rFonts w:ascii="Garamond" w:eastAsia="Times New Roman" w:hAnsi="Garamond" w:cs="Calibri"/>
                <w:b/>
                <w:bCs/>
                <w:color w:val="000000"/>
                <w:sz w:val="20"/>
                <w:szCs w:val="20"/>
                <w:lang w:val="en-IN" w:eastAsia="en-IN" w:bidi="hi-IN"/>
              </w:rPr>
              <w:t>219</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b/>
                <w:bCs/>
                <w:color w:val="000000"/>
                <w:sz w:val="20"/>
                <w:szCs w:val="20"/>
                <w:lang w:val="en-IN" w:eastAsia="en-IN" w:bidi="hi-IN"/>
              </w:rPr>
            </w:pPr>
            <w:r w:rsidRPr="00724A6D">
              <w:rPr>
                <w:rFonts w:ascii="Garamond" w:eastAsia="Times New Roman" w:hAnsi="Garamond" w:cs="Calibri"/>
                <w:b/>
                <w:bCs/>
                <w:color w:val="000000"/>
                <w:sz w:val="20"/>
                <w:szCs w:val="20"/>
                <w:lang w:val="en-IN" w:eastAsia="en-IN" w:bidi="hi-IN"/>
              </w:rPr>
              <w:t>-0.5</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b/>
                <w:bCs/>
                <w:color w:val="000000"/>
                <w:sz w:val="20"/>
                <w:szCs w:val="20"/>
                <w:lang w:val="en-IN" w:eastAsia="en-IN" w:bidi="hi-IN"/>
              </w:rPr>
            </w:pPr>
            <w:r w:rsidRPr="00724A6D">
              <w:rPr>
                <w:rFonts w:ascii="Garamond" w:eastAsia="Times New Roman" w:hAnsi="Garamond" w:cs="Calibri"/>
                <w:b/>
                <w:bCs/>
                <w:color w:val="000000"/>
                <w:sz w:val="20"/>
                <w:szCs w:val="20"/>
                <w:lang w:val="en-IN" w:eastAsia="en-IN" w:bidi="hi-IN"/>
              </w:rPr>
              <w:t>12.6</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Singapore</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193</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2.4</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21.4</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Canada</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168</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-0.2</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25.2</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Saudi Arabia</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128</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0.2</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2.8</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Korea</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126</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-3.6</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2.5</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Norway</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120</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2.7</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33.0</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Germany</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82</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-1.3</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5.0</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Netherlands</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69</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-5.5</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-3.5</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Bermuda</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68</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-0.6</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-4.8</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Israel</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66</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4.6</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35.3</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United Arab Emirates</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58</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-4.6</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96.6</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Thailand</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57</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2.3</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-34.8</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Poland</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56</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3.7</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32.0</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Philippines</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51</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0.2</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15.5</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Mexico</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50</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1.6</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5.5</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Kuwait</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46</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-1.7</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-3.1</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Australia</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46</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2.7</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5.9</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Sweden</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44</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1.2</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9.3</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Vietnam</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43</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9.4</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43.5</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Italy</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42</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4.7</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-1.6</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Chile</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41</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7.6</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35.9</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Colombia</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36</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2.5</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21.5</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All Other</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483</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-0.8</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-12.0</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Grand Total</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7,543</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0.6</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6.3</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Of which:</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b/>
                <w:bCs/>
                <w:color w:val="000000"/>
                <w:sz w:val="20"/>
                <w:szCs w:val="20"/>
                <w:lang w:val="en-IN" w:eastAsia="en-IN" w:bidi="hi-IN"/>
              </w:rPr>
            </w:pP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b/>
                <w:bCs/>
                <w:color w:val="000000"/>
                <w:sz w:val="20"/>
                <w:szCs w:val="20"/>
                <w:lang w:val="en-IN" w:eastAsia="en-IN" w:bidi="hi-IN"/>
              </w:rPr>
            </w:pP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For. Official</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4,278</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0.9</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2.1</w:t>
            </w:r>
          </w:p>
        </w:tc>
      </w:tr>
      <w:tr w:rsidR="003C2485" w:rsidRPr="00724A6D" w:rsidTr="003C2485">
        <w:trPr>
          <w:trHeight w:val="273"/>
        </w:trPr>
        <w:tc>
          <w:tcPr>
            <w:tcW w:w="1997"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Treasury Bills</w:t>
            </w:r>
          </w:p>
        </w:tc>
        <w:tc>
          <w:tcPr>
            <w:tcW w:w="1405" w:type="dxa"/>
            <w:tcBorders>
              <w:top w:val="nil"/>
              <w:left w:val="nil"/>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286</w:t>
            </w:r>
          </w:p>
        </w:tc>
        <w:tc>
          <w:tcPr>
            <w:tcW w:w="1985" w:type="dxa"/>
            <w:tcBorders>
              <w:top w:val="nil"/>
              <w:left w:val="single" w:sz="8" w:space="0" w:color="auto"/>
              <w:bottom w:val="nil"/>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2.9</w:t>
            </w:r>
          </w:p>
        </w:tc>
        <w:tc>
          <w:tcPr>
            <w:tcW w:w="2126" w:type="dxa"/>
            <w:tcBorders>
              <w:top w:val="nil"/>
              <w:left w:val="single" w:sz="8" w:space="0" w:color="auto"/>
              <w:bottom w:val="nil"/>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-27.2</w:t>
            </w:r>
          </w:p>
        </w:tc>
      </w:tr>
      <w:tr w:rsidR="003C2485" w:rsidRPr="00724A6D" w:rsidTr="003C2485">
        <w:trPr>
          <w:trHeight w:val="287"/>
        </w:trPr>
        <w:tc>
          <w:tcPr>
            <w:tcW w:w="1997" w:type="dxa"/>
            <w:tcBorders>
              <w:top w:val="nil"/>
              <w:left w:val="single" w:sz="8" w:space="0" w:color="auto"/>
              <w:bottom w:val="single" w:sz="8" w:space="0" w:color="auto"/>
              <w:right w:val="single" w:sz="8" w:space="0" w:color="auto"/>
            </w:tcBorders>
            <w:shd w:val="clear" w:color="auto" w:fill="auto"/>
            <w:noWrap/>
            <w:vAlign w:val="center"/>
            <w:hideMark/>
          </w:tcPr>
          <w:p w:rsidR="003C2485" w:rsidRPr="00724A6D" w:rsidRDefault="003C2485" w:rsidP="003C2485">
            <w:pP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T-Bonds &amp; Notes</w:t>
            </w:r>
          </w:p>
        </w:tc>
        <w:tc>
          <w:tcPr>
            <w:tcW w:w="1405" w:type="dxa"/>
            <w:tcBorders>
              <w:top w:val="nil"/>
              <w:left w:val="nil"/>
              <w:bottom w:val="single" w:sz="8" w:space="0" w:color="auto"/>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3,992</w:t>
            </w:r>
          </w:p>
        </w:tc>
        <w:tc>
          <w:tcPr>
            <w:tcW w:w="1985" w:type="dxa"/>
            <w:tcBorders>
              <w:top w:val="nil"/>
              <w:left w:val="single" w:sz="8" w:space="0" w:color="auto"/>
              <w:bottom w:val="single" w:sz="8" w:space="0" w:color="auto"/>
              <w:right w:val="nil"/>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0.8</w:t>
            </w:r>
          </w:p>
        </w:tc>
        <w:tc>
          <w:tcPr>
            <w:tcW w:w="2126" w:type="dxa"/>
            <w:tcBorders>
              <w:top w:val="nil"/>
              <w:left w:val="single" w:sz="8" w:space="0" w:color="auto"/>
              <w:bottom w:val="single" w:sz="8" w:space="0" w:color="auto"/>
              <w:right w:val="single" w:sz="8" w:space="0" w:color="auto"/>
            </w:tcBorders>
            <w:shd w:val="clear" w:color="auto" w:fill="auto"/>
            <w:noWrap/>
            <w:vAlign w:val="center"/>
            <w:hideMark/>
          </w:tcPr>
          <w:p w:rsidR="003C2485" w:rsidRPr="00724A6D" w:rsidRDefault="003C2485" w:rsidP="003C2485">
            <w:pPr>
              <w:jc w:val="center"/>
              <w:rPr>
                <w:rFonts w:ascii="Garamond" w:eastAsia="Times New Roman" w:hAnsi="Garamond" w:cs="Calibri"/>
                <w:color w:val="000000"/>
                <w:sz w:val="20"/>
                <w:szCs w:val="20"/>
                <w:lang w:val="en-IN" w:eastAsia="en-IN" w:bidi="hi-IN"/>
              </w:rPr>
            </w:pPr>
            <w:r w:rsidRPr="00724A6D">
              <w:rPr>
                <w:rFonts w:ascii="Garamond" w:eastAsia="Times New Roman" w:hAnsi="Garamond" w:cs="Calibri"/>
                <w:color w:val="000000"/>
                <w:sz w:val="20"/>
                <w:szCs w:val="20"/>
                <w:lang w:val="en-IN" w:eastAsia="en-IN" w:bidi="hi-IN"/>
              </w:rPr>
              <w:t>5.1</w:t>
            </w:r>
          </w:p>
        </w:tc>
      </w:tr>
    </w:tbl>
    <w:p w:rsidR="003C2485" w:rsidRDefault="003C2485" w:rsidP="003C2485">
      <w:pPr>
        <w:spacing w:line="23" w:lineRule="atLeast"/>
        <w:rPr>
          <w:rFonts w:ascii="Palatino Linotype" w:hAnsi="Palatino Linotype"/>
          <w:bCs/>
          <w:sz w:val="18"/>
          <w:szCs w:val="18"/>
        </w:rPr>
      </w:pPr>
    </w:p>
    <w:p w:rsidR="003C2485" w:rsidRPr="00A01675" w:rsidRDefault="003C2485" w:rsidP="003C2485">
      <w:pPr>
        <w:spacing w:line="23" w:lineRule="atLeast"/>
        <w:rPr>
          <w:rFonts w:ascii="Palatino Linotype" w:hAnsi="Palatino Linotype"/>
          <w:bCs/>
          <w:sz w:val="18"/>
          <w:szCs w:val="18"/>
        </w:rPr>
      </w:pPr>
      <w:r w:rsidRPr="00A01675">
        <w:rPr>
          <w:rFonts w:ascii="Palatino Linotype" w:hAnsi="Palatino Linotype"/>
          <w:bCs/>
          <w:sz w:val="18"/>
          <w:szCs w:val="18"/>
        </w:rPr>
        <w:t xml:space="preserve"> </w:t>
      </w:r>
      <w:r w:rsidRPr="00724A6D">
        <w:rPr>
          <w:rFonts w:ascii="Palatino Linotype" w:hAnsi="Palatino Linotype"/>
          <w:b/>
          <w:sz w:val="18"/>
          <w:szCs w:val="18"/>
        </w:rPr>
        <w:t>Note</w:t>
      </w:r>
      <w:r w:rsidRPr="00A01675">
        <w:rPr>
          <w:rFonts w:ascii="Palatino Linotype" w:hAnsi="Palatino Linotype"/>
          <w:bCs/>
          <w:sz w:val="18"/>
          <w:szCs w:val="18"/>
        </w:rPr>
        <w:t xml:space="preserve">: </w:t>
      </w:r>
    </w:p>
    <w:p w:rsidR="003C2485" w:rsidRPr="00A01675" w:rsidRDefault="003C2485" w:rsidP="003C2485">
      <w:pPr>
        <w:numPr>
          <w:ilvl w:val="0"/>
          <w:numId w:val="6"/>
        </w:numPr>
        <w:spacing w:line="23" w:lineRule="atLeast"/>
        <w:ind w:left="360"/>
        <w:contextualSpacing/>
        <w:jc w:val="both"/>
        <w:rPr>
          <w:rFonts w:ascii="Palatino Linotype" w:hAnsi="Palatino Linotype"/>
          <w:bCs/>
          <w:sz w:val="18"/>
          <w:szCs w:val="18"/>
          <w:lang w:val="en-US"/>
        </w:rPr>
      </w:pPr>
      <w:r w:rsidRPr="00A01675">
        <w:rPr>
          <w:rFonts w:ascii="Palatino Linotype" w:hAnsi="Palatino Linotype"/>
          <w:bCs/>
          <w:sz w:val="18"/>
          <w:szCs w:val="18"/>
          <w:lang w:val="en-US"/>
        </w:rPr>
        <w:t>Data available as on 16 September 2021</w:t>
      </w:r>
    </w:p>
    <w:p w:rsidR="003C2485" w:rsidRPr="00A01675" w:rsidRDefault="003C2485" w:rsidP="003C2485">
      <w:pPr>
        <w:numPr>
          <w:ilvl w:val="0"/>
          <w:numId w:val="6"/>
        </w:numPr>
        <w:spacing w:line="23" w:lineRule="atLeast"/>
        <w:ind w:left="360"/>
        <w:contextualSpacing/>
        <w:jc w:val="both"/>
        <w:rPr>
          <w:rFonts w:ascii="Palatino Linotype" w:hAnsi="Palatino Linotype"/>
          <w:bCs/>
          <w:sz w:val="18"/>
          <w:szCs w:val="18"/>
          <w:lang w:val="en-US"/>
        </w:rPr>
      </w:pPr>
      <w:r w:rsidRPr="00A01675">
        <w:rPr>
          <w:rFonts w:ascii="Palatino Linotype" w:hAnsi="Palatino Linotype"/>
          <w:bCs/>
          <w:sz w:val="18"/>
          <w:szCs w:val="18"/>
          <w:lang w:val="en-US"/>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 (see TIC FAQ #7 at: http://www.treasury.gov/resource-center/data-chart-center/tic/Pages/ticfaq1.aspx)</w:t>
      </w:r>
    </w:p>
    <w:p w:rsidR="003C2485" w:rsidRPr="00A01675" w:rsidRDefault="003C2485" w:rsidP="003C2485">
      <w:pPr>
        <w:numPr>
          <w:ilvl w:val="0"/>
          <w:numId w:val="6"/>
        </w:numPr>
        <w:spacing w:line="23" w:lineRule="atLeast"/>
        <w:ind w:left="360"/>
        <w:contextualSpacing/>
        <w:jc w:val="both"/>
        <w:rPr>
          <w:rFonts w:ascii="Palatino Linotype" w:hAnsi="Palatino Linotype"/>
          <w:bCs/>
          <w:sz w:val="18"/>
          <w:szCs w:val="18"/>
          <w:lang w:val="en-US"/>
        </w:rPr>
      </w:pPr>
      <w:r w:rsidRPr="00A01675">
        <w:rPr>
          <w:rFonts w:ascii="Palatino Linotype" w:hAnsi="Palatino Linotype"/>
          <w:bCs/>
          <w:sz w:val="18"/>
          <w:szCs w:val="18"/>
          <w:lang w:val="en-US"/>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3C2485" w:rsidRDefault="003C2485" w:rsidP="003C2485">
      <w:pPr>
        <w:spacing w:line="23" w:lineRule="atLeast"/>
        <w:rPr>
          <w:rFonts w:ascii="Palatino Linotype" w:hAnsi="Palatino Linotype"/>
          <w:bCs/>
          <w:sz w:val="18"/>
          <w:szCs w:val="18"/>
        </w:rPr>
      </w:pPr>
    </w:p>
    <w:p w:rsidR="003C2485" w:rsidRPr="00A01675" w:rsidRDefault="003C2485" w:rsidP="003C2485">
      <w:pPr>
        <w:spacing w:line="23" w:lineRule="atLeast"/>
        <w:rPr>
          <w:rFonts w:ascii="Palatino Linotype" w:hAnsi="Palatino Linotype"/>
          <w:bCs/>
          <w:sz w:val="18"/>
          <w:szCs w:val="18"/>
        </w:rPr>
      </w:pPr>
      <w:r w:rsidRPr="00724A6D">
        <w:rPr>
          <w:rFonts w:ascii="Palatino Linotype" w:hAnsi="Palatino Linotype"/>
          <w:b/>
          <w:sz w:val="18"/>
          <w:szCs w:val="18"/>
        </w:rPr>
        <w:t>Source</w:t>
      </w:r>
      <w:r w:rsidRPr="00A01675">
        <w:rPr>
          <w:rFonts w:ascii="Palatino Linotype" w:hAnsi="Palatino Linotype"/>
          <w:bCs/>
          <w:sz w:val="18"/>
          <w:szCs w:val="18"/>
        </w:rPr>
        <w:t>: Department of the Treasury/Federal Reserve Board</w:t>
      </w: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0F236F" w:rsidRDefault="000F236F" w:rsidP="009D5D54">
      <w:pPr>
        <w:spacing w:line="23" w:lineRule="atLeast"/>
        <w:jc w:val="center"/>
        <w:rPr>
          <w:rFonts w:ascii="Palatino Linotype" w:hAnsi="Palatino Linotype" w:cs="Calibri"/>
          <w:b/>
          <w:sz w:val="28"/>
          <w:szCs w:val="28"/>
        </w:rPr>
      </w:pPr>
      <w:r w:rsidRPr="004752BB">
        <w:rPr>
          <w:rFonts w:ascii="Palatino Linotype" w:hAnsi="Palatino Linotype" w:cs="Calibri"/>
          <w:b/>
          <w:sz w:val="28"/>
          <w:szCs w:val="28"/>
        </w:rPr>
        <w:t>HIGHLIGHTS OF DEVELOPMENTS IN</w:t>
      </w:r>
    </w:p>
    <w:p w:rsidR="000F236F" w:rsidRPr="004752BB" w:rsidRDefault="000F236F" w:rsidP="000E125F">
      <w:pPr>
        <w:jc w:val="center"/>
        <w:rPr>
          <w:rFonts w:ascii="Palatino Linotype" w:hAnsi="Palatino Linotype" w:cs="Calibri"/>
          <w:b/>
          <w:sz w:val="28"/>
          <w:szCs w:val="28"/>
        </w:rPr>
      </w:pPr>
      <w:r w:rsidRPr="004752BB">
        <w:rPr>
          <w:rFonts w:ascii="Palatino Linotype" w:hAnsi="Palatino Linotype" w:cs="Calibri"/>
          <w:b/>
          <w:sz w:val="28"/>
          <w:szCs w:val="28"/>
        </w:rPr>
        <w:t>INTERNATIONAL SECURITIES MARKET</w:t>
      </w:r>
    </w:p>
    <w:p w:rsidR="000F236F" w:rsidRDefault="000F236F" w:rsidP="000F236F">
      <w:pPr>
        <w:tabs>
          <w:tab w:val="left" w:pos="8160"/>
        </w:tabs>
        <w:jc w:val="both"/>
        <w:rPr>
          <w:rFonts w:ascii="Palatino Linotype" w:hAnsi="Palatino Linotype"/>
          <w:b/>
          <w:sz w:val="22"/>
          <w:szCs w:val="22"/>
        </w:rPr>
      </w:pPr>
    </w:p>
    <w:p w:rsidR="000F236F" w:rsidRDefault="000F236F" w:rsidP="000F236F">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2A68F6" w:rsidRDefault="002A68F6" w:rsidP="00F732E4">
      <w:pPr>
        <w:numPr>
          <w:ilvl w:val="0"/>
          <w:numId w:val="13"/>
        </w:numPr>
        <w:spacing w:after="160" w:line="259" w:lineRule="auto"/>
        <w:ind w:left="0" w:firstLine="0"/>
        <w:contextualSpacing/>
        <w:jc w:val="both"/>
        <w:rPr>
          <w:rFonts w:ascii="Palatino Linotype" w:hAnsi="Palatino Linotype" w:cstheme="minorBidi"/>
          <w:b/>
          <w:bCs/>
          <w:lang w:val="en-US"/>
        </w:rPr>
      </w:pPr>
      <w:r w:rsidRPr="002A68F6">
        <w:rPr>
          <w:rFonts w:ascii="Palatino Linotype" w:hAnsi="Palatino Linotype" w:cstheme="minorBidi"/>
          <w:b/>
          <w:bCs/>
          <w:lang w:val="en-US"/>
        </w:rPr>
        <w:t>IOSCO publishes results of examination of ETF behavior during COVID-19 induced market stresses</w:t>
      </w:r>
    </w:p>
    <w:p w:rsidR="002A68F6" w:rsidRPr="002A68F6" w:rsidRDefault="002A68F6" w:rsidP="002A68F6">
      <w:pPr>
        <w:spacing w:after="160" w:line="259" w:lineRule="auto"/>
        <w:ind w:left="720"/>
        <w:contextualSpacing/>
        <w:jc w:val="both"/>
        <w:rPr>
          <w:rFonts w:ascii="Palatino Linotype" w:hAnsi="Palatino Linotype" w:cstheme="minorBidi"/>
          <w:b/>
          <w:bCs/>
          <w:lang w:val="en-US"/>
        </w:rPr>
      </w:pPr>
    </w:p>
    <w:p w:rsidR="002A68F6" w:rsidRPr="002A68F6" w:rsidRDefault="002A68F6" w:rsidP="002A68F6">
      <w:pPr>
        <w:spacing w:after="160" w:line="259" w:lineRule="auto"/>
        <w:jc w:val="both"/>
        <w:rPr>
          <w:rFonts w:ascii="Palatino Linotype" w:hAnsi="Palatino Linotype" w:cstheme="minorBidi"/>
          <w:lang w:val="en-US"/>
        </w:rPr>
      </w:pPr>
      <w:r w:rsidRPr="002A68F6">
        <w:rPr>
          <w:rFonts w:ascii="Palatino Linotype" w:hAnsi="Palatino Linotype" w:cstheme="minorBidi"/>
          <w:lang w:val="en-US"/>
        </w:rPr>
        <w:t xml:space="preserve">IOSCO has published a thematic note that examines the behavior of ETFs during the COVID-19 induced market stresses, drawing on market data and observations gathered over the course of the first half of 2020. </w:t>
      </w:r>
    </w:p>
    <w:p w:rsidR="002A68F6" w:rsidRPr="002A68F6" w:rsidRDefault="002A68F6" w:rsidP="002A68F6">
      <w:pPr>
        <w:spacing w:after="160" w:line="259" w:lineRule="auto"/>
        <w:jc w:val="both"/>
        <w:rPr>
          <w:rFonts w:ascii="Palatino Linotype" w:hAnsi="Palatino Linotype" w:cstheme="minorBidi"/>
          <w:lang w:val="en-US"/>
        </w:rPr>
      </w:pPr>
      <w:r w:rsidRPr="002A68F6">
        <w:rPr>
          <w:rFonts w:ascii="Palatino Linotype" w:hAnsi="Palatino Linotype" w:cstheme="minorBidi"/>
          <w:lang w:val="en-US"/>
        </w:rPr>
        <w:t>The report reviews the operation and activities of the primar</w:t>
      </w:r>
      <w:r>
        <w:rPr>
          <w:rFonts w:ascii="Palatino Linotype" w:hAnsi="Palatino Linotype" w:cstheme="minorBidi"/>
          <w:lang w:val="en-US"/>
        </w:rPr>
        <w:t>y and secondary markets of ETFs,</w:t>
      </w:r>
      <w:r w:rsidRPr="002A68F6">
        <w:rPr>
          <w:rFonts w:ascii="Palatino Linotype" w:hAnsi="Palatino Linotype" w:cstheme="minorBidi"/>
          <w:lang w:val="en-US"/>
        </w:rPr>
        <w:t xml:space="preserve"> impact of the stress on the ETF structure and functioning and the causes of the pricing differences between some fixed income ETFs’ secondary market prices and their NAVs Overall, available evidence has not indicated any significant risks or fragilities in the ETF structure, although a subset of ETFs temporarily experienced unusual trading behaviors. </w:t>
      </w:r>
    </w:p>
    <w:p w:rsidR="002A68F6" w:rsidRPr="0067031B" w:rsidRDefault="002A68F6" w:rsidP="002A68F6">
      <w:pPr>
        <w:jc w:val="both"/>
        <w:rPr>
          <w:rFonts w:ascii="Palatino Linotype" w:hAnsi="Palatino Linotype" w:cs="Calibri"/>
          <w:b/>
        </w:rPr>
      </w:pPr>
      <w:r w:rsidRPr="0067031B">
        <w:rPr>
          <w:rFonts w:ascii="Palatino Linotype" w:hAnsi="Palatino Linotype" w:cs="Calibri"/>
          <w:b/>
        </w:rPr>
        <w:t xml:space="preserve">Source:  </w:t>
      </w:r>
      <w:r w:rsidRPr="00EA32C3">
        <w:rPr>
          <w:rFonts w:ascii="Palatino Linotype" w:hAnsi="Palatino Linotype"/>
          <w:b/>
        </w:rPr>
        <w:t>https://</w:t>
      </w:r>
      <w:r w:rsidRPr="002A68F6">
        <w:rPr>
          <w:rFonts w:ascii="Palatino Linotype" w:hAnsi="Palatino Linotype"/>
          <w:b/>
        </w:rPr>
        <w:t>www.iosco.org/news/pdf/IOSCONEWS615.pdf</w:t>
      </w:r>
    </w:p>
    <w:p w:rsidR="002A68F6" w:rsidRPr="002A68F6" w:rsidRDefault="002A68F6" w:rsidP="002A68F6">
      <w:pPr>
        <w:spacing w:after="160" w:line="259" w:lineRule="auto"/>
        <w:rPr>
          <w:rFonts w:ascii="Palatino Linotype" w:hAnsi="Palatino Linotype" w:cstheme="minorBidi"/>
          <w:lang w:val="en-US"/>
        </w:rPr>
      </w:pPr>
    </w:p>
    <w:p w:rsidR="002A68F6" w:rsidRDefault="002A68F6" w:rsidP="00F732E4">
      <w:pPr>
        <w:numPr>
          <w:ilvl w:val="0"/>
          <w:numId w:val="13"/>
        </w:numPr>
        <w:spacing w:after="160" w:line="259" w:lineRule="auto"/>
        <w:ind w:left="0" w:hanging="11"/>
        <w:contextualSpacing/>
        <w:jc w:val="both"/>
        <w:rPr>
          <w:rFonts w:ascii="Palatino Linotype" w:hAnsi="Palatino Linotype" w:cstheme="minorBidi"/>
          <w:b/>
          <w:bCs/>
          <w:lang w:val="en-US"/>
        </w:rPr>
      </w:pPr>
      <w:r w:rsidRPr="002A68F6">
        <w:rPr>
          <w:rFonts w:ascii="Palatino Linotype" w:hAnsi="Palatino Linotype" w:cstheme="minorBidi"/>
          <w:b/>
          <w:bCs/>
          <w:lang w:val="en-US"/>
        </w:rPr>
        <w:t>SEC, USA enhances access to financial disclosure data</w:t>
      </w:r>
    </w:p>
    <w:p w:rsidR="002A68F6" w:rsidRPr="002A68F6" w:rsidRDefault="002A68F6" w:rsidP="002A68F6">
      <w:pPr>
        <w:spacing w:after="160" w:line="259" w:lineRule="auto"/>
        <w:ind w:left="720"/>
        <w:contextualSpacing/>
        <w:jc w:val="both"/>
        <w:rPr>
          <w:rFonts w:ascii="Palatino Linotype" w:hAnsi="Palatino Linotype" w:cstheme="minorBidi"/>
          <w:b/>
          <w:bCs/>
          <w:lang w:val="en-US"/>
        </w:rPr>
      </w:pPr>
    </w:p>
    <w:p w:rsidR="002A68F6" w:rsidRDefault="002A68F6" w:rsidP="002A68F6">
      <w:pPr>
        <w:spacing w:after="160" w:line="259" w:lineRule="auto"/>
        <w:jc w:val="both"/>
        <w:rPr>
          <w:rFonts w:ascii="Palatino Linotype" w:hAnsi="Palatino Linotype" w:cstheme="minorBidi"/>
          <w:lang w:val="en-US"/>
        </w:rPr>
      </w:pPr>
      <w:r w:rsidRPr="002A68F6">
        <w:rPr>
          <w:rFonts w:ascii="Palatino Linotype" w:hAnsi="Palatino Linotype" w:cstheme="minorBidi"/>
          <w:lang w:val="en-US"/>
        </w:rPr>
        <w:t>SEC has announced open data enhancements that provide public access to financial statements and other disclosures made by publicly traded companies on its EDGAR. SEC is releasing for the first time Application Programming Interfaces (APIs) that aggregate financial statement data, making corporate disclosures quicker and easier for developers and third-party services to use. APIs will allow developers to create web or mobile apps that directly serve retail investors. The free APIs provide access to EDGAR submission history by filer as well as XBRL data from financial statements, including annual and quarterly reports, Forms 8-K, 20-F, 40-F, and 6-K. APIs are updated in real time throughout the day as EDGAR submissions are made public.</w:t>
      </w:r>
    </w:p>
    <w:p w:rsidR="002A68F6" w:rsidRPr="002A68F6" w:rsidRDefault="002A68F6" w:rsidP="002A68F6">
      <w:pPr>
        <w:jc w:val="both"/>
        <w:rPr>
          <w:rFonts w:ascii="Palatino Linotype" w:hAnsi="Palatino Linotype" w:cs="Calibri"/>
          <w:b/>
        </w:rPr>
      </w:pPr>
      <w:r w:rsidRPr="002A68F6">
        <w:rPr>
          <w:rFonts w:ascii="Palatino Linotype" w:hAnsi="Palatino Linotype" w:cs="Calibri"/>
          <w:b/>
        </w:rPr>
        <w:t xml:space="preserve">Source: </w:t>
      </w:r>
      <w:hyperlink r:id="rId38" w:history="1">
        <w:r w:rsidRPr="002A68F6">
          <w:rPr>
            <w:rStyle w:val="Hyperlink"/>
            <w:rFonts w:ascii="Palatino Linotype" w:hAnsi="Palatino Linotype" w:cs="Calibri"/>
            <w:b/>
            <w:color w:val="auto"/>
            <w:u w:val="none"/>
          </w:rPr>
          <w:t>https://www.sec.gov/news/press-release/2021-159</w:t>
        </w:r>
      </w:hyperlink>
    </w:p>
    <w:p w:rsidR="002A68F6" w:rsidRPr="002A68F6" w:rsidRDefault="002A68F6" w:rsidP="002A68F6">
      <w:pPr>
        <w:jc w:val="both"/>
        <w:rPr>
          <w:rFonts w:ascii="Palatino Linotype" w:hAnsi="Palatino Linotype" w:cs="Calibri"/>
          <w:b/>
        </w:rPr>
      </w:pPr>
    </w:p>
    <w:p w:rsidR="002A68F6" w:rsidRDefault="002A68F6" w:rsidP="00F732E4">
      <w:pPr>
        <w:numPr>
          <w:ilvl w:val="0"/>
          <w:numId w:val="13"/>
        </w:numPr>
        <w:spacing w:after="160" w:line="259" w:lineRule="auto"/>
        <w:ind w:left="0" w:firstLine="0"/>
        <w:contextualSpacing/>
        <w:jc w:val="both"/>
        <w:rPr>
          <w:rFonts w:ascii="Palatino Linotype" w:hAnsi="Palatino Linotype" w:cstheme="minorBidi"/>
          <w:b/>
          <w:bCs/>
          <w:lang w:val="en-US"/>
        </w:rPr>
      </w:pPr>
      <w:r w:rsidRPr="002A68F6">
        <w:rPr>
          <w:rFonts w:ascii="Palatino Linotype" w:hAnsi="Palatino Linotype" w:cstheme="minorBidi"/>
          <w:b/>
          <w:bCs/>
          <w:lang w:val="en-US"/>
        </w:rPr>
        <w:t xml:space="preserve">SEC, USA requests information and comment on broker-dealer and investment adviser digital engagement </w:t>
      </w:r>
    </w:p>
    <w:p w:rsidR="002A68F6" w:rsidRPr="002A68F6" w:rsidRDefault="002A68F6" w:rsidP="002A68F6">
      <w:pPr>
        <w:spacing w:after="160" w:line="259" w:lineRule="auto"/>
        <w:ind w:left="720"/>
        <w:contextualSpacing/>
        <w:jc w:val="both"/>
        <w:rPr>
          <w:rFonts w:ascii="Palatino Linotype" w:hAnsi="Palatino Linotype" w:cstheme="minorBidi"/>
          <w:b/>
          <w:bCs/>
          <w:lang w:val="en-US"/>
        </w:rPr>
      </w:pPr>
    </w:p>
    <w:p w:rsidR="002A68F6" w:rsidRPr="002A68F6" w:rsidRDefault="002A68F6" w:rsidP="002A68F6">
      <w:pPr>
        <w:shd w:val="clear" w:color="auto" w:fill="FFFFFF"/>
        <w:spacing w:after="150"/>
        <w:jc w:val="both"/>
        <w:textAlignment w:val="baseline"/>
        <w:rPr>
          <w:rFonts w:ascii="Palatino Linotype" w:hAnsi="Palatino Linotype" w:cstheme="minorBidi"/>
          <w:lang w:val="en-US"/>
        </w:rPr>
      </w:pPr>
      <w:r w:rsidRPr="002A68F6">
        <w:rPr>
          <w:rFonts w:ascii="Palatino Linotype" w:hAnsi="Palatino Linotype" w:cstheme="minorBidi"/>
          <w:lang w:val="en-US"/>
        </w:rPr>
        <w:t>SEC announced that it is requesting information and public comment on matters related to the use of digital engagement practices by broker-dealers and investment advisers. These tools include behavioral prompts, differential marketing, gamification, and other design elements or features designed to engage with retail investors on digital platforms as well as the analytical and technological tools and methods collectively called digital engagement practices (DEPs).</w:t>
      </w:r>
    </w:p>
    <w:p w:rsidR="002A68F6" w:rsidRPr="002A68F6" w:rsidRDefault="002A68F6" w:rsidP="002A68F6">
      <w:pPr>
        <w:shd w:val="clear" w:color="auto" w:fill="FFFFFF"/>
        <w:spacing w:after="150"/>
        <w:jc w:val="both"/>
        <w:textAlignment w:val="baseline"/>
        <w:rPr>
          <w:rFonts w:ascii="Palatino Linotype" w:hAnsi="Palatino Linotype" w:cstheme="minorBidi"/>
          <w:lang w:val="en-US"/>
        </w:rPr>
      </w:pPr>
      <w:r w:rsidRPr="002A68F6">
        <w:rPr>
          <w:rFonts w:ascii="Palatino Linotype" w:hAnsi="Palatino Linotype" w:cstheme="minorBidi"/>
          <w:lang w:val="en-US"/>
        </w:rPr>
        <w:t xml:space="preserve">This is to develop a better understanding of the market practices associated with firms' use of DEPs , conflicts of interest arising from optimization practices, whether DEPs result in providing investment recommendation/ advice,   to assess potential benefits that DEPs provide to retail investors, as well as potential investor protection concerns. </w:t>
      </w:r>
    </w:p>
    <w:p w:rsidR="002A68F6" w:rsidRPr="002A68F6" w:rsidRDefault="002A68F6" w:rsidP="002A68F6">
      <w:pPr>
        <w:shd w:val="clear" w:color="auto" w:fill="FFFFFF"/>
        <w:spacing w:after="150"/>
        <w:textAlignment w:val="baseline"/>
        <w:rPr>
          <w:rFonts w:ascii="Palatino Linotype" w:hAnsi="Palatino Linotype" w:cs="Calibri"/>
          <w:b/>
        </w:rPr>
      </w:pPr>
      <w:r w:rsidRPr="002A68F6">
        <w:rPr>
          <w:rFonts w:ascii="Palatino Linotype" w:hAnsi="Palatino Linotype" w:cs="Calibri"/>
          <w:b/>
        </w:rPr>
        <w:t xml:space="preserve">Source: </w:t>
      </w:r>
      <w:r>
        <w:rPr>
          <w:rFonts w:ascii="Palatino Linotype" w:hAnsi="Palatino Linotype" w:cs="Calibri"/>
          <w:b/>
        </w:rPr>
        <w:t xml:space="preserve"> </w:t>
      </w:r>
      <w:hyperlink r:id="rId39" w:history="1">
        <w:r w:rsidRPr="002A68F6">
          <w:rPr>
            <w:rStyle w:val="Hyperlink"/>
            <w:rFonts w:ascii="Palatino Linotype" w:hAnsi="Palatino Linotype" w:cs="Calibri"/>
            <w:b/>
            <w:color w:val="auto"/>
            <w:u w:val="none"/>
          </w:rPr>
          <w:t>https://www.sec.gov/news/press-release/2021-167</w:t>
        </w:r>
      </w:hyperlink>
      <w:r w:rsidRPr="002A68F6">
        <w:rPr>
          <w:rFonts w:ascii="Palatino Linotype" w:hAnsi="Palatino Linotype" w:cs="Calibri"/>
          <w:b/>
        </w:rPr>
        <w:t xml:space="preserve"> </w:t>
      </w:r>
    </w:p>
    <w:p w:rsidR="002A68F6" w:rsidRPr="002A68F6" w:rsidRDefault="002A68F6" w:rsidP="002A68F6">
      <w:pPr>
        <w:shd w:val="clear" w:color="auto" w:fill="FFFFFF"/>
        <w:spacing w:after="150"/>
        <w:textAlignment w:val="baseline"/>
        <w:rPr>
          <w:rFonts w:ascii="Palatino Linotype" w:hAnsi="Palatino Linotype" w:cs="Calibri"/>
          <w:b/>
        </w:rPr>
      </w:pPr>
    </w:p>
    <w:p w:rsidR="002A68F6" w:rsidRDefault="002A68F6" w:rsidP="00F732E4">
      <w:pPr>
        <w:numPr>
          <w:ilvl w:val="0"/>
          <w:numId w:val="13"/>
        </w:numPr>
        <w:spacing w:after="160" w:line="259" w:lineRule="auto"/>
        <w:ind w:left="0" w:firstLine="0"/>
        <w:contextualSpacing/>
        <w:jc w:val="both"/>
        <w:rPr>
          <w:rFonts w:ascii="Palatino Linotype" w:hAnsi="Palatino Linotype" w:cstheme="minorBidi"/>
          <w:b/>
          <w:bCs/>
          <w:lang w:val="en-US"/>
        </w:rPr>
      </w:pPr>
      <w:r w:rsidRPr="002A68F6">
        <w:rPr>
          <w:rFonts w:ascii="Palatino Linotype" w:hAnsi="Palatino Linotype" w:cstheme="minorBidi"/>
          <w:b/>
          <w:bCs/>
          <w:lang w:val="en-US"/>
        </w:rPr>
        <w:t>ESMA publishes report on use of fintech by depositories</w:t>
      </w:r>
    </w:p>
    <w:p w:rsidR="002A68F6" w:rsidRPr="002A68F6" w:rsidRDefault="002A68F6" w:rsidP="002A68F6">
      <w:pPr>
        <w:spacing w:after="160" w:line="259" w:lineRule="auto"/>
        <w:ind w:left="720"/>
        <w:contextualSpacing/>
        <w:jc w:val="both"/>
        <w:rPr>
          <w:rFonts w:ascii="Palatino Linotype" w:hAnsi="Palatino Linotype" w:cstheme="minorBidi"/>
          <w:b/>
          <w:bCs/>
          <w:lang w:val="en-US"/>
        </w:rPr>
      </w:pPr>
    </w:p>
    <w:p w:rsidR="002A68F6" w:rsidRPr="002A68F6" w:rsidRDefault="002A68F6" w:rsidP="002A68F6">
      <w:pPr>
        <w:shd w:val="clear" w:color="auto" w:fill="FFFFFF"/>
        <w:spacing w:after="160"/>
        <w:jc w:val="both"/>
        <w:rPr>
          <w:rFonts w:ascii="Palatino Linotype" w:eastAsia="Times New Roman" w:hAnsi="Palatino Linotype"/>
          <w:color w:val="292C32"/>
          <w:lang w:val="en-US" w:bidi="hi-IN"/>
        </w:rPr>
      </w:pPr>
      <w:r w:rsidRPr="002A68F6">
        <w:rPr>
          <w:rFonts w:ascii="Palatino Linotype" w:eastAsia="Times New Roman" w:hAnsi="Palatino Linotype"/>
          <w:color w:val="292C32"/>
          <w:lang w:val="en-US" w:bidi="hi-IN"/>
        </w:rPr>
        <w:t>ESMA, has published its </w:t>
      </w:r>
      <w:hyperlink r:id="rId40" w:history="1">
        <w:r w:rsidRPr="002A68F6">
          <w:rPr>
            <w:rFonts w:ascii="Palatino Linotype" w:eastAsia="Times New Roman" w:hAnsi="Palatino Linotype"/>
            <w:color w:val="3B3D91"/>
            <w:lang w:val="en-US" w:bidi="hi-IN"/>
          </w:rPr>
          <w:t>report </w:t>
        </w:r>
      </w:hyperlink>
      <w:r w:rsidRPr="002A68F6">
        <w:rPr>
          <w:rFonts w:ascii="Palatino Linotype" w:eastAsia="Times New Roman" w:hAnsi="Palatino Linotype"/>
          <w:color w:val="292C32"/>
          <w:lang w:val="en-US" w:bidi="hi-IN"/>
        </w:rPr>
        <w:t>on the use of fintech by Central Securities Depositories (CSDs).</w:t>
      </w:r>
    </w:p>
    <w:p w:rsidR="002A68F6" w:rsidRPr="002A68F6" w:rsidRDefault="002A68F6" w:rsidP="002A68F6">
      <w:pPr>
        <w:shd w:val="clear" w:color="auto" w:fill="FFFFFF"/>
        <w:jc w:val="both"/>
        <w:rPr>
          <w:rFonts w:ascii="Palatino Linotype" w:eastAsia="Times New Roman" w:hAnsi="Palatino Linotype"/>
          <w:color w:val="292C32"/>
          <w:lang w:val="en-US" w:bidi="hi-IN"/>
        </w:rPr>
      </w:pPr>
      <w:r w:rsidRPr="002A68F6">
        <w:rPr>
          <w:rFonts w:ascii="Palatino Linotype" w:eastAsia="Times New Roman" w:hAnsi="Palatino Linotype"/>
          <w:color w:val="292C32"/>
          <w:lang w:val="en-US" w:bidi="hi-IN"/>
        </w:rPr>
        <w:t>Report presents the views of national authorities and relevant market participants on their experience with and planned future use of fintech and Distributed-ledger Technology (DLT), as well as on whether the current regulatory framework represents a barrier for them to implement projects involving DLT.    The report contains suggestions in a number of areas in which targeted amendments to the CSD Regulations and further guidance could help CSDs in the deployment of DLT.</w:t>
      </w:r>
    </w:p>
    <w:p w:rsidR="002A68F6" w:rsidRDefault="002A68F6" w:rsidP="002A68F6">
      <w:pPr>
        <w:shd w:val="clear" w:color="auto" w:fill="FFFFFF"/>
        <w:spacing w:after="150"/>
        <w:jc w:val="both"/>
        <w:textAlignment w:val="baseline"/>
        <w:outlineLvl w:val="0"/>
        <w:rPr>
          <w:rFonts w:ascii="Palatino Linotype" w:hAnsi="Palatino Linotype" w:cstheme="minorBidi"/>
          <w:b/>
          <w:bCs/>
          <w:lang w:val="en-US"/>
        </w:rPr>
      </w:pPr>
    </w:p>
    <w:p w:rsidR="002A68F6" w:rsidRDefault="002A68F6" w:rsidP="002A68F6">
      <w:pPr>
        <w:shd w:val="clear" w:color="auto" w:fill="FFFFFF"/>
        <w:spacing w:after="150"/>
        <w:textAlignment w:val="baseline"/>
        <w:rPr>
          <w:rFonts w:ascii="Palatino Linotype" w:hAnsi="Palatino Linotype" w:cs="Calibri"/>
          <w:b/>
        </w:rPr>
      </w:pPr>
      <w:r w:rsidRPr="002A68F6">
        <w:rPr>
          <w:rFonts w:ascii="Palatino Linotype" w:hAnsi="Palatino Linotype" w:cs="Calibri"/>
          <w:b/>
        </w:rPr>
        <w:t xml:space="preserve">Source:  </w:t>
      </w:r>
      <w:hyperlink r:id="rId41" w:history="1">
        <w:r w:rsidRPr="002A68F6">
          <w:rPr>
            <w:rStyle w:val="Hyperlink"/>
            <w:rFonts w:ascii="Palatino Linotype" w:hAnsi="Palatino Linotype" w:cs="Calibri"/>
            <w:b/>
            <w:color w:val="auto"/>
            <w:u w:val="none"/>
          </w:rPr>
          <w:t>https://www.esma.europa.eu/press-news/esma-news/esma-publishes-its-report-use-fintech-csds</w:t>
        </w:r>
      </w:hyperlink>
    </w:p>
    <w:p w:rsidR="002A68F6" w:rsidRPr="002A68F6" w:rsidRDefault="002A68F6" w:rsidP="002A68F6">
      <w:pPr>
        <w:shd w:val="clear" w:color="auto" w:fill="FFFFFF"/>
        <w:spacing w:after="150"/>
        <w:textAlignment w:val="baseline"/>
        <w:rPr>
          <w:rFonts w:ascii="Palatino Linotype" w:hAnsi="Palatino Linotype" w:cs="Calibri"/>
          <w:b/>
        </w:rPr>
      </w:pPr>
    </w:p>
    <w:p w:rsidR="002A68F6" w:rsidRDefault="002A68F6" w:rsidP="00F732E4">
      <w:pPr>
        <w:numPr>
          <w:ilvl w:val="0"/>
          <w:numId w:val="13"/>
        </w:numPr>
        <w:spacing w:after="160" w:line="259" w:lineRule="auto"/>
        <w:ind w:left="0" w:firstLine="0"/>
        <w:contextualSpacing/>
        <w:jc w:val="both"/>
        <w:rPr>
          <w:rFonts w:ascii="Palatino Linotype" w:hAnsi="Palatino Linotype" w:cstheme="minorBidi"/>
          <w:b/>
          <w:bCs/>
          <w:lang w:val="en-US"/>
        </w:rPr>
      </w:pPr>
      <w:r w:rsidRPr="002A68F6">
        <w:rPr>
          <w:rFonts w:ascii="Palatino Linotype" w:hAnsi="Palatino Linotype" w:cstheme="minorBidi"/>
          <w:b/>
          <w:bCs/>
          <w:lang w:val="en-US"/>
        </w:rPr>
        <w:t>SGX RegCo charts the way forward on mandatory climate reporting</w:t>
      </w:r>
    </w:p>
    <w:p w:rsidR="002A68F6" w:rsidRPr="002A68F6" w:rsidRDefault="002A68F6" w:rsidP="002A68F6">
      <w:pPr>
        <w:spacing w:after="160" w:line="259" w:lineRule="auto"/>
        <w:ind w:left="720"/>
        <w:contextualSpacing/>
        <w:jc w:val="both"/>
        <w:rPr>
          <w:rFonts w:ascii="Palatino Linotype" w:hAnsi="Palatino Linotype" w:cstheme="minorBidi"/>
          <w:b/>
          <w:bCs/>
          <w:lang w:val="en-US"/>
        </w:rPr>
      </w:pPr>
    </w:p>
    <w:p w:rsidR="002A68F6" w:rsidRPr="002A68F6" w:rsidRDefault="002A68F6" w:rsidP="002A68F6">
      <w:pPr>
        <w:shd w:val="clear" w:color="auto" w:fill="FFFFFF"/>
        <w:jc w:val="both"/>
        <w:textAlignment w:val="baseline"/>
        <w:rPr>
          <w:rFonts w:ascii="Palatino Linotype" w:hAnsi="Palatino Linotype" w:cstheme="minorBidi"/>
          <w:lang w:val="en-US"/>
        </w:rPr>
      </w:pPr>
      <w:r w:rsidRPr="002A68F6">
        <w:rPr>
          <w:rFonts w:ascii="Palatino Linotype" w:hAnsi="Palatino Linotype" w:cstheme="minorBidi"/>
          <w:lang w:val="en-US"/>
        </w:rPr>
        <w:t>Singapore Exchange (SGX RegCo) has proposed a phased roadmap for climate-related disclosures to be made mandatory in issuers’ sustainability reports based on recommendations of the Task Force on Climate-related Financial Disclosures. Accordingly , all issuers to adopt climate reporting on a ‘comply or explain’ basis for their financial year commencing in 2022; and from the FY commencing in 2023 onwards, climate reporting will be mandatory for some sectors of issuers while ‘comply or explain’ will remain the approach for the others. To ensure boards have common knowledge of their roles and responsibilities, it is proposed that all directors attend a one-time training on sustainability.</w:t>
      </w:r>
    </w:p>
    <w:p w:rsidR="002A68F6" w:rsidRDefault="002A68F6" w:rsidP="00EA32C3">
      <w:pPr>
        <w:shd w:val="clear" w:color="auto" w:fill="FFFFFF"/>
        <w:spacing w:line="276" w:lineRule="auto"/>
        <w:jc w:val="both"/>
        <w:textAlignment w:val="baseline"/>
        <w:rPr>
          <w:rFonts w:ascii="Palatino Linotype" w:hAnsi="Palatino Linotype"/>
          <w:b/>
          <w:bCs/>
          <w:lang w:val="en-US" w:bidi="hi-IN"/>
        </w:rPr>
      </w:pPr>
    </w:p>
    <w:p w:rsidR="002A68F6" w:rsidRPr="002A68F6" w:rsidRDefault="002A68F6" w:rsidP="002A68F6">
      <w:pPr>
        <w:shd w:val="clear" w:color="auto" w:fill="FFFFFF"/>
        <w:spacing w:after="150"/>
        <w:textAlignment w:val="baseline"/>
        <w:rPr>
          <w:rFonts w:ascii="Palatino Linotype" w:hAnsi="Palatino Linotype" w:cs="Calibri"/>
          <w:b/>
        </w:rPr>
      </w:pPr>
      <w:r w:rsidRPr="002A68F6">
        <w:rPr>
          <w:rFonts w:ascii="Palatino Linotype" w:hAnsi="Palatino Linotype" w:cs="Calibri"/>
          <w:b/>
        </w:rPr>
        <w:t>Source:  https://www.sgx.com/media-centre/20210826-sgx-regco-charts-way-forward-mandatory-climate-reporting-wants-board</w:t>
      </w:r>
    </w:p>
    <w:p w:rsidR="00EA32C3" w:rsidRDefault="00EA32C3" w:rsidP="00013BA3">
      <w:pPr>
        <w:jc w:val="both"/>
        <w:rPr>
          <w:rFonts w:ascii="Palatino Linotype" w:hAnsi="Palatino Linotype"/>
          <w:b/>
          <w:bCs/>
          <w:lang w:val="en-US" w:bidi="hi-IN"/>
        </w:rPr>
      </w:pPr>
    </w:p>
    <w:p w:rsidR="00EA32C3" w:rsidRDefault="00EA32C3" w:rsidP="00013BA3">
      <w:pPr>
        <w:jc w:val="both"/>
        <w:rPr>
          <w:rFonts w:ascii="Palatino Linotype" w:hAnsi="Palatino Linotype"/>
          <w:b/>
          <w:bCs/>
          <w:lang w:val="en-US" w:bidi="hi-IN"/>
        </w:rPr>
      </w:pPr>
    </w:p>
    <w:p w:rsidR="00EA32C3" w:rsidRDefault="00EA32C3" w:rsidP="00013BA3">
      <w:pPr>
        <w:jc w:val="both"/>
        <w:rPr>
          <w:rFonts w:ascii="Palatino Linotype" w:hAnsi="Palatino Linotype"/>
          <w:b/>
          <w:bCs/>
          <w:lang w:val="en-US" w:bidi="hi-IN"/>
        </w:rPr>
      </w:pPr>
    </w:p>
    <w:p w:rsidR="00EA32C3" w:rsidRDefault="00EA32C3" w:rsidP="00013BA3">
      <w:pPr>
        <w:jc w:val="both"/>
        <w:rPr>
          <w:rFonts w:ascii="Palatino Linotype" w:hAnsi="Palatino Linotype"/>
          <w:b/>
          <w:bCs/>
          <w:lang w:val="en-US" w:bidi="hi-IN"/>
        </w:rPr>
      </w:pPr>
    </w:p>
    <w:p w:rsidR="00272724" w:rsidRPr="004752BB" w:rsidRDefault="00272724" w:rsidP="00272724">
      <w:pPr>
        <w:jc w:val="center"/>
        <w:rPr>
          <w:rFonts w:ascii="Palatino Linotype" w:hAnsi="Palatino Linotype" w:cs="Calibri"/>
          <w:b/>
          <w:sz w:val="28"/>
          <w:szCs w:val="28"/>
        </w:rPr>
      </w:pPr>
      <w:r w:rsidRPr="004752BB">
        <w:rPr>
          <w:rFonts w:ascii="Palatino Linotype" w:hAnsi="Palatino Linotype" w:cs="Calibri"/>
          <w:b/>
          <w:sz w:val="28"/>
          <w:szCs w:val="28"/>
        </w:rPr>
        <w:t>POLICY DEVELOPMENTS AT SEBI</w:t>
      </w:r>
    </w:p>
    <w:p w:rsidR="00272724" w:rsidRPr="005B1CA9" w:rsidRDefault="00272724" w:rsidP="00272724">
      <w:pPr>
        <w:shd w:val="clear" w:color="auto" w:fill="FFFFFF"/>
        <w:spacing w:line="276" w:lineRule="auto"/>
        <w:jc w:val="both"/>
        <w:rPr>
          <w:rFonts w:ascii="Palatino Linotype" w:hAnsi="Palatino Linotype"/>
          <w:color w:val="000000"/>
        </w:rPr>
      </w:pPr>
    </w:p>
    <w:p w:rsidR="005B1CA9" w:rsidRPr="005B1CA9" w:rsidRDefault="005B1CA9" w:rsidP="005B1CA9">
      <w:pPr>
        <w:autoSpaceDE w:val="0"/>
        <w:autoSpaceDN w:val="0"/>
        <w:adjustRightInd w:val="0"/>
        <w:spacing w:after="160" w:line="259" w:lineRule="auto"/>
        <w:contextualSpacing/>
        <w:jc w:val="both"/>
        <w:rPr>
          <w:rFonts w:ascii="Palatino Linotype" w:eastAsia="Calibri" w:hAnsi="Palatino Linotype" w:cs="CIDFont+F3"/>
          <w:b/>
          <w:bCs/>
          <w:lang w:val="en-IN" w:bidi="hi-IN"/>
        </w:rPr>
      </w:pPr>
      <w:r w:rsidRPr="005B1CA9">
        <w:rPr>
          <w:rFonts w:ascii="Palatino Linotype" w:eastAsia="Calibri" w:hAnsi="Palatino Linotype" w:cs="CIDFont+F3"/>
          <w:b/>
          <w:bCs/>
          <w:lang w:val="en-IN" w:bidi="hi-IN"/>
        </w:rPr>
        <w:t>1.</w:t>
      </w:r>
      <w:r w:rsidRPr="005B1CA9">
        <w:rPr>
          <w:rFonts w:ascii="Palatino Linotype" w:eastAsia="Calibri" w:hAnsi="Palatino Linotype" w:cs="CIDFont+F3"/>
          <w:b/>
          <w:bCs/>
          <w:lang w:val="en-IN" w:bidi="hi-IN"/>
        </w:rPr>
        <w:tab/>
        <w:t>Permitting non-scheduled Payments Banks to register as Bankers to an Issue</w:t>
      </w:r>
    </w:p>
    <w:p w:rsidR="005B1CA9" w:rsidRPr="005B1CA9" w:rsidRDefault="005B1CA9" w:rsidP="005B1CA9">
      <w:pPr>
        <w:spacing w:after="160" w:line="259" w:lineRule="auto"/>
        <w:contextualSpacing/>
        <w:jc w:val="both"/>
        <w:rPr>
          <w:rFonts w:ascii="Palatino Linotype" w:hAnsi="Palatino Linotype" w:cs="Courier New"/>
          <w:b/>
          <w:bCs/>
          <w:lang w:val="en-IN" w:eastAsia="en-IN" w:bidi="hi-IN"/>
        </w:rPr>
      </w:pPr>
      <w:r w:rsidRPr="005B1CA9">
        <w:rPr>
          <w:rFonts w:ascii="Palatino Linotype" w:hAnsi="Palatino Linotype" w:cs="Courier New"/>
          <w:b/>
          <w:bCs/>
          <w:lang w:val="en-IN" w:eastAsia="en-IN" w:bidi="hi-IN"/>
        </w:rPr>
        <w:t xml:space="preserve"> </w:t>
      </w:r>
    </w:p>
    <w:p w:rsidR="005B1CA9" w:rsidRPr="005B1CA9" w:rsidRDefault="005B1CA9" w:rsidP="005B1CA9">
      <w:pPr>
        <w:autoSpaceDE w:val="0"/>
        <w:autoSpaceDN w:val="0"/>
        <w:adjustRightInd w:val="0"/>
        <w:jc w:val="both"/>
        <w:rPr>
          <w:rFonts w:ascii="Palatino Linotype" w:eastAsia="Calibri" w:hAnsi="Palatino Linotype" w:cs="Mangal"/>
          <w:shd w:val="clear" w:color="auto" w:fill="FFFFFF"/>
          <w:lang w:bidi="hi-IN"/>
        </w:rPr>
      </w:pPr>
      <w:r w:rsidRPr="005B1CA9">
        <w:rPr>
          <w:rFonts w:ascii="Palatino Linotype" w:eastAsia="Calibri" w:hAnsi="Palatino Linotype" w:cs="Mangal"/>
          <w:shd w:val="clear" w:color="auto" w:fill="FFFFFF"/>
          <w:lang w:bidi="hi-IN"/>
        </w:rPr>
        <w:t>Non-scheduled Payments Banks which have prior approval from Reserve Bank of India, were permitted to act as a  Bankers to an Issue (BTI), subject to fulfilment of the conditions stipulated in the BTI Regulations.</w:t>
      </w:r>
    </w:p>
    <w:p w:rsidR="005B1CA9" w:rsidRPr="005B1CA9" w:rsidRDefault="005B1CA9" w:rsidP="005B1CA9">
      <w:pPr>
        <w:autoSpaceDE w:val="0"/>
        <w:autoSpaceDN w:val="0"/>
        <w:adjustRightInd w:val="0"/>
        <w:jc w:val="both"/>
        <w:rPr>
          <w:rFonts w:ascii="Palatino Linotype" w:eastAsia="Calibri" w:hAnsi="Palatino Linotype" w:cs="Mangal"/>
          <w:shd w:val="clear" w:color="auto" w:fill="FFFFFF"/>
          <w:lang w:bidi="hi-IN"/>
        </w:rPr>
      </w:pPr>
    </w:p>
    <w:p w:rsidR="005B1CA9" w:rsidRPr="005B1CA9" w:rsidRDefault="005B1CA9" w:rsidP="005B1CA9">
      <w:pPr>
        <w:autoSpaceDE w:val="0"/>
        <w:autoSpaceDN w:val="0"/>
        <w:adjustRightInd w:val="0"/>
        <w:jc w:val="both"/>
        <w:rPr>
          <w:rFonts w:ascii="Palatino Linotype" w:eastAsia="Calibri" w:hAnsi="Palatino Linotype" w:cs="Mangal"/>
          <w:shd w:val="clear" w:color="auto" w:fill="FFFFFF"/>
          <w:lang w:bidi="hi-IN"/>
        </w:rPr>
      </w:pPr>
      <w:r w:rsidRPr="005B1CA9">
        <w:rPr>
          <w:rFonts w:ascii="Palatino Linotype" w:eastAsia="Calibri" w:hAnsi="Palatino Linotype" w:cs="Mangal"/>
          <w:shd w:val="clear" w:color="auto" w:fill="FFFFFF"/>
          <w:lang w:bidi="hi-IN"/>
        </w:rPr>
        <w:t>Payments Banks registered as a  BTI  shall also be  permitted  to  act  as  a  Self-Certified Syndicate Bank subject to the fulfilment of the criteria laid down by the Board in this regard from time to time.</w:t>
      </w:r>
    </w:p>
    <w:p w:rsidR="005B1CA9" w:rsidRPr="005B1CA9" w:rsidRDefault="005B1CA9" w:rsidP="005B1CA9">
      <w:pPr>
        <w:autoSpaceDE w:val="0"/>
        <w:autoSpaceDN w:val="0"/>
        <w:adjustRightInd w:val="0"/>
        <w:jc w:val="both"/>
        <w:rPr>
          <w:rFonts w:ascii="Palatino Linotype" w:eastAsia="Calibri" w:hAnsi="Palatino Linotype" w:cs="Mangal"/>
          <w:shd w:val="clear" w:color="auto" w:fill="FFFFFF"/>
          <w:lang w:bidi="hi-IN"/>
        </w:rPr>
      </w:pPr>
    </w:p>
    <w:p w:rsidR="005B1CA9" w:rsidRPr="005B1CA9" w:rsidRDefault="005B1CA9" w:rsidP="005B1CA9">
      <w:pPr>
        <w:autoSpaceDE w:val="0"/>
        <w:autoSpaceDN w:val="0"/>
        <w:adjustRightInd w:val="0"/>
        <w:jc w:val="both"/>
        <w:rPr>
          <w:rFonts w:ascii="Palatino Linotype" w:eastAsia="Calibri" w:hAnsi="Palatino Linotype" w:cs="Mangal"/>
          <w:i/>
          <w:iCs/>
          <w:lang w:val="en-IN" w:bidi="hi-IN"/>
        </w:rPr>
      </w:pPr>
      <w:r w:rsidRPr="005B1CA9">
        <w:rPr>
          <w:rFonts w:ascii="Palatino Linotype" w:eastAsia="Calibri" w:hAnsi="Palatino Linotype" w:cs="CIDFont+F5"/>
          <w:i/>
          <w:iCs/>
          <w:lang w:val="en-IN" w:bidi="hi-IN"/>
        </w:rPr>
        <w:t>Source:</w:t>
      </w:r>
      <w:r w:rsidRPr="005B1CA9">
        <w:rPr>
          <w:rFonts w:ascii="Palatino Linotype" w:eastAsia="Calibri" w:hAnsi="Palatino Linotype" w:cs="Mangal"/>
          <w:i/>
          <w:iCs/>
          <w:lang w:val="en-IN" w:bidi="hi-IN"/>
        </w:rPr>
        <w:t xml:space="preserve"> SEBI/HO/MIRSD/MIRSD_DOR/P/CIR/ 605 / 2021 dated August 03, 2021.</w:t>
      </w:r>
    </w:p>
    <w:p w:rsidR="005B1CA9" w:rsidRPr="005B1CA9" w:rsidRDefault="005B1CA9" w:rsidP="005B1CA9">
      <w:pPr>
        <w:autoSpaceDE w:val="0"/>
        <w:autoSpaceDN w:val="0"/>
        <w:adjustRightInd w:val="0"/>
        <w:jc w:val="both"/>
        <w:rPr>
          <w:rFonts w:ascii="Palatino Linotype" w:eastAsia="Calibri" w:hAnsi="Palatino Linotype" w:cs="Mangal"/>
          <w:lang w:val="en-IN" w:bidi="hi-IN"/>
        </w:rPr>
      </w:pPr>
    </w:p>
    <w:p w:rsidR="005B1CA9" w:rsidRPr="005B1CA9" w:rsidRDefault="005B1CA9" w:rsidP="005B1CA9">
      <w:pPr>
        <w:autoSpaceDE w:val="0"/>
        <w:autoSpaceDN w:val="0"/>
        <w:adjustRightInd w:val="0"/>
        <w:jc w:val="both"/>
        <w:rPr>
          <w:rFonts w:ascii="Palatino Linotype" w:eastAsia="Calibri" w:hAnsi="Palatino Linotype" w:cs="Calibri"/>
          <w:b/>
          <w:bCs/>
          <w:color w:val="000000"/>
          <w:lang w:val="en-IN" w:bidi="hi-IN"/>
        </w:rPr>
      </w:pPr>
      <w:r w:rsidRPr="005B1CA9">
        <w:rPr>
          <w:rFonts w:ascii="Palatino Linotype" w:eastAsia="Calibri" w:hAnsi="Palatino Linotype" w:cs="Calibri"/>
          <w:b/>
          <w:bCs/>
          <w:color w:val="000000"/>
          <w:lang w:val="en-IN" w:bidi="hi-IN"/>
        </w:rPr>
        <w:t>2.</w:t>
      </w:r>
      <w:r w:rsidRPr="005B1CA9">
        <w:rPr>
          <w:rFonts w:ascii="Palatino Linotype" w:eastAsia="Calibri" w:hAnsi="Palatino Linotype" w:cs="Calibri"/>
          <w:b/>
          <w:bCs/>
          <w:color w:val="000000"/>
          <w:lang w:val="en-IN" w:bidi="hi-IN"/>
        </w:rPr>
        <w:tab/>
        <w:t>Modification in Operational  Guidelines  for  Foreign Portfolio Investors, Custodians  and  Designated Depository Participants  pursuant  to amendment in SEBI (Foreign Portfolio Investors) Regulations, 2019</w:t>
      </w:r>
    </w:p>
    <w:p w:rsidR="005B1CA9" w:rsidRPr="005B1CA9" w:rsidRDefault="005B1CA9" w:rsidP="005B1CA9">
      <w:pPr>
        <w:spacing w:after="160" w:line="259" w:lineRule="auto"/>
        <w:contextualSpacing/>
        <w:jc w:val="both"/>
        <w:rPr>
          <w:rFonts w:ascii="Palatino Linotype" w:hAnsi="Palatino Linotype" w:cs="Courier New"/>
          <w:lang w:val="en-IN" w:eastAsia="en-IN" w:bidi="hi-IN"/>
        </w:rPr>
      </w:pPr>
    </w:p>
    <w:p w:rsidR="005B1CA9" w:rsidRPr="005B1CA9" w:rsidRDefault="005B1CA9" w:rsidP="005B1CA9">
      <w:pPr>
        <w:jc w:val="both"/>
        <w:rPr>
          <w:rFonts w:ascii="Palatino Linotype" w:eastAsia="Calibri" w:hAnsi="Palatino Linotype" w:cs="Mangal"/>
          <w:lang w:bidi="hi-IN"/>
        </w:rPr>
      </w:pPr>
      <w:r w:rsidRPr="005B1CA9">
        <w:rPr>
          <w:rFonts w:ascii="Palatino Linotype" w:eastAsia="Calibri" w:hAnsi="Palatino Linotype" w:cs="Mangal"/>
          <w:lang w:bidi="hi-IN"/>
        </w:rPr>
        <w:t>In order to enable resident Indian fund managers to benefit from the provisions of Section  9A, clause  (c)  of  Regulation  4  of the  SEBI  (Foreign Portfolio Investors) Regulations,  2019, had  been  amended.</w:t>
      </w:r>
    </w:p>
    <w:p w:rsidR="005B1CA9" w:rsidRPr="005B1CA9" w:rsidRDefault="005B1CA9" w:rsidP="005B1CA9">
      <w:pPr>
        <w:jc w:val="both"/>
        <w:rPr>
          <w:rFonts w:ascii="Palatino Linotype" w:eastAsia="Calibri" w:hAnsi="Palatino Linotype" w:cs="Mangal"/>
          <w:lang w:bidi="hi-IN"/>
        </w:rPr>
      </w:pPr>
    </w:p>
    <w:p w:rsidR="005B1CA9" w:rsidRPr="005B1CA9" w:rsidRDefault="005B1CA9" w:rsidP="005B1CA9">
      <w:pPr>
        <w:jc w:val="both"/>
        <w:rPr>
          <w:rFonts w:ascii="Palatino Linotype" w:eastAsia="Calibri" w:hAnsi="Palatino Linotype" w:cs="Mangal"/>
          <w:lang w:bidi="hi-IN"/>
        </w:rPr>
      </w:pPr>
      <w:r w:rsidRPr="005B1CA9">
        <w:rPr>
          <w:rFonts w:ascii="Palatino Linotype" w:eastAsia="Calibri" w:hAnsi="Palatino Linotype" w:cs="Mangal"/>
          <w:lang w:bidi="hi-IN"/>
        </w:rPr>
        <w:t>For operationalizing the aforementioned amendment to the SEBI (Foreign Portfolio Investors) Regulations, 2019, the explanation provided under Para 2 (ii) (b) of Part A of  the  Operational  Guidelines  for  Foreign Portfolio Investors, Custodians  and  Designated Depository Participants were  issued  vide  circular  dated November 05, 2019, stands modified as below:</w:t>
      </w:r>
    </w:p>
    <w:p w:rsidR="005B1CA9" w:rsidRPr="005B1CA9" w:rsidRDefault="005B1CA9" w:rsidP="005B1CA9">
      <w:pPr>
        <w:jc w:val="both"/>
        <w:rPr>
          <w:rFonts w:ascii="Palatino Linotype" w:eastAsia="Calibri" w:hAnsi="Palatino Linotype" w:cs="Mangal"/>
          <w:lang w:bidi="hi-IN"/>
        </w:rPr>
      </w:pPr>
    </w:p>
    <w:p w:rsidR="005B1CA9" w:rsidRPr="005B1CA9" w:rsidRDefault="005B1CA9" w:rsidP="005B1CA9">
      <w:pPr>
        <w:jc w:val="both"/>
        <w:rPr>
          <w:rFonts w:ascii="Palatino Linotype" w:eastAsia="Calibri" w:hAnsi="Palatino Linotype" w:cs="Mangal"/>
          <w:lang w:bidi="hi-IN"/>
        </w:rPr>
      </w:pPr>
      <w:r w:rsidRPr="005B1CA9">
        <w:rPr>
          <w:rFonts w:ascii="Palatino Linotype" w:eastAsia="Calibri" w:hAnsi="Palatino Linotype" w:cs="Mangal"/>
          <w:lang w:bidi="hi-IN"/>
        </w:rPr>
        <w:t>“Explanation: The contribution of resident Indian individuals shall be made through the Liberalised Remittance Scheme (LRS) notified by Reserve Bank of  India  and  shall  be  in  global  funds  whose  Indian  exposure  is  less  than 50%.”</w:t>
      </w:r>
    </w:p>
    <w:p w:rsidR="005B1CA9" w:rsidRPr="005B1CA9" w:rsidRDefault="005B1CA9" w:rsidP="005B1CA9">
      <w:pPr>
        <w:jc w:val="both"/>
        <w:rPr>
          <w:rFonts w:ascii="Palatino Linotype" w:hAnsi="Palatino Linotype"/>
        </w:rPr>
      </w:pPr>
    </w:p>
    <w:p w:rsidR="005B1CA9" w:rsidRPr="005B1CA9" w:rsidRDefault="005B1CA9" w:rsidP="005B1CA9">
      <w:pPr>
        <w:autoSpaceDE w:val="0"/>
        <w:autoSpaceDN w:val="0"/>
        <w:adjustRightInd w:val="0"/>
        <w:jc w:val="both"/>
        <w:rPr>
          <w:rFonts w:ascii="Palatino Linotype" w:eastAsia="Calibri" w:hAnsi="Palatino Linotype" w:cs="Mangal"/>
          <w:i/>
          <w:iCs/>
          <w:lang w:val="en-IN" w:bidi="hi-IN"/>
        </w:rPr>
      </w:pPr>
      <w:r w:rsidRPr="005B1CA9">
        <w:rPr>
          <w:rFonts w:ascii="Palatino Linotype" w:eastAsia="Calibri" w:hAnsi="Palatino Linotype" w:cs="CIDFont+F5"/>
          <w:i/>
          <w:iCs/>
          <w:lang w:val="en-IN" w:bidi="hi-IN"/>
        </w:rPr>
        <w:t>Source:</w:t>
      </w:r>
      <w:r w:rsidRPr="005B1CA9">
        <w:rPr>
          <w:rFonts w:ascii="Palatino Linotype" w:eastAsia="Calibri" w:hAnsi="Palatino Linotype" w:cs="Mangal"/>
          <w:i/>
          <w:iCs/>
          <w:lang w:val="en-IN" w:bidi="hi-IN"/>
        </w:rPr>
        <w:t xml:space="preserve"> SEBI/ HO/ FPI&amp;C/ P/ CIR/ 2021/ 609 dated August 4, 2021</w:t>
      </w:r>
    </w:p>
    <w:p w:rsidR="005B1CA9" w:rsidRPr="005B1CA9" w:rsidRDefault="005B1CA9" w:rsidP="005B1CA9">
      <w:pPr>
        <w:autoSpaceDE w:val="0"/>
        <w:autoSpaceDN w:val="0"/>
        <w:adjustRightInd w:val="0"/>
        <w:jc w:val="both"/>
        <w:rPr>
          <w:rFonts w:ascii="Palatino Linotype" w:eastAsia="Calibri" w:hAnsi="Palatino Linotype" w:cs="Mangal"/>
          <w:lang w:val="en-IN" w:bidi="hi-IN"/>
        </w:rPr>
      </w:pPr>
    </w:p>
    <w:p w:rsidR="005B1CA9" w:rsidRPr="005B1CA9" w:rsidRDefault="005B1CA9" w:rsidP="005B1CA9">
      <w:pPr>
        <w:autoSpaceDE w:val="0"/>
        <w:autoSpaceDN w:val="0"/>
        <w:adjustRightInd w:val="0"/>
        <w:rPr>
          <w:rFonts w:ascii="Palatino Linotype" w:hAnsi="Palatino Linotype" w:cs="Courier New"/>
          <w:b/>
          <w:bCs/>
          <w:lang w:val="en-IN" w:eastAsia="en-IN" w:bidi="hi-IN"/>
        </w:rPr>
      </w:pPr>
      <w:r w:rsidRPr="005B1CA9">
        <w:rPr>
          <w:rFonts w:ascii="Palatino Linotype" w:hAnsi="Palatino Linotype" w:cs="Courier New"/>
          <w:b/>
          <w:bCs/>
          <w:lang w:val="en-IN" w:eastAsia="en-IN" w:bidi="hi-IN"/>
        </w:rPr>
        <w:t>3.</w:t>
      </w:r>
      <w:r w:rsidRPr="005B1CA9">
        <w:rPr>
          <w:rFonts w:ascii="Palatino Linotype" w:hAnsi="Palatino Linotype" w:cs="Courier New"/>
          <w:b/>
          <w:bCs/>
          <w:lang w:val="en-IN" w:eastAsia="en-IN" w:bidi="hi-IN"/>
        </w:rPr>
        <w:tab/>
        <w:t>Maintenance of Current Accounts in Multiple Banks by Mutual Funds</w:t>
      </w:r>
    </w:p>
    <w:p w:rsidR="005B1CA9" w:rsidRPr="005B1CA9" w:rsidRDefault="005B1CA9" w:rsidP="005B1CA9">
      <w:pPr>
        <w:autoSpaceDE w:val="0"/>
        <w:autoSpaceDN w:val="0"/>
        <w:adjustRightInd w:val="0"/>
        <w:rPr>
          <w:rFonts w:ascii="Palatino Linotype" w:hAnsi="Palatino Linotype" w:cs="Courier New"/>
          <w:b/>
          <w:bCs/>
          <w:lang w:val="en-IN" w:eastAsia="en-IN" w:bidi="hi-IN"/>
        </w:rPr>
      </w:pPr>
    </w:p>
    <w:p w:rsidR="005B1CA9" w:rsidRPr="005B1CA9" w:rsidRDefault="005B1CA9" w:rsidP="005B1CA9">
      <w:pPr>
        <w:pStyle w:val="Default"/>
        <w:jc w:val="both"/>
        <w:rPr>
          <w:rFonts w:ascii="Palatino Linotype" w:hAnsi="Palatino Linotype" w:cs="Courier New"/>
          <w:color w:val="auto"/>
          <w:lang w:val="en-IN" w:eastAsia="en-IN" w:bidi="hi-IN"/>
        </w:rPr>
      </w:pPr>
      <w:r w:rsidRPr="005B1CA9">
        <w:rPr>
          <w:rFonts w:ascii="Palatino Linotype" w:hAnsi="Palatino Linotype" w:cs="Courier New"/>
          <w:color w:val="auto"/>
          <w:lang w:val="en-IN" w:eastAsia="en-IN" w:bidi="hi-IN"/>
        </w:rPr>
        <w:t>It was clarified that mutual funds should maintain current  accounts  in an  appropriate  number of banks for  the purpose  of receiving  subscription  amount  and  for payment  of redemption/dividend/brokerage/  commission etc.to  facilitate  financial  inclusion,  convenience  of investors and ease of doing business.</w:t>
      </w:r>
    </w:p>
    <w:p w:rsidR="005B1CA9" w:rsidRPr="005B1CA9" w:rsidRDefault="005B1CA9" w:rsidP="005B1CA9">
      <w:pPr>
        <w:pStyle w:val="Default"/>
        <w:rPr>
          <w:rFonts w:ascii="Palatino Linotype" w:hAnsi="Palatino Linotype" w:cs="Courier New"/>
          <w:color w:val="auto"/>
          <w:lang w:val="en-IN" w:eastAsia="en-IN" w:bidi="hi-IN"/>
        </w:rPr>
      </w:pPr>
    </w:p>
    <w:p w:rsidR="005B1CA9" w:rsidRPr="005B1CA9" w:rsidRDefault="005B1CA9" w:rsidP="005B1CA9">
      <w:pPr>
        <w:pStyle w:val="Default"/>
        <w:rPr>
          <w:rFonts w:ascii="Palatino Linotype" w:hAnsi="Palatino Linotype" w:cs="Mangal"/>
          <w:i/>
          <w:iCs/>
          <w:color w:val="auto"/>
          <w:lang w:val="en-IN" w:bidi="hi-IN"/>
        </w:rPr>
      </w:pPr>
      <w:r w:rsidRPr="005B1CA9">
        <w:rPr>
          <w:rFonts w:ascii="Palatino Linotype" w:hAnsi="Palatino Linotype" w:cs="Mangal"/>
          <w:i/>
          <w:iCs/>
          <w:color w:val="auto"/>
          <w:lang w:val="en-IN" w:bidi="hi-IN"/>
        </w:rPr>
        <w:t>Source:  SEBI/HO/IMD/IMD-I/DOF5/P/CIR/2021/610 dated August 4, 2021</w:t>
      </w:r>
    </w:p>
    <w:p w:rsidR="005B1CA9" w:rsidRPr="005B1CA9" w:rsidRDefault="005B1CA9" w:rsidP="005B1CA9">
      <w:pPr>
        <w:pStyle w:val="Default"/>
        <w:rPr>
          <w:rFonts w:ascii="Palatino Linotype" w:hAnsi="Palatino Linotype" w:cs="Mangal"/>
          <w:color w:val="auto"/>
          <w:lang w:val="en-IN" w:bidi="hi-IN"/>
        </w:rPr>
      </w:pPr>
    </w:p>
    <w:p w:rsidR="005B1CA9" w:rsidRPr="005B1CA9" w:rsidRDefault="005B1CA9" w:rsidP="005B1CA9">
      <w:pPr>
        <w:autoSpaceDE w:val="0"/>
        <w:autoSpaceDN w:val="0"/>
        <w:adjustRightInd w:val="0"/>
        <w:jc w:val="both"/>
        <w:rPr>
          <w:rFonts w:ascii="Palatino Linotype" w:eastAsia="Calibri" w:hAnsi="Palatino Linotype" w:cs="Mangal"/>
          <w:lang w:val="en-IN" w:bidi="hi-IN"/>
        </w:rPr>
      </w:pPr>
    </w:p>
    <w:p w:rsidR="005B1CA9" w:rsidRPr="005B1CA9" w:rsidRDefault="005B1CA9" w:rsidP="005B1CA9">
      <w:pPr>
        <w:pStyle w:val="Default"/>
        <w:jc w:val="both"/>
        <w:rPr>
          <w:rFonts w:ascii="Palatino Linotype" w:hAnsi="Palatino Linotype" w:cs="Courier New"/>
          <w:b/>
          <w:bCs/>
          <w:lang w:val="en-IN" w:eastAsia="en-IN" w:bidi="hi-IN"/>
        </w:rPr>
      </w:pPr>
      <w:r w:rsidRPr="005B1CA9">
        <w:rPr>
          <w:rFonts w:ascii="Palatino Linotype" w:hAnsi="Palatino Linotype" w:cs="Courier New"/>
          <w:b/>
          <w:bCs/>
          <w:lang w:val="en-IN" w:eastAsia="en-IN" w:bidi="hi-IN"/>
        </w:rPr>
        <w:t>4.</w:t>
      </w:r>
      <w:r w:rsidRPr="005B1CA9">
        <w:rPr>
          <w:rFonts w:ascii="Palatino Linotype" w:hAnsi="Palatino Linotype" w:cs="Courier New"/>
          <w:b/>
          <w:bCs/>
          <w:lang w:val="en-IN" w:eastAsia="en-IN" w:bidi="hi-IN"/>
        </w:rPr>
        <w:tab/>
        <w:t>Requirement of  Minimum  Number  and  Holding  of  Unit  Holders  for  Unlisted Infrastructure Investment Trusts</w:t>
      </w:r>
    </w:p>
    <w:p w:rsidR="005B1CA9" w:rsidRPr="005B1CA9" w:rsidRDefault="005B1CA9" w:rsidP="005B1CA9">
      <w:pPr>
        <w:pStyle w:val="Default"/>
        <w:jc w:val="both"/>
        <w:rPr>
          <w:rFonts w:ascii="Palatino Linotype" w:hAnsi="Palatino Linotype" w:cs="Courier New"/>
          <w:color w:val="auto"/>
          <w:lang w:val="en-IN" w:eastAsia="en-IN" w:bidi="hi-IN"/>
        </w:rPr>
      </w:pPr>
    </w:p>
    <w:p w:rsidR="005B1CA9" w:rsidRPr="005B1CA9" w:rsidRDefault="005B1CA9" w:rsidP="005B1CA9">
      <w:pPr>
        <w:jc w:val="both"/>
        <w:rPr>
          <w:rFonts w:ascii="Palatino Linotype" w:hAnsi="Palatino Linotype" w:cs="Courier New"/>
          <w:lang w:val="en-IN" w:eastAsia="en-IN" w:bidi="hi-IN"/>
        </w:rPr>
      </w:pPr>
      <w:r w:rsidRPr="005B1CA9">
        <w:rPr>
          <w:rFonts w:ascii="Palatino Linotype" w:hAnsi="Palatino Linotype" w:cs="Courier New"/>
          <w:lang w:val="en-IN" w:eastAsia="en-IN" w:bidi="hi-IN"/>
        </w:rPr>
        <w:t>Vide notification  no.  SEBI/LAD-NRO/GN/2021/27  dated  July  30,  2021,  SEBI (Infrastructure  Investment  Trusts)  Regulations,  2014 (InvIT Regulations) were amended to provide for the requirement of minimum number and holding of unit holders for unlisted InvITs.</w:t>
      </w:r>
    </w:p>
    <w:p w:rsidR="005B1CA9" w:rsidRPr="005B1CA9" w:rsidRDefault="005B1CA9" w:rsidP="005B1CA9">
      <w:pPr>
        <w:jc w:val="both"/>
        <w:rPr>
          <w:rFonts w:ascii="Palatino Linotype" w:hAnsi="Palatino Linotype" w:cs="Courier New"/>
          <w:lang w:val="en-IN" w:eastAsia="en-IN" w:bidi="hi-IN"/>
        </w:rPr>
      </w:pPr>
    </w:p>
    <w:p w:rsidR="005B1CA9" w:rsidRPr="005B1CA9" w:rsidRDefault="005B1CA9" w:rsidP="005B1CA9">
      <w:pPr>
        <w:jc w:val="both"/>
        <w:rPr>
          <w:rFonts w:ascii="Palatino Linotype" w:hAnsi="Palatino Linotype" w:cs="Courier New"/>
          <w:lang w:val="en-IN" w:eastAsia="en-IN" w:bidi="hi-IN"/>
        </w:rPr>
      </w:pPr>
      <w:r w:rsidRPr="005B1CA9">
        <w:rPr>
          <w:rFonts w:ascii="Palatino Linotype" w:hAnsi="Palatino Linotype" w:cs="Courier New"/>
          <w:lang w:val="en-IN" w:eastAsia="en-IN" w:bidi="hi-IN"/>
        </w:rPr>
        <w:t>In this regard, it was mandated that the registered unlisted InvITs which have already issued units as on the date of this circular, shall comply with the provisions of sub-regulation (3) of Regulation 26B of the InvIT Regulations within a period of six months from the date of this circular.</w:t>
      </w:r>
    </w:p>
    <w:p w:rsidR="005B1CA9" w:rsidRPr="005B1CA9" w:rsidRDefault="005B1CA9" w:rsidP="005B1CA9">
      <w:pPr>
        <w:jc w:val="both"/>
        <w:rPr>
          <w:rFonts w:ascii="Palatino Linotype" w:hAnsi="Palatino Linotype" w:cs="Arial"/>
          <w:sz w:val="23"/>
          <w:szCs w:val="23"/>
        </w:rPr>
      </w:pPr>
    </w:p>
    <w:p w:rsidR="005B1CA9" w:rsidRPr="005B1CA9" w:rsidRDefault="005B1CA9" w:rsidP="005B1CA9">
      <w:pPr>
        <w:autoSpaceDE w:val="0"/>
        <w:autoSpaceDN w:val="0"/>
        <w:adjustRightInd w:val="0"/>
        <w:rPr>
          <w:rFonts w:ascii="Palatino Linotype" w:eastAsia="Calibri" w:hAnsi="Palatino Linotype" w:cs="Calibri"/>
          <w:i/>
          <w:iCs/>
          <w:color w:val="000000"/>
          <w:lang w:val="en-IN" w:bidi="hi-IN"/>
        </w:rPr>
      </w:pPr>
      <w:r w:rsidRPr="005B1CA9">
        <w:rPr>
          <w:rFonts w:ascii="Palatino Linotype" w:eastAsia="Calibri" w:hAnsi="Palatino Linotype" w:cs="Mangal"/>
          <w:i/>
          <w:iCs/>
          <w:lang w:val="en-IN" w:bidi="hi-IN"/>
        </w:rPr>
        <w:t>Source:  SEBI/HO/DDHS/DDHS_dIV3/P/CIR/2021/611 dated August 4, 2021</w:t>
      </w:r>
    </w:p>
    <w:p w:rsidR="005B1CA9" w:rsidRPr="005B1CA9" w:rsidRDefault="005B1CA9" w:rsidP="005B1CA9">
      <w:pPr>
        <w:spacing w:after="120"/>
        <w:rPr>
          <w:rFonts w:ascii="Palatino Linotype" w:eastAsia="Calibri" w:hAnsi="Palatino Linotype" w:cs="Arial"/>
          <w:i/>
          <w:szCs w:val="32"/>
        </w:rPr>
      </w:pPr>
    </w:p>
    <w:p w:rsidR="005B1CA9" w:rsidRPr="005B1CA9" w:rsidRDefault="005B1CA9" w:rsidP="005B1CA9">
      <w:pPr>
        <w:spacing w:after="160" w:line="259" w:lineRule="auto"/>
        <w:jc w:val="both"/>
        <w:rPr>
          <w:rFonts w:ascii="Palatino Linotype" w:hAnsi="Palatino Linotype"/>
          <w:b/>
          <w:bCs/>
        </w:rPr>
      </w:pPr>
      <w:r>
        <w:rPr>
          <w:rFonts w:ascii="Palatino Linotype" w:hAnsi="Palatino Linotype"/>
          <w:b/>
          <w:bCs/>
        </w:rPr>
        <w:t xml:space="preserve">5.     </w:t>
      </w:r>
      <w:r w:rsidRPr="005B1CA9">
        <w:rPr>
          <w:rFonts w:ascii="Palatino Linotype" w:hAnsi="Palatino Linotype"/>
          <w:b/>
          <w:bCs/>
        </w:rPr>
        <w:t>Calendar Spread margin benefit in commodity futures contracts</w:t>
      </w:r>
    </w:p>
    <w:p w:rsidR="005B1CA9" w:rsidRDefault="005B1CA9" w:rsidP="005B1CA9">
      <w:pPr>
        <w:jc w:val="both"/>
        <w:rPr>
          <w:rFonts w:ascii="Palatino Linotype" w:hAnsi="Palatino Linotype"/>
        </w:rPr>
      </w:pPr>
      <w:r w:rsidRPr="005B1CA9">
        <w:rPr>
          <w:rFonts w:ascii="Palatino Linotype" w:hAnsi="Palatino Linotype"/>
        </w:rPr>
        <w:t>Considering the possible benefits likely to accrue to the investors, in consultation with clearing corporations, it has been decided to extend the spread margin benefit to the first six expiring contracts from first three contracts earlier.</w:t>
      </w:r>
    </w:p>
    <w:p w:rsidR="005B1CA9" w:rsidRPr="005B1CA9" w:rsidRDefault="005B1CA9" w:rsidP="005B1CA9">
      <w:pPr>
        <w:jc w:val="both"/>
        <w:rPr>
          <w:rFonts w:ascii="Palatino Linotype" w:hAnsi="Palatino Linotype"/>
        </w:rPr>
      </w:pPr>
    </w:p>
    <w:p w:rsidR="005B1CA9" w:rsidRPr="005B1CA9" w:rsidRDefault="005B1CA9" w:rsidP="005B1CA9">
      <w:pPr>
        <w:jc w:val="both"/>
        <w:rPr>
          <w:rFonts w:ascii="Palatino Linotype" w:hAnsi="Palatino Linotype"/>
          <w:i/>
          <w:iCs/>
        </w:rPr>
      </w:pPr>
      <w:r w:rsidRPr="005B1CA9">
        <w:rPr>
          <w:rFonts w:ascii="Palatino Linotype" w:hAnsi="Palatino Linotype"/>
          <w:i/>
          <w:iCs/>
        </w:rPr>
        <w:t>Source: SEBI/HO/CDMRD/DRMP/CIR/P/2021/612 dated, August 9,2021</w:t>
      </w:r>
    </w:p>
    <w:p w:rsidR="005B1CA9" w:rsidRPr="005B1CA9" w:rsidRDefault="005B1CA9" w:rsidP="005B1CA9">
      <w:pPr>
        <w:jc w:val="both"/>
        <w:rPr>
          <w:rFonts w:ascii="Palatino Linotype" w:hAnsi="Palatino Linotype"/>
        </w:rPr>
      </w:pPr>
    </w:p>
    <w:p w:rsidR="005B1CA9" w:rsidRPr="005B1CA9" w:rsidRDefault="005B1CA9" w:rsidP="005B1CA9">
      <w:pPr>
        <w:pStyle w:val="ListParagraph"/>
        <w:spacing w:after="160" w:line="259" w:lineRule="auto"/>
        <w:ind w:left="0"/>
        <w:jc w:val="both"/>
        <w:rPr>
          <w:rFonts w:ascii="Palatino Linotype" w:hAnsi="Palatino Linotype"/>
          <w:b/>
          <w:bCs/>
          <w:sz w:val="24"/>
          <w:szCs w:val="24"/>
        </w:rPr>
      </w:pPr>
      <w:r>
        <w:rPr>
          <w:rFonts w:ascii="Palatino Linotype" w:hAnsi="Palatino Linotype"/>
          <w:b/>
          <w:bCs/>
          <w:sz w:val="24"/>
          <w:szCs w:val="24"/>
        </w:rPr>
        <w:t xml:space="preserve">6.    </w:t>
      </w:r>
      <w:r w:rsidRPr="005B1CA9">
        <w:rPr>
          <w:rFonts w:ascii="Palatino Linotype" w:hAnsi="Palatino Linotype"/>
          <w:b/>
          <w:bCs/>
          <w:sz w:val="24"/>
          <w:szCs w:val="24"/>
        </w:rPr>
        <w:t>Operational Circular for issue and listing of Non-Convertible Securities, Securitized Debt Instruments, Security Receipts, Municipal Debt Securities and Commercial Paper</w:t>
      </w:r>
    </w:p>
    <w:p w:rsidR="005B1CA9" w:rsidRDefault="005B1CA9" w:rsidP="005B1CA9">
      <w:pPr>
        <w:jc w:val="both"/>
        <w:rPr>
          <w:rFonts w:ascii="Palatino Linotype" w:hAnsi="Palatino Linotype"/>
        </w:rPr>
      </w:pPr>
      <w:r w:rsidRPr="005B1CA9">
        <w:rPr>
          <w:rFonts w:ascii="Palatino Linotype" w:hAnsi="Palatino Linotype"/>
        </w:rPr>
        <w:t xml:space="preserve">Since the notification of the SEBI ILDS Regulations, 2008 and the SEBI NCRPS Regulations, 2013, SEBI has  issued multiple circulars  covering  procedural  and operational  aspects thereof. </w:t>
      </w:r>
    </w:p>
    <w:p w:rsidR="005B1CA9" w:rsidRPr="005B1CA9" w:rsidRDefault="005B1CA9" w:rsidP="005B1CA9">
      <w:pPr>
        <w:jc w:val="both"/>
        <w:rPr>
          <w:rFonts w:ascii="Palatino Linotype" w:hAnsi="Palatino Linotype"/>
        </w:rPr>
      </w:pPr>
    </w:p>
    <w:p w:rsidR="005B1CA9" w:rsidRDefault="005B1CA9" w:rsidP="005B1CA9">
      <w:pPr>
        <w:jc w:val="both"/>
        <w:rPr>
          <w:rFonts w:ascii="Palatino Linotype" w:hAnsi="Palatino Linotype"/>
        </w:rPr>
      </w:pPr>
      <w:r w:rsidRPr="005B1CA9">
        <w:rPr>
          <w:rFonts w:ascii="Palatino Linotype" w:hAnsi="Palatino Linotype"/>
        </w:rPr>
        <w:t>Pursuant to merger of these regulations into</w:t>
      </w:r>
      <w:r>
        <w:rPr>
          <w:rFonts w:ascii="Palatino Linotype" w:hAnsi="Palatino Linotype"/>
        </w:rPr>
        <w:t xml:space="preserve"> </w:t>
      </w:r>
      <w:r w:rsidRPr="005B1CA9">
        <w:rPr>
          <w:rFonts w:ascii="Palatino Linotype" w:hAnsi="Palatino Linotype"/>
        </w:rPr>
        <w:t>SEBI NCS Regulations, 2021, consolidation of related existing circulars into a single operational circular, with consequent changes has been done. The operational circular provides a chapter-wise framework for the issuance, listing and trading of Non-convertible Securities, Securitised Debt Instruments, Security Receipts, Municipal Debt Securities or Commercial Paper.</w:t>
      </w:r>
    </w:p>
    <w:p w:rsidR="005B1CA9" w:rsidRPr="005B1CA9" w:rsidRDefault="005B1CA9" w:rsidP="005B1CA9">
      <w:pPr>
        <w:jc w:val="both"/>
        <w:rPr>
          <w:rFonts w:ascii="Palatino Linotype" w:hAnsi="Palatino Linotype"/>
        </w:rPr>
      </w:pPr>
    </w:p>
    <w:p w:rsidR="005B1CA9" w:rsidRPr="005B1CA9" w:rsidRDefault="005B1CA9" w:rsidP="005B1CA9">
      <w:pPr>
        <w:jc w:val="both"/>
        <w:rPr>
          <w:rFonts w:ascii="Palatino Linotype" w:hAnsi="Palatino Linotype"/>
          <w:i/>
          <w:iCs/>
        </w:rPr>
      </w:pPr>
      <w:r w:rsidRPr="005B1CA9">
        <w:rPr>
          <w:rFonts w:ascii="Palatino Linotype" w:hAnsi="Palatino Linotype"/>
          <w:i/>
          <w:iCs/>
        </w:rPr>
        <w:t>Source: SEBI/HO/DDHS/P/CIR/2021/613 dated, August 10,2021</w:t>
      </w:r>
    </w:p>
    <w:p w:rsidR="005B1CA9" w:rsidRDefault="005B1CA9" w:rsidP="005B1CA9">
      <w:pPr>
        <w:pStyle w:val="ListParagraph"/>
        <w:spacing w:after="160" w:line="259" w:lineRule="auto"/>
        <w:ind w:left="0"/>
        <w:jc w:val="both"/>
        <w:rPr>
          <w:rFonts w:ascii="Palatino Linotype" w:eastAsiaTheme="minorHAnsi" w:hAnsi="Palatino Linotype"/>
          <w:sz w:val="24"/>
          <w:szCs w:val="24"/>
          <w:lang w:val="en-GB"/>
        </w:rPr>
      </w:pPr>
    </w:p>
    <w:p w:rsidR="005B1CA9" w:rsidRPr="005B1CA9" w:rsidRDefault="005B1CA9" w:rsidP="005B1CA9">
      <w:pPr>
        <w:pStyle w:val="ListParagraph"/>
        <w:spacing w:after="160" w:line="259" w:lineRule="auto"/>
        <w:ind w:left="0"/>
        <w:jc w:val="both"/>
        <w:rPr>
          <w:rFonts w:ascii="Palatino Linotype" w:hAnsi="Palatino Linotype"/>
          <w:b/>
          <w:bCs/>
          <w:sz w:val="24"/>
          <w:szCs w:val="24"/>
        </w:rPr>
      </w:pPr>
      <w:r>
        <w:rPr>
          <w:rFonts w:ascii="Palatino Linotype" w:eastAsiaTheme="minorHAnsi" w:hAnsi="Palatino Linotype"/>
          <w:sz w:val="24"/>
          <w:szCs w:val="24"/>
          <w:lang w:val="en-GB"/>
        </w:rPr>
        <w:t xml:space="preserve">7.  </w:t>
      </w:r>
      <w:r w:rsidRPr="005B1CA9">
        <w:rPr>
          <w:rFonts w:ascii="Palatino Linotype" w:hAnsi="Palatino Linotype"/>
          <w:b/>
          <w:bCs/>
          <w:sz w:val="24"/>
          <w:szCs w:val="24"/>
        </w:rPr>
        <w:t>Guidelines  on  issuance  of  non-convertible  debt  instruments  along  with warrants  (‘NCDs  with  Warrants’)  in  terms  of  Chapter  VI  –  Qualified  Institutions Placement of SEBI (Issue of Capital and Disclosure Requirements) Regulations, 2018.</w:t>
      </w:r>
    </w:p>
    <w:p w:rsidR="005B1CA9" w:rsidRDefault="005B1CA9" w:rsidP="005B1CA9">
      <w:pPr>
        <w:jc w:val="both"/>
        <w:rPr>
          <w:rFonts w:ascii="Palatino Linotype" w:hAnsi="Palatino Linotype"/>
        </w:rPr>
      </w:pPr>
      <w:r w:rsidRPr="005B1CA9">
        <w:rPr>
          <w:rFonts w:ascii="Palatino Linotype" w:hAnsi="Palatino Linotype"/>
        </w:rPr>
        <w:t>In order to streamline procedure of issuance and applicability of EBP platform mechanism on the ‘NCDs portion’,  the following  has  been decided and made applicable for issues wherein the size of NCDs portion is above threshold prescribed under SEBI (Issue and Listing of Non-Convertible Securities) Regulations, 2021, and Circulars issued there under:</w:t>
      </w:r>
    </w:p>
    <w:p w:rsidR="005B1CA9" w:rsidRPr="005B1CA9" w:rsidRDefault="005B1CA9" w:rsidP="005B1CA9">
      <w:pPr>
        <w:jc w:val="both"/>
        <w:rPr>
          <w:rFonts w:ascii="Palatino Linotype" w:hAnsi="Palatino Linotype"/>
        </w:rPr>
      </w:pPr>
    </w:p>
    <w:p w:rsidR="005B1CA9" w:rsidRDefault="005B1CA9" w:rsidP="00F732E4">
      <w:pPr>
        <w:pStyle w:val="ListParagraph"/>
        <w:numPr>
          <w:ilvl w:val="0"/>
          <w:numId w:val="15"/>
        </w:numPr>
        <w:spacing w:after="160" w:line="259" w:lineRule="auto"/>
        <w:jc w:val="both"/>
        <w:rPr>
          <w:rFonts w:ascii="Palatino Linotype" w:hAnsi="Palatino Linotype"/>
          <w:sz w:val="24"/>
          <w:szCs w:val="24"/>
        </w:rPr>
      </w:pPr>
      <w:r w:rsidRPr="005B1CA9">
        <w:rPr>
          <w:rFonts w:ascii="Palatino Linotype" w:hAnsi="Palatino Linotype"/>
          <w:sz w:val="24"/>
          <w:szCs w:val="24"/>
        </w:rPr>
        <w:t xml:space="preserve">EBP platform mechanism shall be mandatory for ‘NCDs portion’ of the issue (for both stapled and segregated offer) and issuer shall be required to comply with the SEBI (Issue and Listing of Non-Convertible Securities) Regulations, 2021, and Circulars issued there under.  </w:t>
      </w:r>
    </w:p>
    <w:p w:rsidR="005B1CA9" w:rsidRPr="005B1CA9" w:rsidRDefault="005B1CA9" w:rsidP="005B1CA9">
      <w:pPr>
        <w:pStyle w:val="ListParagraph"/>
        <w:spacing w:after="160" w:line="259" w:lineRule="auto"/>
        <w:ind w:left="1080"/>
        <w:jc w:val="both"/>
        <w:rPr>
          <w:rFonts w:ascii="Palatino Linotype" w:hAnsi="Palatino Linotype"/>
          <w:sz w:val="24"/>
          <w:szCs w:val="24"/>
        </w:rPr>
      </w:pPr>
    </w:p>
    <w:p w:rsidR="005B1CA9" w:rsidRDefault="005B1CA9" w:rsidP="00F732E4">
      <w:pPr>
        <w:pStyle w:val="ListParagraph"/>
        <w:numPr>
          <w:ilvl w:val="0"/>
          <w:numId w:val="15"/>
        </w:numPr>
        <w:spacing w:after="160" w:line="259" w:lineRule="auto"/>
        <w:jc w:val="both"/>
        <w:rPr>
          <w:rFonts w:ascii="Palatino Linotype" w:hAnsi="Palatino Linotype"/>
          <w:sz w:val="24"/>
          <w:szCs w:val="24"/>
        </w:rPr>
      </w:pPr>
      <w:r w:rsidRPr="005B1CA9">
        <w:rPr>
          <w:rFonts w:ascii="Palatino Linotype" w:hAnsi="Palatino Linotype"/>
          <w:sz w:val="24"/>
          <w:szCs w:val="24"/>
        </w:rPr>
        <w:t xml:space="preserve">‘Warrants  portion’  of  the  issue  shall  be  in  terms  of  Chapter  VI  on  Qualified Institutions Placement under ICDR Regulations, 2018. </w:t>
      </w:r>
    </w:p>
    <w:p w:rsidR="005B1CA9" w:rsidRPr="005B1CA9" w:rsidRDefault="005B1CA9" w:rsidP="005B1CA9">
      <w:pPr>
        <w:pStyle w:val="ListParagraph"/>
        <w:rPr>
          <w:rFonts w:ascii="Palatino Linotype" w:hAnsi="Palatino Linotype"/>
          <w:sz w:val="24"/>
          <w:szCs w:val="24"/>
        </w:rPr>
      </w:pPr>
    </w:p>
    <w:p w:rsidR="005B1CA9" w:rsidRDefault="005B1CA9" w:rsidP="00F732E4">
      <w:pPr>
        <w:pStyle w:val="ListParagraph"/>
        <w:numPr>
          <w:ilvl w:val="0"/>
          <w:numId w:val="15"/>
        </w:numPr>
        <w:spacing w:after="160" w:line="259" w:lineRule="auto"/>
        <w:jc w:val="both"/>
        <w:rPr>
          <w:rFonts w:ascii="Palatino Linotype" w:hAnsi="Palatino Linotype"/>
          <w:sz w:val="24"/>
          <w:szCs w:val="24"/>
        </w:rPr>
      </w:pPr>
      <w:r w:rsidRPr="005B1CA9">
        <w:rPr>
          <w:rFonts w:ascii="Palatino Linotype" w:hAnsi="Palatino Linotype"/>
          <w:sz w:val="24"/>
          <w:szCs w:val="24"/>
        </w:rPr>
        <w:t xml:space="preserve">Of the ‘total issue size’ of the issue, at least 40% size shall consist of ‘Warrants portion’. It may be noted that ‘total issue size’ shall mean combined size of NCDs issue and the aggregate size of the warrants portion, including the conversion price of warrants. </w:t>
      </w:r>
    </w:p>
    <w:p w:rsidR="005B1CA9" w:rsidRPr="005B1CA9" w:rsidRDefault="005B1CA9" w:rsidP="005B1CA9">
      <w:pPr>
        <w:pStyle w:val="ListParagraph"/>
        <w:rPr>
          <w:rFonts w:ascii="Palatino Linotype" w:hAnsi="Palatino Linotype"/>
          <w:sz w:val="24"/>
          <w:szCs w:val="24"/>
        </w:rPr>
      </w:pPr>
    </w:p>
    <w:p w:rsidR="005B1CA9" w:rsidRDefault="005B1CA9" w:rsidP="00F732E4">
      <w:pPr>
        <w:pStyle w:val="ListParagraph"/>
        <w:numPr>
          <w:ilvl w:val="0"/>
          <w:numId w:val="15"/>
        </w:numPr>
        <w:spacing w:after="160" w:line="259" w:lineRule="auto"/>
        <w:jc w:val="both"/>
        <w:rPr>
          <w:rFonts w:ascii="Palatino Linotype" w:hAnsi="Palatino Linotype"/>
          <w:sz w:val="24"/>
          <w:szCs w:val="24"/>
        </w:rPr>
      </w:pPr>
      <w:r w:rsidRPr="005B1CA9">
        <w:rPr>
          <w:rFonts w:ascii="Palatino Linotype" w:hAnsi="Palatino Linotype"/>
          <w:sz w:val="24"/>
          <w:szCs w:val="24"/>
        </w:rPr>
        <w:t>The segregated offer of NCDs and stapled offer, both shall be exempted from the requirements as prescribed under the Regulations 175(3), 179(2) (a), 180(1), and 180(2) of the ICDR Regulations, 2018.</w:t>
      </w:r>
    </w:p>
    <w:p w:rsidR="005B1CA9" w:rsidRPr="005B1CA9" w:rsidRDefault="005B1CA9" w:rsidP="005B1CA9">
      <w:pPr>
        <w:pStyle w:val="ListParagraph"/>
        <w:rPr>
          <w:rFonts w:ascii="Palatino Linotype" w:hAnsi="Palatino Linotype"/>
          <w:sz w:val="24"/>
          <w:szCs w:val="24"/>
        </w:rPr>
      </w:pPr>
    </w:p>
    <w:p w:rsidR="005B1CA9" w:rsidRPr="005B1CA9" w:rsidRDefault="005B1CA9" w:rsidP="005B1CA9">
      <w:pPr>
        <w:jc w:val="both"/>
        <w:rPr>
          <w:rFonts w:ascii="Palatino Linotype" w:hAnsi="Palatino Linotype"/>
          <w:i/>
          <w:iCs/>
        </w:rPr>
      </w:pPr>
      <w:r w:rsidRPr="005B1CA9">
        <w:rPr>
          <w:rFonts w:ascii="Palatino Linotype" w:hAnsi="Palatino Linotype"/>
          <w:i/>
          <w:iCs/>
        </w:rPr>
        <w:t>Source: SEBI/HO/CFD/DIL/CIR/P/2021/614 dated, August 13, 2021</w:t>
      </w:r>
    </w:p>
    <w:p w:rsidR="005B1CA9" w:rsidRPr="005B1CA9" w:rsidRDefault="005B1CA9" w:rsidP="005B1CA9">
      <w:pPr>
        <w:jc w:val="both"/>
        <w:rPr>
          <w:rFonts w:ascii="Palatino Linotype" w:hAnsi="Palatino Linotype"/>
        </w:rPr>
      </w:pPr>
    </w:p>
    <w:p w:rsidR="005B1CA9" w:rsidRPr="005B1CA9" w:rsidRDefault="005B1CA9" w:rsidP="005B1CA9">
      <w:pPr>
        <w:spacing w:after="160" w:line="259" w:lineRule="auto"/>
        <w:jc w:val="both"/>
        <w:rPr>
          <w:rFonts w:ascii="Palatino Linotype" w:hAnsi="Palatino Linotype"/>
          <w:b/>
          <w:bCs/>
        </w:rPr>
      </w:pPr>
      <w:r>
        <w:rPr>
          <w:rFonts w:ascii="Palatino Linotype" w:hAnsi="Palatino Linotype"/>
          <w:b/>
          <w:bCs/>
        </w:rPr>
        <w:t xml:space="preserve">8.      </w:t>
      </w:r>
      <w:r w:rsidRPr="005B1CA9">
        <w:rPr>
          <w:rFonts w:ascii="Palatino Linotype" w:hAnsi="Palatino Linotype"/>
          <w:b/>
          <w:bCs/>
        </w:rPr>
        <w:t>Disclosure of shareholding pattern of promoter(s) and promoter group entities</w:t>
      </w:r>
    </w:p>
    <w:p w:rsidR="005B1CA9" w:rsidRDefault="005B1CA9" w:rsidP="005B1CA9">
      <w:pPr>
        <w:jc w:val="both"/>
        <w:rPr>
          <w:rFonts w:ascii="Palatino Linotype" w:hAnsi="Palatino Linotype"/>
        </w:rPr>
      </w:pPr>
      <w:r w:rsidRPr="005B1CA9">
        <w:rPr>
          <w:rFonts w:ascii="Palatino Linotype" w:hAnsi="Palatino Linotype"/>
        </w:rPr>
        <w:t>In the interest of transparency to the investors, all  listed  entities  shall  now  provide  shareholding  pattern  of  the  Promoter  and Promoter Group,  segregated  into  promoter(s)  and promoter group as per the revised format issued by SEBI.</w:t>
      </w:r>
    </w:p>
    <w:p w:rsidR="005B1CA9" w:rsidRPr="005B1CA9" w:rsidRDefault="005B1CA9" w:rsidP="005B1CA9">
      <w:pPr>
        <w:jc w:val="both"/>
        <w:rPr>
          <w:rFonts w:ascii="Palatino Linotype" w:hAnsi="Palatino Linotype"/>
        </w:rPr>
      </w:pPr>
    </w:p>
    <w:p w:rsidR="005B1CA9" w:rsidRPr="005B1CA9" w:rsidRDefault="005B1CA9" w:rsidP="005B1CA9">
      <w:pPr>
        <w:jc w:val="both"/>
        <w:rPr>
          <w:rFonts w:ascii="Palatino Linotype" w:hAnsi="Palatino Linotype"/>
          <w:i/>
          <w:iCs/>
        </w:rPr>
      </w:pPr>
      <w:r w:rsidRPr="005B1CA9">
        <w:rPr>
          <w:rFonts w:ascii="Palatino Linotype" w:hAnsi="Palatino Linotype"/>
          <w:i/>
          <w:iCs/>
        </w:rPr>
        <w:t>Source: SEBI/HO/CFD/CMD/CIR/P/2021/616 dated, August 13, 2021</w:t>
      </w:r>
    </w:p>
    <w:p w:rsidR="005B1CA9" w:rsidRPr="005B1CA9" w:rsidRDefault="005B1CA9" w:rsidP="005B1CA9">
      <w:pPr>
        <w:jc w:val="both"/>
        <w:rPr>
          <w:rFonts w:ascii="Palatino Linotype" w:hAnsi="Palatino Linotype"/>
        </w:rPr>
      </w:pPr>
    </w:p>
    <w:p w:rsidR="005B1CA9" w:rsidRPr="005B1CA9" w:rsidRDefault="005B1CA9" w:rsidP="005B1CA9">
      <w:pPr>
        <w:pStyle w:val="ListParagraph"/>
        <w:spacing w:after="160" w:line="259" w:lineRule="auto"/>
        <w:ind w:left="0"/>
        <w:jc w:val="both"/>
        <w:rPr>
          <w:rFonts w:ascii="Palatino Linotype" w:hAnsi="Palatino Linotype"/>
          <w:b/>
          <w:bCs/>
          <w:sz w:val="24"/>
          <w:szCs w:val="24"/>
        </w:rPr>
      </w:pPr>
      <w:r>
        <w:rPr>
          <w:rFonts w:ascii="Palatino Linotype" w:hAnsi="Palatino Linotype"/>
          <w:b/>
          <w:bCs/>
          <w:sz w:val="24"/>
          <w:szCs w:val="24"/>
        </w:rPr>
        <w:t xml:space="preserve">9.      </w:t>
      </w:r>
      <w:r w:rsidRPr="005B1CA9">
        <w:rPr>
          <w:rFonts w:ascii="Palatino Linotype" w:hAnsi="Palatino Linotype"/>
          <w:b/>
          <w:bCs/>
          <w:sz w:val="24"/>
          <w:szCs w:val="24"/>
        </w:rPr>
        <w:t>Automation of  Continual  Disclosures  under  Regulation  7(2)  of  SEBI  (Prohibition of Insider Trading) Regulations, 2015 - System driven disclosures - Ease of doing business</w:t>
      </w:r>
    </w:p>
    <w:p w:rsidR="005B1CA9" w:rsidRDefault="005B1CA9" w:rsidP="005B1CA9">
      <w:pPr>
        <w:jc w:val="both"/>
        <w:rPr>
          <w:rFonts w:ascii="Palatino Linotype" w:hAnsi="Palatino Linotype"/>
        </w:rPr>
      </w:pPr>
      <w:r w:rsidRPr="005B1CA9">
        <w:rPr>
          <w:rFonts w:ascii="Palatino Linotype" w:hAnsi="Palatino Linotype"/>
        </w:rPr>
        <w:t>It is clarified  that  for listed  companies  who  have  complied  with  requirements  of  System  Driven  Disclosures as per the  circular  dated  September  09,  2020,  the  manual  filing  of  disclosures as required under Regulation 7(2) (a)  &amp;  (b)  of  PIT  Regulations  is  no longer mandatory.</w:t>
      </w:r>
    </w:p>
    <w:p w:rsidR="005B1CA9" w:rsidRPr="005B1CA9" w:rsidRDefault="005B1CA9" w:rsidP="005B1CA9">
      <w:pPr>
        <w:jc w:val="both"/>
        <w:rPr>
          <w:rFonts w:ascii="Palatino Linotype" w:hAnsi="Palatino Linotype"/>
        </w:rPr>
      </w:pPr>
    </w:p>
    <w:p w:rsidR="005B1CA9" w:rsidRPr="005B1CA9" w:rsidRDefault="005B1CA9" w:rsidP="005B1CA9">
      <w:pPr>
        <w:jc w:val="both"/>
        <w:rPr>
          <w:rFonts w:ascii="Palatino Linotype" w:hAnsi="Palatino Linotype"/>
          <w:i/>
          <w:iCs/>
        </w:rPr>
      </w:pPr>
      <w:r w:rsidRPr="005B1CA9">
        <w:rPr>
          <w:rFonts w:ascii="Palatino Linotype" w:hAnsi="Palatino Linotype"/>
          <w:i/>
          <w:iCs/>
        </w:rPr>
        <w:t>Source:   SEBI/HO/ISD/ISD/CIR/P/2021/617 dated, August 13, 2021</w:t>
      </w:r>
    </w:p>
    <w:p w:rsidR="005B1CA9" w:rsidRPr="005B1CA9" w:rsidRDefault="005B1CA9" w:rsidP="005B1CA9">
      <w:pPr>
        <w:jc w:val="both"/>
        <w:rPr>
          <w:rFonts w:ascii="Palatino Linotype" w:hAnsi="Palatino Linotype"/>
        </w:rPr>
      </w:pPr>
    </w:p>
    <w:p w:rsidR="005B1CA9" w:rsidRPr="005B1CA9" w:rsidRDefault="005B1CA9" w:rsidP="005B1CA9">
      <w:pPr>
        <w:jc w:val="both"/>
        <w:rPr>
          <w:rFonts w:ascii="Palatino Linotype" w:hAnsi="Palatino Linotype"/>
          <w:b/>
          <w:bCs/>
        </w:rPr>
      </w:pPr>
    </w:p>
    <w:p w:rsidR="005B1CA9" w:rsidRPr="005B1CA9" w:rsidRDefault="005B1CA9" w:rsidP="005B1CA9">
      <w:pPr>
        <w:pStyle w:val="ListParagraph"/>
        <w:spacing w:after="160" w:line="259" w:lineRule="auto"/>
        <w:ind w:left="0"/>
        <w:jc w:val="both"/>
        <w:rPr>
          <w:rFonts w:ascii="Palatino Linotype" w:hAnsi="Palatino Linotype"/>
          <w:b/>
          <w:bCs/>
          <w:sz w:val="24"/>
          <w:szCs w:val="24"/>
        </w:rPr>
      </w:pPr>
      <w:r>
        <w:rPr>
          <w:rFonts w:ascii="Palatino Linotype" w:hAnsi="Palatino Linotype"/>
          <w:b/>
          <w:bCs/>
          <w:sz w:val="24"/>
          <w:szCs w:val="24"/>
        </w:rPr>
        <w:t xml:space="preserve">10.      </w:t>
      </w:r>
      <w:r w:rsidRPr="005B1CA9">
        <w:rPr>
          <w:rFonts w:ascii="Palatino Linotype" w:hAnsi="Palatino Linotype"/>
          <w:b/>
          <w:bCs/>
          <w:sz w:val="24"/>
          <w:szCs w:val="24"/>
        </w:rPr>
        <w:t>Tendering of shares in open offers, buy-backoffers and delisting offers by marking lien in</w:t>
      </w:r>
      <w:r>
        <w:rPr>
          <w:rFonts w:ascii="Palatino Linotype" w:hAnsi="Palatino Linotype"/>
          <w:b/>
          <w:bCs/>
          <w:sz w:val="24"/>
          <w:szCs w:val="24"/>
        </w:rPr>
        <w:t xml:space="preserve"> </w:t>
      </w:r>
      <w:r w:rsidRPr="005B1CA9">
        <w:rPr>
          <w:rFonts w:ascii="Palatino Linotype" w:hAnsi="Palatino Linotype"/>
          <w:b/>
          <w:bCs/>
          <w:sz w:val="24"/>
          <w:szCs w:val="24"/>
        </w:rPr>
        <w:t>the demat account of the shareholders</w:t>
      </w:r>
    </w:p>
    <w:p w:rsidR="005B1CA9" w:rsidRPr="005B1CA9" w:rsidRDefault="005B1CA9" w:rsidP="005B1CA9">
      <w:pPr>
        <w:jc w:val="both"/>
        <w:rPr>
          <w:rFonts w:ascii="Palatino Linotype" w:hAnsi="Palatino Linotype"/>
        </w:rPr>
      </w:pPr>
      <w:r w:rsidRPr="005B1CA9">
        <w:rPr>
          <w:rFonts w:ascii="Palatino Linotype" w:hAnsi="Palatino Linotype"/>
        </w:rPr>
        <w:t>It  has  been  decided  that a lien shall  be  marked  against  the shares   of   the   shareholders   participating   in   the   tender   offers. Upon finalization  of the  entitlement,  only accepted  quantity of shares shall  be debited  from  the demat  account  of the shareholders. The lien marked against unaccepted  shares  shall  be  released. The detailed procedure for tendering and  settlement  of  shares  under  the  revised mechanism is also specified in the circular.</w:t>
      </w:r>
    </w:p>
    <w:p w:rsidR="005B1CA9" w:rsidRDefault="005B1CA9" w:rsidP="005B1CA9">
      <w:pPr>
        <w:jc w:val="both"/>
        <w:rPr>
          <w:rFonts w:ascii="Palatino Linotype" w:hAnsi="Palatino Linotype"/>
        </w:rPr>
      </w:pPr>
    </w:p>
    <w:p w:rsidR="005B1CA9" w:rsidRPr="005B1CA9" w:rsidRDefault="005B1CA9" w:rsidP="005B1CA9">
      <w:pPr>
        <w:jc w:val="both"/>
        <w:rPr>
          <w:rFonts w:ascii="Palatino Linotype" w:hAnsi="Palatino Linotype"/>
          <w:i/>
          <w:iCs/>
        </w:rPr>
      </w:pPr>
      <w:r w:rsidRPr="005B1CA9">
        <w:rPr>
          <w:rFonts w:ascii="Palatino Linotype" w:hAnsi="Palatino Linotype"/>
          <w:i/>
          <w:iCs/>
        </w:rPr>
        <w:t>Source: SEBI/HO/CFD/DCR-III/CIR/P/2021/615 dated, August 13, 2021</w:t>
      </w:r>
    </w:p>
    <w:p w:rsidR="005B1CA9" w:rsidRPr="005B1CA9" w:rsidRDefault="005B1CA9" w:rsidP="005B1CA9">
      <w:pPr>
        <w:jc w:val="both"/>
        <w:rPr>
          <w:rFonts w:ascii="Palatino Linotype" w:hAnsi="Palatino Linotype"/>
        </w:rPr>
      </w:pPr>
    </w:p>
    <w:p w:rsidR="005B1CA9" w:rsidRPr="005B1CA9" w:rsidRDefault="005B1CA9" w:rsidP="005B1CA9">
      <w:pPr>
        <w:spacing w:after="160" w:line="259" w:lineRule="auto"/>
        <w:jc w:val="both"/>
        <w:rPr>
          <w:rFonts w:ascii="Palatino Linotype" w:hAnsi="Palatino Linotype"/>
          <w:b/>
          <w:bCs/>
        </w:rPr>
      </w:pPr>
      <w:r>
        <w:rPr>
          <w:rFonts w:ascii="Palatino Linotype" w:hAnsi="Palatino Linotype"/>
          <w:b/>
          <w:bCs/>
        </w:rPr>
        <w:t xml:space="preserve">11.     </w:t>
      </w:r>
      <w:r w:rsidRPr="005B1CA9">
        <w:rPr>
          <w:rFonts w:ascii="Palatino Linotype" w:hAnsi="Palatino Linotype"/>
          <w:b/>
          <w:bCs/>
        </w:rPr>
        <w:t>Security and Covenant Monitoring’ using Distributed Ledger Technology</w:t>
      </w:r>
    </w:p>
    <w:p w:rsidR="005B1CA9" w:rsidRPr="005B1CA9" w:rsidRDefault="005B1CA9" w:rsidP="005B1CA9">
      <w:pPr>
        <w:jc w:val="both"/>
        <w:rPr>
          <w:rFonts w:ascii="Palatino Linotype" w:hAnsi="Palatino Linotype"/>
        </w:rPr>
      </w:pPr>
      <w:r w:rsidRPr="005B1CA9">
        <w:rPr>
          <w:rFonts w:ascii="Palatino Linotype" w:hAnsi="Palatino Linotype"/>
        </w:rPr>
        <w:t>In order  to  strengthen  the  process  of  security  creation,  monitoring  of security  created, monitoring of asset cover and covenants of the non-convertible securities, a platform for ‘Security and Covenant Monitoring System’ (‘system’) hosted  by Depositories shall be developed.</w:t>
      </w:r>
    </w:p>
    <w:p w:rsidR="005B1CA9" w:rsidRPr="005B1CA9" w:rsidRDefault="005B1CA9" w:rsidP="005B1CA9">
      <w:pPr>
        <w:jc w:val="both"/>
        <w:rPr>
          <w:rFonts w:ascii="Palatino Linotype" w:hAnsi="Palatino Linotype"/>
        </w:rPr>
      </w:pPr>
      <w:r w:rsidRPr="005B1CA9">
        <w:rPr>
          <w:rFonts w:ascii="Palatino Linotype" w:hAnsi="Palatino Linotype"/>
        </w:rPr>
        <w:t>The system  shall  be  used  for  recording  and  monitoring  of  the  security  created  and monitoring of covenants of non-convertible securities. The system shall inter alia capture the  process  of  creation of security(viz.  due  diligence,  charge  creation  etc.), continuous monitoring of covenants by Debenture Trustees (as applicable), credit rating of the non-convertible securities by the Credit Rating Agencies (CRAs) etc. Depositories  shall  create,  host,  maintain  and  disseminate  the system for  security  and covenant monitoring using distributed ledger technology.</w:t>
      </w:r>
    </w:p>
    <w:p w:rsidR="005B1CA9" w:rsidRDefault="005B1CA9" w:rsidP="005B1CA9">
      <w:pPr>
        <w:autoSpaceDE w:val="0"/>
        <w:autoSpaceDN w:val="0"/>
        <w:adjustRightInd w:val="0"/>
        <w:rPr>
          <w:rFonts w:ascii="Palatino Linotype" w:hAnsi="Palatino Linotype"/>
        </w:rPr>
      </w:pPr>
    </w:p>
    <w:p w:rsidR="005B1CA9" w:rsidRPr="005B1CA9" w:rsidRDefault="005B1CA9" w:rsidP="005B1CA9">
      <w:pPr>
        <w:autoSpaceDE w:val="0"/>
        <w:autoSpaceDN w:val="0"/>
        <w:adjustRightInd w:val="0"/>
        <w:rPr>
          <w:rFonts w:ascii="Palatino Linotype" w:eastAsia="Calibri" w:hAnsi="Palatino Linotype" w:cs="Calibri"/>
          <w:i/>
          <w:iCs/>
          <w:color w:val="000000"/>
          <w:lang w:val="en-IN" w:bidi="hi-IN"/>
        </w:rPr>
      </w:pPr>
      <w:r w:rsidRPr="005B1CA9">
        <w:rPr>
          <w:rFonts w:ascii="Palatino Linotype" w:hAnsi="Palatino Linotype"/>
          <w:i/>
          <w:iCs/>
        </w:rPr>
        <w:t>Source: SEBI/HO/MIRSD/MIRSD_CRADT/CIR/P/2021/618 dated, August 13, 2021</w:t>
      </w:r>
    </w:p>
    <w:p w:rsidR="005B1CA9" w:rsidRPr="005B1CA9" w:rsidRDefault="005B1CA9" w:rsidP="008D1E7F">
      <w:pPr>
        <w:spacing w:after="160" w:line="259" w:lineRule="auto"/>
        <w:contextualSpacing/>
        <w:rPr>
          <w:rFonts w:ascii="Palatino Linotype" w:hAnsi="Palatino Linotype" w:cs="Courier New"/>
          <w:b/>
          <w:bCs/>
          <w:lang w:val="en-IN" w:eastAsia="en-IN" w:bidi="hi-IN"/>
        </w:rPr>
      </w:pPr>
    </w:p>
    <w:p w:rsidR="005B1CA9" w:rsidRPr="005B1CA9" w:rsidRDefault="005B1CA9" w:rsidP="005B1CA9">
      <w:pPr>
        <w:rPr>
          <w:rFonts w:ascii="Palatino Linotype" w:hAnsi="Palatino Linotype"/>
          <w:b/>
          <w:bCs/>
        </w:rPr>
      </w:pPr>
      <w:r>
        <w:rPr>
          <w:rFonts w:ascii="Palatino Linotype" w:hAnsi="Palatino Linotype"/>
          <w:b/>
          <w:bCs/>
        </w:rPr>
        <w:t xml:space="preserve">12.     </w:t>
      </w:r>
      <w:r w:rsidRPr="005B1CA9">
        <w:rPr>
          <w:rFonts w:ascii="Palatino Linotype" w:hAnsi="Palatino Linotype"/>
          <w:b/>
          <w:bCs/>
        </w:rPr>
        <w:t>Penalty for Repeated Delivery Default</w:t>
      </w:r>
    </w:p>
    <w:p w:rsidR="005B1CA9" w:rsidRPr="005B1CA9" w:rsidRDefault="005B1CA9" w:rsidP="005B1CA9">
      <w:pPr>
        <w:jc w:val="both"/>
        <w:rPr>
          <w:rFonts w:ascii="Palatino Linotype" w:hAnsi="Palatino Linotype"/>
        </w:rPr>
      </w:pPr>
    </w:p>
    <w:p w:rsidR="005B1CA9" w:rsidRPr="005B1CA9" w:rsidRDefault="005B1CA9" w:rsidP="005B1CA9">
      <w:pPr>
        <w:shd w:val="clear" w:color="auto" w:fill="FFFFFF"/>
        <w:jc w:val="both"/>
        <w:rPr>
          <w:rFonts w:ascii="Palatino Linotype" w:hAnsi="Palatino Linotype" w:cs="Arial"/>
          <w:lang w:val="en-IN" w:eastAsia="en-IN"/>
        </w:rPr>
      </w:pPr>
      <w:r w:rsidRPr="005B1CA9">
        <w:rPr>
          <w:rFonts w:ascii="Palatino Linotype" w:hAnsi="Palatino Linotype" w:cs="Arial"/>
          <w:lang w:bidi="hi-IN"/>
        </w:rPr>
        <w:t xml:space="preserve">In order to have the suitable deterrent mechanism to address instances of repeated delivery defaults, </w:t>
      </w:r>
      <w:r w:rsidRPr="005B1CA9">
        <w:rPr>
          <w:rFonts w:ascii="Palatino Linotype" w:hAnsi="Palatino Linotype" w:cs="Arial"/>
          <w:lang w:val="en-IN" w:eastAsia="en-IN"/>
        </w:rPr>
        <w:t xml:space="preserve">following has been decided: </w:t>
      </w:r>
    </w:p>
    <w:p w:rsidR="005B1CA9" w:rsidRPr="005B1CA9" w:rsidRDefault="005B1CA9" w:rsidP="005B1CA9">
      <w:pPr>
        <w:shd w:val="clear" w:color="auto" w:fill="FFFFFF"/>
        <w:jc w:val="both"/>
        <w:rPr>
          <w:rFonts w:ascii="Palatino Linotype" w:hAnsi="Palatino Linotype" w:cs="Arial"/>
          <w:lang w:val="en-IN" w:eastAsia="en-IN"/>
        </w:rPr>
      </w:pPr>
    </w:p>
    <w:p w:rsidR="005B1CA9" w:rsidRPr="005B1CA9" w:rsidRDefault="005B1CA9" w:rsidP="00F732E4">
      <w:pPr>
        <w:numPr>
          <w:ilvl w:val="0"/>
          <w:numId w:val="16"/>
        </w:numPr>
        <w:shd w:val="clear" w:color="auto" w:fill="FFFFFF"/>
        <w:spacing w:after="160" w:line="259" w:lineRule="auto"/>
        <w:contextualSpacing/>
        <w:rPr>
          <w:rFonts w:ascii="Palatino Linotype" w:hAnsi="Palatino Linotype" w:cs="Arial"/>
          <w:lang w:val="en-IN" w:eastAsia="en-IN"/>
        </w:rPr>
      </w:pPr>
      <w:r w:rsidRPr="005B1CA9">
        <w:rPr>
          <w:rFonts w:ascii="Palatino Linotype" w:hAnsi="Palatino Linotype" w:cs="Arial"/>
          <w:lang w:val="en-IN" w:eastAsia="en-IN"/>
        </w:rPr>
        <w:t>In case  of  repeated  default  by  a  seller  or  a  buyer,  for each  instance  of repeated default, an additional penalty of 3% of the value of the delivery default will be imposed.</w:t>
      </w:r>
    </w:p>
    <w:p w:rsidR="005B1CA9" w:rsidRPr="005B1CA9" w:rsidRDefault="005B1CA9" w:rsidP="00F732E4">
      <w:pPr>
        <w:numPr>
          <w:ilvl w:val="0"/>
          <w:numId w:val="16"/>
        </w:numPr>
        <w:shd w:val="clear" w:color="auto" w:fill="FFFFFF"/>
        <w:spacing w:after="160" w:line="259" w:lineRule="auto"/>
        <w:contextualSpacing/>
        <w:rPr>
          <w:rFonts w:ascii="Palatino Linotype" w:hAnsi="Palatino Linotype" w:cs="Arial"/>
          <w:lang w:val="en-IN" w:eastAsia="en-IN"/>
        </w:rPr>
      </w:pPr>
      <w:r w:rsidRPr="005B1CA9">
        <w:rPr>
          <w:rFonts w:ascii="Palatino Linotype" w:hAnsi="Palatino Linotype" w:cs="Arial"/>
          <w:lang w:val="en-IN" w:eastAsia="en-IN"/>
        </w:rPr>
        <w:t xml:space="preserve">Repeated default shall be defined as an event, wherein a default on delivery obligations takes place 3 times or more during a six months period on a rolling basis. </w:t>
      </w:r>
    </w:p>
    <w:p w:rsidR="005B1CA9" w:rsidRPr="005B1CA9" w:rsidRDefault="005B1CA9" w:rsidP="00F732E4">
      <w:pPr>
        <w:numPr>
          <w:ilvl w:val="0"/>
          <w:numId w:val="16"/>
        </w:numPr>
        <w:shd w:val="clear" w:color="auto" w:fill="FFFFFF"/>
        <w:spacing w:after="160" w:line="259" w:lineRule="auto"/>
        <w:contextualSpacing/>
        <w:rPr>
          <w:rFonts w:ascii="Palatino Linotype" w:hAnsi="Palatino Linotype" w:cs="Arial"/>
          <w:lang w:val="en-IN" w:eastAsia="en-IN"/>
        </w:rPr>
      </w:pPr>
      <w:r w:rsidRPr="005B1CA9">
        <w:rPr>
          <w:rFonts w:ascii="Palatino Linotype" w:hAnsi="Palatino Linotype" w:cs="Arial"/>
          <w:lang w:val="en-IN" w:eastAsia="en-IN"/>
        </w:rPr>
        <w:t>The penalty levied shall be transferred to Settlement Guarantee Fund  of the clearing corporation.</w:t>
      </w:r>
    </w:p>
    <w:p w:rsidR="005B1CA9" w:rsidRPr="005B1CA9" w:rsidRDefault="005B1CA9" w:rsidP="005B1CA9">
      <w:pPr>
        <w:jc w:val="both"/>
        <w:rPr>
          <w:rFonts w:ascii="Palatino Linotype" w:hAnsi="Palatino Linotype"/>
        </w:rPr>
      </w:pPr>
    </w:p>
    <w:p w:rsidR="005B1CA9" w:rsidRPr="005B1CA9" w:rsidRDefault="005B1CA9" w:rsidP="005B1CA9">
      <w:pPr>
        <w:jc w:val="both"/>
        <w:rPr>
          <w:rFonts w:ascii="Palatino Linotype" w:hAnsi="Palatino Linotype"/>
          <w:i/>
          <w:iCs/>
        </w:rPr>
      </w:pPr>
      <w:r w:rsidRPr="005B1CA9">
        <w:rPr>
          <w:rFonts w:ascii="Palatino Linotype" w:hAnsi="Palatino Linotype"/>
          <w:i/>
          <w:iCs/>
        </w:rPr>
        <w:t>Source: SEBI/HO/CDMRD/DRMP/CIR/P/2021/619  dated, August 17, 2021</w:t>
      </w:r>
    </w:p>
    <w:p w:rsidR="005B1CA9" w:rsidRPr="005B1CA9" w:rsidRDefault="005B1CA9" w:rsidP="005B1CA9">
      <w:pPr>
        <w:jc w:val="both"/>
        <w:rPr>
          <w:rFonts w:ascii="Palatino Linotype" w:hAnsi="Palatino Linotype"/>
        </w:rPr>
      </w:pPr>
    </w:p>
    <w:p w:rsidR="005B1CA9" w:rsidRPr="005B1CA9" w:rsidRDefault="005B1CA9" w:rsidP="005B1CA9">
      <w:pPr>
        <w:autoSpaceDE w:val="0"/>
        <w:autoSpaceDN w:val="0"/>
        <w:adjustRightInd w:val="0"/>
        <w:spacing w:after="160" w:line="259" w:lineRule="auto"/>
        <w:contextualSpacing/>
        <w:jc w:val="both"/>
        <w:rPr>
          <w:rFonts w:ascii="Palatino Linotype" w:hAnsi="Palatino Linotype" w:cs="Calibri"/>
          <w:b/>
          <w:sz w:val="36"/>
          <w:szCs w:val="36"/>
          <w:u w:val="single"/>
        </w:rPr>
      </w:pPr>
    </w:p>
    <w:p w:rsidR="005B1CA9" w:rsidRPr="005B1CA9" w:rsidRDefault="005B1CA9" w:rsidP="005B1CA9">
      <w:pPr>
        <w:rPr>
          <w:rFonts w:ascii="Palatino Linotype" w:hAnsi="Palatino Linotype"/>
          <w:b/>
          <w:bCs/>
        </w:rPr>
      </w:pPr>
      <w:r>
        <w:rPr>
          <w:rFonts w:ascii="Palatino Linotype" w:hAnsi="Palatino Linotype"/>
          <w:b/>
          <w:bCs/>
        </w:rPr>
        <w:t>13</w:t>
      </w:r>
      <w:r w:rsidRPr="005B1CA9">
        <w:rPr>
          <w:rFonts w:ascii="Palatino Linotype" w:hAnsi="Palatino Linotype"/>
          <w:b/>
          <w:bCs/>
        </w:rPr>
        <w:t xml:space="preserve">. </w:t>
      </w:r>
      <w:r>
        <w:rPr>
          <w:rFonts w:ascii="Palatino Linotype" w:hAnsi="Palatino Linotype"/>
          <w:b/>
          <w:bCs/>
        </w:rPr>
        <w:t xml:space="preserve">     </w:t>
      </w:r>
      <w:r w:rsidRPr="005B1CA9">
        <w:rPr>
          <w:rFonts w:ascii="Palatino Linotype" w:hAnsi="Palatino Linotype"/>
          <w:b/>
          <w:bCs/>
        </w:rPr>
        <w:t>Modalities for implementation of the framework for Accredited Investors</w:t>
      </w:r>
    </w:p>
    <w:p w:rsidR="005B1CA9" w:rsidRPr="005B1CA9" w:rsidRDefault="005B1CA9" w:rsidP="005B1CA9">
      <w:pPr>
        <w:jc w:val="both"/>
        <w:rPr>
          <w:rFonts w:ascii="Palatino Linotype" w:hAnsi="Palatino Linotype"/>
        </w:rPr>
      </w:pPr>
    </w:p>
    <w:p w:rsidR="005B1CA9" w:rsidRPr="005B1CA9" w:rsidRDefault="005B1CA9" w:rsidP="005B1CA9">
      <w:pPr>
        <w:jc w:val="both"/>
        <w:rPr>
          <w:rFonts w:ascii="Palatino Linotype" w:hAnsi="Palatino Linotype" w:cs="Arial"/>
          <w:lang w:bidi="hi-IN"/>
        </w:rPr>
      </w:pPr>
      <w:r w:rsidRPr="005B1CA9">
        <w:rPr>
          <w:rFonts w:ascii="Palatino Linotype" w:hAnsi="Palatino Linotype" w:cs="Arial"/>
          <w:lang w:bidi="hi-IN"/>
        </w:rPr>
        <w:t>Under the Accredited Investor (AI) framework, AIs may avail flexibility in minimum investment amount or concessions from specific regulatory requirements applicable to investment products, subject to conditions applicable for specific products/ services under the SEBI (AIF) Regulations, 2012, SEBI (Portfolio manager) regulations, 2020 and SEBI (Investment Advisers) Regulations, 2013. The modalities for implementation on accredited investors’ framework has been specified vide the present circular.  This includes specification of responsibilities of accreditation agencies and their eligibility norms, norms on eligibility for accredited investors, their networth requirements, procedure and validity of accreditation etc.</w:t>
      </w:r>
    </w:p>
    <w:p w:rsidR="005B1CA9" w:rsidRPr="005B1CA9" w:rsidRDefault="005B1CA9" w:rsidP="005B1CA9">
      <w:pPr>
        <w:jc w:val="both"/>
        <w:rPr>
          <w:rFonts w:ascii="Palatino Linotype" w:hAnsi="Palatino Linotype"/>
        </w:rPr>
      </w:pPr>
    </w:p>
    <w:p w:rsidR="005B1CA9" w:rsidRPr="005B1CA9" w:rsidRDefault="005B1CA9" w:rsidP="005B1CA9">
      <w:pPr>
        <w:jc w:val="both"/>
        <w:rPr>
          <w:rFonts w:ascii="Palatino Linotype" w:hAnsi="Palatino Linotype"/>
          <w:i/>
          <w:iCs/>
        </w:rPr>
      </w:pPr>
      <w:r w:rsidRPr="005B1CA9">
        <w:rPr>
          <w:rFonts w:ascii="Palatino Linotype" w:hAnsi="Palatino Linotype"/>
          <w:i/>
          <w:iCs/>
        </w:rPr>
        <w:t>Source: SEBI/HO/IMD/IMD-I/DF9/P/CIR/2021/620  dated, August 26, 2021</w:t>
      </w:r>
    </w:p>
    <w:p w:rsidR="005B1CA9" w:rsidRPr="005B1CA9" w:rsidRDefault="005B1CA9" w:rsidP="008D1E7F">
      <w:pPr>
        <w:spacing w:after="160" w:line="259" w:lineRule="auto"/>
        <w:contextualSpacing/>
        <w:rPr>
          <w:rFonts w:ascii="Palatino Linotype" w:hAnsi="Palatino Linotype" w:cs="Courier New"/>
          <w:b/>
          <w:bCs/>
          <w:lang w:val="en-IN" w:eastAsia="en-IN" w:bidi="hi-IN"/>
        </w:rPr>
      </w:pPr>
    </w:p>
    <w:p w:rsidR="005B1CA9" w:rsidRPr="005B1CA9" w:rsidRDefault="005B1CA9" w:rsidP="005B1CA9">
      <w:pPr>
        <w:spacing w:after="160" w:line="259" w:lineRule="auto"/>
        <w:jc w:val="both"/>
        <w:rPr>
          <w:rFonts w:ascii="Palatino Linotype" w:hAnsi="Palatino Linotype"/>
          <w:b/>
          <w:bCs/>
        </w:rPr>
      </w:pPr>
      <w:r>
        <w:rPr>
          <w:rFonts w:ascii="Palatino Linotype" w:hAnsi="Palatino Linotype"/>
          <w:b/>
          <w:bCs/>
        </w:rPr>
        <w:t xml:space="preserve">14.     </w:t>
      </w:r>
      <w:r w:rsidRPr="005B1CA9">
        <w:rPr>
          <w:rFonts w:ascii="Palatino Linotype" w:hAnsi="Palatino Linotype"/>
          <w:b/>
          <w:bCs/>
        </w:rPr>
        <w:t>Extension of time to IAs for seeking membership of BASL</w:t>
      </w:r>
    </w:p>
    <w:p w:rsidR="005B1CA9" w:rsidRPr="005B1CA9" w:rsidRDefault="005B1CA9" w:rsidP="005B1CA9">
      <w:pPr>
        <w:jc w:val="both"/>
        <w:rPr>
          <w:rFonts w:ascii="Palatino Linotype" w:hAnsi="Palatino Linotype"/>
        </w:rPr>
      </w:pPr>
      <w:r w:rsidRPr="005B1CA9">
        <w:rPr>
          <w:rFonts w:ascii="Palatino Linotype" w:hAnsi="Palatino Linotype"/>
        </w:rPr>
        <w:t>SEBI had granted recognition to BSE Administration &amp; Supervision Limited (BASL), for administration and supervision of Investment Advisers for a period of three years from June 01, 2021. All existing IAs were advised to seek membership of BASL by August 31, 2021. This timeline has been extended vide the present circular till October 31, 2021. The IAs who fail to seek membership of BASL within timeline shall be liable for appropriate action including suspension or cancellation of certificate of registration.</w:t>
      </w:r>
    </w:p>
    <w:p w:rsidR="005B1CA9" w:rsidRPr="005B1CA9" w:rsidRDefault="005B1CA9" w:rsidP="005B1CA9">
      <w:pPr>
        <w:jc w:val="both"/>
        <w:rPr>
          <w:rFonts w:ascii="Palatino Linotype" w:hAnsi="Palatino Linotype"/>
        </w:rPr>
      </w:pPr>
    </w:p>
    <w:p w:rsidR="005B1CA9" w:rsidRPr="005B1CA9" w:rsidRDefault="005B1CA9" w:rsidP="005B1CA9">
      <w:pPr>
        <w:jc w:val="both"/>
        <w:rPr>
          <w:rFonts w:ascii="Palatino Linotype" w:hAnsi="Palatino Linotype"/>
          <w:i/>
          <w:iCs/>
        </w:rPr>
      </w:pPr>
      <w:r w:rsidRPr="005B1CA9">
        <w:rPr>
          <w:rFonts w:ascii="Palatino Linotype" w:hAnsi="Palatino Linotype"/>
          <w:i/>
          <w:iCs/>
        </w:rPr>
        <w:t>Ref : SEBI/HO/IMD/IMD-I/DOF1/P/CIR/2021/622 dated August 31,2021</w:t>
      </w:r>
    </w:p>
    <w:p w:rsidR="005B1CA9" w:rsidRPr="005B1CA9" w:rsidRDefault="005B1CA9" w:rsidP="005B1CA9">
      <w:pPr>
        <w:jc w:val="both"/>
        <w:rPr>
          <w:rFonts w:ascii="Palatino Linotype" w:hAnsi="Palatino Linotype"/>
        </w:rPr>
      </w:pPr>
    </w:p>
    <w:p w:rsidR="005B1CA9" w:rsidRPr="005B1CA9" w:rsidRDefault="005B1CA9" w:rsidP="005B1CA9">
      <w:pPr>
        <w:spacing w:after="160" w:line="259" w:lineRule="auto"/>
        <w:jc w:val="both"/>
        <w:rPr>
          <w:rFonts w:ascii="Palatino Linotype" w:hAnsi="Palatino Linotype"/>
          <w:b/>
          <w:bCs/>
        </w:rPr>
      </w:pPr>
      <w:r>
        <w:rPr>
          <w:rFonts w:ascii="Palatino Linotype" w:hAnsi="Palatino Linotype"/>
          <w:b/>
          <w:bCs/>
        </w:rPr>
        <w:t xml:space="preserve">15.     </w:t>
      </w:r>
      <w:r w:rsidRPr="005B1CA9">
        <w:rPr>
          <w:rFonts w:ascii="Palatino Linotype" w:hAnsi="Palatino Linotype"/>
          <w:b/>
          <w:bCs/>
        </w:rPr>
        <w:t>Disclosure of  risk-o-meter  of  scheme,  benchmark  and  portfolio  details to the investors</w:t>
      </w:r>
    </w:p>
    <w:p w:rsidR="005B1CA9" w:rsidRPr="005B1CA9" w:rsidRDefault="005B1CA9" w:rsidP="005B1CA9">
      <w:pPr>
        <w:jc w:val="both"/>
        <w:rPr>
          <w:rFonts w:ascii="Palatino Linotype" w:hAnsi="Palatino Linotype"/>
        </w:rPr>
      </w:pPr>
      <w:r w:rsidRPr="005B1CA9">
        <w:rPr>
          <w:rFonts w:ascii="Palatino Linotype" w:hAnsi="Palatino Linotype"/>
        </w:rPr>
        <w:t>It has been decided that AMCs shall disclose risk-o-meter of the scheme and benchmark wherever the performance of the scheme vis-à-vis that of the benchmark is disclosed, in all disclosures, including promotional material or that stipulated by SEBI. The disclosure requirement of the risk-o-meter of benchmark is applicable for primary benchmark which is specified in the Scheme Information Document. AMCs shall enter into arrangements with their selected Index providers to provide the risk-o-meter for their benchmarks to the AMCs latest by the fifth day subsequent to the end of the month.</w:t>
      </w:r>
    </w:p>
    <w:p w:rsidR="005B1CA9" w:rsidRPr="005B1CA9" w:rsidRDefault="005B1CA9" w:rsidP="005B1CA9">
      <w:pPr>
        <w:jc w:val="both"/>
        <w:rPr>
          <w:rFonts w:ascii="Palatino Linotype" w:hAnsi="Palatino Linotype"/>
        </w:rPr>
      </w:pPr>
    </w:p>
    <w:p w:rsidR="005B1CA9" w:rsidRPr="005B1CA9" w:rsidRDefault="005B1CA9" w:rsidP="005B1CA9">
      <w:pPr>
        <w:jc w:val="both"/>
        <w:rPr>
          <w:rFonts w:ascii="Palatino Linotype" w:hAnsi="Palatino Linotype"/>
          <w:i/>
          <w:iCs/>
        </w:rPr>
      </w:pPr>
      <w:r w:rsidRPr="005B1CA9">
        <w:rPr>
          <w:rFonts w:ascii="Palatino Linotype" w:hAnsi="Palatino Linotype"/>
          <w:i/>
          <w:iCs/>
          <w:sz w:val="23"/>
          <w:szCs w:val="23"/>
          <w:shd w:val="clear" w:color="auto" w:fill="FFFFFF"/>
        </w:rPr>
        <w:t xml:space="preserve">Ref: SEBI/HO/IMD/IMD-II DOF3/P/CIR/2021/621 </w:t>
      </w:r>
      <w:r w:rsidRPr="005B1CA9">
        <w:rPr>
          <w:rFonts w:ascii="Palatino Linotype" w:hAnsi="Palatino Linotype"/>
          <w:i/>
          <w:iCs/>
        </w:rPr>
        <w:t>dated August 31, 2021</w:t>
      </w:r>
    </w:p>
    <w:p w:rsidR="008D1E7F" w:rsidRDefault="008D1E7F" w:rsidP="00F025AD">
      <w:pPr>
        <w:spacing w:after="120"/>
        <w:rPr>
          <w:rFonts w:ascii="Garamond" w:hAnsi="Garamond" w:cs="Arial"/>
          <w:i/>
          <w:szCs w:val="32"/>
        </w:rPr>
      </w:pPr>
    </w:p>
    <w:p w:rsidR="00D80A78" w:rsidRDefault="00284E34" w:rsidP="005B1CA9">
      <w:pPr>
        <w:spacing w:after="120"/>
        <w:rPr>
          <w:rFonts w:ascii="Palatino Linotype" w:hAnsi="Palatino Linotype"/>
          <w:b/>
          <w:sz w:val="28"/>
          <w:szCs w:val="28"/>
        </w:rPr>
      </w:pPr>
      <w:r w:rsidRPr="008570C3">
        <w:rPr>
          <w:rFonts w:ascii="Garamond" w:hAnsi="Garamond" w:cs="Arial"/>
          <w:i/>
          <w:szCs w:val="32"/>
        </w:rPr>
        <w:t>Disclaimer: The summary has been prepared for the convenience of readers. In case of any ambiguity, please refer to the original circular.</w:t>
      </w:r>
    </w:p>
    <w:p w:rsidR="00D80A78" w:rsidRDefault="00D80A78" w:rsidP="00F025AD">
      <w:pPr>
        <w:spacing w:after="120"/>
        <w:jc w:val="center"/>
        <w:rPr>
          <w:rFonts w:ascii="Palatino Linotype" w:hAnsi="Palatino Linotype"/>
          <w:b/>
          <w:sz w:val="28"/>
          <w:szCs w:val="28"/>
        </w:rPr>
      </w:pPr>
    </w:p>
    <w:p w:rsidR="00272724" w:rsidRPr="004752BB" w:rsidRDefault="00272724" w:rsidP="00F025AD">
      <w:pPr>
        <w:spacing w:after="120"/>
        <w:jc w:val="center"/>
        <w:rPr>
          <w:rFonts w:ascii="Palatino Linotype" w:hAnsi="Palatino Linotype"/>
          <w:b/>
          <w:sz w:val="28"/>
          <w:szCs w:val="28"/>
        </w:rPr>
      </w:pPr>
      <w:r w:rsidRPr="004752BB">
        <w:rPr>
          <w:rFonts w:ascii="Palatino Linotype" w:hAnsi="Palatino Linotype"/>
          <w:b/>
          <w:sz w:val="28"/>
          <w:szCs w:val="28"/>
        </w:rPr>
        <w:t>REGULATORY ACTIONS TAKEN BY SEBI</w:t>
      </w:r>
    </w:p>
    <w:p w:rsidR="00272724" w:rsidRDefault="00272724" w:rsidP="00272724">
      <w:pPr>
        <w:rPr>
          <w:rFonts w:ascii="Palatino Linotype" w:hAnsi="Palatino Linotype"/>
          <w:b/>
          <w:sz w:val="40"/>
          <w:szCs w:val="40"/>
        </w:rPr>
      </w:pPr>
    </w:p>
    <w:p w:rsidR="00272724" w:rsidRDefault="00272724" w:rsidP="00272724">
      <w:pPr>
        <w:rPr>
          <w:rFonts w:ascii="Palatino Linotype" w:hAnsi="Palatino Linotype"/>
          <w:b/>
        </w:rPr>
      </w:pPr>
      <w:r w:rsidRPr="009E191B">
        <w:rPr>
          <w:rFonts w:ascii="Palatino Linotype" w:hAnsi="Palatino Linotype"/>
          <w:b/>
        </w:rPr>
        <w:t xml:space="preserve">Orders passed by </w:t>
      </w:r>
      <w:r>
        <w:rPr>
          <w:rFonts w:ascii="Palatino Linotype" w:hAnsi="Palatino Linotype"/>
          <w:b/>
        </w:rPr>
        <w:t xml:space="preserve">Whole Time </w:t>
      </w:r>
      <w:r w:rsidRPr="009E191B">
        <w:rPr>
          <w:rFonts w:ascii="Palatino Linotype" w:hAnsi="Palatino Linotype"/>
          <w:b/>
        </w:rPr>
        <w:t>Member</w:t>
      </w:r>
      <w:r>
        <w:rPr>
          <w:rFonts w:ascii="Palatino Linotype" w:hAnsi="Palatino Linotype"/>
          <w:b/>
        </w:rPr>
        <w:t>s</w:t>
      </w:r>
      <w:r w:rsidR="00F9747C">
        <w:rPr>
          <w:rFonts w:ascii="Palatino Linotype" w:hAnsi="Palatino Linotype"/>
          <w:b/>
        </w:rPr>
        <w:t xml:space="preserve"> / Adjudication Officers</w:t>
      </w:r>
      <w:r>
        <w:rPr>
          <w:rFonts w:ascii="Palatino Linotype" w:hAnsi="Palatino Linotype"/>
          <w:b/>
        </w:rPr>
        <w:t>:</w:t>
      </w:r>
    </w:p>
    <w:p w:rsidR="00A07B14" w:rsidRDefault="00A07B14" w:rsidP="00272724">
      <w:pPr>
        <w:rPr>
          <w:rFonts w:ascii="Palatino Linotype" w:hAnsi="Palatino Linotype"/>
          <w:b/>
        </w:rPr>
      </w:pPr>
    </w:p>
    <w:tbl>
      <w:tblPr>
        <w:tblW w:w="11482" w:type="dxa"/>
        <w:tblInd w:w="-714" w:type="dxa"/>
        <w:tblLayout w:type="fixed"/>
        <w:tblLook w:val="04A0" w:firstRow="1" w:lastRow="0" w:firstColumn="1" w:lastColumn="0" w:noHBand="0" w:noVBand="1"/>
      </w:tblPr>
      <w:tblGrid>
        <w:gridCol w:w="567"/>
        <w:gridCol w:w="1276"/>
        <w:gridCol w:w="2127"/>
        <w:gridCol w:w="1559"/>
        <w:gridCol w:w="2126"/>
        <w:gridCol w:w="2268"/>
        <w:gridCol w:w="1559"/>
      </w:tblGrid>
      <w:tr w:rsidR="000E7AC9" w:rsidRPr="00B83873" w:rsidTr="00514244">
        <w:trPr>
          <w:trHeight w:val="300"/>
        </w:trPr>
        <w:tc>
          <w:tcPr>
            <w:tcW w:w="567" w:type="dxa"/>
            <w:tcBorders>
              <w:top w:val="single" w:sz="4" w:space="0" w:color="auto"/>
              <w:left w:val="single" w:sz="4" w:space="0" w:color="auto"/>
              <w:bottom w:val="single" w:sz="4" w:space="0" w:color="auto"/>
              <w:right w:val="single" w:sz="4" w:space="0" w:color="auto"/>
            </w:tcBorders>
          </w:tcPr>
          <w:p w:rsidR="000E7AC9" w:rsidRDefault="000E7AC9" w:rsidP="00BA55C5">
            <w:pPr>
              <w:jc w:val="center"/>
              <w:rPr>
                <w:rFonts w:ascii="Palatino Linotype" w:hAnsi="Palatino Linotype" w:cs="Calibri"/>
                <w:b/>
                <w:bCs/>
                <w:color w:val="000000"/>
                <w:sz w:val="20"/>
                <w:szCs w:val="20"/>
                <w:lang w:val="en-IN" w:eastAsia="en-IN" w:bidi="hi-IN"/>
              </w:rPr>
            </w:pPr>
            <w:r>
              <w:rPr>
                <w:rFonts w:ascii="Palatino Linotype" w:hAnsi="Palatino Linotype" w:cs="Calibri"/>
                <w:b/>
                <w:bCs/>
                <w:color w:val="000000"/>
                <w:sz w:val="20"/>
                <w:szCs w:val="20"/>
                <w:lang w:val="en-IN" w:eastAsia="en-IN" w:bidi="hi-IN"/>
              </w:rPr>
              <w:t>Sl.</w:t>
            </w:r>
          </w:p>
          <w:p w:rsidR="000E7AC9" w:rsidRPr="00B83873" w:rsidRDefault="000E7AC9" w:rsidP="00BA55C5">
            <w:pPr>
              <w:jc w:val="center"/>
              <w:rPr>
                <w:rFonts w:ascii="Palatino Linotype" w:hAnsi="Palatino Linotype" w:cs="Calibri"/>
                <w:b/>
                <w:bCs/>
                <w:color w:val="000000"/>
                <w:sz w:val="20"/>
                <w:szCs w:val="20"/>
                <w:lang w:val="en-IN" w:eastAsia="en-IN" w:bidi="hi-IN"/>
              </w:rPr>
            </w:pPr>
            <w:r>
              <w:rPr>
                <w:rFonts w:ascii="Palatino Linotype" w:hAnsi="Palatino Linotype" w:cs="Calibri"/>
                <w:b/>
                <w:bCs/>
                <w:color w:val="000000"/>
                <w:sz w:val="20"/>
                <w:szCs w:val="20"/>
                <w:lang w:val="en-IN" w:eastAsia="en-IN" w:bidi="hi-IN"/>
              </w:rPr>
              <w:t>No.</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Date</w:t>
            </w:r>
          </w:p>
        </w:tc>
        <w:tc>
          <w:tcPr>
            <w:tcW w:w="2127"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Case 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 xml:space="preserve">Action </w:t>
            </w:r>
          </w:p>
        </w:tc>
        <w:tc>
          <w:tcPr>
            <w:tcW w:w="2126"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Entity</w:t>
            </w:r>
          </w:p>
        </w:tc>
        <w:tc>
          <w:tcPr>
            <w:tcW w:w="2268"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Violation</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PENALTY</w:t>
            </w:r>
            <w:r>
              <w:rPr>
                <w:rFonts w:ascii="Palatino Linotype" w:hAnsi="Palatino Linotype" w:cs="Calibri"/>
                <w:b/>
                <w:bCs/>
                <w:color w:val="000000"/>
                <w:sz w:val="20"/>
                <w:szCs w:val="20"/>
                <w:lang w:val="en-IN" w:eastAsia="en-IN" w:bidi="hi-IN"/>
              </w:rPr>
              <w:t xml:space="preserve"> (</w:t>
            </w:r>
            <w:r w:rsidRPr="00D22F0B">
              <w:rPr>
                <w:rFonts w:ascii="Rupee Foradian" w:hAnsi="Rupee Foradian" w:cs="Calibri"/>
                <w:b/>
                <w:bCs/>
                <w:color w:val="000000"/>
                <w:sz w:val="20"/>
                <w:szCs w:val="20"/>
                <w:lang w:val="en-IN" w:eastAsia="en-IN" w:bidi="hi-IN"/>
              </w:rPr>
              <w:t>`</w:t>
            </w:r>
            <w:r>
              <w:rPr>
                <w:rFonts w:ascii="Palatino Linotype" w:hAnsi="Palatino Linotype" w:cs="Calibri"/>
                <w:b/>
                <w:bCs/>
                <w:color w:val="000000"/>
                <w:sz w:val="20"/>
                <w:szCs w:val="20"/>
                <w:lang w:val="en-IN" w:eastAsia="en-IN" w:bidi="hi-IN"/>
              </w:rPr>
              <w:t>)</w:t>
            </w:r>
          </w:p>
        </w:tc>
      </w:tr>
      <w:tr w:rsidR="00514244" w:rsidRPr="00B83873" w:rsidTr="00514244">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1</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02/08/2021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Green Money Solution</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eastAsia="Calibri" w:hAnsi="Palatino Linotype" w:cs="Mangal"/>
                <w:sz w:val="21"/>
                <w:szCs w:val="21"/>
                <w:lang w:bidi="hi-IN"/>
              </w:rPr>
              <w:t>M/s. Green Money Solution and its Proprietor Mr. Arvind Patidar</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eastAsia="Calibri" w:hAnsi="Palatino Linotype" w:cs="Mangal"/>
                <w:sz w:val="21"/>
                <w:szCs w:val="21"/>
                <w:lang w:bidi="hi-IN"/>
              </w:rPr>
              <w:t>Section 12(1) of SEBI Act, read with regulation 3(1) of the IA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eastAsia="Calibri" w:hAnsi="Palatino Linotype" w:cs="Mangal"/>
                <w:sz w:val="21"/>
                <w:szCs w:val="21"/>
                <w:lang w:bidi="hi-IN"/>
              </w:rPr>
              <w:t>-</w:t>
            </w:r>
          </w:p>
        </w:tc>
      </w:tr>
      <w:tr w:rsidR="00514244" w:rsidRPr="00B83873" w:rsidTr="00514244">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2</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03/08/2021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Global Portfolio Management</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Proprietor -  Imran Khan</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eastAsia="Calibri" w:hAnsi="Palatino Linotype" w:cs="Mangal"/>
                <w:sz w:val="21"/>
                <w:szCs w:val="21"/>
                <w:lang w:bidi="hi-IN"/>
              </w:rPr>
              <w:t>Provisions of SEBI Act, 1992, regulation 3 of the PMS Regulations, 1993,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eastAsia="Calibri" w:hAnsi="Palatino Linotype" w:cs="Mangal"/>
                <w:sz w:val="21"/>
                <w:szCs w:val="21"/>
                <w:lang w:bidi="hi-IN"/>
              </w:rPr>
              <w:t>-</w:t>
            </w:r>
          </w:p>
        </w:tc>
      </w:tr>
      <w:tr w:rsidR="00514244" w:rsidRPr="00B83873" w:rsidTr="00514244">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3</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05/08/2021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Sai Soft Securities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Sai Soft Securities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eastAsia="Calibri" w:hAnsi="Palatino Linotype" w:cs="Mangal"/>
                <w:sz w:val="21"/>
                <w:szCs w:val="21"/>
                <w:lang w:bidi="hi-IN"/>
              </w:rPr>
              <w:t>SEBI (Stock Broker) Regulations, 1992, Clauses  A(2)  and  A(5)  of  the  Code  of  Conduct  prescribed  for  stock  brokers contained  in Schedule  Ilof  the  Intermediary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eastAsia="Calibri" w:hAnsi="Palatino Linotype" w:cs="Mangal"/>
                <w:sz w:val="21"/>
                <w:szCs w:val="21"/>
                <w:lang w:bidi="hi-IN"/>
              </w:rPr>
              <w:t>-</w:t>
            </w:r>
          </w:p>
        </w:tc>
      </w:tr>
      <w:tr w:rsidR="00514244" w:rsidRPr="00B83873" w:rsidTr="00514244">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4</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06/08/2021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Amrapali Aadya Trading &amp; Investment Pvt.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Amrapali Aadya Trading &amp; Investment Pvt. Ltd. and 8 others</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eastAsia="Calibri" w:hAnsi="Palatino Linotype" w:cs="Mangal"/>
                <w:sz w:val="21"/>
                <w:szCs w:val="21"/>
                <w:lang w:bidi="hi-IN"/>
              </w:rPr>
              <w:t>Various provisions of SEBI Act, 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eastAsia="Calibri" w:hAnsi="Palatino Linotype" w:cs="Mangal"/>
                <w:sz w:val="21"/>
                <w:szCs w:val="21"/>
                <w:lang w:bidi="hi-IN"/>
              </w:rPr>
              <w:t>-</w:t>
            </w:r>
          </w:p>
        </w:tc>
      </w:tr>
      <w:tr w:rsidR="00514244" w:rsidRPr="00B83873" w:rsidTr="00514244">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5</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06/08/2021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Jaisukh Dealers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 xml:space="preserve">Jaisukh Dealers Limited and 6 others </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lang w:bidi="hi-IN"/>
              </w:rPr>
            </w:pPr>
            <w:r w:rsidRPr="00A379E0">
              <w:rPr>
                <w:rFonts w:ascii="Palatino Linotype" w:eastAsia="Calibri" w:hAnsi="Palatino Linotype" w:cs="Mangal"/>
                <w:sz w:val="21"/>
                <w:szCs w:val="21"/>
                <w:lang w:bidi="hi-IN"/>
              </w:rPr>
              <w:t xml:space="preserve">Various provisions of LODR Regulations 2015, </w:t>
            </w:r>
          </w:p>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eastAsia="Calibri" w:hAnsi="Palatino Linotype" w:cs="Mangal"/>
                <w:sz w:val="21"/>
                <w:szCs w:val="21"/>
                <w:lang w:bidi="hi-IN"/>
              </w:rPr>
              <w:t>Securities Contracts  (Regulation)  Act,  1956,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eastAsia="Calibri" w:hAnsi="Palatino Linotype" w:cs="Mangal"/>
                <w:sz w:val="21"/>
                <w:szCs w:val="21"/>
                <w:lang w:bidi="hi-IN"/>
              </w:rPr>
              <w:t>73,00,000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6</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09/08/2021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Allied Financial Services Pvt. Ltd.–Mutual Fund Digi Locker</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Mutual Fund Digi Locker, Pankaj Garg, and Jitender Malhotra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sz w:val="21"/>
                <w:szCs w:val="21"/>
              </w:rPr>
              <w:t>Regulations 3 (a) and 4 (1)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sz w:val="21"/>
                <w:szCs w:val="21"/>
              </w:rPr>
              <w:t>15,00,000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7</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11/08/2021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Riddhi Siddhi Gluco Biols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 xml:space="preserve">Ganpatraj Lalchand Chowdhary and 28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eastAsia="Calibri" w:hAnsi="Palatino Linotype" w:cs="Mangal"/>
                <w:sz w:val="21"/>
                <w:szCs w:val="21"/>
              </w:rPr>
            </w:pPr>
            <w:r w:rsidRPr="00A379E0">
              <w:rPr>
                <w:rFonts w:ascii="Palatino Linotype" w:hAnsi="Palatino Linotype"/>
                <w:sz w:val="21"/>
                <w:szCs w:val="21"/>
              </w:rPr>
              <w:t>Sections 12A(a), (b) and (c) of SEBI Act, 1992 read with  Regulations  3(a),  (b),  (c),  (d),  4(1)  &amp;  4(2)(a)  of  PFUTP  Regulations,  2003 and Regulations 4(5)(a), (b) &amp;(c) of Delisting Regulations, Provisions of LODR regulations, SCR Act 1956.</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right"/>
              <w:rPr>
                <w:rFonts w:ascii="Palatino Linotype" w:eastAsia="Calibri" w:hAnsi="Palatino Linotype" w:cs="Mangal"/>
                <w:sz w:val="21"/>
                <w:szCs w:val="21"/>
              </w:rPr>
            </w:pPr>
            <w:r w:rsidRPr="00A379E0">
              <w:rPr>
                <w:rFonts w:ascii="Palatino Linotype" w:hAnsi="Palatino Linotype"/>
                <w:sz w:val="21"/>
                <w:szCs w:val="21"/>
              </w:rPr>
              <w:t>-</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8</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11/08/2021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Eskay K‘n’it India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 xml:space="preserve">Eskay   K‘n’it   India Limited and 6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eastAsia="Calibri" w:hAnsi="Palatino Linotype" w:cs="Mangal"/>
                <w:sz w:val="21"/>
                <w:szCs w:val="21"/>
              </w:rPr>
            </w:pPr>
            <w:r w:rsidRPr="00A379E0">
              <w:rPr>
                <w:rFonts w:ascii="Palatino Linotype" w:hAnsi="Palatino Linotype"/>
                <w:sz w:val="21"/>
                <w:szCs w:val="21"/>
              </w:rPr>
              <w:t>Provisions of LODR regulations, SEBI Act</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E9668E">
            <w:pPr>
              <w:jc w:val="right"/>
              <w:rPr>
                <w:rFonts w:ascii="Palatino Linotype" w:eastAsia="Calibri" w:hAnsi="Palatino Linotype" w:cs="Mangal"/>
                <w:sz w:val="21"/>
                <w:szCs w:val="21"/>
              </w:rPr>
            </w:pPr>
            <w:r w:rsidRPr="00A379E0">
              <w:rPr>
                <w:rFonts w:ascii="Palatino Linotype" w:hAnsi="Palatino Linotype"/>
                <w:sz w:val="21"/>
                <w:szCs w:val="21"/>
              </w:rPr>
              <w:t>68,00,000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9</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12/08/2021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Zee Entertainment Enterprises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 xml:space="preserve">Bijal Shah and 14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eastAsia="Calibri" w:hAnsi="Palatino Linotype" w:cs="Mangal"/>
                <w:sz w:val="21"/>
                <w:szCs w:val="21"/>
              </w:rPr>
            </w:pPr>
            <w:r w:rsidRPr="00A379E0">
              <w:rPr>
                <w:rFonts w:ascii="Palatino Linotype" w:hAnsi="Palatino Linotype"/>
                <w:sz w:val="21"/>
                <w:szCs w:val="21"/>
              </w:rPr>
              <w:t>Provisions of SEBI Act and PIT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right"/>
              <w:rPr>
                <w:rFonts w:ascii="Palatino Linotype" w:eastAsia="Calibri" w:hAnsi="Palatino Linotype" w:cs="Mangal"/>
                <w:sz w:val="21"/>
                <w:szCs w:val="21"/>
              </w:rPr>
            </w:pPr>
            <w:r w:rsidRPr="00A379E0">
              <w:rPr>
                <w:rFonts w:ascii="Palatino Linotype" w:hAnsi="Palatino Linotype"/>
                <w:sz w:val="21"/>
                <w:szCs w:val="21"/>
              </w:rPr>
              <w:t>-</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10</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12/08/2021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JHP Securities Private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JHP Securities Private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Section 19 of SEBI Act, 1992  read  with  Regulation 27 of SEBI  (Intermediaries) Regulations, 2008. provisions of Clause A(2) and A(5), C(6)  of the  Broker  Code  of  Conductread  with Regulation 7  of  Stock  Broker Regulations.</w:t>
            </w:r>
          </w:p>
          <w:p w:rsidR="00514244" w:rsidRPr="00A379E0" w:rsidRDefault="00514244" w:rsidP="00514244">
            <w:pPr>
              <w:shd w:val="clear" w:color="auto" w:fill="FFFFFF"/>
              <w:jc w:val="both"/>
              <w:rPr>
                <w:rFonts w:ascii="Palatino Linotype" w:eastAsia="Calibri" w:hAnsi="Palatino Linotype" w:cs="Mangal"/>
                <w:sz w:val="21"/>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right"/>
              <w:rPr>
                <w:rFonts w:ascii="Palatino Linotype" w:eastAsia="Calibri" w:hAnsi="Palatino Linotype" w:cs="Mangal"/>
                <w:sz w:val="21"/>
                <w:szCs w:val="21"/>
              </w:rPr>
            </w:pPr>
            <w:r w:rsidRPr="00A379E0">
              <w:rPr>
                <w:rFonts w:ascii="Palatino Linotype" w:hAnsi="Palatino Linotype"/>
                <w:sz w:val="21"/>
                <w:szCs w:val="21"/>
              </w:rPr>
              <w:t>-</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11</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13/08/2021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Teledata Technology Solutions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Teledata Technology Solutions Ltd. and 12 others</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eastAsia="Calibri" w:hAnsi="Palatino Linotype" w:cs="Mangal"/>
                <w:sz w:val="21"/>
                <w:szCs w:val="21"/>
              </w:rPr>
            </w:pPr>
            <w:r w:rsidRPr="00A379E0">
              <w:rPr>
                <w:rFonts w:ascii="Palatino Linotype" w:hAnsi="Palatino Linotype"/>
                <w:sz w:val="21"/>
                <w:szCs w:val="21"/>
              </w:rPr>
              <w:t>Provisions of SEBI Act, 1992,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right"/>
              <w:rPr>
                <w:rFonts w:ascii="Palatino Linotype" w:eastAsia="Calibri" w:hAnsi="Palatino Linotype" w:cs="Mangal"/>
                <w:sz w:val="21"/>
                <w:szCs w:val="21"/>
              </w:rPr>
            </w:pPr>
            <w:r w:rsidRPr="00A379E0">
              <w:rPr>
                <w:rFonts w:ascii="Palatino Linotype" w:hAnsi="Palatino Linotype"/>
                <w:sz w:val="21"/>
                <w:szCs w:val="21"/>
              </w:rPr>
              <w:t>-</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12</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13/08/2021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Shukul Wealth Advisory,Shukul Wealth Creator LLP and Money Founder Advisory.</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sz w:val="21"/>
                <w:szCs w:val="21"/>
              </w:rPr>
              <w:t>Shukul Wealth Advisory and 5 others</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eastAsia="Calibri" w:hAnsi="Palatino Linotype" w:cs="Mangal"/>
                <w:sz w:val="21"/>
                <w:szCs w:val="21"/>
              </w:rPr>
            </w:pPr>
            <w:r w:rsidRPr="00A379E0">
              <w:rPr>
                <w:rFonts w:ascii="Palatino Linotype" w:hAnsi="Palatino Linotype"/>
                <w:sz w:val="21"/>
                <w:szCs w:val="21"/>
              </w:rPr>
              <w:t>Provisions of SEBI Act, 1992,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right"/>
              <w:rPr>
                <w:rFonts w:ascii="Palatino Linotype" w:eastAsia="Calibri" w:hAnsi="Palatino Linotype" w:cs="Mangal"/>
                <w:sz w:val="21"/>
                <w:szCs w:val="21"/>
              </w:rPr>
            </w:pPr>
            <w:r w:rsidRPr="00A379E0">
              <w:rPr>
                <w:rFonts w:ascii="Palatino Linotype" w:hAnsi="Palatino Linotype"/>
                <w:sz w:val="21"/>
                <w:szCs w:val="21"/>
              </w:rPr>
              <w:t>-</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13</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1C2149" w:rsidP="001C2149">
            <w:pPr>
              <w:jc w:val="both"/>
              <w:rPr>
                <w:rFonts w:ascii="Palatino Linotype" w:eastAsia="Calibri" w:hAnsi="Palatino Linotype" w:cs="Mangal"/>
                <w:sz w:val="21"/>
                <w:szCs w:val="21"/>
              </w:rPr>
            </w:pPr>
            <w:r>
              <w:rPr>
                <w:rFonts w:ascii="Palatino Linotype" w:hAnsi="Palatino Linotype" w:cs="Calibri"/>
                <w:color w:val="000000"/>
                <w:sz w:val="21"/>
                <w:szCs w:val="21"/>
              </w:rPr>
              <w:t>27/08/2021</w:t>
            </w:r>
          </w:p>
        </w:tc>
        <w:tc>
          <w:tcPr>
            <w:tcW w:w="2127" w:type="dxa"/>
            <w:tcBorders>
              <w:top w:val="single" w:sz="4" w:space="0" w:color="auto"/>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cs="Calibri"/>
                <w:color w:val="000000"/>
                <w:sz w:val="21"/>
                <w:szCs w:val="21"/>
              </w:rPr>
              <w:t>Certain Fixed Maturity Plans of Kotak Mahindra Mutual Fund</w:t>
            </w:r>
          </w:p>
        </w:tc>
        <w:tc>
          <w:tcPr>
            <w:tcW w:w="1559" w:type="dxa"/>
            <w:tcBorders>
              <w:top w:val="single" w:sz="4" w:space="0" w:color="auto"/>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cs="Calibri"/>
                <w:color w:val="000000"/>
                <w:sz w:val="21"/>
                <w:szCs w:val="21"/>
              </w:rPr>
              <w:t>11B</w:t>
            </w:r>
          </w:p>
        </w:tc>
        <w:tc>
          <w:tcPr>
            <w:tcW w:w="2126" w:type="dxa"/>
            <w:tcBorders>
              <w:top w:val="single" w:sz="4" w:space="0" w:color="auto"/>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cs="Calibri"/>
                <w:color w:val="000000"/>
                <w:sz w:val="21"/>
                <w:szCs w:val="21"/>
              </w:rPr>
              <w:t>Kotak Mahindra Asset Management Company Ltd.</w:t>
            </w:r>
          </w:p>
        </w:tc>
        <w:tc>
          <w:tcPr>
            <w:tcW w:w="2268" w:type="dxa"/>
            <w:tcBorders>
              <w:top w:val="single" w:sz="4" w:space="0" w:color="auto"/>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eastAsia="Calibri" w:hAnsi="Palatino Linotype" w:cs="Mangal"/>
                <w:sz w:val="21"/>
                <w:szCs w:val="21"/>
              </w:rPr>
            </w:pPr>
            <w:r w:rsidRPr="00A379E0">
              <w:rPr>
                <w:rFonts w:ascii="Palatino Linotype" w:hAnsi="Palatino Linotype" w:cs="Calibri"/>
                <w:color w:val="000000"/>
                <w:sz w:val="21"/>
                <w:szCs w:val="21"/>
              </w:rPr>
              <w:t>Regulations  10(a),  25  (16),  25  (19),  47, clause  9  of  the  Fifth  Schedule  read  with  Principles  of  Fair  Valuation  as prescribed under the Eighth Schedule of the MF Regulations, 1996 and SEBI circulars  SEBI/IMD/CIR  No.  16/193388/2010  dated  February  2,  2010  read with SEBI Cir/IMD/DF/6/2012 dated February 28, 2012</w:t>
            </w:r>
          </w:p>
        </w:tc>
        <w:tc>
          <w:tcPr>
            <w:tcW w:w="1559" w:type="dxa"/>
            <w:tcBorders>
              <w:top w:val="single" w:sz="4" w:space="0" w:color="auto"/>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eastAsia="Calibri" w:hAnsi="Palatino Linotype" w:cs="Mangal"/>
                <w:sz w:val="21"/>
                <w:szCs w:val="21"/>
              </w:rPr>
            </w:pPr>
            <w:r w:rsidRPr="00A379E0">
              <w:rPr>
                <w:rFonts w:ascii="Palatino Linotype" w:hAnsi="Palatino Linotype" w:cs="Calibri"/>
                <w:color w:val="000000"/>
                <w:sz w:val="21"/>
                <w:szCs w:val="21"/>
              </w:rPr>
              <w:t>50,00,000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14</w:t>
            </w:r>
          </w:p>
        </w:tc>
        <w:tc>
          <w:tcPr>
            <w:tcW w:w="1276" w:type="dxa"/>
            <w:tcBorders>
              <w:top w:val="nil"/>
              <w:left w:val="single" w:sz="4" w:space="0" w:color="auto"/>
              <w:bottom w:val="single" w:sz="4" w:space="0" w:color="auto"/>
              <w:right w:val="single" w:sz="4" w:space="0" w:color="auto"/>
            </w:tcBorders>
            <w:shd w:val="clear" w:color="auto" w:fill="auto"/>
            <w:noWrap/>
          </w:tcPr>
          <w:p w:rsidR="00514244" w:rsidRPr="00A379E0" w:rsidRDefault="00514244" w:rsidP="001C2149">
            <w:pPr>
              <w:jc w:val="both"/>
              <w:rPr>
                <w:rFonts w:ascii="Palatino Linotype" w:eastAsia="Calibri" w:hAnsi="Palatino Linotype" w:cs="Mangal"/>
                <w:sz w:val="21"/>
                <w:szCs w:val="21"/>
              </w:rPr>
            </w:pPr>
            <w:r w:rsidRPr="00A379E0">
              <w:rPr>
                <w:rFonts w:ascii="Palatino Linotype" w:hAnsi="Palatino Linotype" w:cs="Calibri"/>
                <w:color w:val="000000"/>
                <w:sz w:val="21"/>
                <w:szCs w:val="21"/>
              </w:rPr>
              <w:t>27</w:t>
            </w:r>
            <w:r w:rsidR="001C2149">
              <w:rPr>
                <w:rFonts w:ascii="Palatino Linotype" w:hAnsi="Palatino Linotype" w:cs="Calibri"/>
                <w:color w:val="000000"/>
                <w:sz w:val="21"/>
                <w:szCs w:val="21"/>
              </w:rPr>
              <w:t>/08/</w:t>
            </w:r>
            <w:r w:rsidRPr="00A379E0">
              <w:rPr>
                <w:rFonts w:ascii="Palatino Linotype" w:hAnsi="Palatino Linotype" w:cs="Calibri"/>
                <w:color w:val="000000"/>
                <w:sz w:val="21"/>
                <w:szCs w:val="21"/>
              </w:rPr>
              <w:t>2021</w:t>
            </w:r>
          </w:p>
        </w:tc>
        <w:tc>
          <w:tcPr>
            <w:tcW w:w="2127"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cs="Calibri"/>
                <w:color w:val="000000"/>
                <w:sz w:val="21"/>
                <w:szCs w:val="21"/>
              </w:rPr>
              <w:t>Sampada Chemicals Ltd.</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cs="Calibri"/>
                <w:color w:val="000000"/>
                <w:sz w:val="21"/>
                <w:szCs w:val="21"/>
              </w:rPr>
              <w:t>11B</w:t>
            </w:r>
          </w:p>
        </w:tc>
        <w:tc>
          <w:tcPr>
            <w:tcW w:w="2126"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cs="Mangal"/>
                <w:sz w:val="21"/>
                <w:szCs w:val="21"/>
              </w:rPr>
            </w:pPr>
            <w:r w:rsidRPr="00A379E0">
              <w:rPr>
                <w:rFonts w:ascii="Palatino Linotype" w:hAnsi="Palatino Linotype" w:cs="Calibri"/>
                <w:color w:val="000000"/>
                <w:sz w:val="21"/>
                <w:szCs w:val="21"/>
              </w:rPr>
              <w:t>Shyam Alcohol and Chemicals Ltd.</w:t>
            </w:r>
          </w:p>
        </w:tc>
        <w:tc>
          <w:tcPr>
            <w:tcW w:w="2268" w:type="dxa"/>
            <w:tcBorders>
              <w:top w:val="nil"/>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eastAsia="Calibri" w:hAnsi="Palatino Linotype" w:cs="Mangal"/>
                <w:sz w:val="21"/>
                <w:szCs w:val="21"/>
              </w:rPr>
            </w:pPr>
            <w:r w:rsidRPr="00A379E0">
              <w:rPr>
                <w:rFonts w:ascii="Palatino Linotype" w:hAnsi="Palatino Linotype" w:cs="Calibri"/>
                <w:color w:val="000000"/>
                <w:sz w:val="21"/>
                <w:szCs w:val="21"/>
              </w:rPr>
              <w:t>Regulation 10 read with Regulation 14 (1) of Takeover Regulations, 1997</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eastAsia="Calibri" w:hAnsi="Palatino Linotype" w:cs="Mangal"/>
                <w:sz w:val="21"/>
                <w:szCs w:val="21"/>
              </w:rPr>
            </w:pPr>
            <w:r w:rsidRPr="00A379E0">
              <w:rPr>
                <w:rFonts w:ascii="Palatino Linotype" w:hAnsi="Palatino Linotype" w:cs="Calibri"/>
                <w:color w:val="000000"/>
                <w:sz w:val="21"/>
                <w:szCs w:val="21"/>
              </w:rPr>
              <w:t>- </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15</w:t>
            </w:r>
          </w:p>
        </w:tc>
        <w:tc>
          <w:tcPr>
            <w:tcW w:w="1276" w:type="dxa"/>
            <w:tcBorders>
              <w:top w:val="nil"/>
              <w:left w:val="single" w:sz="4" w:space="0" w:color="auto"/>
              <w:bottom w:val="single" w:sz="4" w:space="0" w:color="auto"/>
              <w:right w:val="single" w:sz="4" w:space="0" w:color="auto"/>
            </w:tcBorders>
            <w:shd w:val="clear" w:color="auto" w:fill="auto"/>
            <w:noWrap/>
          </w:tcPr>
          <w:p w:rsidR="00514244" w:rsidRPr="00A379E0" w:rsidRDefault="00514244" w:rsidP="001C2149">
            <w:pPr>
              <w:jc w:val="both"/>
              <w:rPr>
                <w:rFonts w:ascii="Palatino Linotype" w:hAnsi="Palatino Linotype"/>
                <w:sz w:val="21"/>
                <w:szCs w:val="21"/>
              </w:rPr>
            </w:pPr>
            <w:r w:rsidRPr="00A379E0">
              <w:rPr>
                <w:rFonts w:ascii="Palatino Linotype" w:hAnsi="Palatino Linotype" w:cs="Calibri"/>
                <w:color w:val="000000"/>
                <w:sz w:val="21"/>
                <w:szCs w:val="21"/>
              </w:rPr>
              <w:t>27</w:t>
            </w:r>
            <w:r w:rsidR="001C2149">
              <w:rPr>
                <w:rFonts w:ascii="Palatino Linotype" w:hAnsi="Palatino Linotype" w:cs="Calibri"/>
                <w:color w:val="000000"/>
                <w:sz w:val="21"/>
                <w:szCs w:val="21"/>
              </w:rPr>
              <w:t>/08/</w:t>
            </w:r>
            <w:r w:rsidRPr="00A379E0">
              <w:rPr>
                <w:rFonts w:ascii="Palatino Linotype" w:hAnsi="Palatino Linotype" w:cs="Calibri"/>
                <w:color w:val="000000"/>
                <w:sz w:val="21"/>
                <w:szCs w:val="21"/>
              </w:rPr>
              <w:t>2021</w:t>
            </w:r>
          </w:p>
        </w:tc>
        <w:tc>
          <w:tcPr>
            <w:tcW w:w="2127"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rPr>
              <w:t>Allied Computers International (Asia) Ltd.</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rPr>
              <w:t>11B</w:t>
            </w:r>
          </w:p>
        </w:tc>
        <w:tc>
          <w:tcPr>
            <w:tcW w:w="2126"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rPr>
              <w:t>M/s Aristo Media and Entertainment Private Ltd., M/s Ethan Constructions Private Ltd.,Shri Dharmendra Rikhinchandra Shah HUF</w:t>
            </w:r>
          </w:p>
        </w:tc>
        <w:tc>
          <w:tcPr>
            <w:tcW w:w="2268" w:type="dxa"/>
            <w:tcBorders>
              <w:top w:val="nil"/>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rPr>
              <w:t>Regulations 3(a),(b),(c),(d)   and Regulation  4(1),  4(2)  (a)  and  (e)  of SEBI  (PFUTP) Regulations, 2003</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cs="Calibri"/>
                <w:color w:val="000000"/>
                <w:sz w:val="21"/>
                <w:szCs w:val="21"/>
              </w:rPr>
              <w:t>- </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16</w:t>
            </w:r>
          </w:p>
        </w:tc>
        <w:tc>
          <w:tcPr>
            <w:tcW w:w="1276" w:type="dxa"/>
            <w:tcBorders>
              <w:top w:val="nil"/>
              <w:left w:val="single" w:sz="4" w:space="0" w:color="auto"/>
              <w:bottom w:val="single" w:sz="4" w:space="0" w:color="auto"/>
              <w:right w:val="single" w:sz="4" w:space="0" w:color="auto"/>
            </w:tcBorders>
            <w:shd w:val="clear" w:color="auto" w:fill="auto"/>
            <w:noWrap/>
          </w:tcPr>
          <w:p w:rsidR="00514244" w:rsidRPr="00A379E0" w:rsidRDefault="00514244" w:rsidP="001C2149">
            <w:pPr>
              <w:jc w:val="both"/>
              <w:rPr>
                <w:rFonts w:ascii="Palatino Linotype" w:hAnsi="Palatino Linotype" w:cs="Calibri"/>
                <w:color w:val="000000"/>
                <w:sz w:val="21"/>
                <w:szCs w:val="21"/>
              </w:rPr>
            </w:pPr>
            <w:r w:rsidRPr="00A379E0">
              <w:rPr>
                <w:rFonts w:ascii="Palatino Linotype" w:hAnsi="Palatino Linotype" w:cs="Calibri"/>
                <w:color w:val="000000"/>
                <w:sz w:val="21"/>
                <w:szCs w:val="21"/>
              </w:rPr>
              <w:t>31</w:t>
            </w:r>
            <w:r w:rsidR="001C2149">
              <w:rPr>
                <w:rFonts w:ascii="Palatino Linotype" w:hAnsi="Palatino Linotype" w:cs="Calibri"/>
                <w:color w:val="000000"/>
                <w:sz w:val="21"/>
                <w:szCs w:val="21"/>
              </w:rPr>
              <w:t>/08/</w:t>
            </w:r>
            <w:r w:rsidRPr="00A379E0">
              <w:rPr>
                <w:rFonts w:ascii="Palatino Linotype" w:hAnsi="Palatino Linotype" w:cs="Calibri"/>
                <w:color w:val="000000"/>
                <w:sz w:val="21"/>
                <w:szCs w:val="21"/>
              </w:rPr>
              <w:t>2021</w:t>
            </w:r>
          </w:p>
        </w:tc>
        <w:tc>
          <w:tcPr>
            <w:tcW w:w="2127"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cs="Calibri"/>
                <w:color w:val="000000"/>
                <w:sz w:val="21"/>
                <w:szCs w:val="21"/>
              </w:rPr>
            </w:pPr>
            <w:r w:rsidRPr="00A379E0">
              <w:rPr>
                <w:rFonts w:ascii="Palatino Linotype" w:hAnsi="Palatino Linotype" w:cs="Calibri"/>
                <w:color w:val="000000"/>
                <w:sz w:val="21"/>
                <w:szCs w:val="21"/>
              </w:rPr>
              <w:t>Front Running by employee / dealer of India Infoline Group and other connected entities using Mule Accounts</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cs="Calibri"/>
                <w:color w:val="000000"/>
                <w:sz w:val="21"/>
                <w:szCs w:val="21"/>
              </w:rPr>
            </w:pPr>
            <w:r w:rsidRPr="00A379E0">
              <w:rPr>
                <w:rFonts w:ascii="Palatino Linotype" w:hAnsi="Palatino Linotype" w:cs="Calibri"/>
                <w:color w:val="000000"/>
                <w:sz w:val="21"/>
                <w:szCs w:val="21"/>
              </w:rPr>
              <w:t>11 B</w:t>
            </w:r>
          </w:p>
        </w:tc>
        <w:tc>
          <w:tcPr>
            <w:tcW w:w="2126"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cs="Calibri"/>
                <w:color w:val="000000"/>
                <w:sz w:val="21"/>
                <w:szCs w:val="21"/>
              </w:rPr>
            </w:pPr>
            <w:r w:rsidRPr="00A379E0">
              <w:rPr>
                <w:rFonts w:ascii="Palatino Linotype" w:hAnsi="Palatino Linotype" w:cs="Calibri"/>
                <w:color w:val="000000"/>
                <w:sz w:val="21"/>
                <w:szCs w:val="21"/>
              </w:rPr>
              <w:t>Mr. Santosh Brijraj Singh,Adil Gulam Suthar,Virendra Pratap Singh,  Neha Virendra Singh, Gulam mohammed    Gulam abbas    Shaikh    and        Mohammed idrish    A    Shaikh</w:t>
            </w:r>
          </w:p>
        </w:tc>
        <w:tc>
          <w:tcPr>
            <w:tcW w:w="2268" w:type="dxa"/>
            <w:tcBorders>
              <w:top w:val="nil"/>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cs="Calibri"/>
                <w:color w:val="000000"/>
                <w:sz w:val="21"/>
                <w:szCs w:val="21"/>
              </w:rPr>
            </w:pPr>
            <w:r w:rsidRPr="00A379E0">
              <w:rPr>
                <w:rFonts w:ascii="Palatino Linotype" w:hAnsi="Palatino Linotype" w:cs="Calibri"/>
                <w:color w:val="000000"/>
                <w:sz w:val="21"/>
                <w:szCs w:val="21"/>
              </w:rPr>
              <w:t>Sections 12A (a), (b) and (c) of SEBI  Act,  regulations  3  (a),  3  (b),  3  (c),  3(d)  and  4(1)  of  PFUTP  Regulations</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cs="Calibri"/>
                <w:color w:val="000000"/>
                <w:sz w:val="21"/>
                <w:szCs w:val="21"/>
              </w:rPr>
            </w:pPr>
            <w:r w:rsidRPr="00A379E0">
              <w:rPr>
                <w:rFonts w:ascii="Palatino Linotype" w:hAnsi="Palatino Linotype" w:cs="Calibri"/>
                <w:color w:val="000000"/>
                <w:sz w:val="21"/>
                <w:szCs w:val="21"/>
              </w:rPr>
              <w:t>- </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17</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04/08/2021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Nikki Global Finance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Sterling Biotech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eastAsia="Calibri" w:hAnsi="Palatino Linotype" w:cs="Mangal"/>
                <w:sz w:val="21"/>
                <w:szCs w:val="21"/>
                <w:lang w:bidi="hi-IN"/>
              </w:rPr>
              <w:t>Clause 35 and Clause 47(a) of Listing Agreement read with Section 21 of  SEBI Listing  Agreement  and Securities  Contracts (Regulation) Act, 1956</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eastAsia="Calibri" w:hAnsi="Palatino Linotype" w:cs="Mangal"/>
                <w:sz w:val="21"/>
                <w:szCs w:val="21"/>
                <w:lang w:bidi="hi-IN"/>
              </w:rPr>
              <w:t>2,00,000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18</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05/08/2021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Ashika Stock Broking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Ashika Stock Broking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eastAsia="Calibri" w:hAnsi="Palatino Linotype" w:cs="Mangal"/>
                <w:sz w:val="21"/>
                <w:szCs w:val="21"/>
                <w:lang w:bidi="hi-IN"/>
              </w:rPr>
              <w:t>Section 23D of Securities Contracts Regulation Act,  1956, SEBI  Circular  no. MIRSD/SE/Cir-19/2009   dated   December   03,   2009,   SEBI   Circular   No. CIR/MRD/DP/21/2014 dated July 1, 2014 and Clause 2(b), 4 and 16 of Code of Conduct read with Regulation 37 of SEBI (Depositories and Participants) Regulations, 2018.</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eastAsia="Calibri" w:hAnsi="Palatino Linotype" w:cs="Mangal"/>
                <w:sz w:val="21"/>
                <w:szCs w:val="21"/>
                <w:lang w:bidi="hi-IN"/>
              </w:rPr>
              <w:t>5,00,000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19</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06/08/2021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Non filing/ delayed filing of financial results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eastAsia="Calibri" w:hAnsi="Palatino Linotype" w:cs="Mangal"/>
                <w:sz w:val="21"/>
                <w:szCs w:val="21"/>
                <w:lang w:bidi="hi-IN"/>
              </w:rPr>
              <w:t>Krishna Bhagya Jala Nigam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eastAsia="Calibri" w:hAnsi="Palatino Linotype" w:cs="Mangal"/>
                <w:sz w:val="21"/>
                <w:szCs w:val="21"/>
                <w:lang w:bidi="hi-IN"/>
              </w:rPr>
              <w:t>Regulation52(1) of LODR Regulations, 2015</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eastAsia="Calibri" w:hAnsi="Palatino Linotype" w:cs="Mangal"/>
                <w:sz w:val="21"/>
                <w:szCs w:val="21"/>
                <w:lang w:bidi="hi-IN"/>
              </w:rPr>
              <w:t>1,00,000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20</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09/08/2021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Infosys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Prateek Sarawgi.</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sz w:val="21"/>
                <w:szCs w:val="21"/>
              </w:rPr>
              <w:t>Section  12A(d)  and  12A(e)  of  SEBI  Actread  with Regulation 4 (1) of SEBI (PIT) Regulations. Clause  4  of  CoC  prescribed  under  Schedule  B of  Regulations9(1)and 9(2)of SEBI (PIT) Regulations, 2015.</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sz w:val="21"/>
                <w:szCs w:val="21"/>
              </w:rPr>
              <w:t>12,00,000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21</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09/08/2021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Aviva Industries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Dineshkumar Ravishankar Raval</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sz w:val="21"/>
                <w:szCs w:val="21"/>
              </w:rPr>
              <w:t>Regulation 13(1) of the SEBI (PIT) Regulation and Regulation 29(1) read with Regulation 29(3) of the SEBI (Substantial Acquisition of Shares &amp; Takeovers) Regulations, 2011.</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sz w:val="21"/>
                <w:szCs w:val="21"/>
              </w:rPr>
              <w:t>2,00,000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22</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10/08/2021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Taksheel Solutions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 xml:space="preserve">Taksheel Solutions Ltd, Pavan Kumar Kuchana, Ramaswamy Kuchana, Durga Kuchana, Ravi Kusam.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sz w:val="21"/>
                <w:szCs w:val="21"/>
              </w:rPr>
              <w:t>Section 12A(a), (b) and (c) of SEBI Act, 1992  read with Regulation 3 (b), (c) and (d)  and 4(1), 4(2)(e), (f), (k) and (r) of SEBI (PFUTP) Regulations, 2003. Regulations 57(1), 58 (1), 60(1), 60(4) (a) and 60(7) (a)  of  SEBI  (Issue of Capital and Disclosure Requirements) Regulations,  2009  and  clauses 2(VII) (B)(4), 2(VII) (G),  2(IX)(12) and 2 (XVI) (B) (2) of Part A and Clause IX of Part D of Schedule VIII read with    Regulation    57    (2)    (a)    of    SEBI    (ICDR) Regulations, 2009.</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sz w:val="21"/>
                <w:szCs w:val="21"/>
              </w:rPr>
              <w:t>24,50,00,000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23</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10/08/2021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Videocon Industries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Electroparts (India) Pvt. Ltd, Videocon Realty,  Infrastructures Ltd, Roshi Appliances Pvt Ltd, P-Square Financial Consultancy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sz w:val="21"/>
                <w:szCs w:val="21"/>
              </w:rPr>
              <w:t>Section 2(i) read with Section 13, 16 and 18 of Securities Contracts Regulation Act, 1956, read with SEBI Notification dated October 03, 2013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sz w:val="21"/>
                <w:szCs w:val="21"/>
              </w:rPr>
              <w:t>4,00,000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24</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11/08/2021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Delta Leasing &amp; Finance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sz w:val="21"/>
                <w:szCs w:val="21"/>
              </w:rPr>
              <w:t>Delta Leasing &amp; Finance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sz w:val="21"/>
                <w:szCs w:val="21"/>
              </w:rPr>
              <w:t>Clause   35   of   the   Equity Listing   Agreement  read  with  section  21  of the SCRA, 1956</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sz w:val="21"/>
                <w:szCs w:val="21"/>
              </w:rPr>
              <w:t>2,00,000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25</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sz w:val="21"/>
                <w:szCs w:val="21"/>
                <w:lang w:val="en-IN"/>
              </w:rPr>
            </w:pPr>
            <w:r w:rsidRPr="00A379E0">
              <w:rPr>
                <w:rFonts w:ascii="Palatino Linotype" w:hAnsi="Palatino Linotype"/>
                <w:sz w:val="21"/>
                <w:szCs w:val="21"/>
              </w:rPr>
              <w:t>13/08/2021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sz w:val="21"/>
                <w:szCs w:val="21"/>
                <w:lang w:val="en-IN"/>
              </w:rPr>
            </w:pPr>
            <w:r w:rsidRPr="00A379E0">
              <w:rPr>
                <w:rFonts w:ascii="Palatino Linotype" w:hAnsi="Palatino Linotype"/>
                <w:sz w:val="21"/>
                <w:szCs w:val="21"/>
              </w:rPr>
              <w:t>M/s Nikki Global Finance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sz w:val="21"/>
                <w:szCs w:val="21"/>
                <w:lang w:val="en-IN"/>
              </w:rPr>
            </w:pPr>
            <w:r w:rsidRPr="00A379E0">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sz w:val="21"/>
                <w:szCs w:val="21"/>
                <w:lang w:val="en-IN"/>
              </w:rPr>
            </w:pPr>
            <w:r w:rsidRPr="00A379E0">
              <w:rPr>
                <w:rFonts w:ascii="Palatino Linotype" w:hAnsi="Palatino Linotype"/>
                <w:sz w:val="21"/>
                <w:szCs w:val="21"/>
              </w:rPr>
              <w:t>Anand Kumar Chaurasia, Kamal Kishore Chaurasia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eastAsia="Calibri" w:hAnsi="Palatino Linotype"/>
                <w:sz w:val="21"/>
                <w:szCs w:val="21"/>
                <w:lang w:val="en-IN"/>
              </w:rPr>
            </w:pPr>
            <w:r w:rsidRPr="00A379E0">
              <w:rPr>
                <w:rFonts w:ascii="Palatino Linotype" w:hAnsi="Palatino Linotype"/>
                <w:sz w:val="21"/>
                <w:szCs w:val="21"/>
              </w:rPr>
              <w:t>Regulations 10 and 11 (1) of SAST Regulations, 1997 r/w regulation 35(2) of SAST Regulations, 2011</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right"/>
              <w:rPr>
                <w:rFonts w:ascii="Palatino Linotype" w:eastAsia="Calibri" w:hAnsi="Palatino Linotype"/>
                <w:sz w:val="21"/>
                <w:szCs w:val="21"/>
                <w:lang w:val="en-IN"/>
              </w:rPr>
            </w:pPr>
            <w:r w:rsidRPr="00A379E0">
              <w:rPr>
                <w:rFonts w:ascii="Palatino Linotype" w:hAnsi="Palatino Linotype"/>
                <w:sz w:val="21"/>
                <w:szCs w:val="21"/>
              </w:rPr>
              <w:t>2,00,000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26</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sz w:val="21"/>
                <w:szCs w:val="21"/>
                <w:lang w:val="en-IN"/>
              </w:rPr>
            </w:pPr>
            <w:r w:rsidRPr="00A379E0">
              <w:rPr>
                <w:rFonts w:ascii="Palatino Linotype" w:hAnsi="Palatino Linotype"/>
                <w:sz w:val="21"/>
                <w:szCs w:val="21"/>
              </w:rPr>
              <w:t>13/08/2021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sz w:val="21"/>
                <w:szCs w:val="21"/>
                <w:lang w:val="en-IN"/>
              </w:rPr>
            </w:pPr>
            <w:r w:rsidRPr="00A379E0">
              <w:rPr>
                <w:rFonts w:ascii="Palatino Linotype" w:hAnsi="Palatino Linotype"/>
                <w:sz w:val="21"/>
                <w:szCs w:val="21"/>
              </w:rPr>
              <w:t>Illiquid Stock Options on the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sz w:val="21"/>
                <w:szCs w:val="21"/>
                <w:lang w:val="en-IN"/>
              </w:rPr>
            </w:pPr>
            <w:r w:rsidRPr="00A379E0">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sz w:val="21"/>
                <w:szCs w:val="21"/>
                <w:lang w:val="en-IN"/>
              </w:rPr>
            </w:pPr>
            <w:r w:rsidRPr="00A379E0">
              <w:rPr>
                <w:rFonts w:ascii="Palatino Linotype" w:hAnsi="Palatino Linotype"/>
                <w:sz w:val="21"/>
                <w:szCs w:val="21"/>
              </w:rPr>
              <w:t>Jayesh  Ramniklal  Dedhia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eastAsia="Calibri" w:hAnsi="Palatino Linotype"/>
                <w:sz w:val="21"/>
                <w:szCs w:val="21"/>
                <w:lang w:val="en-IN"/>
              </w:rPr>
            </w:pPr>
            <w:r w:rsidRPr="00A379E0">
              <w:rPr>
                <w:rFonts w:ascii="Palatino Linotype" w:hAnsi="Palatino Linotype"/>
                <w:sz w:val="21"/>
                <w:szCs w:val="21"/>
              </w:rPr>
              <w:t>Regulation 3(a), 4(1)and 4(2)(a)of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514244">
            <w:pPr>
              <w:jc w:val="right"/>
              <w:rPr>
                <w:rFonts w:ascii="Palatino Linotype" w:eastAsia="Calibri" w:hAnsi="Palatino Linotype"/>
                <w:sz w:val="21"/>
                <w:szCs w:val="21"/>
                <w:lang w:val="en-IN"/>
              </w:rPr>
            </w:pPr>
            <w:r w:rsidRPr="00A379E0">
              <w:rPr>
                <w:rFonts w:ascii="Palatino Linotype" w:hAnsi="Palatino Linotype"/>
                <w:sz w:val="21"/>
                <w:szCs w:val="21"/>
              </w:rPr>
              <w:t>5,00,000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27</w:t>
            </w:r>
          </w:p>
        </w:tc>
        <w:tc>
          <w:tcPr>
            <w:tcW w:w="1276" w:type="dxa"/>
            <w:tcBorders>
              <w:top w:val="nil"/>
              <w:left w:val="single" w:sz="4" w:space="0" w:color="auto"/>
              <w:bottom w:val="single" w:sz="4" w:space="0" w:color="auto"/>
              <w:right w:val="single" w:sz="4" w:space="0" w:color="auto"/>
            </w:tcBorders>
            <w:shd w:val="clear" w:color="auto" w:fill="auto"/>
            <w:noWrap/>
          </w:tcPr>
          <w:p w:rsidR="00514244" w:rsidRPr="00A379E0" w:rsidRDefault="00514244" w:rsidP="001C2149">
            <w:pPr>
              <w:jc w:val="both"/>
              <w:rPr>
                <w:rFonts w:ascii="Palatino Linotype" w:eastAsia="Calibri" w:hAnsi="Palatino Linotype"/>
                <w:sz w:val="21"/>
                <w:szCs w:val="21"/>
                <w:lang w:val="en-IN"/>
              </w:rPr>
            </w:pPr>
            <w:r w:rsidRPr="00A379E0">
              <w:rPr>
                <w:rFonts w:ascii="Palatino Linotype" w:hAnsi="Palatino Linotype" w:cs="Calibri"/>
                <w:color w:val="000000"/>
                <w:sz w:val="21"/>
                <w:szCs w:val="21"/>
                <w:lang w:bidi="hi-IN"/>
              </w:rPr>
              <w:t>24</w:t>
            </w:r>
            <w:r w:rsidR="001C2149">
              <w:rPr>
                <w:rFonts w:ascii="Palatino Linotype" w:hAnsi="Palatino Linotype" w:cs="Calibri"/>
                <w:color w:val="000000"/>
                <w:sz w:val="21"/>
                <w:szCs w:val="21"/>
                <w:lang w:bidi="hi-IN"/>
              </w:rPr>
              <w:t>/08/2021</w:t>
            </w:r>
          </w:p>
        </w:tc>
        <w:tc>
          <w:tcPr>
            <w:tcW w:w="2127"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sz w:val="21"/>
                <w:szCs w:val="21"/>
                <w:lang w:val="en-IN"/>
              </w:rPr>
            </w:pPr>
            <w:r w:rsidRPr="00A379E0">
              <w:rPr>
                <w:rFonts w:ascii="Palatino Linotype" w:hAnsi="Palatino Linotype" w:cs="Calibri"/>
                <w:color w:val="000000"/>
                <w:sz w:val="21"/>
                <w:szCs w:val="21"/>
                <w:lang w:bidi="hi-IN"/>
              </w:rPr>
              <w:t>Titan Company Ltd.</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sz w:val="21"/>
                <w:szCs w:val="21"/>
                <w:lang w:val="en-IN"/>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sz w:val="21"/>
                <w:szCs w:val="21"/>
                <w:lang w:val="en-IN"/>
              </w:rPr>
            </w:pPr>
            <w:r w:rsidRPr="00A379E0">
              <w:rPr>
                <w:rFonts w:ascii="Palatino Linotype" w:hAnsi="Palatino Linotype" w:cs="Calibri"/>
                <w:color w:val="000000"/>
                <w:sz w:val="21"/>
                <w:szCs w:val="21"/>
                <w:lang w:bidi="hi-IN"/>
              </w:rPr>
              <w:t>Mr.Muniraj Radhakrishnan</w:t>
            </w:r>
          </w:p>
        </w:tc>
        <w:tc>
          <w:tcPr>
            <w:tcW w:w="2268" w:type="dxa"/>
            <w:tcBorders>
              <w:top w:val="nil"/>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eastAsia="Calibri" w:hAnsi="Palatino Linotype"/>
                <w:sz w:val="21"/>
                <w:szCs w:val="21"/>
                <w:lang w:val="en-IN"/>
              </w:rPr>
            </w:pPr>
            <w:r w:rsidRPr="00A379E0">
              <w:rPr>
                <w:rFonts w:ascii="Palatino Linotype" w:hAnsi="Palatino Linotype" w:cs="Calibri"/>
                <w:color w:val="000000"/>
                <w:sz w:val="21"/>
                <w:szCs w:val="21"/>
                <w:lang w:bidi="hi-IN"/>
              </w:rPr>
              <w:t>Regulation  7(2)(a)  of  SEBI (PIT) Regulations, 2015</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eastAsia="Calibri" w:hAnsi="Palatino Linotype"/>
                <w:sz w:val="21"/>
                <w:szCs w:val="21"/>
                <w:lang w:val="en-IN"/>
              </w:rPr>
            </w:pPr>
            <w:r w:rsidRPr="00A379E0">
              <w:rPr>
                <w:rFonts w:ascii="Palatino Linotype" w:hAnsi="Palatino Linotype" w:cs="Calibri"/>
                <w:color w:val="000000"/>
                <w:sz w:val="21"/>
                <w:szCs w:val="21"/>
                <w:lang w:bidi="hi-IN"/>
              </w:rPr>
              <w:t>1,00,000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28</w:t>
            </w:r>
          </w:p>
        </w:tc>
        <w:tc>
          <w:tcPr>
            <w:tcW w:w="1276" w:type="dxa"/>
            <w:tcBorders>
              <w:top w:val="nil"/>
              <w:left w:val="single" w:sz="4" w:space="0" w:color="auto"/>
              <w:bottom w:val="single" w:sz="4" w:space="0" w:color="auto"/>
              <w:right w:val="single" w:sz="4" w:space="0" w:color="auto"/>
            </w:tcBorders>
            <w:shd w:val="clear" w:color="auto" w:fill="auto"/>
            <w:noWrap/>
          </w:tcPr>
          <w:p w:rsidR="00514244" w:rsidRPr="00A379E0" w:rsidRDefault="00514244" w:rsidP="001C2149">
            <w:pPr>
              <w:jc w:val="both"/>
              <w:rPr>
                <w:rFonts w:ascii="Palatino Linotype" w:eastAsia="Calibri" w:hAnsi="Palatino Linotype"/>
                <w:sz w:val="21"/>
                <w:szCs w:val="21"/>
                <w:lang w:val="en-IN"/>
              </w:rPr>
            </w:pPr>
            <w:r w:rsidRPr="00A379E0">
              <w:rPr>
                <w:rFonts w:ascii="Palatino Linotype" w:hAnsi="Palatino Linotype" w:cs="Calibri"/>
                <w:color w:val="000000"/>
                <w:sz w:val="21"/>
                <w:szCs w:val="21"/>
                <w:lang w:bidi="hi-IN"/>
              </w:rPr>
              <w:t>24</w:t>
            </w:r>
            <w:r w:rsidR="001C2149">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sz w:val="21"/>
                <w:szCs w:val="21"/>
                <w:lang w:val="en-IN"/>
              </w:rPr>
            </w:pPr>
            <w:r w:rsidRPr="00A379E0">
              <w:rPr>
                <w:rFonts w:ascii="Palatino Linotype" w:hAnsi="Palatino Linotype" w:cs="Calibri"/>
                <w:color w:val="000000"/>
                <w:sz w:val="21"/>
                <w:szCs w:val="21"/>
                <w:lang w:bidi="hi-IN"/>
              </w:rPr>
              <w:t>Titan Company Ltd.</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sz w:val="21"/>
                <w:szCs w:val="21"/>
                <w:lang w:val="en-IN"/>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sz w:val="21"/>
                <w:szCs w:val="21"/>
                <w:lang w:val="en-IN"/>
              </w:rPr>
            </w:pPr>
            <w:r w:rsidRPr="00A379E0">
              <w:rPr>
                <w:rFonts w:ascii="Palatino Linotype" w:hAnsi="Palatino Linotype" w:cs="Calibri"/>
                <w:color w:val="000000"/>
                <w:sz w:val="21"/>
                <w:szCs w:val="21"/>
                <w:lang w:bidi="hi-IN"/>
              </w:rPr>
              <w:t>Mr.Punit Kumar Juneja</w:t>
            </w:r>
          </w:p>
        </w:tc>
        <w:tc>
          <w:tcPr>
            <w:tcW w:w="2268" w:type="dxa"/>
            <w:tcBorders>
              <w:top w:val="nil"/>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eastAsia="Calibri" w:hAnsi="Palatino Linotype"/>
                <w:sz w:val="21"/>
                <w:szCs w:val="21"/>
                <w:lang w:val="en-IN"/>
              </w:rPr>
            </w:pPr>
            <w:r w:rsidRPr="00A379E0">
              <w:rPr>
                <w:rFonts w:ascii="Palatino Linotype" w:hAnsi="Palatino Linotype" w:cs="Calibri"/>
                <w:color w:val="000000"/>
                <w:sz w:val="21"/>
                <w:szCs w:val="21"/>
                <w:lang w:bidi="hi-IN"/>
              </w:rPr>
              <w:t>Regulation  7(2)(a)  of  SEBI (PIT) Regulations, 2015</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eastAsia="Calibri" w:hAnsi="Palatino Linotype"/>
                <w:sz w:val="21"/>
                <w:szCs w:val="21"/>
                <w:lang w:val="en-IN"/>
              </w:rPr>
            </w:pPr>
            <w:r w:rsidRPr="00A379E0">
              <w:rPr>
                <w:rFonts w:ascii="Palatino Linotype" w:hAnsi="Palatino Linotype" w:cs="Calibri"/>
                <w:color w:val="000000"/>
                <w:sz w:val="21"/>
                <w:szCs w:val="21"/>
                <w:lang w:bidi="hi-IN"/>
              </w:rPr>
              <w:t>1,00,000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29</w:t>
            </w:r>
          </w:p>
        </w:tc>
        <w:tc>
          <w:tcPr>
            <w:tcW w:w="1276" w:type="dxa"/>
            <w:tcBorders>
              <w:top w:val="nil"/>
              <w:left w:val="single" w:sz="4" w:space="0" w:color="auto"/>
              <w:bottom w:val="single" w:sz="4" w:space="0" w:color="auto"/>
              <w:right w:val="single" w:sz="4" w:space="0" w:color="auto"/>
            </w:tcBorders>
            <w:shd w:val="clear" w:color="auto" w:fill="auto"/>
            <w:noWrap/>
          </w:tcPr>
          <w:p w:rsidR="00514244" w:rsidRPr="00A379E0" w:rsidRDefault="00514244" w:rsidP="001C2149">
            <w:pPr>
              <w:jc w:val="both"/>
              <w:rPr>
                <w:rFonts w:ascii="Palatino Linotype" w:eastAsia="Calibri" w:hAnsi="Palatino Linotype"/>
                <w:sz w:val="21"/>
                <w:szCs w:val="21"/>
                <w:lang w:val="en-IN"/>
              </w:rPr>
            </w:pPr>
            <w:r w:rsidRPr="00A379E0">
              <w:rPr>
                <w:rFonts w:ascii="Palatino Linotype" w:hAnsi="Palatino Linotype" w:cs="Calibri"/>
                <w:color w:val="000000"/>
                <w:sz w:val="21"/>
                <w:szCs w:val="21"/>
                <w:lang w:bidi="hi-IN"/>
              </w:rPr>
              <w:t>24</w:t>
            </w:r>
            <w:r w:rsidR="001C2149">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sz w:val="21"/>
                <w:szCs w:val="21"/>
                <w:lang w:val="en-IN"/>
              </w:rPr>
            </w:pPr>
            <w:r w:rsidRPr="00A379E0">
              <w:rPr>
                <w:rFonts w:ascii="Palatino Linotype" w:hAnsi="Palatino Linotype" w:cs="Calibri"/>
                <w:color w:val="000000"/>
                <w:sz w:val="21"/>
                <w:szCs w:val="21"/>
                <w:lang w:bidi="hi-IN"/>
              </w:rPr>
              <w:t>Titan Company Ltd.</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sz w:val="21"/>
                <w:szCs w:val="21"/>
                <w:lang w:val="en-IN"/>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eastAsia="Calibri" w:hAnsi="Palatino Linotype"/>
                <w:sz w:val="21"/>
                <w:szCs w:val="21"/>
                <w:lang w:val="en-IN"/>
              </w:rPr>
            </w:pPr>
            <w:r w:rsidRPr="00A379E0">
              <w:rPr>
                <w:rFonts w:ascii="Palatino Linotype" w:hAnsi="Palatino Linotype" w:cs="Calibri"/>
                <w:color w:val="000000"/>
                <w:sz w:val="21"/>
                <w:szCs w:val="21"/>
                <w:lang w:bidi="hi-IN"/>
              </w:rPr>
              <w:t>Mr.Mekat George</w:t>
            </w:r>
          </w:p>
        </w:tc>
        <w:tc>
          <w:tcPr>
            <w:tcW w:w="2268" w:type="dxa"/>
            <w:tcBorders>
              <w:top w:val="nil"/>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eastAsia="Calibri" w:hAnsi="Palatino Linotype"/>
                <w:sz w:val="21"/>
                <w:szCs w:val="21"/>
                <w:lang w:val="en-IN"/>
              </w:rPr>
            </w:pPr>
            <w:r w:rsidRPr="00A379E0">
              <w:rPr>
                <w:rFonts w:ascii="Palatino Linotype" w:hAnsi="Palatino Linotype" w:cs="Calibri"/>
                <w:color w:val="000000"/>
                <w:sz w:val="21"/>
                <w:szCs w:val="21"/>
                <w:lang w:bidi="hi-IN"/>
              </w:rPr>
              <w:t>Regulation  7(2)(a)  of   SEBI (PIT) Regulations, 2015</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eastAsia="Calibri" w:hAnsi="Palatino Linotype"/>
                <w:sz w:val="21"/>
                <w:szCs w:val="21"/>
                <w:lang w:val="en-IN"/>
              </w:rPr>
            </w:pPr>
            <w:r w:rsidRPr="00A379E0">
              <w:rPr>
                <w:rFonts w:ascii="Palatino Linotype" w:hAnsi="Palatino Linotype" w:cs="Calibri"/>
                <w:color w:val="000000"/>
                <w:sz w:val="21"/>
                <w:szCs w:val="21"/>
                <w:lang w:bidi="hi-IN"/>
              </w:rPr>
              <w:t>1,00,000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30</w:t>
            </w:r>
          </w:p>
        </w:tc>
        <w:tc>
          <w:tcPr>
            <w:tcW w:w="1276" w:type="dxa"/>
            <w:tcBorders>
              <w:top w:val="nil"/>
              <w:left w:val="single" w:sz="4" w:space="0" w:color="auto"/>
              <w:bottom w:val="single" w:sz="4" w:space="0" w:color="auto"/>
              <w:right w:val="single" w:sz="4" w:space="0" w:color="auto"/>
            </w:tcBorders>
            <w:shd w:val="clear" w:color="auto" w:fill="auto"/>
            <w:noWrap/>
          </w:tcPr>
          <w:p w:rsidR="00514244" w:rsidRPr="00A379E0" w:rsidRDefault="00514244" w:rsidP="001C2149">
            <w:pPr>
              <w:jc w:val="both"/>
              <w:rPr>
                <w:rFonts w:ascii="Palatino Linotype" w:hAnsi="Palatino Linotype"/>
                <w:sz w:val="21"/>
                <w:szCs w:val="21"/>
              </w:rPr>
            </w:pPr>
            <w:r w:rsidRPr="00A379E0">
              <w:rPr>
                <w:rFonts w:ascii="Palatino Linotype" w:hAnsi="Palatino Linotype" w:cs="Calibri"/>
                <w:color w:val="000000"/>
                <w:sz w:val="21"/>
                <w:szCs w:val="21"/>
                <w:lang w:bidi="hi-IN"/>
              </w:rPr>
              <w:t>24</w:t>
            </w:r>
            <w:r w:rsidR="001C2149">
              <w:rPr>
                <w:rFonts w:ascii="Palatino Linotype" w:hAnsi="Palatino Linotype" w:cs="Calibri"/>
                <w:color w:val="000000"/>
                <w:sz w:val="21"/>
                <w:szCs w:val="21"/>
                <w:lang w:bidi="hi-IN"/>
              </w:rPr>
              <w:t>/08/2021</w:t>
            </w:r>
          </w:p>
        </w:tc>
        <w:tc>
          <w:tcPr>
            <w:tcW w:w="2127"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Titan Company Ltd.</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Mr.Arjun Ramji Vishwakarma</w:t>
            </w:r>
          </w:p>
        </w:tc>
        <w:tc>
          <w:tcPr>
            <w:tcW w:w="2268" w:type="dxa"/>
            <w:tcBorders>
              <w:top w:val="nil"/>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  7(2)(a)  of  SEBI (PIT) Regulations, 2015</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cs="Calibri"/>
                <w:color w:val="000000"/>
                <w:sz w:val="21"/>
                <w:szCs w:val="21"/>
                <w:lang w:bidi="hi-IN"/>
              </w:rPr>
              <w:t>1,00,000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31</w:t>
            </w:r>
          </w:p>
        </w:tc>
        <w:tc>
          <w:tcPr>
            <w:tcW w:w="1276" w:type="dxa"/>
            <w:tcBorders>
              <w:top w:val="nil"/>
              <w:left w:val="single" w:sz="4" w:space="0" w:color="auto"/>
              <w:bottom w:val="single" w:sz="4" w:space="0" w:color="auto"/>
              <w:right w:val="single" w:sz="4" w:space="0" w:color="auto"/>
            </w:tcBorders>
            <w:shd w:val="clear" w:color="auto" w:fill="auto"/>
            <w:noWrap/>
          </w:tcPr>
          <w:p w:rsidR="00514244" w:rsidRPr="00A379E0" w:rsidRDefault="00514244" w:rsidP="001C2149">
            <w:pPr>
              <w:jc w:val="both"/>
              <w:rPr>
                <w:rFonts w:ascii="Palatino Linotype" w:hAnsi="Palatino Linotype"/>
                <w:sz w:val="21"/>
                <w:szCs w:val="21"/>
              </w:rPr>
            </w:pPr>
            <w:r w:rsidRPr="00A379E0">
              <w:rPr>
                <w:rFonts w:ascii="Palatino Linotype" w:hAnsi="Palatino Linotype" w:cs="Calibri"/>
                <w:color w:val="000000"/>
                <w:sz w:val="21"/>
                <w:szCs w:val="21"/>
                <w:lang w:bidi="hi-IN"/>
              </w:rPr>
              <w:t>24</w:t>
            </w:r>
            <w:r w:rsidR="001C2149">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Titan Company Ltd.</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Mr. Gangadhar Sudheer Kallihal</w:t>
            </w:r>
          </w:p>
        </w:tc>
        <w:tc>
          <w:tcPr>
            <w:tcW w:w="2268" w:type="dxa"/>
            <w:tcBorders>
              <w:top w:val="nil"/>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  7(2)(a)  of   SEBI (PIT) Regulations, 2015</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cs="Calibri"/>
                <w:color w:val="000000"/>
                <w:sz w:val="21"/>
                <w:szCs w:val="21"/>
                <w:lang w:bidi="hi-IN"/>
              </w:rPr>
              <w:t>1,00,000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32</w:t>
            </w:r>
          </w:p>
        </w:tc>
        <w:tc>
          <w:tcPr>
            <w:tcW w:w="1276" w:type="dxa"/>
            <w:tcBorders>
              <w:top w:val="nil"/>
              <w:left w:val="single" w:sz="4" w:space="0" w:color="auto"/>
              <w:bottom w:val="single" w:sz="4" w:space="0" w:color="auto"/>
              <w:right w:val="single" w:sz="4" w:space="0" w:color="auto"/>
            </w:tcBorders>
            <w:shd w:val="clear" w:color="auto" w:fill="auto"/>
            <w:noWrap/>
          </w:tcPr>
          <w:p w:rsidR="00514244" w:rsidRPr="00A379E0" w:rsidRDefault="00514244" w:rsidP="001C2149">
            <w:pPr>
              <w:jc w:val="both"/>
              <w:rPr>
                <w:rFonts w:ascii="Palatino Linotype" w:hAnsi="Palatino Linotype"/>
                <w:sz w:val="21"/>
                <w:szCs w:val="21"/>
              </w:rPr>
            </w:pPr>
            <w:r w:rsidRPr="00A379E0">
              <w:rPr>
                <w:rFonts w:ascii="Palatino Linotype" w:hAnsi="Palatino Linotype" w:cs="Calibri"/>
                <w:color w:val="000000"/>
                <w:sz w:val="21"/>
                <w:szCs w:val="21"/>
                <w:lang w:bidi="hi-IN"/>
              </w:rPr>
              <w:t>24</w:t>
            </w:r>
            <w:r w:rsidR="001C2149">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Titan Company Ltd.</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Mr.Jayaraj P</w:t>
            </w:r>
          </w:p>
        </w:tc>
        <w:tc>
          <w:tcPr>
            <w:tcW w:w="2268" w:type="dxa"/>
            <w:tcBorders>
              <w:top w:val="nil"/>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  7(2)(a)  of   SEBI (PIT) Regulations, 2015</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cs="Calibri"/>
                <w:color w:val="000000"/>
                <w:sz w:val="21"/>
                <w:szCs w:val="21"/>
                <w:lang w:bidi="hi-IN"/>
              </w:rPr>
              <w:t>1,00,000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33</w:t>
            </w:r>
          </w:p>
        </w:tc>
        <w:tc>
          <w:tcPr>
            <w:tcW w:w="1276" w:type="dxa"/>
            <w:tcBorders>
              <w:top w:val="nil"/>
              <w:left w:val="single" w:sz="4" w:space="0" w:color="auto"/>
              <w:bottom w:val="single" w:sz="4" w:space="0" w:color="auto"/>
              <w:right w:val="single" w:sz="4" w:space="0" w:color="auto"/>
            </w:tcBorders>
            <w:shd w:val="clear" w:color="auto" w:fill="auto"/>
            <w:noWrap/>
          </w:tcPr>
          <w:p w:rsidR="00514244" w:rsidRPr="00A379E0" w:rsidRDefault="00514244" w:rsidP="001C2149">
            <w:pPr>
              <w:jc w:val="both"/>
              <w:rPr>
                <w:rFonts w:ascii="Palatino Linotype" w:hAnsi="Palatino Linotype"/>
                <w:sz w:val="21"/>
                <w:szCs w:val="21"/>
              </w:rPr>
            </w:pPr>
            <w:r w:rsidRPr="00A379E0">
              <w:rPr>
                <w:rFonts w:ascii="Palatino Linotype" w:hAnsi="Palatino Linotype" w:cs="Calibri"/>
                <w:color w:val="000000"/>
                <w:sz w:val="21"/>
                <w:szCs w:val="21"/>
                <w:lang w:bidi="hi-IN"/>
              </w:rPr>
              <w:t>25</w:t>
            </w:r>
            <w:r w:rsidR="001C2149">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Way2wealth Brokers Private Ltd.</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Way2wealth Brokers Private Ltd.</w:t>
            </w:r>
          </w:p>
        </w:tc>
        <w:tc>
          <w:tcPr>
            <w:tcW w:w="2268" w:type="dxa"/>
            <w:tcBorders>
              <w:top w:val="nil"/>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Section 23D of SCRA, 1956 read with clause 1 of SEBI circular no.  SMD/SED/CIR/93/23321 dated November     18,     1993     and     clause     3     of     Annexure     of     SEBI     circular SEBI/HO/MIRSD/MIRSD2/CIR/P/2016/95 dated September  26, 2016</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cs="Calibri"/>
                <w:color w:val="000000"/>
                <w:sz w:val="21"/>
                <w:szCs w:val="21"/>
                <w:lang w:bidi="hi-IN"/>
              </w:rPr>
              <w:t>3,00,000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34</w:t>
            </w:r>
          </w:p>
        </w:tc>
        <w:tc>
          <w:tcPr>
            <w:tcW w:w="1276" w:type="dxa"/>
            <w:tcBorders>
              <w:top w:val="nil"/>
              <w:left w:val="single" w:sz="4" w:space="0" w:color="auto"/>
              <w:bottom w:val="single" w:sz="4" w:space="0" w:color="auto"/>
              <w:right w:val="single" w:sz="4" w:space="0" w:color="auto"/>
            </w:tcBorders>
            <w:shd w:val="clear" w:color="auto" w:fill="auto"/>
            <w:noWrap/>
          </w:tcPr>
          <w:p w:rsidR="00514244" w:rsidRPr="00A379E0" w:rsidRDefault="00514244" w:rsidP="001C2149">
            <w:pPr>
              <w:jc w:val="both"/>
              <w:rPr>
                <w:rFonts w:ascii="Palatino Linotype" w:hAnsi="Palatino Linotype"/>
                <w:sz w:val="21"/>
                <w:szCs w:val="21"/>
              </w:rPr>
            </w:pPr>
            <w:r w:rsidRPr="00A379E0">
              <w:rPr>
                <w:rFonts w:ascii="Palatino Linotype" w:hAnsi="Palatino Linotype" w:cs="Calibri"/>
                <w:color w:val="000000"/>
                <w:sz w:val="21"/>
                <w:szCs w:val="21"/>
                <w:lang w:bidi="hi-IN"/>
              </w:rPr>
              <w:t>25</w:t>
            </w:r>
            <w:r w:rsidR="001C2149">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Trading of illiquid Stock options at BSE</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Jai Annanya Investments Pvt. Ltd.</w:t>
            </w:r>
          </w:p>
        </w:tc>
        <w:tc>
          <w:tcPr>
            <w:tcW w:w="2268" w:type="dxa"/>
            <w:tcBorders>
              <w:top w:val="nil"/>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 xml:space="preserve"> Regulation 3(a) and 4(1) and 4(2)(a) SEBI (PFUTP )Regulations</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cs="Calibri"/>
                <w:color w:val="000000"/>
                <w:sz w:val="21"/>
                <w:szCs w:val="21"/>
                <w:lang w:bidi="hi-IN"/>
              </w:rPr>
              <w:t>10,00,000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35</w:t>
            </w:r>
          </w:p>
        </w:tc>
        <w:tc>
          <w:tcPr>
            <w:tcW w:w="1276" w:type="dxa"/>
            <w:tcBorders>
              <w:top w:val="nil"/>
              <w:left w:val="single" w:sz="4" w:space="0" w:color="auto"/>
              <w:bottom w:val="single" w:sz="4" w:space="0" w:color="auto"/>
              <w:right w:val="single" w:sz="4" w:space="0" w:color="auto"/>
            </w:tcBorders>
            <w:shd w:val="clear" w:color="auto" w:fill="auto"/>
            <w:noWrap/>
          </w:tcPr>
          <w:p w:rsidR="00514244" w:rsidRPr="00A379E0" w:rsidRDefault="00514244" w:rsidP="001C2149">
            <w:pPr>
              <w:jc w:val="both"/>
              <w:rPr>
                <w:rFonts w:ascii="Palatino Linotype" w:hAnsi="Palatino Linotype"/>
                <w:sz w:val="21"/>
                <w:szCs w:val="21"/>
              </w:rPr>
            </w:pPr>
            <w:r w:rsidRPr="00A379E0">
              <w:rPr>
                <w:rFonts w:ascii="Palatino Linotype" w:hAnsi="Palatino Linotype" w:cs="Calibri"/>
                <w:color w:val="000000"/>
                <w:sz w:val="21"/>
                <w:szCs w:val="21"/>
                <w:lang w:bidi="hi-IN"/>
              </w:rPr>
              <w:t>25</w:t>
            </w:r>
            <w:r w:rsidR="001C2149">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Deccan Chronicle Holdings Ltd.</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 xml:space="preserve"> Capital First Ltd</w:t>
            </w:r>
          </w:p>
        </w:tc>
        <w:tc>
          <w:tcPr>
            <w:tcW w:w="2268" w:type="dxa"/>
            <w:tcBorders>
              <w:top w:val="nil"/>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  29(1)  read  with  Regulation  29(3) and  29(4)  of  SEBI  (SAST)  Regulations,  2011</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cs="Calibri"/>
                <w:color w:val="000000"/>
                <w:sz w:val="21"/>
                <w:szCs w:val="21"/>
                <w:lang w:bidi="hi-IN"/>
              </w:rPr>
              <w:t>6,00,000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36</w:t>
            </w:r>
          </w:p>
        </w:tc>
        <w:tc>
          <w:tcPr>
            <w:tcW w:w="1276" w:type="dxa"/>
            <w:tcBorders>
              <w:top w:val="nil"/>
              <w:left w:val="single" w:sz="4" w:space="0" w:color="auto"/>
              <w:bottom w:val="single" w:sz="4" w:space="0" w:color="auto"/>
              <w:right w:val="single" w:sz="4" w:space="0" w:color="auto"/>
            </w:tcBorders>
            <w:shd w:val="clear" w:color="auto" w:fill="auto"/>
            <w:noWrap/>
          </w:tcPr>
          <w:p w:rsidR="00514244" w:rsidRPr="00A379E0" w:rsidRDefault="00514244" w:rsidP="001C2149">
            <w:pPr>
              <w:jc w:val="both"/>
              <w:rPr>
                <w:rFonts w:ascii="Palatino Linotype" w:hAnsi="Palatino Linotype"/>
                <w:sz w:val="21"/>
                <w:szCs w:val="21"/>
              </w:rPr>
            </w:pPr>
            <w:r w:rsidRPr="00A379E0">
              <w:rPr>
                <w:rFonts w:ascii="Palatino Linotype" w:hAnsi="Palatino Linotype" w:cs="Calibri"/>
                <w:color w:val="000000"/>
                <w:sz w:val="21"/>
                <w:szCs w:val="21"/>
                <w:lang w:bidi="hi-IN"/>
              </w:rPr>
              <w:t>25</w:t>
            </w:r>
            <w:r w:rsidR="001C2149">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Kushal Ltd.</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Mr.Vimal Budheshbhai Shah</w:t>
            </w:r>
          </w:p>
        </w:tc>
        <w:tc>
          <w:tcPr>
            <w:tcW w:w="2268" w:type="dxa"/>
            <w:tcBorders>
              <w:top w:val="nil"/>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  7(2)(a)  of  SEBI (PIT) Regulations, 2015</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cs="Calibri"/>
                <w:color w:val="000000"/>
                <w:sz w:val="21"/>
                <w:szCs w:val="21"/>
                <w:lang w:bidi="hi-IN"/>
              </w:rPr>
              <w:t>1,00,000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37</w:t>
            </w:r>
          </w:p>
        </w:tc>
        <w:tc>
          <w:tcPr>
            <w:tcW w:w="1276" w:type="dxa"/>
            <w:tcBorders>
              <w:top w:val="nil"/>
              <w:left w:val="single" w:sz="4" w:space="0" w:color="auto"/>
              <w:bottom w:val="single" w:sz="4" w:space="0" w:color="auto"/>
              <w:right w:val="single" w:sz="4" w:space="0" w:color="auto"/>
            </w:tcBorders>
            <w:shd w:val="clear" w:color="auto" w:fill="auto"/>
            <w:noWrap/>
          </w:tcPr>
          <w:p w:rsidR="00514244" w:rsidRPr="00A379E0" w:rsidRDefault="00514244" w:rsidP="001C2149">
            <w:pPr>
              <w:jc w:val="both"/>
              <w:rPr>
                <w:rFonts w:ascii="Palatino Linotype" w:hAnsi="Palatino Linotype"/>
                <w:sz w:val="21"/>
                <w:szCs w:val="21"/>
              </w:rPr>
            </w:pPr>
            <w:r w:rsidRPr="00A379E0">
              <w:rPr>
                <w:rFonts w:ascii="Palatino Linotype" w:hAnsi="Palatino Linotype" w:cs="Calibri"/>
                <w:color w:val="000000"/>
                <w:sz w:val="21"/>
                <w:szCs w:val="21"/>
                <w:lang w:bidi="hi-IN"/>
              </w:rPr>
              <w:t>25</w:t>
            </w:r>
            <w:r w:rsidR="001C2149">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Kushal Ltd.</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Ms. Sneha Natvarbhai Parghee</w:t>
            </w:r>
          </w:p>
        </w:tc>
        <w:tc>
          <w:tcPr>
            <w:tcW w:w="2268" w:type="dxa"/>
            <w:tcBorders>
              <w:top w:val="nil"/>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  7(2)(a)  of  SEBI (PIT) Regulations, 2015</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cs="Calibri"/>
                <w:color w:val="000000"/>
                <w:sz w:val="21"/>
                <w:szCs w:val="21"/>
                <w:lang w:bidi="hi-IN"/>
              </w:rPr>
              <w:t>1,00,000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38</w:t>
            </w:r>
          </w:p>
        </w:tc>
        <w:tc>
          <w:tcPr>
            <w:tcW w:w="1276" w:type="dxa"/>
            <w:tcBorders>
              <w:top w:val="nil"/>
              <w:left w:val="single" w:sz="4" w:space="0" w:color="auto"/>
              <w:bottom w:val="single" w:sz="4" w:space="0" w:color="auto"/>
              <w:right w:val="single" w:sz="4" w:space="0" w:color="auto"/>
            </w:tcBorders>
            <w:shd w:val="clear" w:color="auto" w:fill="auto"/>
            <w:noWrap/>
          </w:tcPr>
          <w:p w:rsidR="00514244" w:rsidRPr="00A379E0" w:rsidRDefault="00514244" w:rsidP="001C2149">
            <w:pPr>
              <w:jc w:val="both"/>
              <w:rPr>
                <w:rFonts w:ascii="Palatino Linotype" w:hAnsi="Palatino Linotype"/>
                <w:sz w:val="21"/>
                <w:szCs w:val="21"/>
              </w:rPr>
            </w:pPr>
            <w:r w:rsidRPr="00A379E0">
              <w:rPr>
                <w:rFonts w:ascii="Palatino Linotype" w:hAnsi="Palatino Linotype" w:cs="Calibri"/>
                <w:color w:val="000000"/>
                <w:sz w:val="21"/>
                <w:szCs w:val="21"/>
                <w:lang w:bidi="hi-IN"/>
              </w:rPr>
              <w:t>25</w:t>
            </w:r>
            <w:r w:rsidR="001C2149">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Kushal Ltd.</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Mr. MukeshSingh Madansingh Jagarvaal</w:t>
            </w:r>
          </w:p>
        </w:tc>
        <w:tc>
          <w:tcPr>
            <w:tcW w:w="2268" w:type="dxa"/>
            <w:tcBorders>
              <w:top w:val="nil"/>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  7(2)(a)  of  SEBI (PIT) Regulations, 2015</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cs="Calibri"/>
                <w:color w:val="000000"/>
                <w:sz w:val="21"/>
                <w:szCs w:val="21"/>
                <w:lang w:bidi="hi-IN"/>
              </w:rPr>
              <w:t>2,00,000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39</w:t>
            </w:r>
          </w:p>
        </w:tc>
        <w:tc>
          <w:tcPr>
            <w:tcW w:w="1276" w:type="dxa"/>
            <w:tcBorders>
              <w:top w:val="nil"/>
              <w:left w:val="single" w:sz="4" w:space="0" w:color="auto"/>
              <w:bottom w:val="single" w:sz="4" w:space="0" w:color="auto"/>
              <w:right w:val="single" w:sz="4" w:space="0" w:color="auto"/>
            </w:tcBorders>
            <w:shd w:val="clear" w:color="auto" w:fill="auto"/>
            <w:noWrap/>
          </w:tcPr>
          <w:p w:rsidR="00514244" w:rsidRPr="00A379E0" w:rsidRDefault="00514244" w:rsidP="001C2149">
            <w:pPr>
              <w:jc w:val="both"/>
              <w:rPr>
                <w:rFonts w:ascii="Palatino Linotype" w:hAnsi="Palatino Linotype"/>
                <w:sz w:val="21"/>
                <w:szCs w:val="21"/>
              </w:rPr>
            </w:pPr>
            <w:r w:rsidRPr="00A379E0">
              <w:rPr>
                <w:rFonts w:ascii="Palatino Linotype" w:hAnsi="Palatino Linotype" w:cs="Calibri"/>
                <w:color w:val="000000"/>
                <w:sz w:val="21"/>
                <w:szCs w:val="21"/>
                <w:lang w:bidi="hi-IN"/>
              </w:rPr>
              <w:t>25</w:t>
            </w:r>
            <w:r w:rsidR="001C2149">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Blue Blends (India) Ltd.</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Blue Blends (India) Ltd.</w:t>
            </w:r>
          </w:p>
        </w:tc>
        <w:tc>
          <w:tcPr>
            <w:tcW w:w="2268" w:type="dxa"/>
            <w:tcBorders>
              <w:top w:val="nil"/>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 xml:space="preserve">Regulations 9, 13(4),32, 50(1),51, 52(4),52(5),54(1),54(2),55, 56,57(1),57(2), 58, 60(1) and 60(2) of LODR Regulations. </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cs="Calibri"/>
                <w:color w:val="000000"/>
                <w:sz w:val="21"/>
                <w:szCs w:val="21"/>
                <w:lang w:bidi="hi-IN"/>
              </w:rPr>
              <w:t>3,00,000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40</w:t>
            </w:r>
          </w:p>
        </w:tc>
        <w:tc>
          <w:tcPr>
            <w:tcW w:w="1276" w:type="dxa"/>
            <w:tcBorders>
              <w:top w:val="nil"/>
              <w:left w:val="single" w:sz="4" w:space="0" w:color="auto"/>
              <w:bottom w:val="single" w:sz="4" w:space="0" w:color="auto"/>
              <w:right w:val="single" w:sz="4" w:space="0" w:color="auto"/>
            </w:tcBorders>
            <w:shd w:val="clear" w:color="auto" w:fill="auto"/>
            <w:noWrap/>
          </w:tcPr>
          <w:p w:rsidR="00514244" w:rsidRPr="00A379E0" w:rsidRDefault="00514244" w:rsidP="001C2149">
            <w:pPr>
              <w:jc w:val="both"/>
              <w:rPr>
                <w:rFonts w:ascii="Palatino Linotype" w:hAnsi="Palatino Linotype"/>
                <w:sz w:val="21"/>
                <w:szCs w:val="21"/>
              </w:rPr>
            </w:pPr>
            <w:r w:rsidRPr="00A379E0">
              <w:rPr>
                <w:rFonts w:ascii="Palatino Linotype" w:hAnsi="Palatino Linotype" w:cs="Calibri"/>
                <w:color w:val="000000"/>
                <w:sz w:val="21"/>
                <w:szCs w:val="21"/>
                <w:lang w:bidi="hi-IN"/>
              </w:rPr>
              <w:t>26</w:t>
            </w:r>
            <w:r w:rsidR="001C2149">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PMC Fincorp Ltd.</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Nishant Inbuild Ltd.</w:t>
            </w:r>
          </w:p>
        </w:tc>
        <w:tc>
          <w:tcPr>
            <w:tcW w:w="2268" w:type="dxa"/>
            <w:tcBorders>
              <w:top w:val="nil"/>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Section  12 A(a),(b),(c) of SEBI Act read with Regulation 3(a),(b),(c),(d) and Regulation 4(1),  4(2) (a), (e) of PFUTP Regulations</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cs="Calibri"/>
                <w:color w:val="000000"/>
                <w:sz w:val="21"/>
                <w:szCs w:val="21"/>
                <w:lang w:bidi="hi-IN"/>
              </w:rPr>
              <w:t>5,00,000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41</w:t>
            </w:r>
          </w:p>
        </w:tc>
        <w:tc>
          <w:tcPr>
            <w:tcW w:w="1276" w:type="dxa"/>
            <w:tcBorders>
              <w:top w:val="nil"/>
              <w:left w:val="single" w:sz="4" w:space="0" w:color="auto"/>
              <w:bottom w:val="single" w:sz="4" w:space="0" w:color="auto"/>
              <w:right w:val="single" w:sz="4" w:space="0" w:color="auto"/>
            </w:tcBorders>
            <w:shd w:val="clear" w:color="auto" w:fill="auto"/>
            <w:noWrap/>
          </w:tcPr>
          <w:p w:rsidR="00514244" w:rsidRPr="00A379E0" w:rsidRDefault="00514244" w:rsidP="001C2149">
            <w:pPr>
              <w:jc w:val="both"/>
              <w:rPr>
                <w:rFonts w:ascii="Palatino Linotype" w:hAnsi="Palatino Linotype"/>
                <w:sz w:val="21"/>
                <w:szCs w:val="21"/>
              </w:rPr>
            </w:pPr>
            <w:r w:rsidRPr="00A379E0">
              <w:rPr>
                <w:rFonts w:ascii="Palatino Linotype" w:hAnsi="Palatino Linotype" w:cs="Calibri"/>
                <w:color w:val="000000"/>
                <w:sz w:val="21"/>
                <w:szCs w:val="21"/>
                <w:lang w:bidi="hi-IN"/>
              </w:rPr>
              <w:t>26</w:t>
            </w:r>
            <w:r w:rsidR="001C2149">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Palred Technologies Ltd.</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MohanKrishna Reddy</w:t>
            </w:r>
          </w:p>
        </w:tc>
        <w:tc>
          <w:tcPr>
            <w:tcW w:w="2268" w:type="dxa"/>
            <w:tcBorders>
              <w:top w:val="nil"/>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  3(i)  and  3(ii)  of  PIT Regulations, 1992 and Section 12A(d) and 12A(e) of SEBI Act, 1992 read with Regulation 12 of PIT Regulations, 2015 and Clause 3.2.2 of Schedule I, Part A of Model Code of Conduct for Prevention of Insider Trading for Listed Companies under Regulation 12(1)  of  PIT Regulations,  1992 read with Regulation  12  of  PIT Regulations, 2015</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cs="Calibri"/>
                <w:color w:val="000000"/>
                <w:sz w:val="21"/>
                <w:szCs w:val="21"/>
                <w:lang w:bidi="hi-IN"/>
              </w:rPr>
              <w:t>6,00,000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42</w:t>
            </w:r>
          </w:p>
        </w:tc>
        <w:tc>
          <w:tcPr>
            <w:tcW w:w="1276" w:type="dxa"/>
            <w:tcBorders>
              <w:top w:val="nil"/>
              <w:left w:val="single" w:sz="4" w:space="0" w:color="auto"/>
              <w:bottom w:val="single" w:sz="4" w:space="0" w:color="auto"/>
              <w:right w:val="single" w:sz="4" w:space="0" w:color="auto"/>
            </w:tcBorders>
            <w:shd w:val="clear" w:color="auto" w:fill="auto"/>
            <w:noWrap/>
          </w:tcPr>
          <w:p w:rsidR="00514244" w:rsidRPr="00A379E0" w:rsidRDefault="00514244" w:rsidP="00D1692E">
            <w:pPr>
              <w:jc w:val="both"/>
              <w:rPr>
                <w:rFonts w:ascii="Palatino Linotype" w:hAnsi="Palatino Linotype"/>
                <w:sz w:val="21"/>
                <w:szCs w:val="21"/>
              </w:rPr>
            </w:pPr>
            <w:r w:rsidRPr="00A379E0">
              <w:rPr>
                <w:rFonts w:ascii="Palatino Linotype" w:hAnsi="Palatino Linotype" w:cs="Calibri"/>
                <w:color w:val="000000"/>
                <w:sz w:val="21"/>
                <w:szCs w:val="21"/>
                <w:lang w:bidi="hi-IN"/>
              </w:rPr>
              <w:t>26</w:t>
            </w:r>
            <w:r w:rsidR="00D1692E">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Trading of illiquid Stock options at BSE</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Nikita Khetawat</w:t>
            </w:r>
          </w:p>
        </w:tc>
        <w:tc>
          <w:tcPr>
            <w:tcW w:w="2268" w:type="dxa"/>
            <w:tcBorders>
              <w:top w:val="nil"/>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 3(a),(b),(c),(d) and 4(1),(2)(a) of the PFUTP Regulations, 2003</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cs="Calibri"/>
                <w:color w:val="000000"/>
                <w:sz w:val="21"/>
                <w:szCs w:val="21"/>
                <w:lang w:bidi="hi-IN"/>
              </w:rPr>
              <w:t>5,00,000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43</w:t>
            </w:r>
          </w:p>
        </w:tc>
        <w:tc>
          <w:tcPr>
            <w:tcW w:w="1276" w:type="dxa"/>
            <w:tcBorders>
              <w:top w:val="nil"/>
              <w:left w:val="single" w:sz="4" w:space="0" w:color="auto"/>
              <w:bottom w:val="single" w:sz="4" w:space="0" w:color="auto"/>
              <w:right w:val="single" w:sz="4" w:space="0" w:color="auto"/>
            </w:tcBorders>
            <w:shd w:val="clear" w:color="auto" w:fill="auto"/>
            <w:noWrap/>
          </w:tcPr>
          <w:p w:rsidR="00514244" w:rsidRPr="00A379E0" w:rsidRDefault="00514244" w:rsidP="00D1692E">
            <w:pPr>
              <w:jc w:val="both"/>
              <w:rPr>
                <w:rFonts w:ascii="Palatino Linotype" w:hAnsi="Palatino Linotype"/>
                <w:sz w:val="21"/>
                <w:szCs w:val="21"/>
              </w:rPr>
            </w:pPr>
            <w:r w:rsidRPr="00A379E0">
              <w:rPr>
                <w:rFonts w:ascii="Palatino Linotype" w:hAnsi="Palatino Linotype" w:cs="Calibri"/>
                <w:color w:val="000000"/>
                <w:sz w:val="21"/>
                <w:szCs w:val="21"/>
                <w:lang w:bidi="hi-IN"/>
              </w:rPr>
              <w:t>26</w:t>
            </w:r>
            <w:r w:rsidR="00D1692E">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Trading of illiquid Stock options at BSE</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Kamal Jethanand Bhatia</w:t>
            </w:r>
          </w:p>
        </w:tc>
        <w:tc>
          <w:tcPr>
            <w:tcW w:w="2268" w:type="dxa"/>
            <w:tcBorders>
              <w:top w:val="nil"/>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Regulations 3(a), 4(1) and 4(2) (a) of the PFUTP Regulations, 2003</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cs="Calibri"/>
                <w:color w:val="000000"/>
                <w:sz w:val="21"/>
                <w:szCs w:val="21"/>
                <w:lang w:bidi="hi-IN"/>
              </w:rPr>
              <w:t>5,00,000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44</w:t>
            </w:r>
          </w:p>
        </w:tc>
        <w:tc>
          <w:tcPr>
            <w:tcW w:w="1276" w:type="dxa"/>
            <w:tcBorders>
              <w:top w:val="nil"/>
              <w:left w:val="single" w:sz="4" w:space="0" w:color="auto"/>
              <w:bottom w:val="single" w:sz="4" w:space="0" w:color="auto"/>
              <w:right w:val="single" w:sz="4" w:space="0" w:color="auto"/>
            </w:tcBorders>
            <w:shd w:val="clear" w:color="auto" w:fill="auto"/>
            <w:noWrap/>
          </w:tcPr>
          <w:p w:rsidR="00514244" w:rsidRPr="00A379E0" w:rsidRDefault="00514244" w:rsidP="00D1692E">
            <w:pPr>
              <w:jc w:val="both"/>
              <w:rPr>
                <w:rFonts w:ascii="Palatino Linotype" w:hAnsi="Palatino Linotype"/>
                <w:sz w:val="21"/>
                <w:szCs w:val="21"/>
              </w:rPr>
            </w:pPr>
            <w:r w:rsidRPr="00A379E0">
              <w:rPr>
                <w:rFonts w:ascii="Palatino Linotype" w:hAnsi="Palatino Linotype" w:cs="Calibri"/>
                <w:color w:val="000000"/>
                <w:sz w:val="21"/>
                <w:szCs w:val="21"/>
                <w:lang w:bidi="hi-IN"/>
              </w:rPr>
              <w:t>27</w:t>
            </w:r>
            <w:r w:rsidR="00D1692E">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Innovation Software Exports Ltd.</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Bharat Nabanitrai Oza</w:t>
            </w:r>
          </w:p>
        </w:tc>
        <w:tc>
          <w:tcPr>
            <w:tcW w:w="2268" w:type="dxa"/>
            <w:tcBorders>
              <w:top w:val="nil"/>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 29 (1) read with 29 (3) of the SAST Regulations</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cs="Calibri"/>
                <w:color w:val="000000"/>
                <w:sz w:val="21"/>
                <w:szCs w:val="21"/>
                <w:lang w:bidi="hi-IN"/>
              </w:rPr>
              <w:t>1,00,000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45</w:t>
            </w:r>
          </w:p>
        </w:tc>
        <w:tc>
          <w:tcPr>
            <w:tcW w:w="1276" w:type="dxa"/>
            <w:tcBorders>
              <w:top w:val="nil"/>
              <w:left w:val="single" w:sz="4" w:space="0" w:color="auto"/>
              <w:bottom w:val="single" w:sz="4" w:space="0" w:color="auto"/>
              <w:right w:val="single" w:sz="4" w:space="0" w:color="auto"/>
            </w:tcBorders>
            <w:shd w:val="clear" w:color="auto" w:fill="auto"/>
            <w:noWrap/>
          </w:tcPr>
          <w:p w:rsidR="00514244" w:rsidRPr="00A379E0" w:rsidRDefault="00514244" w:rsidP="00D1692E">
            <w:pPr>
              <w:jc w:val="both"/>
              <w:rPr>
                <w:rFonts w:ascii="Palatino Linotype" w:hAnsi="Palatino Linotype"/>
                <w:sz w:val="21"/>
                <w:szCs w:val="21"/>
              </w:rPr>
            </w:pPr>
            <w:r w:rsidRPr="00A379E0">
              <w:rPr>
                <w:rFonts w:ascii="Palatino Linotype" w:hAnsi="Palatino Linotype" w:cs="Calibri"/>
                <w:color w:val="000000"/>
                <w:sz w:val="21"/>
                <w:szCs w:val="21"/>
                <w:lang w:bidi="hi-IN"/>
              </w:rPr>
              <w:t>27</w:t>
            </w:r>
            <w:r w:rsidR="00D1692E">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Union Quality Plastics Ltd</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 xml:space="preserve"> Zuzar  Ahmedally Kathawala,Ahmedally   Gulamhusein   Kathawala,Durriya Zurar Kathawala,Qusai  Zurar  Kathawala,Adamali  Kathawala,Imtiaz Z Kathawala,Salim A Kathawala,Yunus A Kathawala,M/s.  Adamji Investment  Pvt. Ltd, M/s  AK  Packaging  Pvt.  Ltd.</w:t>
            </w:r>
          </w:p>
        </w:tc>
        <w:tc>
          <w:tcPr>
            <w:tcW w:w="2268" w:type="dxa"/>
            <w:tcBorders>
              <w:top w:val="nil"/>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 8(1), 8(2), 11(1) of SEBI SAST Regulations, 1997  and  Regulation  10(5),  10(6),  29(2)  read  with  29(3)of  SAST  Regulations 2011</w:t>
            </w:r>
          </w:p>
        </w:tc>
        <w:tc>
          <w:tcPr>
            <w:tcW w:w="1559" w:type="dxa"/>
            <w:tcBorders>
              <w:top w:val="nil"/>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cs="Calibri"/>
                <w:color w:val="000000"/>
                <w:sz w:val="21"/>
                <w:szCs w:val="21"/>
                <w:lang w:bidi="hi-IN"/>
              </w:rPr>
              <w:t>7,00,000</w:t>
            </w:r>
          </w:p>
        </w:tc>
      </w:tr>
      <w:tr w:rsidR="00514244"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514244" w:rsidRPr="00A379E0" w:rsidRDefault="00514244" w:rsidP="00514244">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46</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514244" w:rsidRPr="00A379E0" w:rsidRDefault="00514244" w:rsidP="00D1692E">
            <w:pPr>
              <w:jc w:val="both"/>
              <w:rPr>
                <w:rFonts w:ascii="Palatino Linotype" w:hAnsi="Palatino Linotype"/>
                <w:sz w:val="21"/>
                <w:szCs w:val="21"/>
              </w:rPr>
            </w:pPr>
            <w:r w:rsidRPr="00A379E0">
              <w:rPr>
                <w:rFonts w:ascii="Palatino Linotype" w:hAnsi="Palatino Linotype" w:cs="Calibri"/>
                <w:color w:val="000000"/>
                <w:sz w:val="21"/>
                <w:szCs w:val="21"/>
                <w:lang w:bidi="hi-IN"/>
              </w:rPr>
              <w:t>27</w:t>
            </w:r>
            <w:r w:rsidR="00D1692E">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single" w:sz="4" w:space="0" w:color="auto"/>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Trading of illiquid Stock options at BSE</w:t>
            </w:r>
          </w:p>
        </w:tc>
        <w:tc>
          <w:tcPr>
            <w:tcW w:w="1559" w:type="dxa"/>
            <w:tcBorders>
              <w:top w:val="single" w:sz="4" w:space="0" w:color="auto"/>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single" w:sz="4" w:space="0" w:color="auto"/>
              <w:left w:val="nil"/>
              <w:bottom w:val="single" w:sz="4" w:space="0" w:color="auto"/>
              <w:right w:val="single" w:sz="4" w:space="0" w:color="auto"/>
            </w:tcBorders>
            <w:shd w:val="clear" w:color="auto" w:fill="auto"/>
            <w:noWrap/>
          </w:tcPr>
          <w:p w:rsidR="00514244" w:rsidRPr="00A379E0" w:rsidRDefault="00514244" w:rsidP="00514244">
            <w:pPr>
              <w:jc w:val="both"/>
              <w:rPr>
                <w:rFonts w:ascii="Palatino Linotype" w:hAnsi="Palatino Linotype"/>
                <w:sz w:val="21"/>
                <w:szCs w:val="21"/>
              </w:rPr>
            </w:pPr>
            <w:r w:rsidRPr="00A379E0">
              <w:rPr>
                <w:rFonts w:ascii="Palatino Linotype" w:hAnsi="Palatino Linotype" w:cs="Calibri"/>
                <w:color w:val="000000"/>
                <w:sz w:val="21"/>
                <w:szCs w:val="21"/>
                <w:lang w:bidi="hi-IN"/>
              </w:rPr>
              <w:t>Nikita Deora</w:t>
            </w:r>
          </w:p>
        </w:tc>
        <w:tc>
          <w:tcPr>
            <w:tcW w:w="2268" w:type="dxa"/>
            <w:tcBorders>
              <w:top w:val="single" w:sz="4" w:space="0" w:color="auto"/>
              <w:left w:val="nil"/>
              <w:bottom w:val="single" w:sz="4" w:space="0" w:color="auto"/>
              <w:right w:val="single" w:sz="4" w:space="0" w:color="auto"/>
            </w:tcBorders>
            <w:shd w:val="clear" w:color="auto" w:fill="auto"/>
          </w:tcPr>
          <w:p w:rsidR="00514244" w:rsidRPr="00A379E0" w:rsidRDefault="00514244" w:rsidP="00514244">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Regulations  3(a),  (b),  (c), (d),   4(1)   and   4(2)(a)   of PFUTP Regulations, 2003</w:t>
            </w:r>
          </w:p>
        </w:tc>
        <w:tc>
          <w:tcPr>
            <w:tcW w:w="1559" w:type="dxa"/>
            <w:tcBorders>
              <w:top w:val="single" w:sz="4" w:space="0" w:color="auto"/>
              <w:left w:val="nil"/>
              <w:bottom w:val="single" w:sz="4" w:space="0" w:color="auto"/>
              <w:right w:val="single" w:sz="4" w:space="0" w:color="auto"/>
            </w:tcBorders>
            <w:shd w:val="clear" w:color="auto" w:fill="auto"/>
            <w:noWrap/>
          </w:tcPr>
          <w:p w:rsidR="00514244" w:rsidRPr="00A379E0" w:rsidRDefault="00514244" w:rsidP="00514244">
            <w:pPr>
              <w:jc w:val="right"/>
              <w:rPr>
                <w:rFonts w:ascii="Palatino Linotype" w:hAnsi="Palatino Linotype"/>
                <w:sz w:val="21"/>
                <w:szCs w:val="21"/>
              </w:rPr>
            </w:pPr>
            <w:r w:rsidRPr="00A379E0">
              <w:rPr>
                <w:rFonts w:ascii="Palatino Linotype" w:hAnsi="Palatino Linotype" w:cs="Calibri"/>
                <w:color w:val="000000"/>
                <w:sz w:val="21"/>
                <w:szCs w:val="21"/>
                <w:lang w:bidi="hi-IN"/>
              </w:rPr>
              <w:t>5,00,000</w:t>
            </w:r>
          </w:p>
        </w:tc>
      </w:tr>
      <w:tr w:rsidR="00A379E0"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A379E0" w:rsidRPr="00A379E0" w:rsidRDefault="00A379E0" w:rsidP="00A379E0">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47</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A379E0" w:rsidRPr="00A379E0" w:rsidRDefault="00A379E0" w:rsidP="00D1692E">
            <w:pPr>
              <w:jc w:val="both"/>
              <w:rPr>
                <w:rFonts w:ascii="Palatino Linotype" w:hAnsi="Palatino Linotype"/>
                <w:sz w:val="21"/>
                <w:szCs w:val="21"/>
              </w:rPr>
            </w:pPr>
            <w:r w:rsidRPr="00A379E0">
              <w:rPr>
                <w:rFonts w:ascii="Palatino Linotype" w:hAnsi="Palatino Linotype" w:cs="Calibri"/>
                <w:color w:val="000000"/>
                <w:sz w:val="21"/>
                <w:szCs w:val="21"/>
                <w:lang w:bidi="hi-IN"/>
              </w:rPr>
              <w:t>30</w:t>
            </w:r>
            <w:r w:rsidR="00D1692E">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single" w:sz="4" w:space="0" w:color="auto"/>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Ram Minerals and Chemicals Ltd.</w:t>
            </w:r>
          </w:p>
        </w:tc>
        <w:tc>
          <w:tcPr>
            <w:tcW w:w="1559" w:type="dxa"/>
            <w:tcBorders>
              <w:top w:val="single" w:sz="4" w:space="0" w:color="auto"/>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single" w:sz="4" w:space="0" w:color="auto"/>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 xml:space="preserve">Ram Minerals and Chemicals Ltd., Suresh Aggarwal Kumar </w:t>
            </w:r>
          </w:p>
        </w:tc>
        <w:tc>
          <w:tcPr>
            <w:tcW w:w="2268" w:type="dxa"/>
            <w:tcBorders>
              <w:top w:val="single" w:sz="4" w:space="0" w:color="auto"/>
              <w:left w:val="nil"/>
              <w:bottom w:val="single" w:sz="4" w:space="0" w:color="auto"/>
              <w:right w:val="single" w:sz="4" w:space="0" w:color="auto"/>
            </w:tcBorders>
            <w:shd w:val="clear" w:color="auto" w:fill="auto"/>
          </w:tcPr>
          <w:p w:rsidR="00A379E0" w:rsidRPr="00A379E0" w:rsidRDefault="00A379E0" w:rsidP="00A379E0">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Section 11C (3)and 11 C (5) of SEBI Act, 1992</w:t>
            </w:r>
          </w:p>
        </w:tc>
        <w:tc>
          <w:tcPr>
            <w:tcW w:w="1559" w:type="dxa"/>
            <w:tcBorders>
              <w:top w:val="single" w:sz="4" w:space="0" w:color="auto"/>
              <w:left w:val="nil"/>
              <w:bottom w:val="single" w:sz="4" w:space="0" w:color="auto"/>
              <w:right w:val="single" w:sz="4" w:space="0" w:color="auto"/>
            </w:tcBorders>
            <w:shd w:val="clear" w:color="auto" w:fill="auto"/>
            <w:noWrap/>
          </w:tcPr>
          <w:p w:rsidR="00A379E0" w:rsidRPr="00A379E0" w:rsidRDefault="00A379E0" w:rsidP="00A379E0">
            <w:pPr>
              <w:jc w:val="right"/>
              <w:rPr>
                <w:rFonts w:ascii="Palatino Linotype" w:hAnsi="Palatino Linotype"/>
                <w:sz w:val="21"/>
                <w:szCs w:val="21"/>
              </w:rPr>
            </w:pPr>
            <w:r w:rsidRPr="00A379E0">
              <w:rPr>
                <w:rFonts w:ascii="Palatino Linotype" w:hAnsi="Palatino Linotype" w:cs="Calibri"/>
                <w:color w:val="000000"/>
                <w:sz w:val="21"/>
                <w:szCs w:val="21"/>
                <w:lang w:bidi="hi-IN"/>
              </w:rPr>
              <w:t>5,00,000</w:t>
            </w:r>
          </w:p>
        </w:tc>
      </w:tr>
      <w:tr w:rsidR="00A379E0"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A379E0" w:rsidRPr="00A379E0" w:rsidRDefault="00A379E0" w:rsidP="00A379E0">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48</w:t>
            </w:r>
          </w:p>
        </w:tc>
        <w:tc>
          <w:tcPr>
            <w:tcW w:w="1276" w:type="dxa"/>
            <w:tcBorders>
              <w:top w:val="nil"/>
              <w:left w:val="single" w:sz="4" w:space="0" w:color="auto"/>
              <w:bottom w:val="single" w:sz="4" w:space="0" w:color="auto"/>
              <w:right w:val="single" w:sz="4" w:space="0" w:color="auto"/>
            </w:tcBorders>
            <w:shd w:val="clear" w:color="auto" w:fill="auto"/>
            <w:noWrap/>
          </w:tcPr>
          <w:p w:rsidR="00A379E0" w:rsidRPr="00A379E0" w:rsidRDefault="00A379E0" w:rsidP="00D1692E">
            <w:pPr>
              <w:jc w:val="both"/>
              <w:rPr>
                <w:rFonts w:ascii="Palatino Linotype" w:hAnsi="Palatino Linotype"/>
                <w:b/>
                <w:bCs/>
                <w:sz w:val="21"/>
                <w:szCs w:val="21"/>
              </w:rPr>
            </w:pPr>
            <w:r w:rsidRPr="00A379E0">
              <w:rPr>
                <w:rFonts w:ascii="Palatino Linotype" w:hAnsi="Palatino Linotype" w:cs="Calibri"/>
                <w:color w:val="000000"/>
                <w:sz w:val="21"/>
                <w:szCs w:val="21"/>
                <w:lang w:bidi="hi-IN"/>
              </w:rPr>
              <w:t>30</w:t>
            </w:r>
            <w:r w:rsidR="00D1692E">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NSE Co-Location</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Parwati Capital Market Private Ltd.</w:t>
            </w:r>
          </w:p>
        </w:tc>
        <w:tc>
          <w:tcPr>
            <w:tcW w:w="2268" w:type="dxa"/>
            <w:tcBorders>
              <w:top w:val="nil"/>
              <w:left w:val="nil"/>
              <w:bottom w:val="single" w:sz="4" w:space="0" w:color="auto"/>
              <w:right w:val="single" w:sz="4" w:space="0" w:color="auto"/>
            </w:tcBorders>
            <w:shd w:val="clear" w:color="auto" w:fill="auto"/>
          </w:tcPr>
          <w:p w:rsidR="00A379E0" w:rsidRPr="00A379E0" w:rsidRDefault="00A379E0" w:rsidP="00A379E0">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NSE bye-law, Code of Conduct specified under Stock Broker Regulations, 1992, and PFUTP Regulations, 2003.</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right"/>
              <w:rPr>
                <w:rFonts w:ascii="Palatino Linotype" w:hAnsi="Palatino Linotype"/>
                <w:sz w:val="21"/>
                <w:szCs w:val="21"/>
              </w:rPr>
            </w:pPr>
            <w:r w:rsidRPr="00A379E0">
              <w:rPr>
                <w:rFonts w:ascii="Palatino Linotype" w:hAnsi="Palatino Linotype" w:cs="Calibri"/>
                <w:color w:val="000000"/>
                <w:sz w:val="21"/>
                <w:szCs w:val="21"/>
                <w:lang w:bidi="hi-IN"/>
              </w:rPr>
              <w:t>6,00,000</w:t>
            </w:r>
          </w:p>
        </w:tc>
      </w:tr>
      <w:tr w:rsidR="00A379E0"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A379E0" w:rsidRPr="00A379E0" w:rsidRDefault="00A379E0" w:rsidP="00A379E0">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49</w:t>
            </w:r>
          </w:p>
        </w:tc>
        <w:tc>
          <w:tcPr>
            <w:tcW w:w="1276" w:type="dxa"/>
            <w:tcBorders>
              <w:top w:val="nil"/>
              <w:left w:val="single" w:sz="4" w:space="0" w:color="auto"/>
              <w:bottom w:val="single" w:sz="4" w:space="0" w:color="auto"/>
              <w:right w:val="single" w:sz="4" w:space="0" w:color="auto"/>
            </w:tcBorders>
            <w:shd w:val="clear" w:color="auto" w:fill="auto"/>
            <w:noWrap/>
          </w:tcPr>
          <w:p w:rsidR="00A379E0" w:rsidRPr="00A379E0" w:rsidRDefault="00A379E0" w:rsidP="00D1692E">
            <w:pPr>
              <w:jc w:val="both"/>
              <w:rPr>
                <w:rFonts w:ascii="Palatino Linotype" w:hAnsi="Palatino Linotype"/>
                <w:sz w:val="21"/>
                <w:szCs w:val="21"/>
              </w:rPr>
            </w:pPr>
            <w:r w:rsidRPr="00A379E0">
              <w:rPr>
                <w:rFonts w:ascii="Palatino Linotype" w:hAnsi="Palatino Linotype" w:cs="Calibri"/>
                <w:color w:val="000000"/>
                <w:sz w:val="21"/>
                <w:szCs w:val="21"/>
                <w:lang w:bidi="hi-IN"/>
              </w:rPr>
              <w:t>30</w:t>
            </w:r>
            <w:r w:rsidR="00D1692E">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20 Microns Ltd.</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Viking Industries Pvt. Ltd., Anand Honwadkar, Rohit Kiritkumar H, Bhavana P. Bhatt, Minu Nileshkumar Doshi, Nilesh A. Doshi HUF, Nileshkumar A. Doshi, Jignesh I. Shah, Leena J. Shah</w:t>
            </w:r>
          </w:p>
        </w:tc>
        <w:tc>
          <w:tcPr>
            <w:tcW w:w="2268" w:type="dxa"/>
            <w:tcBorders>
              <w:top w:val="nil"/>
              <w:left w:val="nil"/>
              <w:bottom w:val="single" w:sz="4" w:space="0" w:color="auto"/>
              <w:right w:val="single" w:sz="4" w:space="0" w:color="auto"/>
            </w:tcBorders>
            <w:shd w:val="clear" w:color="auto" w:fill="auto"/>
          </w:tcPr>
          <w:p w:rsidR="00A379E0" w:rsidRPr="00A379E0" w:rsidRDefault="00A379E0" w:rsidP="00A379E0">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 3(a), (b), (c), (d) and 4 (1), 4 (2) (a),(e)and (g)of PFUTP Regulations, 2003</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right"/>
              <w:rPr>
                <w:rFonts w:ascii="Palatino Linotype" w:hAnsi="Palatino Linotype"/>
                <w:sz w:val="21"/>
                <w:szCs w:val="21"/>
              </w:rPr>
            </w:pPr>
            <w:r w:rsidRPr="00A379E0">
              <w:rPr>
                <w:rFonts w:ascii="Palatino Linotype" w:hAnsi="Palatino Linotype" w:cs="Calibri"/>
                <w:color w:val="000000"/>
                <w:sz w:val="21"/>
                <w:szCs w:val="21"/>
                <w:lang w:bidi="hi-IN"/>
              </w:rPr>
              <w:t>10,00,000</w:t>
            </w:r>
          </w:p>
        </w:tc>
      </w:tr>
      <w:tr w:rsidR="00A379E0"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A379E0" w:rsidRPr="00A379E0" w:rsidRDefault="00A379E0" w:rsidP="00A379E0">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50</w:t>
            </w:r>
          </w:p>
        </w:tc>
        <w:tc>
          <w:tcPr>
            <w:tcW w:w="1276" w:type="dxa"/>
            <w:tcBorders>
              <w:top w:val="nil"/>
              <w:left w:val="single" w:sz="4" w:space="0" w:color="auto"/>
              <w:bottom w:val="single" w:sz="4" w:space="0" w:color="auto"/>
              <w:right w:val="single" w:sz="4" w:space="0" w:color="auto"/>
            </w:tcBorders>
            <w:shd w:val="clear" w:color="auto" w:fill="auto"/>
            <w:noWrap/>
          </w:tcPr>
          <w:p w:rsidR="00A379E0" w:rsidRPr="00A379E0" w:rsidRDefault="00A379E0" w:rsidP="00D1692E">
            <w:pPr>
              <w:jc w:val="both"/>
              <w:rPr>
                <w:rFonts w:ascii="Palatino Linotype" w:hAnsi="Palatino Linotype"/>
                <w:sz w:val="21"/>
                <w:szCs w:val="21"/>
              </w:rPr>
            </w:pPr>
            <w:r w:rsidRPr="00A379E0">
              <w:rPr>
                <w:rFonts w:ascii="Palatino Linotype" w:hAnsi="Palatino Linotype" w:cs="Calibri"/>
                <w:color w:val="000000"/>
                <w:sz w:val="21"/>
                <w:szCs w:val="21"/>
                <w:lang w:bidi="hi-IN"/>
              </w:rPr>
              <w:t>30</w:t>
            </w:r>
            <w:r w:rsidR="00D1692E">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Simplex Infrastructures Ltd.</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Simplex Infrastructures Ltd.</w:t>
            </w:r>
          </w:p>
        </w:tc>
        <w:tc>
          <w:tcPr>
            <w:tcW w:w="2268" w:type="dxa"/>
            <w:tcBorders>
              <w:top w:val="nil"/>
              <w:left w:val="nil"/>
              <w:bottom w:val="single" w:sz="4" w:space="0" w:color="auto"/>
              <w:right w:val="single" w:sz="4" w:space="0" w:color="auto"/>
            </w:tcBorders>
            <w:shd w:val="clear" w:color="auto" w:fill="auto"/>
          </w:tcPr>
          <w:p w:rsidR="00A379E0" w:rsidRPr="00A379E0" w:rsidRDefault="00A379E0" w:rsidP="00A379E0">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Regulations 30(1), 30(2) &amp; 30(6) of LODR Regulations r/w Regulations 4(1) (e), (h), (i), (j), 4(2) (b) &amp; (e) of the LODR Regulations</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right"/>
              <w:rPr>
                <w:rFonts w:ascii="Palatino Linotype" w:hAnsi="Palatino Linotype"/>
                <w:sz w:val="21"/>
                <w:szCs w:val="21"/>
              </w:rPr>
            </w:pPr>
            <w:r w:rsidRPr="00A379E0">
              <w:rPr>
                <w:rFonts w:ascii="Palatino Linotype" w:hAnsi="Palatino Linotype" w:cs="Calibri"/>
                <w:color w:val="000000"/>
                <w:sz w:val="21"/>
                <w:szCs w:val="21"/>
                <w:lang w:bidi="hi-IN"/>
              </w:rPr>
              <w:t>5,00,000</w:t>
            </w:r>
          </w:p>
        </w:tc>
      </w:tr>
      <w:tr w:rsidR="00A379E0"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A379E0" w:rsidRPr="00A379E0" w:rsidRDefault="00A379E0" w:rsidP="00A379E0">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51</w:t>
            </w:r>
          </w:p>
        </w:tc>
        <w:tc>
          <w:tcPr>
            <w:tcW w:w="1276" w:type="dxa"/>
            <w:tcBorders>
              <w:top w:val="nil"/>
              <w:left w:val="single" w:sz="4" w:space="0" w:color="auto"/>
              <w:bottom w:val="single" w:sz="4" w:space="0" w:color="auto"/>
              <w:right w:val="single" w:sz="4" w:space="0" w:color="auto"/>
            </w:tcBorders>
            <w:shd w:val="clear" w:color="auto" w:fill="auto"/>
            <w:noWrap/>
          </w:tcPr>
          <w:p w:rsidR="00A379E0" w:rsidRPr="00A379E0" w:rsidRDefault="00A379E0" w:rsidP="00D1692E">
            <w:pPr>
              <w:jc w:val="both"/>
              <w:rPr>
                <w:rFonts w:ascii="Palatino Linotype" w:hAnsi="Palatino Linotype"/>
                <w:sz w:val="21"/>
                <w:szCs w:val="21"/>
              </w:rPr>
            </w:pPr>
            <w:r w:rsidRPr="00A379E0">
              <w:rPr>
                <w:rFonts w:ascii="Palatino Linotype" w:hAnsi="Palatino Linotype" w:cs="Calibri"/>
                <w:color w:val="000000"/>
                <w:sz w:val="21"/>
                <w:szCs w:val="21"/>
                <w:lang w:bidi="hi-IN"/>
              </w:rPr>
              <w:t>31</w:t>
            </w:r>
            <w:r w:rsidR="00D1692E">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Golden Legand Leasing and Finance Ltd.</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Ruchi  Rachna  Shrivastava,Amod Krishna</w:t>
            </w:r>
          </w:p>
        </w:tc>
        <w:tc>
          <w:tcPr>
            <w:tcW w:w="2268" w:type="dxa"/>
            <w:tcBorders>
              <w:top w:val="nil"/>
              <w:left w:val="nil"/>
              <w:bottom w:val="single" w:sz="4" w:space="0" w:color="auto"/>
              <w:right w:val="single" w:sz="4" w:space="0" w:color="auto"/>
            </w:tcBorders>
            <w:shd w:val="clear" w:color="auto" w:fill="auto"/>
          </w:tcPr>
          <w:p w:rsidR="00A379E0" w:rsidRPr="00A379E0" w:rsidRDefault="00A379E0" w:rsidP="00A379E0">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Section 2 (i) of the SCRA and SEBI  Notification  S.O.  184(E) dated   March   01,   2000   read   with Section  16,  Section  13  and  Section 18 of the SCRA</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right"/>
              <w:rPr>
                <w:rFonts w:ascii="Palatino Linotype" w:hAnsi="Palatino Linotype"/>
                <w:sz w:val="21"/>
                <w:szCs w:val="21"/>
              </w:rPr>
            </w:pPr>
            <w:r w:rsidRPr="00A379E0">
              <w:rPr>
                <w:rFonts w:ascii="Palatino Linotype" w:hAnsi="Palatino Linotype" w:cs="Calibri"/>
                <w:color w:val="000000"/>
                <w:sz w:val="21"/>
                <w:szCs w:val="21"/>
                <w:lang w:bidi="hi-IN"/>
              </w:rPr>
              <w:t>20,000</w:t>
            </w:r>
          </w:p>
        </w:tc>
      </w:tr>
      <w:tr w:rsidR="00A379E0"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A379E0" w:rsidRPr="00A379E0" w:rsidRDefault="00A379E0" w:rsidP="00A379E0">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52</w:t>
            </w:r>
          </w:p>
        </w:tc>
        <w:tc>
          <w:tcPr>
            <w:tcW w:w="1276" w:type="dxa"/>
            <w:tcBorders>
              <w:top w:val="nil"/>
              <w:left w:val="single" w:sz="4" w:space="0" w:color="auto"/>
              <w:bottom w:val="single" w:sz="4" w:space="0" w:color="auto"/>
              <w:right w:val="single" w:sz="4" w:space="0" w:color="auto"/>
            </w:tcBorders>
            <w:shd w:val="clear" w:color="auto" w:fill="auto"/>
            <w:noWrap/>
          </w:tcPr>
          <w:p w:rsidR="00A379E0" w:rsidRPr="00A379E0" w:rsidRDefault="00A379E0" w:rsidP="00D1692E">
            <w:pPr>
              <w:jc w:val="both"/>
              <w:rPr>
                <w:rFonts w:ascii="Palatino Linotype" w:hAnsi="Palatino Linotype"/>
                <w:sz w:val="21"/>
                <w:szCs w:val="21"/>
              </w:rPr>
            </w:pPr>
            <w:r w:rsidRPr="00A379E0">
              <w:rPr>
                <w:rFonts w:ascii="Palatino Linotype" w:hAnsi="Palatino Linotype" w:cs="Calibri"/>
                <w:color w:val="000000"/>
                <w:sz w:val="21"/>
                <w:szCs w:val="21"/>
                <w:lang w:bidi="hi-IN"/>
              </w:rPr>
              <w:t>31</w:t>
            </w:r>
            <w:r w:rsidR="00D1692E">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Dealing in illiquid stock options on BSE</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Nikita Rungta</w:t>
            </w:r>
          </w:p>
        </w:tc>
        <w:tc>
          <w:tcPr>
            <w:tcW w:w="2268" w:type="dxa"/>
            <w:tcBorders>
              <w:top w:val="nil"/>
              <w:left w:val="nil"/>
              <w:bottom w:val="single" w:sz="4" w:space="0" w:color="auto"/>
              <w:right w:val="single" w:sz="4" w:space="0" w:color="auto"/>
            </w:tcBorders>
            <w:shd w:val="clear" w:color="auto" w:fill="auto"/>
          </w:tcPr>
          <w:p w:rsidR="00A379E0" w:rsidRPr="00A379E0" w:rsidRDefault="00A379E0" w:rsidP="00A379E0">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Regulations  3(a),  (b),  (c), (d),   4(1)   and   4(2)(a)   of PFUTP Regulations, 2003</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right"/>
              <w:rPr>
                <w:rFonts w:ascii="Palatino Linotype" w:hAnsi="Palatino Linotype"/>
                <w:sz w:val="21"/>
                <w:szCs w:val="21"/>
              </w:rPr>
            </w:pPr>
            <w:r w:rsidRPr="00A379E0">
              <w:rPr>
                <w:rFonts w:ascii="Palatino Linotype" w:hAnsi="Palatino Linotype" w:cs="Calibri"/>
                <w:color w:val="000000"/>
                <w:sz w:val="21"/>
                <w:szCs w:val="21"/>
                <w:lang w:bidi="hi-IN"/>
              </w:rPr>
              <w:t>5,00,000</w:t>
            </w:r>
          </w:p>
        </w:tc>
      </w:tr>
      <w:tr w:rsidR="00A379E0"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A379E0" w:rsidRPr="00A379E0" w:rsidRDefault="00A379E0" w:rsidP="00A379E0">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53</w:t>
            </w:r>
          </w:p>
        </w:tc>
        <w:tc>
          <w:tcPr>
            <w:tcW w:w="1276" w:type="dxa"/>
            <w:tcBorders>
              <w:top w:val="nil"/>
              <w:left w:val="single" w:sz="4" w:space="0" w:color="auto"/>
              <w:bottom w:val="single" w:sz="4" w:space="0" w:color="auto"/>
              <w:right w:val="single" w:sz="4" w:space="0" w:color="auto"/>
            </w:tcBorders>
            <w:shd w:val="clear" w:color="auto" w:fill="auto"/>
            <w:noWrap/>
          </w:tcPr>
          <w:p w:rsidR="00A379E0" w:rsidRPr="00A379E0" w:rsidRDefault="00A379E0" w:rsidP="00D1692E">
            <w:pPr>
              <w:jc w:val="both"/>
              <w:rPr>
                <w:rFonts w:ascii="Palatino Linotype" w:hAnsi="Palatino Linotype"/>
                <w:sz w:val="21"/>
                <w:szCs w:val="21"/>
              </w:rPr>
            </w:pPr>
            <w:r w:rsidRPr="00A379E0">
              <w:rPr>
                <w:rFonts w:ascii="Palatino Linotype" w:hAnsi="Palatino Linotype" w:cs="Calibri"/>
                <w:color w:val="000000"/>
                <w:sz w:val="21"/>
                <w:szCs w:val="21"/>
                <w:lang w:bidi="hi-IN"/>
              </w:rPr>
              <w:t>31</w:t>
            </w:r>
            <w:r w:rsidR="00D1692E">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Atlas Jewellery India Ltd.</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Atlas Jewellery Pvt. Ltd., Al Juraina Precious Metals &amp; Bullions FZE, Al Layyah General Trading FZE, Al Mareija Precious Metal  &amp; Bullions FZE and Mankool General Trading FZE</w:t>
            </w:r>
          </w:p>
        </w:tc>
        <w:tc>
          <w:tcPr>
            <w:tcW w:w="2268" w:type="dxa"/>
            <w:tcBorders>
              <w:top w:val="nil"/>
              <w:left w:val="nil"/>
              <w:bottom w:val="single" w:sz="4" w:space="0" w:color="auto"/>
              <w:right w:val="single" w:sz="4" w:space="0" w:color="auto"/>
            </w:tcBorders>
            <w:shd w:val="clear" w:color="auto" w:fill="auto"/>
          </w:tcPr>
          <w:p w:rsidR="00A379E0" w:rsidRPr="00A379E0" w:rsidRDefault="00A379E0" w:rsidP="00A379E0">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 </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right"/>
              <w:rPr>
                <w:rFonts w:ascii="Palatino Linotype" w:hAnsi="Palatino Linotype"/>
                <w:sz w:val="21"/>
                <w:szCs w:val="21"/>
              </w:rPr>
            </w:pPr>
            <w:r w:rsidRPr="00A379E0">
              <w:rPr>
                <w:rFonts w:ascii="Palatino Linotype" w:hAnsi="Palatino Linotype" w:cs="Calibri"/>
                <w:color w:val="000000"/>
                <w:sz w:val="21"/>
                <w:szCs w:val="21"/>
                <w:lang w:bidi="hi-IN"/>
              </w:rPr>
              <w:t>5,00,000</w:t>
            </w:r>
          </w:p>
        </w:tc>
      </w:tr>
      <w:tr w:rsidR="00A379E0"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A379E0" w:rsidRPr="00A379E0" w:rsidRDefault="00A379E0" w:rsidP="00A379E0">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54</w:t>
            </w:r>
          </w:p>
        </w:tc>
        <w:tc>
          <w:tcPr>
            <w:tcW w:w="1276" w:type="dxa"/>
            <w:tcBorders>
              <w:top w:val="nil"/>
              <w:left w:val="single" w:sz="4" w:space="0" w:color="auto"/>
              <w:bottom w:val="single" w:sz="4" w:space="0" w:color="auto"/>
              <w:right w:val="single" w:sz="4" w:space="0" w:color="auto"/>
            </w:tcBorders>
            <w:shd w:val="clear" w:color="auto" w:fill="auto"/>
            <w:noWrap/>
          </w:tcPr>
          <w:p w:rsidR="00A379E0" w:rsidRPr="00A379E0" w:rsidRDefault="00A379E0" w:rsidP="00D1692E">
            <w:pPr>
              <w:jc w:val="both"/>
              <w:rPr>
                <w:rFonts w:ascii="Palatino Linotype" w:hAnsi="Palatino Linotype"/>
                <w:sz w:val="21"/>
                <w:szCs w:val="21"/>
              </w:rPr>
            </w:pPr>
            <w:r w:rsidRPr="00A379E0">
              <w:rPr>
                <w:rFonts w:ascii="Palatino Linotype" w:hAnsi="Palatino Linotype" w:cs="Calibri"/>
                <w:color w:val="000000"/>
                <w:sz w:val="21"/>
                <w:szCs w:val="21"/>
                <w:lang w:bidi="hi-IN"/>
              </w:rPr>
              <w:t>31</w:t>
            </w:r>
            <w:r w:rsidR="00D1692E">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Dealing in illiquid stock options at BSE</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Abhi Portfolio Private Ltd.</w:t>
            </w:r>
          </w:p>
        </w:tc>
        <w:tc>
          <w:tcPr>
            <w:tcW w:w="2268" w:type="dxa"/>
            <w:tcBorders>
              <w:top w:val="nil"/>
              <w:left w:val="nil"/>
              <w:bottom w:val="single" w:sz="4" w:space="0" w:color="auto"/>
              <w:right w:val="single" w:sz="4" w:space="0" w:color="auto"/>
            </w:tcBorders>
            <w:shd w:val="clear" w:color="auto" w:fill="auto"/>
          </w:tcPr>
          <w:p w:rsidR="00A379E0" w:rsidRPr="00A379E0" w:rsidRDefault="00A379E0" w:rsidP="00A379E0">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 3(a),4(1) and 4(2)  (a) of  the  PFUTP  Regulations</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right"/>
              <w:rPr>
                <w:rFonts w:ascii="Palatino Linotype" w:hAnsi="Palatino Linotype"/>
                <w:sz w:val="21"/>
                <w:szCs w:val="21"/>
              </w:rPr>
            </w:pPr>
            <w:r w:rsidRPr="00A379E0">
              <w:rPr>
                <w:rFonts w:ascii="Palatino Linotype" w:hAnsi="Palatino Linotype" w:cs="Calibri"/>
                <w:color w:val="000000"/>
                <w:sz w:val="21"/>
                <w:szCs w:val="21"/>
                <w:lang w:bidi="hi-IN"/>
              </w:rPr>
              <w:t>5,00,000</w:t>
            </w:r>
          </w:p>
        </w:tc>
      </w:tr>
      <w:tr w:rsidR="00A379E0"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A379E0" w:rsidRPr="00A379E0" w:rsidRDefault="00A379E0" w:rsidP="00A379E0">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55</w:t>
            </w:r>
          </w:p>
        </w:tc>
        <w:tc>
          <w:tcPr>
            <w:tcW w:w="1276" w:type="dxa"/>
            <w:tcBorders>
              <w:top w:val="nil"/>
              <w:left w:val="single" w:sz="4" w:space="0" w:color="auto"/>
              <w:bottom w:val="single" w:sz="4" w:space="0" w:color="auto"/>
              <w:right w:val="single" w:sz="4" w:space="0" w:color="auto"/>
            </w:tcBorders>
            <w:shd w:val="clear" w:color="auto" w:fill="auto"/>
            <w:noWrap/>
          </w:tcPr>
          <w:p w:rsidR="00A379E0" w:rsidRPr="00A379E0" w:rsidRDefault="00A379E0" w:rsidP="00D1692E">
            <w:pPr>
              <w:jc w:val="both"/>
              <w:rPr>
                <w:rFonts w:ascii="Palatino Linotype" w:hAnsi="Palatino Linotype"/>
                <w:sz w:val="21"/>
                <w:szCs w:val="21"/>
              </w:rPr>
            </w:pPr>
            <w:r w:rsidRPr="00A379E0">
              <w:rPr>
                <w:rFonts w:ascii="Palatino Linotype" w:hAnsi="Palatino Linotype" w:cs="Calibri"/>
                <w:color w:val="000000"/>
                <w:sz w:val="21"/>
                <w:szCs w:val="21"/>
                <w:lang w:bidi="hi-IN"/>
              </w:rPr>
              <w:t>31</w:t>
            </w:r>
            <w:r w:rsidR="00D1692E">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Dealing in illiquid stock options at BSE</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Abha Mohunta</w:t>
            </w:r>
          </w:p>
        </w:tc>
        <w:tc>
          <w:tcPr>
            <w:tcW w:w="2268" w:type="dxa"/>
            <w:tcBorders>
              <w:top w:val="nil"/>
              <w:left w:val="nil"/>
              <w:bottom w:val="single" w:sz="4" w:space="0" w:color="auto"/>
              <w:right w:val="single" w:sz="4" w:space="0" w:color="auto"/>
            </w:tcBorders>
            <w:shd w:val="clear" w:color="auto" w:fill="auto"/>
          </w:tcPr>
          <w:p w:rsidR="00A379E0" w:rsidRPr="00A379E0" w:rsidRDefault="00A379E0" w:rsidP="00A379E0">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 3(a),4(1) and 4(2) (a) of the PFUTP Regulations</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right"/>
              <w:rPr>
                <w:rFonts w:ascii="Palatino Linotype" w:hAnsi="Palatino Linotype"/>
                <w:sz w:val="21"/>
                <w:szCs w:val="21"/>
              </w:rPr>
            </w:pPr>
            <w:r w:rsidRPr="00A379E0">
              <w:rPr>
                <w:rFonts w:ascii="Palatino Linotype" w:hAnsi="Palatino Linotype" w:cs="Calibri"/>
                <w:color w:val="000000"/>
                <w:sz w:val="21"/>
                <w:szCs w:val="21"/>
                <w:lang w:bidi="hi-IN"/>
              </w:rPr>
              <w:t>5,00,000</w:t>
            </w:r>
          </w:p>
        </w:tc>
      </w:tr>
      <w:tr w:rsidR="00A379E0"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A379E0" w:rsidRPr="00A379E0" w:rsidRDefault="00A379E0" w:rsidP="00A379E0">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56</w:t>
            </w:r>
          </w:p>
        </w:tc>
        <w:tc>
          <w:tcPr>
            <w:tcW w:w="1276" w:type="dxa"/>
            <w:tcBorders>
              <w:top w:val="nil"/>
              <w:left w:val="single" w:sz="4" w:space="0" w:color="auto"/>
              <w:bottom w:val="single" w:sz="4" w:space="0" w:color="auto"/>
              <w:right w:val="single" w:sz="4" w:space="0" w:color="auto"/>
            </w:tcBorders>
            <w:shd w:val="clear" w:color="auto" w:fill="auto"/>
            <w:noWrap/>
          </w:tcPr>
          <w:p w:rsidR="00A379E0" w:rsidRPr="00A379E0" w:rsidRDefault="00A379E0" w:rsidP="00D1692E">
            <w:pPr>
              <w:jc w:val="both"/>
              <w:rPr>
                <w:rFonts w:ascii="Palatino Linotype" w:hAnsi="Palatino Linotype"/>
                <w:sz w:val="21"/>
                <w:szCs w:val="21"/>
              </w:rPr>
            </w:pPr>
            <w:r w:rsidRPr="00A379E0">
              <w:rPr>
                <w:rFonts w:ascii="Palatino Linotype" w:hAnsi="Palatino Linotype" w:cs="Calibri"/>
                <w:color w:val="000000"/>
                <w:sz w:val="21"/>
                <w:szCs w:val="21"/>
                <w:lang w:bidi="hi-IN"/>
              </w:rPr>
              <w:t>31</w:t>
            </w:r>
            <w:r w:rsidR="00D1692E">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Dealing in illiquid stock options at BSE</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Aakash Prakash Shah</w:t>
            </w:r>
          </w:p>
        </w:tc>
        <w:tc>
          <w:tcPr>
            <w:tcW w:w="2268" w:type="dxa"/>
            <w:tcBorders>
              <w:top w:val="nil"/>
              <w:left w:val="nil"/>
              <w:bottom w:val="single" w:sz="4" w:space="0" w:color="auto"/>
              <w:right w:val="single" w:sz="4" w:space="0" w:color="auto"/>
            </w:tcBorders>
            <w:shd w:val="clear" w:color="auto" w:fill="auto"/>
          </w:tcPr>
          <w:p w:rsidR="00A379E0" w:rsidRPr="00A379E0" w:rsidRDefault="00A379E0" w:rsidP="00A379E0">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 3(a),4(1) and 4(2) (a) of the PFUTP Regulations</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right"/>
              <w:rPr>
                <w:rFonts w:ascii="Palatino Linotype" w:hAnsi="Palatino Linotype"/>
                <w:sz w:val="21"/>
                <w:szCs w:val="21"/>
              </w:rPr>
            </w:pPr>
            <w:r w:rsidRPr="00A379E0">
              <w:rPr>
                <w:rFonts w:ascii="Palatino Linotype" w:hAnsi="Palatino Linotype" w:cs="Calibri"/>
                <w:color w:val="000000"/>
                <w:sz w:val="21"/>
                <w:szCs w:val="21"/>
                <w:lang w:bidi="hi-IN"/>
              </w:rPr>
              <w:t>5,00,000</w:t>
            </w:r>
          </w:p>
        </w:tc>
      </w:tr>
      <w:tr w:rsidR="00A379E0"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A379E0" w:rsidRPr="00A379E0" w:rsidRDefault="00A379E0" w:rsidP="00A379E0">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57</w:t>
            </w:r>
          </w:p>
        </w:tc>
        <w:tc>
          <w:tcPr>
            <w:tcW w:w="1276" w:type="dxa"/>
            <w:tcBorders>
              <w:top w:val="nil"/>
              <w:left w:val="single" w:sz="4" w:space="0" w:color="auto"/>
              <w:bottom w:val="single" w:sz="4" w:space="0" w:color="auto"/>
              <w:right w:val="single" w:sz="4" w:space="0" w:color="auto"/>
            </w:tcBorders>
            <w:shd w:val="clear" w:color="auto" w:fill="auto"/>
            <w:noWrap/>
          </w:tcPr>
          <w:p w:rsidR="00A379E0" w:rsidRPr="00A379E0" w:rsidRDefault="00A379E0" w:rsidP="00D1692E">
            <w:pPr>
              <w:jc w:val="both"/>
              <w:rPr>
                <w:rFonts w:ascii="Palatino Linotype" w:hAnsi="Palatino Linotype"/>
                <w:sz w:val="21"/>
                <w:szCs w:val="21"/>
              </w:rPr>
            </w:pPr>
            <w:r w:rsidRPr="00A379E0">
              <w:rPr>
                <w:rFonts w:ascii="Palatino Linotype" w:hAnsi="Palatino Linotype" w:cs="Calibri"/>
                <w:color w:val="000000"/>
                <w:sz w:val="21"/>
                <w:szCs w:val="21"/>
                <w:lang w:bidi="hi-IN"/>
              </w:rPr>
              <w:t>31</w:t>
            </w:r>
            <w:r w:rsidR="00D1692E">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Dealing in illiquid stock options at BSE</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Aachman Vanijya Private Ltd.</w:t>
            </w:r>
          </w:p>
        </w:tc>
        <w:tc>
          <w:tcPr>
            <w:tcW w:w="2268" w:type="dxa"/>
            <w:tcBorders>
              <w:top w:val="nil"/>
              <w:left w:val="nil"/>
              <w:bottom w:val="single" w:sz="4" w:space="0" w:color="auto"/>
              <w:right w:val="single" w:sz="4" w:space="0" w:color="auto"/>
            </w:tcBorders>
            <w:shd w:val="clear" w:color="auto" w:fill="auto"/>
          </w:tcPr>
          <w:p w:rsidR="00A379E0" w:rsidRPr="00A379E0" w:rsidRDefault="00A379E0" w:rsidP="00A379E0">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 3(a),4(1) and 4(2) (a) of the PFUTP Regulations</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right"/>
              <w:rPr>
                <w:rFonts w:ascii="Palatino Linotype" w:hAnsi="Palatino Linotype"/>
                <w:sz w:val="21"/>
                <w:szCs w:val="21"/>
              </w:rPr>
            </w:pPr>
            <w:r w:rsidRPr="00A379E0">
              <w:rPr>
                <w:rFonts w:ascii="Palatino Linotype" w:hAnsi="Palatino Linotype" w:cs="Calibri"/>
                <w:color w:val="000000"/>
                <w:sz w:val="21"/>
                <w:szCs w:val="21"/>
                <w:lang w:bidi="hi-IN"/>
              </w:rPr>
              <w:t>5,00,000</w:t>
            </w:r>
          </w:p>
        </w:tc>
      </w:tr>
      <w:tr w:rsidR="00A379E0"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A379E0" w:rsidRPr="00A379E0" w:rsidRDefault="00A379E0" w:rsidP="00A379E0">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58</w:t>
            </w:r>
          </w:p>
        </w:tc>
        <w:tc>
          <w:tcPr>
            <w:tcW w:w="1276" w:type="dxa"/>
            <w:tcBorders>
              <w:top w:val="nil"/>
              <w:left w:val="single" w:sz="4" w:space="0" w:color="auto"/>
              <w:bottom w:val="single" w:sz="4" w:space="0" w:color="auto"/>
              <w:right w:val="single" w:sz="4" w:space="0" w:color="auto"/>
            </w:tcBorders>
            <w:shd w:val="clear" w:color="auto" w:fill="auto"/>
            <w:noWrap/>
          </w:tcPr>
          <w:p w:rsidR="00A379E0" w:rsidRPr="00A379E0" w:rsidRDefault="00A379E0" w:rsidP="00D1692E">
            <w:pPr>
              <w:jc w:val="both"/>
              <w:rPr>
                <w:rFonts w:ascii="Palatino Linotype" w:hAnsi="Palatino Linotype"/>
                <w:sz w:val="21"/>
                <w:szCs w:val="21"/>
              </w:rPr>
            </w:pPr>
            <w:r w:rsidRPr="00A379E0">
              <w:rPr>
                <w:rFonts w:ascii="Palatino Linotype" w:hAnsi="Palatino Linotype" w:cs="Calibri"/>
                <w:color w:val="000000"/>
                <w:sz w:val="21"/>
                <w:szCs w:val="21"/>
                <w:lang w:bidi="hi-IN"/>
              </w:rPr>
              <w:t>31</w:t>
            </w:r>
            <w:r w:rsidR="00D1692E">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Dealing in illiquid stock options at BSE</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 C Agarwal Commodities Private Ltd.</w:t>
            </w:r>
          </w:p>
        </w:tc>
        <w:tc>
          <w:tcPr>
            <w:tcW w:w="2268" w:type="dxa"/>
            <w:tcBorders>
              <w:top w:val="nil"/>
              <w:left w:val="nil"/>
              <w:bottom w:val="single" w:sz="4" w:space="0" w:color="auto"/>
              <w:right w:val="single" w:sz="4" w:space="0" w:color="auto"/>
            </w:tcBorders>
            <w:shd w:val="clear" w:color="auto" w:fill="auto"/>
          </w:tcPr>
          <w:p w:rsidR="00A379E0" w:rsidRPr="00A379E0" w:rsidRDefault="00A379E0" w:rsidP="00A379E0">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 3(a),4(1) and 4(2) (a) of the PFUTP Regulations</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right"/>
              <w:rPr>
                <w:rFonts w:ascii="Palatino Linotype" w:hAnsi="Palatino Linotype"/>
                <w:sz w:val="21"/>
                <w:szCs w:val="21"/>
              </w:rPr>
            </w:pPr>
            <w:r w:rsidRPr="00A379E0">
              <w:rPr>
                <w:rFonts w:ascii="Palatino Linotype" w:hAnsi="Palatino Linotype" w:cs="Calibri"/>
                <w:color w:val="000000"/>
                <w:sz w:val="21"/>
                <w:szCs w:val="21"/>
                <w:lang w:bidi="hi-IN"/>
              </w:rPr>
              <w:t>5,00,000</w:t>
            </w:r>
          </w:p>
        </w:tc>
      </w:tr>
      <w:tr w:rsidR="00A379E0"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A379E0" w:rsidRPr="00A379E0" w:rsidRDefault="00A379E0" w:rsidP="00A379E0">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59</w:t>
            </w:r>
          </w:p>
        </w:tc>
        <w:tc>
          <w:tcPr>
            <w:tcW w:w="1276" w:type="dxa"/>
            <w:tcBorders>
              <w:top w:val="nil"/>
              <w:left w:val="single" w:sz="4" w:space="0" w:color="auto"/>
              <w:bottom w:val="single" w:sz="4" w:space="0" w:color="auto"/>
              <w:right w:val="single" w:sz="4" w:space="0" w:color="auto"/>
            </w:tcBorders>
            <w:shd w:val="clear" w:color="auto" w:fill="auto"/>
            <w:noWrap/>
          </w:tcPr>
          <w:p w:rsidR="00A379E0" w:rsidRPr="00A379E0" w:rsidRDefault="00A379E0" w:rsidP="00D1692E">
            <w:pPr>
              <w:jc w:val="both"/>
              <w:rPr>
                <w:rFonts w:ascii="Palatino Linotype" w:hAnsi="Palatino Linotype"/>
                <w:sz w:val="21"/>
                <w:szCs w:val="21"/>
              </w:rPr>
            </w:pPr>
            <w:r w:rsidRPr="00A379E0">
              <w:rPr>
                <w:rFonts w:ascii="Palatino Linotype" w:hAnsi="Palatino Linotype" w:cs="Calibri"/>
                <w:color w:val="000000"/>
                <w:sz w:val="21"/>
                <w:szCs w:val="21"/>
                <w:lang w:bidi="hi-IN"/>
              </w:rPr>
              <w:t>31</w:t>
            </w:r>
            <w:r w:rsidR="00D1692E">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Delta Leasing and Finance Ltd.</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Baba  Nanak  Financial  Services, Goodpoint Impex Pvt. Ltd. , Meghna  Srivastava, Shivsathi Mercantile Pvt. Ltd.</w:t>
            </w:r>
          </w:p>
        </w:tc>
        <w:tc>
          <w:tcPr>
            <w:tcW w:w="2268" w:type="dxa"/>
            <w:tcBorders>
              <w:top w:val="nil"/>
              <w:left w:val="nil"/>
              <w:bottom w:val="single" w:sz="4" w:space="0" w:color="auto"/>
              <w:right w:val="single" w:sz="4" w:space="0" w:color="auto"/>
            </w:tcBorders>
            <w:shd w:val="clear" w:color="auto" w:fill="auto"/>
          </w:tcPr>
          <w:p w:rsidR="00A379E0" w:rsidRPr="00A379E0" w:rsidRDefault="00A379E0" w:rsidP="00A379E0">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Section 13, 16, 18 of SC(R)A read with SEBI Notification G.S.R. 219(E) dated March 2, 2000, SEBI Notification No. LAD-NRO/GN/2013-14/26/6667 dated October 3, 2013</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right"/>
              <w:rPr>
                <w:rFonts w:ascii="Palatino Linotype" w:hAnsi="Palatino Linotype"/>
                <w:sz w:val="21"/>
                <w:szCs w:val="21"/>
              </w:rPr>
            </w:pPr>
            <w:r w:rsidRPr="00A379E0">
              <w:rPr>
                <w:rFonts w:ascii="Palatino Linotype" w:hAnsi="Palatino Linotype" w:cs="Calibri"/>
                <w:color w:val="000000"/>
                <w:sz w:val="21"/>
                <w:szCs w:val="21"/>
                <w:lang w:bidi="hi-IN"/>
              </w:rPr>
              <w:t>50,000</w:t>
            </w:r>
          </w:p>
        </w:tc>
      </w:tr>
      <w:tr w:rsidR="00A379E0"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A379E0" w:rsidRPr="00A379E0" w:rsidRDefault="00A379E0" w:rsidP="00A379E0">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60</w:t>
            </w:r>
          </w:p>
        </w:tc>
        <w:tc>
          <w:tcPr>
            <w:tcW w:w="1276" w:type="dxa"/>
            <w:tcBorders>
              <w:top w:val="nil"/>
              <w:left w:val="single" w:sz="4" w:space="0" w:color="auto"/>
              <w:bottom w:val="single" w:sz="4" w:space="0" w:color="auto"/>
              <w:right w:val="single" w:sz="4" w:space="0" w:color="auto"/>
            </w:tcBorders>
            <w:shd w:val="clear" w:color="auto" w:fill="auto"/>
            <w:noWrap/>
          </w:tcPr>
          <w:p w:rsidR="00A379E0" w:rsidRPr="00A379E0" w:rsidRDefault="00A379E0" w:rsidP="00D1692E">
            <w:pPr>
              <w:jc w:val="both"/>
              <w:rPr>
                <w:rFonts w:ascii="Palatino Linotype" w:hAnsi="Palatino Linotype"/>
                <w:sz w:val="21"/>
                <w:szCs w:val="21"/>
              </w:rPr>
            </w:pPr>
            <w:r w:rsidRPr="00A379E0">
              <w:rPr>
                <w:rFonts w:ascii="Palatino Linotype" w:hAnsi="Palatino Linotype" w:cs="Calibri"/>
                <w:color w:val="000000"/>
                <w:sz w:val="21"/>
                <w:szCs w:val="21"/>
                <w:lang w:bidi="hi-IN"/>
              </w:rPr>
              <w:t>31</w:t>
            </w:r>
            <w:r w:rsidR="00D1692E">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Dealing in illiquid stock options at BSE</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nil"/>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Vinodkumar M Jain</w:t>
            </w:r>
          </w:p>
        </w:tc>
        <w:tc>
          <w:tcPr>
            <w:tcW w:w="2268" w:type="dxa"/>
            <w:tcBorders>
              <w:top w:val="nil"/>
              <w:left w:val="nil"/>
              <w:bottom w:val="single" w:sz="4" w:space="0" w:color="auto"/>
              <w:right w:val="single" w:sz="4" w:space="0" w:color="auto"/>
            </w:tcBorders>
            <w:shd w:val="clear" w:color="auto" w:fill="auto"/>
          </w:tcPr>
          <w:p w:rsidR="00A379E0" w:rsidRPr="00A379E0" w:rsidRDefault="00A379E0" w:rsidP="00A379E0">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Regulations 3(a), (b), (c), (d), 4(1) and  4(2)(a)  of  PFUTP  Regulations</w:t>
            </w:r>
          </w:p>
        </w:tc>
        <w:tc>
          <w:tcPr>
            <w:tcW w:w="1559" w:type="dxa"/>
            <w:tcBorders>
              <w:top w:val="nil"/>
              <w:left w:val="nil"/>
              <w:bottom w:val="single" w:sz="4" w:space="0" w:color="auto"/>
              <w:right w:val="single" w:sz="4" w:space="0" w:color="auto"/>
            </w:tcBorders>
            <w:shd w:val="clear" w:color="auto" w:fill="auto"/>
            <w:noWrap/>
          </w:tcPr>
          <w:p w:rsidR="00A379E0" w:rsidRPr="00A379E0" w:rsidRDefault="00A379E0" w:rsidP="00A379E0">
            <w:pPr>
              <w:jc w:val="right"/>
              <w:rPr>
                <w:rFonts w:ascii="Palatino Linotype" w:hAnsi="Palatino Linotype"/>
                <w:sz w:val="21"/>
                <w:szCs w:val="21"/>
              </w:rPr>
            </w:pPr>
            <w:r w:rsidRPr="00A379E0">
              <w:rPr>
                <w:rFonts w:ascii="Palatino Linotype" w:hAnsi="Palatino Linotype" w:cs="Calibri"/>
                <w:color w:val="000000"/>
                <w:sz w:val="21"/>
                <w:szCs w:val="21"/>
                <w:lang w:bidi="hi-IN"/>
              </w:rPr>
              <w:t>5,00,000</w:t>
            </w:r>
          </w:p>
        </w:tc>
      </w:tr>
      <w:tr w:rsidR="00A379E0"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A379E0" w:rsidRPr="00A379E0" w:rsidRDefault="00A379E0" w:rsidP="00A379E0">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61</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A379E0" w:rsidRPr="00A379E0" w:rsidRDefault="00A379E0" w:rsidP="00D1692E">
            <w:pPr>
              <w:jc w:val="both"/>
              <w:rPr>
                <w:rFonts w:ascii="Palatino Linotype" w:hAnsi="Palatino Linotype"/>
                <w:sz w:val="21"/>
                <w:szCs w:val="21"/>
              </w:rPr>
            </w:pPr>
            <w:r w:rsidRPr="00A379E0">
              <w:rPr>
                <w:rFonts w:ascii="Palatino Linotype" w:hAnsi="Palatino Linotype" w:cs="Calibri"/>
                <w:color w:val="000000"/>
                <w:sz w:val="21"/>
                <w:szCs w:val="21"/>
                <w:lang w:bidi="hi-IN"/>
              </w:rPr>
              <w:t>31</w:t>
            </w:r>
            <w:r w:rsidR="00D1692E">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single" w:sz="4" w:space="0" w:color="auto"/>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Dealing in illiquid stock options at BSE</w:t>
            </w:r>
          </w:p>
        </w:tc>
        <w:tc>
          <w:tcPr>
            <w:tcW w:w="1559" w:type="dxa"/>
            <w:tcBorders>
              <w:top w:val="single" w:sz="4" w:space="0" w:color="auto"/>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single" w:sz="4" w:space="0" w:color="auto"/>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Vinay Ramanlal Shah HUF</w:t>
            </w:r>
          </w:p>
        </w:tc>
        <w:tc>
          <w:tcPr>
            <w:tcW w:w="2268" w:type="dxa"/>
            <w:tcBorders>
              <w:top w:val="single" w:sz="4" w:space="0" w:color="auto"/>
              <w:left w:val="nil"/>
              <w:bottom w:val="single" w:sz="4" w:space="0" w:color="auto"/>
              <w:right w:val="single" w:sz="4" w:space="0" w:color="auto"/>
            </w:tcBorders>
            <w:shd w:val="clear" w:color="auto" w:fill="auto"/>
          </w:tcPr>
          <w:p w:rsidR="00A379E0" w:rsidRPr="00A379E0" w:rsidRDefault="00A379E0" w:rsidP="00A379E0">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Regulations 3(a), (b), (c), (d), 4(1) and  4(2)(a)  of  PFUTP  Regulations</w:t>
            </w:r>
          </w:p>
        </w:tc>
        <w:tc>
          <w:tcPr>
            <w:tcW w:w="1559" w:type="dxa"/>
            <w:tcBorders>
              <w:top w:val="single" w:sz="4" w:space="0" w:color="auto"/>
              <w:left w:val="nil"/>
              <w:bottom w:val="single" w:sz="4" w:space="0" w:color="auto"/>
              <w:right w:val="single" w:sz="4" w:space="0" w:color="auto"/>
            </w:tcBorders>
            <w:shd w:val="clear" w:color="auto" w:fill="auto"/>
            <w:noWrap/>
          </w:tcPr>
          <w:p w:rsidR="00A379E0" w:rsidRPr="00A379E0" w:rsidRDefault="00A379E0" w:rsidP="00A379E0">
            <w:pPr>
              <w:jc w:val="right"/>
              <w:rPr>
                <w:rFonts w:ascii="Palatino Linotype" w:hAnsi="Palatino Linotype"/>
                <w:sz w:val="21"/>
                <w:szCs w:val="21"/>
              </w:rPr>
            </w:pPr>
            <w:r w:rsidRPr="00A379E0">
              <w:rPr>
                <w:rFonts w:ascii="Palatino Linotype" w:hAnsi="Palatino Linotype" w:cs="Calibri"/>
                <w:color w:val="000000"/>
                <w:sz w:val="21"/>
                <w:szCs w:val="21"/>
                <w:lang w:bidi="hi-IN"/>
              </w:rPr>
              <w:t>5,00,000</w:t>
            </w:r>
          </w:p>
        </w:tc>
      </w:tr>
      <w:tr w:rsidR="00A379E0" w:rsidRPr="00B83873" w:rsidTr="00A379E0">
        <w:trPr>
          <w:trHeight w:val="300"/>
        </w:trPr>
        <w:tc>
          <w:tcPr>
            <w:tcW w:w="567" w:type="dxa"/>
            <w:tcBorders>
              <w:top w:val="single" w:sz="4" w:space="0" w:color="auto"/>
              <w:left w:val="single" w:sz="4" w:space="0" w:color="auto"/>
              <w:bottom w:val="single" w:sz="4" w:space="0" w:color="auto"/>
              <w:right w:val="single" w:sz="4" w:space="0" w:color="auto"/>
            </w:tcBorders>
          </w:tcPr>
          <w:p w:rsidR="00A379E0" w:rsidRPr="00A379E0" w:rsidRDefault="00A379E0" w:rsidP="00A379E0">
            <w:pPr>
              <w:jc w:val="both"/>
              <w:rPr>
                <w:rFonts w:ascii="Palatino Linotype" w:hAnsi="Palatino Linotype"/>
                <w:color w:val="000000"/>
                <w:sz w:val="21"/>
                <w:szCs w:val="21"/>
                <w:lang w:val="en-IN" w:eastAsia="en-IN" w:bidi="hi-IN"/>
              </w:rPr>
            </w:pPr>
            <w:r w:rsidRPr="00A379E0">
              <w:rPr>
                <w:rFonts w:ascii="Palatino Linotype" w:hAnsi="Palatino Linotype"/>
                <w:color w:val="000000"/>
                <w:sz w:val="21"/>
                <w:szCs w:val="21"/>
                <w:lang w:val="en-IN" w:eastAsia="en-IN" w:bidi="hi-IN"/>
              </w:rPr>
              <w:t>62</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A379E0" w:rsidRPr="00A379E0" w:rsidRDefault="00A379E0" w:rsidP="00D1692E">
            <w:pPr>
              <w:jc w:val="both"/>
              <w:rPr>
                <w:rFonts w:ascii="Palatino Linotype" w:hAnsi="Palatino Linotype"/>
                <w:sz w:val="21"/>
                <w:szCs w:val="21"/>
              </w:rPr>
            </w:pPr>
            <w:r w:rsidRPr="00A379E0">
              <w:rPr>
                <w:rFonts w:ascii="Palatino Linotype" w:hAnsi="Palatino Linotype" w:cs="Calibri"/>
                <w:color w:val="000000"/>
                <w:sz w:val="21"/>
                <w:szCs w:val="21"/>
                <w:lang w:bidi="hi-IN"/>
              </w:rPr>
              <w:t>31</w:t>
            </w:r>
            <w:r w:rsidR="00D1692E">
              <w:rPr>
                <w:rFonts w:ascii="Palatino Linotype" w:hAnsi="Palatino Linotype" w:cs="Calibri"/>
                <w:color w:val="000000"/>
                <w:sz w:val="21"/>
                <w:szCs w:val="21"/>
                <w:lang w:bidi="hi-IN"/>
              </w:rPr>
              <w:t>/08/</w:t>
            </w:r>
            <w:r w:rsidRPr="00A379E0">
              <w:rPr>
                <w:rFonts w:ascii="Palatino Linotype" w:hAnsi="Palatino Linotype" w:cs="Calibri"/>
                <w:color w:val="000000"/>
                <w:sz w:val="21"/>
                <w:szCs w:val="21"/>
                <w:lang w:bidi="hi-IN"/>
              </w:rPr>
              <w:t>2021</w:t>
            </w:r>
          </w:p>
        </w:tc>
        <w:tc>
          <w:tcPr>
            <w:tcW w:w="2127" w:type="dxa"/>
            <w:tcBorders>
              <w:top w:val="single" w:sz="4" w:space="0" w:color="auto"/>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Wealth Management Research</w:t>
            </w:r>
          </w:p>
        </w:tc>
        <w:tc>
          <w:tcPr>
            <w:tcW w:w="1559" w:type="dxa"/>
            <w:tcBorders>
              <w:top w:val="single" w:sz="4" w:space="0" w:color="auto"/>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Adjudication</w:t>
            </w:r>
          </w:p>
        </w:tc>
        <w:tc>
          <w:tcPr>
            <w:tcW w:w="2126" w:type="dxa"/>
            <w:tcBorders>
              <w:top w:val="single" w:sz="4" w:space="0" w:color="auto"/>
              <w:left w:val="nil"/>
              <w:bottom w:val="single" w:sz="4" w:space="0" w:color="auto"/>
              <w:right w:val="single" w:sz="4" w:space="0" w:color="auto"/>
            </w:tcBorders>
            <w:shd w:val="clear" w:color="auto" w:fill="auto"/>
            <w:noWrap/>
          </w:tcPr>
          <w:p w:rsidR="00A379E0" w:rsidRPr="00A379E0" w:rsidRDefault="00A379E0" w:rsidP="00A379E0">
            <w:pPr>
              <w:jc w:val="both"/>
              <w:rPr>
                <w:rFonts w:ascii="Palatino Linotype" w:hAnsi="Palatino Linotype"/>
                <w:sz w:val="21"/>
                <w:szCs w:val="21"/>
              </w:rPr>
            </w:pPr>
            <w:r w:rsidRPr="00A379E0">
              <w:rPr>
                <w:rFonts w:ascii="Palatino Linotype" w:hAnsi="Palatino Linotype" w:cs="Calibri"/>
                <w:color w:val="000000"/>
                <w:sz w:val="21"/>
                <w:szCs w:val="21"/>
                <w:lang w:bidi="hi-IN"/>
              </w:rPr>
              <w:t>Wealth Management Research, Mr. Rahul Nagar, Mr. Ratan Patel and Ms. Suhanika Chourey</w:t>
            </w:r>
          </w:p>
        </w:tc>
        <w:tc>
          <w:tcPr>
            <w:tcW w:w="2268" w:type="dxa"/>
            <w:tcBorders>
              <w:top w:val="single" w:sz="4" w:space="0" w:color="auto"/>
              <w:left w:val="nil"/>
              <w:bottom w:val="single" w:sz="4" w:space="0" w:color="auto"/>
              <w:right w:val="single" w:sz="4" w:space="0" w:color="auto"/>
            </w:tcBorders>
            <w:shd w:val="clear" w:color="auto" w:fill="auto"/>
          </w:tcPr>
          <w:p w:rsidR="00A379E0" w:rsidRPr="00A379E0" w:rsidRDefault="00A379E0" w:rsidP="00A379E0">
            <w:pPr>
              <w:shd w:val="clear" w:color="auto" w:fill="FFFFFF"/>
              <w:jc w:val="both"/>
              <w:rPr>
                <w:rFonts w:ascii="Palatino Linotype" w:hAnsi="Palatino Linotype"/>
                <w:sz w:val="21"/>
                <w:szCs w:val="21"/>
              </w:rPr>
            </w:pPr>
            <w:r w:rsidRPr="00A379E0">
              <w:rPr>
                <w:rFonts w:ascii="Palatino Linotype" w:hAnsi="Palatino Linotype" w:cs="Calibri"/>
                <w:color w:val="000000"/>
                <w:sz w:val="21"/>
                <w:szCs w:val="21"/>
                <w:lang w:bidi="hi-IN"/>
              </w:rPr>
              <w:t>Section 12(1) of the SEBI Act read with Regulation 3(1) of the IA Regulations and Regulations 3 (b) (c) and (d) of PFUTP Regulations read with Sections 12A (a) (b) (c) of SEBI Act</w:t>
            </w:r>
          </w:p>
        </w:tc>
        <w:tc>
          <w:tcPr>
            <w:tcW w:w="1559" w:type="dxa"/>
            <w:tcBorders>
              <w:top w:val="single" w:sz="4" w:space="0" w:color="auto"/>
              <w:left w:val="nil"/>
              <w:bottom w:val="single" w:sz="4" w:space="0" w:color="auto"/>
              <w:right w:val="single" w:sz="4" w:space="0" w:color="auto"/>
            </w:tcBorders>
            <w:shd w:val="clear" w:color="auto" w:fill="auto"/>
            <w:noWrap/>
          </w:tcPr>
          <w:p w:rsidR="00A379E0" w:rsidRPr="00A379E0" w:rsidRDefault="00A379E0" w:rsidP="00A379E0">
            <w:pPr>
              <w:jc w:val="right"/>
              <w:rPr>
                <w:rFonts w:ascii="Palatino Linotype" w:hAnsi="Palatino Linotype"/>
                <w:sz w:val="21"/>
                <w:szCs w:val="21"/>
              </w:rPr>
            </w:pPr>
            <w:r w:rsidRPr="00A379E0">
              <w:rPr>
                <w:rFonts w:ascii="Palatino Linotype" w:hAnsi="Palatino Linotype" w:cs="Calibri"/>
                <w:color w:val="000000"/>
                <w:sz w:val="21"/>
                <w:szCs w:val="21"/>
                <w:lang w:bidi="hi-IN"/>
              </w:rPr>
              <w:t>7,00,000</w:t>
            </w:r>
          </w:p>
        </w:tc>
      </w:tr>
    </w:tbl>
    <w:p w:rsidR="00272724" w:rsidRDefault="00272724" w:rsidP="00272724">
      <w:pPr>
        <w:pStyle w:val="ListParagraph"/>
        <w:rPr>
          <w:rFonts w:ascii="Garamond" w:hAnsi="Garamond"/>
          <w:sz w:val="24"/>
          <w:szCs w:val="24"/>
        </w:rPr>
      </w:pPr>
    </w:p>
    <w:p w:rsidR="00272724" w:rsidRPr="00E71481" w:rsidRDefault="00272724" w:rsidP="00F470D1">
      <w:pPr>
        <w:spacing w:after="120"/>
        <w:ind w:left="-709"/>
        <w:rPr>
          <w:rFonts w:ascii="Garamond" w:hAnsi="Garamond"/>
          <w:i/>
          <w:color w:val="0000FF"/>
          <w:sz w:val="18"/>
          <w:u w:val="single"/>
        </w:rPr>
      </w:pPr>
      <w:r>
        <w:rPr>
          <w:rFonts w:ascii="Garamond" w:hAnsi="Garamond" w:cs="Arial"/>
          <w:i/>
          <w:szCs w:val="32"/>
        </w:rPr>
        <w:t xml:space="preserve">Disclaimer: </w:t>
      </w:r>
      <w:r w:rsidR="00D22F0B">
        <w:rPr>
          <w:rFonts w:ascii="Garamond" w:hAnsi="Garamond" w:cs="Arial"/>
          <w:i/>
          <w:szCs w:val="32"/>
        </w:rPr>
        <w:t xml:space="preserve">Regulatory actions consist of orders passed by Whole Time Member/Adjudication Officer.  Please refer SEBI website for exhaustive list.  </w:t>
      </w:r>
      <w:r>
        <w:rPr>
          <w:rFonts w:ascii="Garamond" w:hAnsi="Garamond" w:cs="Arial"/>
          <w:i/>
          <w:szCs w:val="32"/>
        </w:rPr>
        <w:t>The summary has been prepared for the convenience of readers. In case of any ambiguity, please refer to the original order</w:t>
      </w:r>
      <w:r w:rsidRPr="00E71481">
        <w:rPr>
          <w:rFonts w:ascii="Garamond" w:hAnsi="Garamond" w:cs="Arial"/>
          <w:i/>
          <w:szCs w:val="32"/>
        </w:rPr>
        <w:t>.</w:t>
      </w:r>
    </w:p>
    <w:p w:rsidR="00272724" w:rsidRPr="006F32FA" w:rsidRDefault="00272724" w:rsidP="00272724">
      <w:pPr>
        <w:spacing w:after="120"/>
        <w:rPr>
          <w:rStyle w:val="Hyperlink"/>
          <w:rFonts w:ascii="Garamond" w:hAnsi="Garamond"/>
          <w:i/>
          <w:sz w:val="18"/>
        </w:rPr>
      </w:pPr>
    </w:p>
    <w:p w:rsidR="006F32FA" w:rsidRPr="006F32FA" w:rsidRDefault="006F32FA" w:rsidP="00272724">
      <w:pPr>
        <w:shd w:val="clear" w:color="auto" w:fill="FFFFFF"/>
        <w:spacing w:line="276" w:lineRule="auto"/>
        <w:jc w:val="both"/>
        <w:textAlignment w:val="baseline"/>
        <w:rPr>
          <w:rStyle w:val="Hyperlink"/>
          <w:rFonts w:ascii="Garamond" w:hAnsi="Garamond"/>
          <w:i/>
          <w:sz w:val="18"/>
        </w:rPr>
      </w:pPr>
    </w:p>
    <w:sectPr w:rsidR="006F32FA" w:rsidRPr="006F32FA" w:rsidSect="00332F86">
      <w:headerReference w:type="even" r:id="rId42"/>
      <w:headerReference w:type="default" r:id="rId43"/>
      <w:footerReference w:type="even" r:id="rId44"/>
      <w:footerReference w:type="default" r:id="rId45"/>
      <w:pgSz w:w="11906" w:h="16838" w:code="9"/>
      <w:pgMar w:top="578" w:right="1009" w:bottom="578" w:left="1009"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04E3" w:rsidRDefault="008204E3" w:rsidP="00E07645">
      <w:r>
        <w:separator/>
      </w:r>
    </w:p>
  </w:endnote>
  <w:endnote w:type="continuationSeparator" w:id="0">
    <w:p w:rsidR="008204E3" w:rsidRDefault="008204E3"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rinda">
    <w:panose1 w:val="020B0502040204020203"/>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altName w:val="Cambria Math"/>
    <w:panose1 w:val="02040503050203030202"/>
    <w:charset w:val="01"/>
    <w:family w:val="roman"/>
    <w:notTrueType/>
    <w:pitch w:val="variable"/>
    <w:sig w:usb0="00002000" w:usb1="00000000" w:usb2="00000000" w:usb3="00000000" w:csb0="00000000" w:csb1="00000000"/>
  </w:font>
  <w:font w:name="Rupee Foradian">
    <w:panose1 w:val="020B0603030804020204"/>
    <w:charset w:val="00"/>
    <w:family w:val="swiss"/>
    <w:pitch w:val="variable"/>
    <w:sig w:usb0="800000AF" w:usb1="1000204A" w:usb2="00000000" w:usb3="00000000" w:csb0="00000001" w:csb1="00000000"/>
  </w:font>
  <w:font w:name="CIDFont+F3">
    <w:panose1 w:val="00000000000000000000"/>
    <w:charset w:val="00"/>
    <w:family w:val="auto"/>
    <w:notTrueType/>
    <w:pitch w:val="default"/>
    <w:sig w:usb0="00000003" w:usb1="00000000" w:usb2="00000000" w:usb3="00000000" w:csb0="00000001" w:csb1="00000000"/>
  </w:font>
  <w:font w:name="CIDFont+F5">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63A6" w:rsidRDefault="00A963A6">
    <w:pPr>
      <w:pStyle w:val="Footer"/>
    </w:pPr>
  </w:p>
  <w:p w:rsidR="00A963A6" w:rsidRDefault="00A963A6"/>
  <w:p w:rsidR="00A963A6" w:rsidRDefault="00A963A6"/>
  <w:p w:rsidR="00A963A6" w:rsidRDefault="00A963A6"/>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008751"/>
      <w:docPartObj>
        <w:docPartGallery w:val="Page Numbers (Bottom of Page)"/>
        <w:docPartUnique/>
      </w:docPartObj>
    </w:sdtPr>
    <w:sdtEndPr>
      <w:rPr>
        <w:color w:val="7F7F7F" w:themeColor="background1" w:themeShade="7F"/>
        <w:spacing w:val="60"/>
      </w:rPr>
    </w:sdtEndPr>
    <w:sdtContent>
      <w:p w:rsidR="00A963A6" w:rsidRDefault="00A963A6">
        <w:pPr>
          <w:pStyle w:val="Footer"/>
          <w:pBdr>
            <w:top w:val="single" w:sz="4" w:space="1" w:color="D9D9D9" w:themeColor="background1" w:themeShade="D9"/>
          </w:pBdr>
          <w:jc w:val="right"/>
        </w:pPr>
        <w:r>
          <w:fldChar w:fldCharType="begin"/>
        </w:r>
        <w:r>
          <w:instrText xml:space="preserve"> PAGE   \* MERGEFORMAT </w:instrText>
        </w:r>
        <w:r>
          <w:fldChar w:fldCharType="separate"/>
        </w:r>
        <w:r w:rsidR="007C20C8">
          <w:rPr>
            <w:noProof/>
          </w:rPr>
          <w:t>1</w:t>
        </w:r>
        <w:r>
          <w:rPr>
            <w:noProof/>
          </w:rPr>
          <w:fldChar w:fldCharType="end"/>
        </w:r>
        <w:r>
          <w:t xml:space="preserve"> | </w:t>
        </w:r>
        <w:r>
          <w:rPr>
            <w:color w:val="7F7F7F" w:themeColor="background1" w:themeShade="7F"/>
            <w:spacing w:val="60"/>
          </w:rPr>
          <w:t>Page</w:t>
        </w:r>
      </w:p>
    </w:sdtContent>
  </w:sdt>
  <w:p w:rsidR="00A963A6" w:rsidRDefault="00A963A6">
    <w:pPr>
      <w:pStyle w:val="Footer"/>
    </w:pPr>
  </w:p>
  <w:p w:rsidR="00A963A6" w:rsidRDefault="00A963A6"/>
  <w:p w:rsidR="00A963A6" w:rsidRDefault="00A963A6"/>
  <w:p w:rsidR="00A963A6" w:rsidRDefault="00A963A6"/>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04E3" w:rsidRDefault="008204E3" w:rsidP="00E07645">
      <w:r>
        <w:separator/>
      </w:r>
    </w:p>
  </w:footnote>
  <w:footnote w:type="continuationSeparator" w:id="0">
    <w:p w:rsidR="008204E3" w:rsidRDefault="008204E3" w:rsidP="00E07645">
      <w:r>
        <w:continuationSeparator/>
      </w:r>
    </w:p>
  </w:footnote>
  <w:footnote w:id="1">
    <w:p w:rsidR="00A963A6" w:rsidRPr="005B5517" w:rsidRDefault="00A963A6" w:rsidP="00A429C0">
      <w:pPr>
        <w:pStyle w:val="FootnoteText"/>
        <w:rPr>
          <w:rFonts w:ascii="Palatino Linotype" w:hAnsi="Palatino Linotype"/>
          <w:i/>
          <w:lang w:val="en-IN"/>
        </w:rPr>
      </w:pPr>
      <w:r w:rsidRPr="005B5517">
        <w:rPr>
          <w:rStyle w:val="FootnoteReference"/>
          <w:rFonts w:ascii="Palatino Linotype" w:hAnsi="Palatino Linotype"/>
          <w:i/>
        </w:rPr>
        <w:footnoteRef/>
      </w:r>
      <w:r w:rsidRPr="005B5517">
        <w:rPr>
          <w:rFonts w:ascii="Palatino Linotype" w:hAnsi="Palatino Linotype"/>
          <w:i/>
        </w:rPr>
        <w:t xml:space="preserve"> In case of close ended schemes, at the time of maturity, AMC repurchases it units.</w:t>
      </w:r>
    </w:p>
  </w:footnote>
  <w:footnote w:id="2">
    <w:p w:rsidR="00A963A6" w:rsidRDefault="00A963A6" w:rsidP="003C2485">
      <w:pPr>
        <w:pStyle w:val="FootnoteText"/>
        <w:jc w:val="both"/>
      </w:pPr>
      <w:r>
        <w:rPr>
          <w:rStyle w:val="FootnoteReference"/>
        </w:rPr>
        <w:footnoteRef/>
      </w:r>
      <w:r>
        <w:t xml:space="preserve"> Based on data available on World Federation of Exchanges as on 13 September 2021.</w:t>
      </w:r>
    </w:p>
  </w:footnote>
  <w:footnote w:id="3">
    <w:p w:rsidR="00A963A6" w:rsidRDefault="00A963A6" w:rsidP="003C2485">
      <w:pPr>
        <w:pStyle w:val="FootnoteText"/>
      </w:pPr>
      <w:r>
        <w:rPr>
          <w:rStyle w:val="FootnoteReference"/>
        </w:rPr>
        <w:footnoteRef/>
      </w:r>
      <w:r>
        <w:t xml:space="preserve"> </w:t>
      </w:r>
      <w:r w:rsidRPr="000D159E">
        <w:t>USA, USA, France, Germany, UK, Hong Kong</w:t>
      </w:r>
      <w:r>
        <w:t>, South Korea, Japan, Singapore and</w:t>
      </w:r>
      <w:r w:rsidRPr="000D159E">
        <w:t xml:space="preserve"> Taiwan</w:t>
      </w:r>
    </w:p>
  </w:footnote>
  <w:footnote w:id="4">
    <w:p w:rsidR="00A963A6" w:rsidRDefault="00A963A6" w:rsidP="003C2485">
      <w:pPr>
        <w:pStyle w:val="FootnoteText"/>
      </w:pPr>
      <w:r>
        <w:rPr>
          <w:rStyle w:val="FootnoteReference"/>
        </w:rPr>
        <w:footnoteRef/>
      </w:r>
      <w:r>
        <w:t xml:space="preserve"> US, UK, Germany, Spain, Japan</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63A6" w:rsidRDefault="00A963A6">
    <w:pPr>
      <w:pStyle w:val="Header"/>
    </w:pPr>
  </w:p>
  <w:p w:rsidR="00A963A6" w:rsidRDefault="00A963A6"/>
  <w:p w:rsidR="00A963A6" w:rsidRDefault="00A963A6"/>
  <w:p w:rsidR="00A963A6" w:rsidRDefault="00A963A6"/>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63A6" w:rsidRDefault="00A963A6">
    <w:pPr>
      <w:pStyle w:val="Header"/>
    </w:pPr>
  </w:p>
  <w:p w:rsidR="00A963A6" w:rsidRDefault="00A963A6"/>
  <w:p w:rsidR="00A963A6" w:rsidRDefault="00A963A6"/>
  <w:p w:rsidR="00A963A6" w:rsidRDefault="00A963A6"/>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000019"/>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22"/>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23"/>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8064DE"/>
    <w:multiLevelType w:val="hybridMultilevel"/>
    <w:tmpl w:val="E1B0C96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C45371"/>
    <w:multiLevelType w:val="multilevel"/>
    <w:tmpl w:val="9B824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E340A6A"/>
    <w:multiLevelType w:val="hybridMultilevel"/>
    <w:tmpl w:val="700E2B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FFD16E1"/>
    <w:multiLevelType w:val="multilevel"/>
    <w:tmpl w:val="B80076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0B07178"/>
    <w:multiLevelType w:val="hybridMultilevel"/>
    <w:tmpl w:val="BDEA36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95331B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221966"/>
    <w:multiLevelType w:val="hybridMultilevel"/>
    <w:tmpl w:val="1FD44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E427DF"/>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B45C15"/>
    <w:multiLevelType w:val="hybridMultilevel"/>
    <w:tmpl w:val="26D0858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D2D7D95"/>
    <w:multiLevelType w:val="hybridMultilevel"/>
    <w:tmpl w:val="40FA3CD6"/>
    <w:lvl w:ilvl="0" w:tplc="1DBAE696">
      <w:start w:val="1"/>
      <w:numFmt w:val="decimal"/>
      <w:lvlText w:val="%1."/>
      <w:lvlJc w:val="left"/>
      <w:pPr>
        <w:ind w:left="644" w:hanging="360"/>
      </w:pPr>
      <w:rPr>
        <w:b w:val="0"/>
        <w:bCs/>
        <w:strike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21420D67"/>
    <w:multiLevelType w:val="multilevel"/>
    <w:tmpl w:val="B7105E1C"/>
    <w:lvl w:ilvl="0">
      <w:start w:val="1"/>
      <w:numFmt w:val="upperLetter"/>
      <w:lvlText w:val="%1."/>
      <w:lvlJc w:val="left"/>
      <w:pPr>
        <w:ind w:left="360" w:hanging="360"/>
      </w:pPr>
      <w:rPr>
        <w:color w:val="000000"/>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2740796C"/>
    <w:multiLevelType w:val="hybridMultilevel"/>
    <w:tmpl w:val="F7F40D22"/>
    <w:lvl w:ilvl="0" w:tplc="04090001">
      <w:start w:val="1"/>
      <w:numFmt w:val="bullet"/>
      <w:lvlText w:val=""/>
      <w:lvlJc w:val="left"/>
      <w:pPr>
        <w:ind w:left="859" w:hanging="360"/>
      </w:pPr>
      <w:rPr>
        <w:rFonts w:ascii="Symbol" w:hAnsi="Symbol" w:hint="default"/>
      </w:rPr>
    </w:lvl>
    <w:lvl w:ilvl="1" w:tplc="04090003" w:tentative="1">
      <w:start w:val="1"/>
      <w:numFmt w:val="bullet"/>
      <w:lvlText w:val="o"/>
      <w:lvlJc w:val="left"/>
      <w:pPr>
        <w:ind w:left="1579" w:hanging="360"/>
      </w:pPr>
      <w:rPr>
        <w:rFonts w:ascii="Courier New" w:hAnsi="Courier New" w:cs="Courier New" w:hint="default"/>
      </w:rPr>
    </w:lvl>
    <w:lvl w:ilvl="2" w:tplc="04090005" w:tentative="1">
      <w:start w:val="1"/>
      <w:numFmt w:val="bullet"/>
      <w:lvlText w:val=""/>
      <w:lvlJc w:val="left"/>
      <w:pPr>
        <w:ind w:left="2299" w:hanging="360"/>
      </w:pPr>
      <w:rPr>
        <w:rFonts w:ascii="Wingdings" w:hAnsi="Wingdings" w:hint="default"/>
      </w:rPr>
    </w:lvl>
    <w:lvl w:ilvl="3" w:tplc="04090001" w:tentative="1">
      <w:start w:val="1"/>
      <w:numFmt w:val="bullet"/>
      <w:lvlText w:val=""/>
      <w:lvlJc w:val="left"/>
      <w:pPr>
        <w:ind w:left="3019" w:hanging="360"/>
      </w:pPr>
      <w:rPr>
        <w:rFonts w:ascii="Symbol" w:hAnsi="Symbol" w:hint="default"/>
      </w:rPr>
    </w:lvl>
    <w:lvl w:ilvl="4" w:tplc="04090003" w:tentative="1">
      <w:start w:val="1"/>
      <w:numFmt w:val="bullet"/>
      <w:lvlText w:val="o"/>
      <w:lvlJc w:val="left"/>
      <w:pPr>
        <w:ind w:left="3739" w:hanging="360"/>
      </w:pPr>
      <w:rPr>
        <w:rFonts w:ascii="Courier New" w:hAnsi="Courier New" w:cs="Courier New" w:hint="default"/>
      </w:rPr>
    </w:lvl>
    <w:lvl w:ilvl="5" w:tplc="04090005" w:tentative="1">
      <w:start w:val="1"/>
      <w:numFmt w:val="bullet"/>
      <w:lvlText w:val=""/>
      <w:lvlJc w:val="left"/>
      <w:pPr>
        <w:ind w:left="4459" w:hanging="360"/>
      </w:pPr>
      <w:rPr>
        <w:rFonts w:ascii="Wingdings" w:hAnsi="Wingdings" w:hint="default"/>
      </w:rPr>
    </w:lvl>
    <w:lvl w:ilvl="6" w:tplc="04090001" w:tentative="1">
      <w:start w:val="1"/>
      <w:numFmt w:val="bullet"/>
      <w:lvlText w:val=""/>
      <w:lvlJc w:val="left"/>
      <w:pPr>
        <w:ind w:left="5179" w:hanging="360"/>
      </w:pPr>
      <w:rPr>
        <w:rFonts w:ascii="Symbol" w:hAnsi="Symbol" w:hint="default"/>
      </w:rPr>
    </w:lvl>
    <w:lvl w:ilvl="7" w:tplc="04090003" w:tentative="1">
      <w:start w:val="1"/>
      <w:numFmt w:val="bullet"/>
      <w:lvlText w:val="o"/>
      <w:lvlJc w:val="left"/>
      <w:pPr>
        <w:ind w:left="5899" w:hanging="360"/>
      </w:pPr>
      <w:rPr>
        <w:rFonts w:ascii="Courier New" w:hAnsi="Courier New" w:cs="Courier New" w:hint="default"/>
      </w:rPr>
    </w:lvl>
    <w:lvl w:ilvl="8" w:tplc="04090005" w:tentative="1">
      <w:start w:val="1"/>
      <w:numFmt w:val="bullet"/>
      <w:lvlText w:val=""/>
      <w:lvlJc w:val="left"/>
      <w:pPr>
        <w:ind w:left="6619" w:hanging="360"/>
      </w:pPr>
      <w:rPr>
        <w:rFonts w:ascii="Wingdings" w:hAnsi="Wingdings" w:hint="default"/>
      </w:rPr>
    </w:lvl>
  </w:abstractNum>
  <w:abstractNum w:abstractNumId="16" w15:restartNumberingAfterBreak="0">
    <w:nsid w:val="2C433BFC"/>
    <w:multiLevelType w:val="hybridMultilevel"/>
    <w:tmpl w:val="D5DABC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2597F73"/>
    <w:multiLevelType w:val="hybridMultilevel"/>
    <w:tmpl w:val="B4C0D452"/>
    <w:lvl w:ilvl="0" w:tplc="FB188760">
      <w:start w:val="1"/>
      <w:numFmt w:val="upperLetter"/>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7FB7EC5"/>
    <w:multiLevelType w:val="hybridMultilevel"/>
    <w:tmpl w:val="4CF0F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B062FF1"/>
    <w:multiLevelType w:val="hybridMultilevel"/>
    <w:tmpl w:val="3F306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F4E711A"/>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28E336F"/>
    <w:multiLevelType w:val="hybridMultilevel"/>
    <w:tmpl w:val="D8D293A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65BE74CA"/>
    <w:multiLevelType w:val="hybridMultilevel"/>
    <w:tmpl w:val="571C4BC4"/>
    <w:lvl w:ilvl="0" w:tplc="F22AC5EC">
      <w:start w:val="1"/>
      <w:numFmt w:val="decimal"/>
      <w:lvlText w:val="%1."/>
      <w:lvlJc w:val="left"/>
      <w:pPr>
        <w:ind w:left="358"/>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1" w:tplc="809EC80C">
      <w:start w:val="1"/>
      <w:numFmt w:val="lowerLetter"/>
      <w:lvlText w:val="%2."/>
      <w:lvlJc w:val="left"/>
      <w:pPr>
        <w:ind w:left="1078"/>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2" w:tplc="12A46D58">
      <w:start w:val="1"/>
      <w:numFmt w:val="lowerRoman"/>
      <w:lvlText w:val="%3"/>
      <w:lvlJc w:val="left"/>
      <w:pPr>
        <w:ind w:left="180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3" w:tplc="30023EF4">
      <w:start w:val="1"/>
      <w:numFmt w:val="decimal"/>
      <w:lvlText w:val="%4"/>
      <w:lvlJc w:val="left"/>
      <w:pPr>
        <w:ind w:left="252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4" w:tplc="877AEE8A">
      <w:start w:val="1"/>
      <w:numFmt w:val="lowerLetter"/>
      <w:lvlText w:val="%5"/>
      <w:lvlJc w:val="left"/>
      <w:pPr>
        <w:ind w:left="324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5" w:tplc="D18C7D94">
      <w:start w:val="1"/>
      <w:numFmt w:val="lowerRoman"/>
      <w:lvlText w:val="%6"/>
      <w:lvlJc w:val="left"/>
      <w:pPr>
        <w:ind w:left="396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6" w:tplc="1E505860">
      <w:start w:val="1"/>
      <w:numFmt w:val="decimal"/>
      <w:lvlText w:val="%7"/>
      <w:lvlJc w:val="left"/>
      <w:pPr>
        <w:ind w:left="468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7" w:tplc="CF78D24E">
      <w:start w:val="1"/>
      <w:numFmt w:val="lowerLetter"/>
      <w:lvlText w:val="%8"/>
      <w:lvlJc w:val="left"/>
      <w:pPr>
        <w:ind w:left="540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8" w:tplc="B96A8C4C">
      <w:start w:val="1"/>
      <w:numFmt w:val="lowerRoman"/>
      <w:lvlText w:val="%9"/>
      <w:lvlJc w:val="left"/>
      <w:pPr>
        <w:ind w:left="612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abstractNum>
  <w:abstractNum w:abstractNumId="23" w15:restartNumberingAfterBreak="0">
    <w:nsid w:val="69C876C4"/>
    <w:multiLevelType w:val="hybridMultilevel"/>
    <w:tmpl w:val="31503516"/>
    <w:lvl w:ilvl="0" w:tplc="306E79D4">
      <w:numFmt w:val="bullet"/>
      <w:lvlText w:val="-"/>
      <w:lvlJc w:val="left"/>
      <w:pPr>
        <w:ind w:left="1080" w:hanging="360"/>
      </w:pPr>
      <w:rPr>
        <w:rFonts w:ascii="Palatino Linotype" w:eastAsia="Calibri" w:hAnsi="Palatino Linotype"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5"/>
  </w:num>
  <w:num w:numId="2">
    <w:abstractNumId w:val="20"/>
  </w:num>
  <w:num w:numId="3">
    <w:abstractNumId w:val="7"/>
  </w:num>
  <w:num w:numId="4">
    <w:abstractNumId w:val="14"/>
  </w:num>
  <w:num w:numId="5">
    <w:abstractNumId w:val="3"/>
  </w:num>
  <w:num w:numId="6">
    <w:abstractNumId w:val="1"/>
  </w:num>
  <w:num w:numId="7">
    <w:abstractNumId w:val="2"/>
  </w:num>
  <w:num w:numId="8">
    <w:abstractNumId w:val="0"/>
  </w:num>
  <w:num w:numId="9">
    <w:abstractNumId w:val="9"/>
  </w:num>
  <w:num w:numId="10">
    <w:abstractNumId w:val="11"/>
  </w:num>
  <w:num w:numId="11">
    <w:abstractNumId w:val="12"/>
  </w:num>
  <w:num w:numId="12">
    <w:abstractNumId w:val="19"/>
  </w:num>
  <w:num w:numId="13">
    <w:abstractNumId w:val="10"/>
  </w:num>
  <w:num w:numId="14">
    <w:abstractNumId w:val="22"/>
  </w:num>
  <w:num w:numId="15">
    <w:abstractNumId w:val="16"/>
  </w:num>
  <w:num w:numId="16">
    <w:abstractNumId w:val="18"/>
  </w:num>
  <w:num w:numId="17">
    <w:abstractNumId w:val="6"/>
  </w:num>
  <w:num w:numId="18">
    <w:abstractNumId w:val="17"/>
  </w:num>
  <w:num w:numId="19">
    <w:abstractNumId w:val="23"/>
  </w:num>
  <w:num w:numId="20">
    <w:abstractNumId w:val="13"/>
  </w:num>
  <w:num w:numId="21">
    <w:abstractNumId w:val="21"/>
  </w:num>
  <w:num w:numId="22">
    <w:abstractNumId w:val="15"/>
  </w:num>
  <w:num w:numId="23">
    <w:abstractNumId w:val="8"/>
  </w:num>
  <w:num w:numId="24">
    <w:abstractNumId w:val="4"/>
  </w:num>
  <w:num w:numId="25">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718"/>
    <w:rsid w:val="00000F02"/>
    <w:rsid w:val="00001102"/>
    <w:rsid w:val="000012F5"/>
    <w:rsid w:val="0000238B"/>
    <w:rsid w:val="00002F15"/>
    <w:rsid w:val="000052BB"/>
    <w:rsid w:val="00005830"/>
    <w:rsid w:val="000129F5"/>
    <w:rsid w:val="00012FAA"/>
    <w:rsid w:val="000133EA"/>
    <w:rsid w:val="00013A01"/>
    <w:rsid w:val="00013BA3"/>
    <w:rsid w:val="000145C6"/>
    <w:rsid w:val="000161B3"/>
    <w:rsid w:val="000174DC"/>
    <w:rsid w:val="000211A2"/>
    <w:rsid w:val="000216DD"/>
    <w:rsid w:val="00022868"/>
    <w:rsid w:val="000243DB"/>
    <w:rsid w:val="000243E1"/>
    <w:rsid w:val="000254CD"/>
    <w:rsid w:val="000256C7"/>
    <w:rsid w:val="00026D29"/>
    <w:rsid w:val="0003061B"/>
    <w:rsid w:val="000346B6"/>
    <w:rsid w:val="00034DE0"/>
    <w:rsid w:val="00035307"/>
    <w:rsid w:val="00035948"/>
    <w:rsid w:val="00035951"/>
    <w:rsid w:val="0003625D"/>
    <w:rsid w:val="00041693"/>
    <w:rsid w:val="00043C9A"/>
    <w:rsid w:val="00043F40"/>
    <w:rsid w:val="00045903"/>
    <w:rsid w:val="00045B3E"/>
    <w:rsid w:val="00046401"/>
    <w:rsid w:val="00046A06"/>
    <w:rsid w:val="00047581"/>
    <w:rsid w:val="000475E7"/>
    <w:rsid w:val="00047715"/>
    <w:rsid w:val="000507E2"/>
    <w:rsid w:val="00050DB7"/>
    <w:rsid w:val="00053B79"/>
    <w:rsid w:val="00055162"/>
    <w:rsid w:val="000556EC"/>
    <w:rsid w:val="00057D3C"/>
    <w:rsid w:val="00062D7C"/>
    <w:rsid w:val="00062F4A"/>
    <w:rsid w:val="00063FF5"/>
    <w:rsid w:val="00065CF0"/>
    <w:rsid w:val="00066531"/>
    <w:rsid w:val="000702D1"/>
    <w:rsid w:val="00071658"/>
    <w:rsid w:val="0007274D"/>
    <w:rsid w:val="000730EC"/>
    <w:rsid w:val="0007312C"/>
    <w:rsid w:val="00073DF2"/>
    <w:rsid w:val="00074803"/>
    <w:rsid w:val="00074BD8"/>
    <w:rsid w:val="00075391"/>
    <w:rsid w:val="0007759D"/>
    <w:rsid w:val="00077C1C"/>
    <w:rsid w:val="00080500"/>
    <w:rsid w:val="00081D7A"/>
    <w:rsid w:val="00082028"/>
    <w:rsid w:val="00082CA8"/>
    <w:rsid w:val="00084083"/>
    <w:rsid w:val="0008421C"/>
    <w:rsid w:val="000842EC"/>
    <w:rsid w:val="000847BB"/>
    <w:rsid w:val="00084FB3"/>
    <w:rsid w:val="000859EF"/>
    <w:rsid w:val="00085A8E"/>
    <w:rsid w:val="0008687B"/>
    <w:rsid w:val="00086BF6"/>
    <w:rsid w:val="00087B33"/>
    <w:rsid w:val="00090A9B"/>
    <w:rsid w:val="00090DEF"/>
    <w:rsid w:val="00091168"/>
    <w:rsid w:val="00091E37"/>
    <w:rsid w:val="000920E5"/>
    <w:rsid w:val="00092887"/>
    <w:rsid w:val="000946C2"/>
    <w:rsid w:val="000960B9"/>
    <w:rsid w:val="0009614C"/>
    <w:rsid w:val="0009638E"/>
    <w:rsid w:val="00096C8C"/>
    <w:rsid w:val="000A047F"/>
    <w:rsid w:val="000A0816"/>
    <w:rsid w:val="000A142F"/>
    <w:rsid w:val="000A19FF"/>
    <w:rsid w:val="000A2F76"/>
    <w:rsid w:val="000A34B6"/>
    <w:rsid w:val="000A37CE"/>
    <w:rsid w:val="000A47E6"/>
    <w:rsid w:val="000A4D70"/>
    <w:rsid w:val="000A7141"/>
    <w:rsid w:val="000B0A37"/>
    <w:rsid w:val="000B0DD6"/>
    <w:rsid w:val="000B27CD"/>
    <w:rsid w:val="000B2BC5"/>
    <w:rsid w:val="000B4450"/>
    <w:rsid w:val="000B5449"/>
    <w:rsid w:val="000B5935"/>
    <w:rsid w:val="000B6B00"/>
    <w:rsid w:val="000B7BC0"/>
    <w:rsid w:val="000B7FBD"/>
    <w:rsid w:val="000C02A3"/>
    <w:rsid w:val="000C0C5B"/>
    <w:rsid w:val="000C1CD7"/>
    <w:rsid w:val="000C1D79"/>
    <w:rsid w:val="000C1EA0"/>
    <w:rsid w:val="000C2077"/>
    <w:rsid w:val="000C23CE"/>
    <w:rsid w:val="000C3C7D"/>
    <w:rsid w:val="000C5949"/>
    <w:rsid w:val="000C5AA9"/>
    <w:rsid w:val="000C6063"/>
    <w:rsid w:val="000C677F"/>
    <w:rsid w:val="000C69C1"/>
    <w:rsid w:val="000D1A21"/>
    <w:rsid w:val="000D2FD5"/>
    <w:rsid w:val="000D4C7F"/>
    <w:rsid w:val="000D66B0"/>
    <w:rsid w:val="000E03A6"/>
    <w:rsid w:val="000E0833"/>
    <w:rsid w:val="000E0D86"/>
    <w:rsid w:val="000E125F"/>
    <w:rsid w:val="000E1FA1"/>
    <w:rsid w:val="000E2A6E"/>
    <w:rsid w:val="000E33A1"/>
    <w:rsid w:val="000E3746"/>
    <w:rsid w:val="000E3A95"/>
    <w:rsid w:val="000E46BB"/>
    <w:rsid w:val="000E4795"/>
    <w:rsid w:val="000E4C9B"/>
    <w:rsid w:val="000E7329"/>
    <w:rsid w:val="000E76D0"/>
    <w:rsid w:val="000E76FF"/>
    <w:rsid w:val="000E777A"/>
    <w:rsid w:val="000E7AC9"/>
    <w:rsid w:val="000F02FB"/>
    <w:rsid w:val="000F0612"/>
    <w:rsid w:val="000F0BF4"/>
    <w:rsid w:val="000F17E5"/>
    <w:rsid w:val="000F236F"/>
    <w:rsid w:val="000F28BC"/>
    <w:rsid w:val="000F3F0C"/>
    <w:rsid w:val="000F4124"/>
    <w:rsid w:val="000F464D"/>
    <w:rsid w:val="000F55A8"/>
    <w:rsid w:val="000F5AAF"/>
    <w:rsid w:val="000F6775"/>
    <w:rsid w:val="000F6B02"/>
    <w:rsid w:val="000F7372"/>
    <w:rsid w:val="000F7C8D"/>
    <w:rsid w:val="000F7F35"/>
    <w:rsid w:val="00100264"/>
    <w:rsid w:val="00100655"/>
    <w:rsid w:val="00100F24"/>
    <w:rsid w:val="00102392"/>
    <w:rsid w:val="001032F6"/>
    <w:rsid w:val="00104045"/>
    <w:rsid w:val="001041E6"/>
    <w:rsid w:val="0010444E"/>
    <w:rsid w:val="001048AC"/>
    <w:rsid w:val="0010536E"/>
    <w:rsid w:val="00106806"/>
    <w:rsid w:val="00107440"/>
    <w:rsid w:val="00107643"/>
    <w:rsid w:val="0011004C"/>
    <w:rsid w:val="0011033C"/>
    <w:rsid w:val="00110766"/>
    <w:rsid w:val="001109EA"/>
    <w:rsid w:val="00112036"/>
    <w:rsid w:val="00112407"/>
    <w:rsid w:val="00113363"/>
    <w:rsid w:val="00113380"/>
    <w:rsid w:val="00114AC5"/>
    <w:rsid w:val="00114B6F"/>
    <w:rsid w:val="00114C90"/>
    <w:rsid w:val="001155EB"/>
    <w:rsid w:val="001164CA"/>
    <w:rsid w:val="0011654B"/>
    <w:rsid w:val="00121293"/>
    <w:rsid w:val="001212CB"/>
    <w:rsid w:val="00123543"/>
    <w:rsid w:val="0012367A"/>
    <w:rsid w:val="00124B1E"/>
    <w:rsid w:val="001254B4"/>
    <w:rsid w:val="00125AF5"/>
    <w:rsid w:val="0012648B"/>
    <w:rsid w:val="00126726"/>
    <w:rsid w:val="001279AE"/>
    <w:rsid w:val="00130027"/>
    <w:rsid w:val="00130306"/>
    <w:rsid w:val="00130BC0"/>
    <w:rsid w:val="00132024"/>
    <w:rsid w:val="00132568"/>
    <w:rsid w:val="00134BC1"/>
    <w:rsid w:val="00135041"/>
    <w:rsid w:val="001357A7"/>
    <w:rsid w:val="00135EF6"/>
    <w:rsid w:val="001363E8"/>
    <w:rsid w:val="001376EC"/>
    <w:rsid w:val="00137E4B"/>
    <w:rsid w:val="00140090"/>
    <w:rsid w:val="001404C9"/>
    <w:rsid w:val="00141FC6"/>
    <w:rsid w:val="00142329"/>
    <w:rsid w:val="00143013"/>
    <w:rsid w:val="00143E99"/>
    <w:rsid w:val="001450AE"/>
    <w:rsid w:val="00146B24"/>
    <w:rsid w:val="00146D0E"/>
    <w:rsid w:val="00150006"/>
    <w:rsid w:val="0015021B"/>
    <w:rsid w:val="00151C67"/>
    <w:rsid w:val="001523E1"/>
    <w:rsid w:val="00153CF4"/>
    <w:rsid w:val="00154F31"/>
    <w:rsid w:val="00160183"/>
    <w:rsid w:val="00160768"/>
    <w:rsid w:val="00160DEC"/>
    <w:rsid w:val="00160E47"/>
    <w:rsid w:val="0016116C"/>
    <w:rsid w:val="0016171E"/>
    <w:rsid w:val="00162443"/>
    <w:rsid w:val="00163595"/>
    <w:rsid w:val="00164B80"/>
    <w:rsid w:val="001662DE"/>
    <w:rsid w:val="0016654B"/>
    <w:rsid w:val="001667BE"/>
    <w:rsid w:val="00166B5E"/>
    <w:rsid w:val="00170534"/>
    <w:rsid w:val="0017198F"/>
    <w:rsid w:val="001720CD"/>
    <w:rsid w:val="0017288A"/>
    <w:rsid w:val="00175031"/>
    <w:rsid w:val="001755DE"/>
    <w:rsid w:val="00175977"/>
    <w:rsid w:val="00175A49"/>
    <w:rsid w:val="00175C02"/>
    <w:rsid w:val="00177824"/>
    <w:rsid w:val="00177BD1"/>
    <w:rsid w:val="00177C4A"/>
    <w:rsid w:val="0018049A"/>
    <w:rsid w:val="001816BF"/>
    <w:rsid w:val="0018197C"/>
    <w:rsid w:val="00182965"/>
    <w:rsid w:val="0018378C"/>
    <w:rsid w:val="00183E80"/>
    <w:rsid w:val="001847A1"/>
    <w:rsid w:val="00184C5B"/>
    <w:rsid w:val="00184D09"/>
    <w:rsid w:val="0018502D"/>
    <w:rsid w:val="001868D6"/>
    <w:rsid w:val="00186E61"/>
    <w:rsid w:val="001912C3"/>
    <w:rsid w:val="00191B9C"/>
    <w:rsid w:val="0019305B"/>
    <w:rsid w:val="001932A2"/>
    <w:rsid w:val="00193EFB"/>
    <w:rsid w:val="0019451C"/>
    <w:rsid w:val="00194F88"/>
    <w:rsid w:val="00195FEB"/>
    <w:rsid w:val="001961E8"/>
    <w:rsid w:val="00196267"/>
    <w:rsid w:val="0019787A"/>
    <w:rsid w:val="001A054F"/>
    <w:rsid w:val="001A0B06"/>
    <w:rsid w:val="001A2361"/>
    <w:rsid w:val="001A3018"/>
    <w:rsid w:val="001A3156"/>
    <w:rsid w:val="001A375B"/>
    <w:rsid w:val="001A42AC"/>
    <w:rsid w:val="001A5A37"/>
    <w:rsid w:val="001A5E17"/>
    <w:rsid w:val="001A61B6"/>
    <w:rsid w:val="001A6439"/>
    <w:rsid w:val="001A697A"/>
    <w:rsid w:val="001A7518"/>
    <w:rsid w:val="001A7D69"/>
    <w:rsid w:val="001A7DC2"/>
    <w:rsid w:val="001B1D3E"/>
    <w:rsid w:val="001B2693"/>
    <w:rsid w:val="001B279D"/>
    <w:rsid w:val="001B44E2"/>
    <w:rsid w:val="001B4C10"/>
    <w:rsid w:val="001B5B2F"/>
    <w:rsid w:val="001B5BFF"/>
    <w:rsid w:val="001B7218"/>
    <w:rsid w:val="001B7FD3"/>
    <w:rsid w:val="001C0933"/>
    <w:rsid w:val="001C0BB1"/>
    <w:rsid w:val="001C0BDA"/>
    <w:rsid w:val="001C2149"/>
    <w:rsid w:val="001C2441"/>
    <w:rsid w:val="001C3230"/>
    <w:rsid w:val="001C4EE9"/>
    <w:rsid w:val="001C5DA4"/>
    <w:rsid w:val="001C637A"/>
    <w:rsid w:val="001C7B26"/>
    <w:rsid w:val="001C7B28"/>
    <w:rsid w:val="001D04F5"/>
    <w:rsid w:val="001D093A"/>
    <w:rsid w:val="001D0BCA"/>
    <w:rsid w:val="001D1729"/>
    <w:rsid w:val="001D2CA3"/>
    <w:rsid w:val="001D4399"/>
    <w:rsid w:val="001D4801"/>
    <w:rsid w:val="001D4880"/>
    <w:rsid w:val="001D52A6"/>
    <w:rsid w:val="001D5BBC"/>
    <w:rsid w:val="001D68DB"/>
    <w:rsid w:val="001D7AA4"/>
    <w:rsid w:val="001D7B80"/>
    <w:rsid w:val="001E0BB4"/>
    <w:rsid w:val="001E1254"/>
    <w:rsid w:val="001E1FC4"/>
    <w:rsid w:val="001E2A24"/>
    <w:rsid w:val="001E3F5F"/>
    <w:rsid w:val="001E4032"/>
    <w:rsid w:val="001E4F7E"/>
    <w:rsid w:val="001E5152"/>
    <w:rsid w:val="001E51C8"/>
    <w:rsid w:val="001E722D"/>
    <w:rsid w:val="001E79D3"/>
    <w:rsid w:val="001E7A6D"/>
    <w:rsid w:val="001F078D"/>
    <w:rsid w:val="001F19F8"/>
    <w:rsid w:val="001F3CB6"/>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4C2C"/>
    <w:rsid w:val="002058D4"/>
    <w:rsid w:val="00206786"/>
    <w:rsid w:val="00206B5D"/>
    <w:rsid w:val="00207133"/>
    <w:rsid w:val="00207654"/>
    <w:rsid w:val="002101C9"/>
    <w:rsid w:val="00210EF0"/>
    <w:rsid w:val="00212565"/>
    <w:rsid w:val="002135D8"/>
    <w:rsid w:val="002140C5"/>
    <w:rsid w:val="00214741"/>
    <w:rsid w:val="0021539B"/>
    <w:rsid w:val="00217822"/>
    <w:rsid w:val="0022096F"/>
    <w:rsid w:val="00220AB1"/>
    <w:rsid w:val="00220C24"/>
    <w:rsid w:val="00220D54"/>
    <w:rsid w:val="00222713"/>
    <w:rsid w:val="00223671"/>
    <w:rsid w:val="002240ED"/>
    <w:rsid w:val="002245EC"/>
    <w:rsid w:val="00224F9F"/>
    <w:rsid w:val="002252C5"/>
    <w:rsid w:val="00225F3F"/>
    <w:rsid w:val="0022662A"/>
    <w:rsid w:val="00226BF6"/>
    <w:rsid w:val="002271C2"/>
    <w:rsid w:val="00227328"/>
    <w:rsid w:val="00227721"/>
    <w:rsid w:val="00227EA4"/>
    <w:rsid w:val="0023129A"/>
    <w:rsid w:val="002319FF"/>
    <w:rsid w:val="002322F9"/>
    <w:rsid w:val="002325B0"/>
    <w:rsid w:val="002334AB"/>
    <w:rsid w:val="00233575"/>
    <w:rsid w:val="00233585"/>
    <w:rsid w:val="00234E67"/>
    <w:rsid w:val="002354B2"/>
    <w:rsid w:val="00235B23"/>
    <w:rsid w:val="002361F1"/>
    <w:rsid w:val="00236346"/>
    <w:rsid w:val="00236954"/>
    <w:rsid w:val="0023700B"/>
    <w:rsid w:val="00237509"/>
    <w:rsid w:val="002405F0"/>
    <w:rsid w:val="00240828"/>
    <w:rsid w:val="00240D60"/>
    <w:rsid w:val="00241B89"/>
    <w:rsid w:val="0024216A"/>
    <w:rsid w:val="002421DD"/>
    <w:rsid w:val="0024227C"/>
    <w:rsid w:val="00243068"/>
    <w:rsid w:val="0024330D"/>
    <w:rsid w:val="00243434"/>
    <w:rsid w:val="002447CE"/>
    <w:rsid w:val="00244EAF"/>
    <w:rsid w:val="0024500A"/>
    <w:rsid w:val="002450DA"/>
    <w:rsid w:val="00245553"/>
    <w:rsid w:val="002467B3"/>
    <w:rsid w:val="002468DB"/>
    <w:rsid w:val="00247214"/>
    <w:rsid w:val="002479A0"/>
    <w:rsid w:val="00247B4A"/>
    <w:rsid w:val="00250D94"/>
    <w:rsid w:val="00250FFA"/>
    <w:rsid w:val="00251FF1"/>
    <w:rsid w:val="002520EA"/>
    <w:rsid w:val="002541C6"/>
    <w:rsid w:val="0025439E"/>
    <w:rsid w:val="00255D90"/>
    <w:rsid w:val="00256242"/>
    <w:rsid w:val="002576F1"/>
    <w:rsid w:val="00261986"/>
    <w:rsid w:val="002647AE"/>
    <w:rsid w:val="00265CA8"/>
    <w:rsid w:val="00265D83"/>
    <w:rsid w:val="002664D0"/>
    <w:rsid w:val="00266B8C"/>
    <w:rsid w:val="0026767E"/>
    <w:rsid w:val="00267A7C"/>
    <w:rsid w:val="00271F75"/>
    <w:rsid w:val="002721CB"/>
    <w:rsid w:val="0027231F"/>
    <w:rsid w:val="00272724"/>
    <w:rsid w:val="00272D3E"/>
    <w:rsid w:val="00272F12"/>
    <w:rsid w:val="00273612"/>
    <w:rsid w:val="00275078"/>
    <w:rsid w:val="00275096"/>
    <w:rsid w:val="0027517B"/>
    <w:rsid w:val="00275929"/>
    <w:rsid w:val="002770A6"/>
    <w:rsid w:val="002776BE"/>
    <w:rsid w:val="00280CFD"/>
    <w:rsid w:val="002818A0"/>
    <w:rsid w:val="002818B2"/>
    <w:rsid w:val="002819FF"/>
    <w:rsid w:val="00283974"/>
    <w:rsid w:val="00284BC2"/>
    <w:rsid w:val="00284E34"/>
    <w:rsid w:val="002852AB"/>
    <w:rsid w:val="002853A4"/>
    <w:rsid w:val="00285F0C"/>
    <w:rsid w:val="00286614"/>
    <w:rsid w:val="00287B4A"/>
    <w:rsid w:val="002911AB"/>
    <w:rsid w:val="00291F28"/>
    <w:rsid w:val="00294843"/>
    <w:rsid w:val="00294B3E"/>
    <w:rsid w:val="002959F3"/>
    <w:rsid w:val="00295C58"/>
    <w:rsid w:val="00295F4F"/>
    <w:rsid w:val="00296BD4"/>
    <w:rsid w:val="00297ABE"/>
    <w:rsid w:val="002A0261"/>
    <w:rsid w:val="002A1CAB"/>
    <w:rsid w:val="002A25B6"/>
    <w:rsid w:val="002A2BB0"/>
    <w:rsid w:val="002A51F7"/>
    <w:rsid w:val="002A54FF"/>
    <w:rsid w:val="002A6544"/>
    <w:rsid w:val="002A68F6"/>
    <w:rsid w:val="002A7477"/>
    <w:rsid w:val="002A7A64"/>
    <w:rsid w:val="002A7D0C"/>
    <w:rsid w:val="002B0029"/>
    <w:rsid w:val="002B0E62"/>
    <w:rsid w:val="002B10BE"/>
    <w:rsid w:val="002B13B8"/>
    <w:rsid w:val="002B1D79"/>
    <w:rsid w:val="002B2515"/>
    <w:rsid w:val="002B2FED"/>
    <w:rsid w:val="002B402D"/>
    <w:rsid w:val="002B6143"/>
    <w:rsid w:val="002B769A"/>
    <w:rsid w:val="002C0082"/>
    <w:rsid w:val="002C0CF3"/>
    <w:rsid w:val="002C1136"/>
    <w:rsid w:val="002C1200"/>
    <w:rsid w:val="002C2400"/>
    <w:rsid w:val="002C2CFE"/>
    <w:rsid w:val="002C3645"/>
    <w:rsid w:val="002C4936"/>
    <w:rsid w:val="002C4D20"/>
    <w:rsid w:val="002C4ED2"/>
    <w:rsid w:val="002C54CA"/>
    <w:rsid w:val="002C6429"/>
    <w:rsid w:val="002C6CCB"/>
    <w:rsid w:val="002C6FCE"/>
    <w:rsid w:val="002C7A76"/>
    <w:rsid w:val="002C7D3D"/>
    <w:rsid w:val="002C7F2D"/>
    <w:rsid w:val="002D09D6"/>
    <w:rsid w:val="002D0AE7"/>
    <w:rsid w:val="002D2DC8"/>
    <w:rsid w:val="002D3E7C"/>
    <w:rsid w:val="002D42CB"/>
    <w:rsid w:val="002D432D"/>
    <w:rsid w:val="002D6708"/>
    <w:rsid w:val="002D724A"/>
    <w:rsid w:val="002E006D"/>
    <w:rsid w:val="002E0F21"/>
    <w:rsid w:val="002E11AF"/>
    <w:rsid w:val="002E1534"/>
    <w:rsid w:val="002E154E"/>
    <w:rsid w:val="002E1620"/>
    <w:rsid w:val="002E18B1"/>
    <w:rsid w:val="002E20EC"/>
    <w:rsid w:val="002E2589"/>
    <w:rsid w:val="002E26CF"/>
    <w:rsid w:val="002E2C31"/>
    <w:rsid w:val="002E3090"/>
    <w:rsid w:val="002E41FF"/>
    <w:rsid w:val="002E4D3E"/>
    <w:rsid w:val="002E627C"/>
    <w:rsid w:val="002E687D"/>
    <w:rsid w:val="002E7C98"/>
    <w:rsid w:val="002E7F52"/>
    <w:rsid w:val="002F2903"/>
    <w:rsid w:val="002F2984"/>
    <w:rsid w:val="002F2F21"/>
    <w:rsid w:val="002F3AF7"/>
    <w:rsid w:val="002F41CD"/>
    <w:rsid w:val="002F70EB"/>
    <w:rsid w:val="002F71DF"/>
    <w:rsid w:val="0030004F"/>
    <w:rsid w:val="00300262"/>
    <w:rsid w:val="00301C6A"/>
    <w:rsid w:val="0030208E"/>
    <w:rsid w:val="00302629"/>
    <w:rsid w:val="00302A9D"/>
    <w:rsid w:val="0030426F"/>
    <w:rsid w:val="00304C7D"/>
    <w:rsid w:val="00305062"/>
    <w:rsid w:val="0030548A"/>
    <w:rsid w:val="00305806"/>
    <w:rsid w:val="003064C4"/>
    <w:rsid w:val="00306646"/>
    <w:rsid w:val="00310322"/>
    <w:rsid w:val="00310A33"/>
    <w:rsid w:val="00310D4F"/>
    <w:rsid w:val="00312489"/>
    <w:rsid w:val="00312D42"/>
    <w:rsid w:val="0031379C"/>
    <w:rsid w:val="00313F0E"/>
    <w:rsid w:val="00314402"/>
    <w:rsid w:val="00314E26"/>
    <w:rsid w:val="00314ED5"/>
    <w:rsid w:val="00315CB7"/>
    <w:rsid w:val="0031610E"/>
    <w:rsid w:val="003162C3"/>
    <w:rsid w:val="00316405"/>
    <w:rsid w:val="00317634"/>
    <w:rsid w:val="00317D01"/>
    <w:rsid w:val="0032036A"/>
    <w:rsid w:val="00321324"/>
    <w:rsid w:val="003219BE"/>
    <w:rsid w:val="0032394B"/>
    <w:rsid w:val="00325395"/>
    <w:rsid w:val="00326A7E"/>
    <w:rsid w:val="0033096F"/>
    <w:rsid w:val="00331382"/>
    <w:rsid w:val="00332050"/>
    <w:rsid w:val="00332124"/>
    <w:rsid w:val="003321CF"/>
    <w:rsid w:val="003323BA"/>
    <w:rsid w:val="003323D9"/>
    <w:rsid w:val="003327D8"/>
    <w:rsid w:val="00332F86"/>
    <w:rsid w:val="00333281"/>
    <w:rsid w:val="00334455"/>
    <w:rsid w:val="00334516"/>
    <w:rsid w:val="00334B83"/>
    <w:rsid w:val="00335F32"/>
    <w:rsid w:val="003364B9"/>
    <w:rsid w:val="00336FC3"/>
    <w:rsid w:val="0034014E"/>
    <w:rsid w:val="00341FCF"/>
    <w:rsid w:val="003423FE"/>
    <w:rsid w:val="00342BD1"/>
    <w:rsid w:val="0034368F"/>
    <w:rsid w:val="0034385B"/>
    <w:rsid w:val="003456FD"/>
    <w:rsid w:val="00345A4F"/>
    <w:rsid w:val="00346D6C"/>
    <w:rsid w:val="00351582"/>
    <w:rsid w:val="003515BE"/>
    <w:rsid w:val="003516D9"/>
    <w:rsid w:val="00352307"/>
    <w:rsid w:val="00352AD5"/>
    <w:rsid w:val="003557AC"/>
    <w:rsid w:val="00356067"/>
    <w:rsid w:val="003570AD"/>
    <w:rsid w:val="003576D8"/>
    <w:rsid w:val="0035797F"/>
    <w:rsid w:val="00357F0F"/>
    <w:rsid w:val="00360032"/>
    <w:rsid w:val="00360BE5"/>
    <w:rsid w:val="00360FA1"/>
    <w:rsid w:val="0036332D"/>
    <w:rsid w:val="00363C1F"/>
    <w:rsid w:val="003656FA"/>
    <w:rsid w:val="003671F5"/>
    <w:rsid w:val="00371E4B"/>
    <w:rsid w:val="00372242"/>
    <w:rsid w:val="00373978"/>
    <w:rsid w:val="00373B39"/>
    <w:rsid w:val="0037442E"/>
    <w:rsid w:val="003745A0"/>
    <w:rsid w:val="00374E1A"/>
    <w:rsid w:val="00375172"/>
    <w:rsid w:val="003755CB"/>
    <w:rsid w:val="003761AC"/>
    <w:rsid w:val="003769B7"/>
    <w:rsid w:val="00376E21"/>
    <w:rsid w:val="00381D19"/>
    <w:rsid w:val="00383DBF"/>
    <w:rsid w:val="00383FFB"/>
    <w:rsid w:val="00384E16"/>
    <w:rsid w:val="00385837"/>
    <w:rsid w:val="0038592C"/>
    <w:rsid w:val="00387126"/>
    <w:rsid w:val="003873FD"/>
    <w:rsid w:val="00387426"/>
    <w:rsid w:val="0038777E"/>
    <w:rsid w:val="003903F3"/>
    <w:rsid w:val="003909F6"/>
    <w:rsid w:val="00390F23"/>
    <w:rsid w:val="003913C8"/>
    <w:rsid w:val="00391EC4"/>
    <w:rsid w:val="00391F48"/>
    <w:rsid w:val="0039243F"/>
    <w:rsid w:val="00395300"/>
    <w:rsid w:val="003959B8"/>
    <w:rsid w:val="00395B40"/>
    <w:rsid w:val="00396038"/>
    <w:rsid w:val="00396049"/>
    <w:rsid w:val="0039654D"/>
    <w:rsid w:val="0039732B"/>
    <w:rsid w:val="003976DA"/>
    <w:rsid w:val="00397E98"/>
    <w:rsid w:val="003A17FF"/>
    <w:rsid w:val="003A21E5"/>
    <w:rsid w:val="003A297D"/>
    <w:rsid w:val="003A2BF9"/>
    <w:rsid w:val="003A331B"/>
    <w:rsid w:val="003A3BEA"/>
    <w:rsid w:val="003A48C5"/>
    <w:rsid w:val="003A4AC6"/>
    <w:rsid w:val="003A4BE3"/>
    <w:rsid w:val="003A5FB5"/>
    <w:rsid w:val="003B0D0B"/>
    <w:rsid w:val="003B1065"/>
    <w:rsid w:val="003B16D2"/>
    <w:rsid w:val="003B1DAD"/>
    <w:rsid w:val="003B1F08"/>
    <w:rsid w:val="003B2AA2"/>
    <w:rsid w:val="003B2FD2"/>
    <w:rsid w:val="003B5D3E"/>
    <w:rsid w:val="003B6169"/>
    <w:rsid w:val="003B6B7F"/>
    <w:rsid w:val="003B6CA4"/>
    <w:rsid w:val="003B7137"/>
    <w:rsid w:val="003C0053"/>
    <w:rsid w:val="003C03E0"/>
    <w:rsid w:val="003C05C5"/>
    <w:rsid w:val="003C1892"/>
    <w:rsid w:val="003C1D4C"/>
    <w:rsid w:val="003C2485"/>
    <w:rsid w:val="003C2CFF"/>
    <w:rsid w:val="003C2E75"/>
    <w:rsid w:val="003C2E80"/>
    <w:rsid w:val="003C3AA0"/>
    <w:rsid w:val="003C3DD7"/>
    <w:rsid w:val="003C4496"/>
    <w:rsid w:val="003C51EB"/>
    <w:rsid w:val="003C6A4A"/>
    <w:rsid w:val="003C70B1"/>
    <w:rsid w:val="003C728F"/>
    <w:rsid w:val="003D15FC"/>
    <w:rsid w:val="003D192D"/>
    <w:rsid w:val="003D1C08"/>
    <w:rsid w:val="003D1EB4"/>
    <w:rsid w:val="003D2B66"/>
    <w:rsid w:val="003D2D6D"/>
    <w:rsid w:val="003D31FD"/>
    <w:rsid w:val="003D3C28"/>
    <w:rsid w:val="003D3F72"/>
    <w:rsid w:val="003D42E3"/>
    <w:rsid w:val="003D4466"/>
    <w:rsid w:val="003D5C27"/>
    <w:rsid w:val="003D77FA"/>
    <w:rsid w:val="003D7F47"/>
    <w:rsid w:val="003E0D79"/>
    <w:rsid w:val="003E0F9F"/>
    <w:rsid w:val="003E14ED"/>
    <w:rsid w:val="003E1821"/>
    <w:rsid w:val="003E1929"/>
    <w:rsid w:val="003E5A8A"/>
    <w:rsid w:val="003E5D13"/>
    <w:rsid w:val="003E61D3"/>
    <w:rsid w:val="003E63F8"/>
    <w:rsid w:val="003E6B8D"/>
    <w:rsid w:val="003E70CB"/>
    <w:rsid w:val="003E71C8"/>
    <w:rsid w:val="003F0D78"/>
    <w:rsid w:val="003F139B"/>
    <w:rsid w:val="003F1FB2"/>
    <w:rsid w:val="003F2F76"/>
    <w:rsid w:val="003F384D"/>
    <w:rsid w:val="003F3A95"/>
    <w:rsid w:val="003F3BBB"/>
    <w:rsid w:val="003F4581"/>
    <w:rsid w:val="003F537A"/>
    <w:rsid w:val="003F5475"/>
    <w:rsid w:val="003F560E"/>
    <w:rsid w:val="003F5A24"/>
    <w:rsid w:val="003F5BB2"/>
    <w:rsid w:val="003F5EDA"/>
    <w:rsid w:val="003F62E0"/>
    <w:rsid w:val="003F643D"/>
    <w:rsid w:val="003F653C"/>
    <w:rsid w:val="003F6B61"/>
    <w:rsid w:val="003F6E33"/>
    <w:rsid w:val="003F71F4"/>
    <w:rsid w:val="00400590"/>
    <w:rsid w:val="00400691"/>
    <w:rsid w:val="00400A9A"/>
    <w:rsid w:val="004018C7"/>
    <w:rsid w:val="00401C57"/>
    <w:rsid w:val="004028D9"/>
    <w:rsid w:val="00404CDD"/>
    <w:rsid w:val="004066A2"/>
    <w:rsid w:val="00406C29"/>
    <w:rsid w:val="00406CA1"/>
    <w:rsid w:val="0041013E"/>
    <w:rsid w:val="00410C67"/>
    <w:rsid w:val="0041126A"/>
    <w:rsid w:val="00411783"/>
    <w:rsid w:val="00411A91"/>
    <w:rsid w:val="004127A2"/>
    <w:rsid w:val="0041286F"/>
    <w:rsid w:val="004139A3"/>
    <w:rsid w:val="00413BE4"/>
    <w:rsid w:val="0041405E"/>
    <w:rsid w:val="0041477F"/>
    <w:rsid w:val="0041487F"/>
    <w:rsid w:val="00414991"/>
    <w:rsid w:val="00414E7A"/>
    <w:rsid w:val="00416135"/>
    <w:rsid w:val="00416ED9"/>
    <w:rsid w:val="004173B2"/>
    <w:rsid w:val="004205AB"/>
    <w:rsid w:val="00421135"/>
    <w:rsid w:val="00421794"/>
    <w:rsid w:val="004225E9"/>
    <w:rsid w:val="00423D86"/>
    <w:rsid w:val="004241FD"/>
    <w:rsid w:val="00424C9E"/>
    <w:rsid w:val="004255B6"/>
    <w:rsid w:val="0042605C"/>
    <w:rsid w:val="00427912"/>
    <w:rsid w:val="00430234"/>
    <w:rsid w:val="00430948"/>
    <w:rsid w:val="004312D0"/>
    <w:rsid w:val="00431AF3"/>
    <w:rsid w:val="00432A89"/>
    <w:rsid w:val="00432CD0"/>
    <w:rsid w:val="004333ED"/>
    <w:rsid w:val="004338FC"/>
    <w:rsid w:val="00433C37"/>
    <w:rsid w:val="0043444E"/>
    <w:rsid w:val="00434487"/>
    <w:rsid w:val="004354AF"/>
    <w:rsid w:val="00436B9A"/>
    <w:rsid w:val="0044161F"/>
    <w:rsid w:val="0044362C"/>
    <w:rsid w:val="00444544"/>
    <w:rsid w:val="00444D4B"/>
    <w:rsid w:val="00445C99"/>
    <w:rsid w:val="00445CDF"/>
    <w:rsid w:val="00446060"/>
    <w:rsid w:val="00450AC4"/>
    <w:rsid w:val="00450C02"/>
    <w:rsid w:val="00451057"/>
    <w:rsid w:val="004517B1"/>
    <w:rsid w:val="00451CE6"/>
    <w:rsid w:val="004531B5"/>
    <w:rsid w:val="0045332B"/>
    <w:rsid w:val="004539CC"/>
    <w:rsid w:val="00453B3B"/>
    <w:rsid w:val="00453EDC"/>
    <w:rsid w:val="00454200"/>
    <w:rsid w:val="00454BBE"/>
    <w:rsid w:val="00455CC2"/>
    <w:rsid w:val="0045638C"/>
    <w:rsid w:val="00457A73"/>
    <w:rsid w:val="00460B5A"/>
    <w:rsid w:val="00462BB7"/>
    <w:rsid w:val="0046376B"/>
    <w:rsid w:val="00465207"/>
    <w:rsid w:val="0046520C"/>
    <w:rsid w:val="00465BEA"/>
    <w:rsid w:val="00467125"/>
    <w:rsid w:val="00470C37"/>
    <w:rsid w:val="00470E75"/>
    <w:rsid w:val="00471819"/>
    <w:rsid w:val="00471C73"/>
    <w:rsid w:val="00473AB6"/>
    <w:rsid w:val="0047416D"/>
    <w:rsid w:val="00474CDF"/>
    <w:rsid w:val="00474EEE"/>
    <w:rsid w:val="00475B6F"/>
    <w:rsid w:val="00475EA5"/>
    <w:rsid w:val="00476049"/>
    <w:rsid w:val="00476DC3"/>
    <w:rsid w:val="00477023"/>
    <w:rsid w:val="00481088"/>
    <w:rsid w:val="00481126"/>
    <w:rsid w:val="00481554"/>
    <w:rsid w:val="00485AC3"/>
    <w:rsid w:val="004877E5"/>
    <w:rsid w:val="00490058"/>
    <w:rsid w:val="00490858"/>
    <w:rsid w:val="004910FA"/>
    <w:rsid w:val="0049159A"/>
    <w:rsid w:val="004917C8"/>
    <w:rsid w:val="0049180F"/>
    <w:rsid w:val="004918D4"/>
    <w:rsid w:val="004925AA"/>
    <w:rsid w:val="00492688"/>
    <w:rsid w:val="004928B5"/>
    <w:rsid w:val="00493257"/>
    <w:rsid w:val="00493829"/>
    <w:rsid w:val="00493C95"/>
    <w:rsid w:val="004948A0"/>
    <w:rsid w:val="00495295"/>
    <w:rsid w:val="00495CD8"/>
    <w:rsid w:val="004965FA"/>
    <w:rsid w:val="004A0A89"/>
    <w:rsid w:val="004A0AA0"/>
    <w:rsid w:val="004A2B0F"/>
    <w:rsid w:val="004A2F1E"/>
    <w:rsid w:val="004A4106"/>
    <w:rsid w:val="004A4D62"/>
    <w:rsid w:val="004A5CBC"/>
    <w:rsid w:val="004A77AF"/>
    <w:rsid w:val="004B1561"/>
    <w:rsid w:val="004B37FD"/>
    <w:rsid w:val="004B44C0"/>
    <w:rsid w:val="004B50FF"/>
    <w:rsid w:val="004B52CF"/>
    <w:rsid w:val="004B58D5"/>
    <w:rsid w:val="004B68FB"/>
    <w:rsid w:val="004B74FC"/>
    <w:rsid w:val="004B75B3"/>
    <w:rsid w:val="004B7B6E"/>
    <w:rsid w:val="004B7DF7"/>
    <w:rsid w:val="004B7E75"/>
    <w:rsid w:val="004C06B8"/>
    <w:rsid w:val="004C1507"/>
    <w:rsid w:val="004C342F"/>
    <w:rsid w:val="004C41AD"/>
    <w:rsid w:val="004C5AAA"/>
    <w:rsid w:val="004C5B13"/>
    <w:rsid w:val="004C5CDD"/>
    <w:rsid w:val="004C671E"/>
    <w:rsid w:val="004C6C55"/>
    <w:rsid w:val="004C755E"/>
    <w:rsid w:val="004C7FE7"/>
    <w:rsid w:val="004D03BA"/>
    <w:rsid w:val="004D10FC"/>
    <w:rsid w:val="004D20E5"/>
    <w:rsid w:val="004D2766"/>
    <w:rsid w:val="004D4942"/>
    <w:rsid w:val="004D5075"/>
    <w:rsid w:val="004D681F"/>
    <w:rsid w:val="004D77F7"/>
    <w:rsid w:val="004E1212"/>
    <w:rsid w:val="004E18EB"/>
    <w:rsid w:val="004E1A56"/>
    <w:rsid w:val="004E204B"/>
    <w:rsid w:val="004E2725"/>
    <w:rsid w:val="004E44D7"/>
    <w:rsid w:val="004E4666"/>
    <w:rsid w:val="004E4D44"/>
    <w:rsid w:val="004E4F2A"/>
    <w:rsid w:val="004E4FF9"/>
    <w:rsid w:val="004E59E1"/>
    <w:rsid w:val="004E68D9"/>
    <w:rsid w:val="004E6A68"/>
    <w:rsid w:val="004F092E"/>
    <w:rsid w:val="004F0E2C"/>
    <w:rsid w:val="004F1BBB"/>
    <w:rsid w:val="004F328A"/>
    <w:rsid w:val="004F4B1D"/>
    <w:rsid w:val="004F4FDA"/>
    <w:rsid w:val="004F560A"/>
    <w:rsid w:val="004F6E2D"/>
    <w:rsid w:val="004F754E"/>
    <w:rsid w:val="00500AEE"/>
    <w:rsid w:val="00501CB2"/>
    <w:rsid w:val="005021A7"/>
    <w:rsid w:val="005023F9"/>
    <w:rsid w:val="005029BF"/>
    <w:rsid w:val="00503572"/>
    <w:rsid w:val="00503C46"/>
    <w:rsid w:val="00506ADA"/>
    <w:rsid w:val="00506DC6"/>
    <w:rsid w:val="0051010F"/>
    <w:rsid w:val="0051191E"/>
    <w:rsid w:val="00512441"/>
    <w:rsid w:val="00512785"/>
    <w:rsid w:val="00512839"/>
    <w:rsid w:val="00513E19"/>
    <w:rsid w:val="00514244"/>
    <w:rsid w:val="0051508B"/>
    <w:rsid w:val="00515FF5"/>
    <w:rsid w:val="005179F5"/>
    <w:rsid w:val="00517AB4"/>
    <w:rsid w:val="00520349"/>
    <w:rsid w:val="005209F9"/>
    <w:rsid w:val="00522769"/>
    <w:rsid w:val="005228CE"/>
    <w:rsid w:val="00523195"/>
    <w:rsid w:val="0052378B"/>
    <w:rsid w:val="00523C6B"/>
    <w:rsid w:val="00523DB5"/>
    <w:rsid w:val="0052445F"/>
    <w:rsid w:val="00526A07"/>
    <w:rsid w:val="00527C0B"/>
    <w:rsid w:val="00530099"/>
    <w:rsid w:val="005308BB"/>
    <w:rsid w:val="00531BA9"/>
    <w:rsid w:val="00532DCC"/>
    <w:rsid w:val="0053331A"/>
    <w:rsid w:val="00533B8C"/>
    <w:rsid w:val="00533DA0"/>
    <w:rsid w:val="00534667"/>
    <w:rsid w:val="005363D6"/>
    <w:rsid w:val="005364CA"/>
    <w:rsid w:val="0053744E"/>
    <w:rsid w:val="00537FE9"/>
    <w:rsid w:val="00540E3D"/>
    <w:rsid w:val="00540F6D"/>
    <w:rsid w:val="005430DE"/>
    <w:rsid w:val="0054408A"/>
    <w:rsid w:val="00544A10"/>
    <w:rsid w:val="00544EE7"/>
    <w:rsid w:val="005456C0"/>
    <w:rsid w:val="00546F34"/>
    <w:rsid w:val="005473DC"/>
    <w:rsid w:val="00547CB1"/>
    <w:rsid w:val="00550718"/>
    <w:rsid w:val="00550730"/>
    <w:rsid w:val="005508F9"/>
    <w:rsid w:val="00550AAC"/>
    <w:rsid w:val="0055100E"/>
    <w:rsid w:val="005511B9"/>
    <w:rsid w:val="005512F9"/>
    <w:rsid w:val="00551F25"/>
    <w:rsid w:val="0055272B"/>
    <w:rsid w:val="00553199"/>
    <w:rsid w:val="005537D2"/>
    <w:rsid w:val="00553A93"/>
    <w:rsid w:val="00554852"/>
    <w:rsid w:val="00554FE9"/>
    <w:rsid w:val="005553B4"/>
    <w:rsid w:val="005553E9"/>
    <w:rsid w:val="005560D4"/>
    <w:rsid w:val="0055674D"/>
    <w:rsid w:val="00556A8C"/>
    <w:rsid w:val="00557075"/>
    <w:rsid w:val="00557F61"/>
    <w:rsid w:val="005609FB"/>
    <w:rsid w:val="00561B4E"/>
    <w:rsid w:val="00561BB9"/>
    <w:rsid w:val="00562052"/>
    <w:rsid w:val="00562448"/>
    <w:rsid w:val="00562529"/>
    <w:rsid w:val="005628AE"/>
    <w:rsid w:val="00562BBD"/>
    <w:rsid w:val="00563C6B"/>
    <w:rsid w:val="00564999"/>
    <w:rsid w:val="00566E49"/>
    <w:rsid w:val="00566F45"/>
    <w:rsid w:val="005675F7"/>
    <w:rsid w:val="005676F5"/>
    <w:rsid w:val="005678B7"/>
    <w:rsid w:val="00567B61"/>
    <w:rsid w:val="00570AC0"/>
    <w:rsid w:val="00571F07"/>
    <w:rsid w:val="00573059"/>
    <w:rsid w:val="00574D67"/>
    <w:rsid w:val="00575F0D"/>
    <w:rsid w:val="005762E0"/>
    <w:rsid w:val="00576EC5"/>
    <w:rsid w:val="0058047E"/>
    <w:rsid w:val="00580563"/>
    <w:rsid w:val="005805C0"/>
    <w:rsid w:val="00580980"/>
    <w:rsid w:val="00580E45"/>
    <w:rsid w:val="0058176C"/>
    <w:rsid w:val="00581BF7"/>
    <w:rsid w:val="00582027"/>
    <w:rsid w:val="005822ED"/>
    <w:rsid w:val="00582803"/>
    <w:rsid w:val="0058376D"/>
    <w:rsid w:val="00583ADF"/>
    <w:rsid w:val="00583B02"/>
    <w:rsid w:val="00584C53"/>
    <w:rsid w:val="00586AF5"/>
    <w:rsid w:val="00586C1B"/>
    <w:rsid w:val="00586E40"/>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704"/>
    <w:rsid w:val="005A1BA3"/>
    <w:rsid w:val="005A1FFE"/>
    <w:rsid w:val="005A282D"/>
    <w:rsid w:val="005A3028"/>
    <w:rsid w:val="005A3CBE"/>
    <w:rsid w:val="005A3F7D"/>
    <w:rsid w:val="005A40A3"/>
    <w:rsid w:val="005A4316"/>
    <w:rsid w:val="005A4D17"/>
    <w:rsid w:val="005A5AC8"/>
    <w:rsid w:val="005A765A"/>
    <w:rsid w:val="005A7FA8"/>
    <w:rsid w:val="005B05E6"/>
    <w:rsid w:val="005B0C69"/>
    <w:rsid w:val="005B1031"/>
    <w:rsid w:val="005B1872"/>
    <w:rsid w:val="005B1CA9"/>
    <w:rsid w:val="005B2091"/>
    <w:rsid w:val="005B22A2"/>
    <w:rsid w:val="005B240B"/>
    <w:rsid w:val="005B325C"/>
    <w:rsid w:val="005B3403"/>
    <w:rsid w:val="005B500E"/>
    <w:rsid w:val="005B5428"/>
    <w:rsid w:val="005B5BF1"/>
    <w:rsid w:val="005B5C45"/>
    <w:rsid w:val="005B7799"/>
    <w:rsid w:val="005C0936"/>
    <w:rsid w:val="005C0C45"/>
    <w:rsid w:val="005C1A9B"/>
    <w:rsid w:val="005C1AF4"/>
    <w:rsid w:val="005C375D"/>
    <w:rsid w:val="005C4914"/>
    <w:rsid w:val="005C5303"/>
    <w:rsid w:val="005C5499"/>
    <w:rsid w:val="005C6219"/>
    <w:rsid w:val="005C6540"/>
    <w:rsid w:val="005C7FB6"/>
    <w:rsid w:val="005D07CE"/>
    <w:rsid w:val="005D10C7"/>
    <w:rsid w:val="005D397F"/>
    <w:rsid w:val="005D5970"/>
    <w:rsid w:val="005D7224"/>
    <w:rsid w:val="005D738E"/>
    <w:rsid w:val="005D7E5E"/>
    <w:rsid w:val="005E0816"/>
    <w:rsid w:val="005E0AEF"/>
    <w:rsid w:val="005E0F99"/>
    <w:rsid w:val="005E1961"/>
    <w:rsid w:val="005E2A41"/>
    <w:rsid w:val="005E3653"/>
    <w:rsid w:val="005E3B1B"/>
    <w:rsid w:val="005E4ECB"/>
    <w:rsid w:val="005E4FE5"/>
    <w:rsid w:val="005E66C3"/>
    <w:rsid w:val="005E6F72"/>
    <w:rsid w:val="005F0012"/>
    <w:rsid w:val="005F0A31"/>
    <w:rsid w:val="005F15E4"/>
    <w:rsid w:val="005F373B"/>
    <w:rsid w:val="005F3B5C"/>
    <w:rsid w:val="005F3D2C"/>
    <w:rsid w:val="005F443A"/>
    <w:rsid w:val="005F4FFF"/>
    <w:rsid w:val="005F527E"/>
    <w:rsid w:val="005F53D0"/>
    <w:rsid w:val="005F5CDF"/>
    <w:rsid w:val="005F5DCF"/>
    <w:rsid w:val="005F5E77"/>
    <w:rsid w:val="005F6797"/>
    <w:rsid w:val="006004A3"/>
    <w:rsid w:val="00601046"/>
    <w:rsid w:val="006014E5"/>
    <w:rsid w:val="006015D9"/>
    <w:rsid w:val="00601A5D"/>
    <w:rsid w:val="00602902"/>
    <w:rsid w:val="0060354C"/>
    <w:rsid w:val="00605018"/>
    <w:rsid w:val="006056C6"/>
    <w:rsid w:val="00605A24"/>
    <w:rsid w:val="00605DA3"/>
    <w:rsid w:val="0060602C"/>
    <w:rsid w:val="00606689"/>
    <w:rsid w:val="00606E35"/>
    <w:rsid w:val="006100DD"/>
    <w:rsid w:val="0061099B"/>
    <w:rsid w:val="00610C35"/>
    <w:rsid w:val="00610CFC"/>
    <w:rsid w:val="006116C3"/>
    <w:rsid w:val="00612E2F"/>
    <w:rsid w:val="00612E44"/>
    <w:rsid w:val="00613959"/>
    <w:rsid w:val="00614BDD"/>
    <w:rsid w:val="00614D29"/>
    <w:rsid w:val="00615563"/>
    <w:rsid w:val="00615BAE"/>
    <w:rsid w:val="00615DB4"/>
    <w:rsid w:val="00615F62"/>
    <w:rsid w:val="00620BE6"/>
    <w:rsid w:val="00620D83"/>
    <w:rsid w:val="006212DC"/>
    <w:rsid w:val="00621E66"/>
    <w:rsid w:val="0062348C"/>
    <w:rsid w:val="00623736"/>
    <w:rsid w:val="00623D21"/>
    <w:rsid w:val="006250FD"/>
    <w:rsid w:val="0062626C"/>
    <w:rsid w:val="00627C67"/>
    <w:rsid w:val="00630831"/>
    <w:rsid w:val="00634228"/>
    <w:rsid w:val="006346B2"/>
    <w:rsid w:val="00634B83"/>
    <w:rsid w:val="00635443"/>
    <w:rsid w:val="006371D1"/>
    <w:rsid w:val="006372C3"/>
    <w:rsid w:val="006374DA"/>
    <w:rsid w:val="00637931"/>
    <w:rsid w:val="0064028C"/>
    <w:rsid w:val="00640D34"/>
    <w:rsid w:val="0064110C"/>
    <w:rsid w:val="006411A7"/>
    <w:rsid w:val="00641DEA"/>
    <w:rsid w:val="00642EB0"/>
    <w:rsid w:val="00642FAF"/>
    <w:rsid w:val="00643350"/>
    <w:rsid w:val="0064380B"/>
    <w:rsid w:val="006446D3"/>
    <w:rsid w:val="006450C2"/>
    <w:rsid w:val="00645482"/>
    <w:rsid w:val="006464B0"/>
    <w:rsid w:val="00646589"/>
    <w:rsid w:val="006479A5"/>
    <w:rsid w:val="00647DF8"/>
    <w:rsid w:val="00650B2A"/>
    <w:rsid w:val="006514AD"/>
    <w:rsid w:val="00651A1A"/>
    <w:rsid w:val="006529AC"/>
    <w:rsid w:val="00652D24"/>
    <w:rsid w:val="006531B4"/>
    <w:rsid w:val="00653341"/>
    <w:rsid w:val="00653A3F"/>
    <w:rsid w:val="00653B6D"/>
    <w:rsid w:val="00654C57"/>
    <w:rsid w:val="00654C75"/>
    <w:rsid w:val="0065637B"/>
    <w:rsid w:val="00657483"/>
    <w:rsid w:val="00657566"/>
    <w:rsid w:val="006609BA"/>
    <w:rsid w:val="00660B5A"/>
    <w:rsid w:val="00660BB8"/>
    <w:rsid w:val="0066206E"/>
    <w:rsid w:val="006639C3"/>
    <w:rsid w:val="00665D17"/>
    <w:rsid w:val="0066762D"/>
    <w:rsid w:val="006677F4"/>
    <w:rsid w:val="0067060D"/>
    <w:rsid w:val="00671E15"/>
    <w:rsid w:val="0067306A"/>
    <w:rsid w:val="00673377"/>
    <w:rsid w:val="006746EC"/>
    <w:rsid w:val="006747B6"/>
    <w:rsid w:val="006752EC"/>
    <w:rsid w:val="00675669"/>
    <w:rsid w:val="00675CCB"/>
    <w:rsid w:val="006764C5"/>
    <w:rsid w:val="00676C0A"/>
    <w:rsid w:val="006770F9"/>
    <w:rsid w:val="006772CA"/>
    <w:rsid w:val="00677A80"/>
    <w:rsid w:val="00677E70"/>
    <w:rsid w:val="00682024"/>
    <w:rsid w:val="00682378"/>
    <w:rsid w:val="006826F4"/>
    <w:rsid w:val="0068361F"/>
    <w:rsid w:val="0068366D"/>
    <w:rsid w:val="006849C4"/>
    <w:rsid w:val="00684B64"/>
    <w:rsid w:val="00684D9D"/>
    <w:rsid w:val="00687751"/>
    <w:rsid w:val="006902D1"/>
    <w:rsid w:val="00690A86"/>
    <w:rsid w:val="00690B95"/>
    <w:rsid w:val="00691339"/>
    <w:rsid w:val="00692DA4"/>
    <w:rsid w:val="00694264"/>
    <w:rsid w:val="00694899"/>
    <w:rsid w:val="00695284"/>
    <w:rsid w:val="0069528D"/>
    <w:rsid w:val="00695903"/>
    <w:rsid w:val="00697250"/>
    <w:rsid w:val="00697927"/>
    <w:rsid w:val="006A0BB3"/>
    <w:rsid w:val="006A2022"/>
    <w:rsid w:val="006A2452"/>
    <w:rsid w:val="006A285B"/>
    <w:rsid w:val="006A2996"/>
    <w:rsid w:val="006A3B50"/>
    <w:rsid w:val="006A3E37"/>
    <w:rsid w:val="006A4AE7"/>
    <w:rsid w:val="006A4BB9"/>
    <w:rsid w:val="006A5020"/>
    <w:rsid w:val="006A566F"/>
    <w:rsid w:val="006A5E7D"/>
    <w:rsid w:val="006A5F6D"/>
    <w:rsid w:val="006B0DF3"/>
    <w:rsid w:val="006B2C0E"/>
    <w:rsid w:val="006B2C93"/>
    <w:rsid w:val="006B31E6"/>
    <w:rsid w:val="006B35F9"/>
    <w:rsid w:val="006B3750"/>
    <w:rsid w:val="006B3DAF"/>
    <w:rsid w:val="006B43CF"/>
    <w:rsid w:val="006B57F9"/>
    <w:rsid w:val="006B6A93"/>
    <w:rsid w:val="006B6B1A"/>
    <w:rsid w:val="006B717C"/>
    <w:rsid w:val="006B79C9"/>
    <w:rsid w:val="006C03D7"/>
    <w:rsid w:val="006C055D"/>
    <w:rsid w:val="006C0F90"/>
    <w:rsid w:val="006C2A89"/>
    <w:rsid w:val="006C2C41"/>
    <w:rsid w:val="006C37B5"/>
    <w:rsid w:val="006C3DFF"/>
    <w:rsid w:val="006C50BF"/>
    <w:rsid w:val="006C59F0"/>
    <w:rsid w:val="006C78AC"/>
    <w:rsid w:val="006D0305"/>
    <w:rsid w:val="006D1732"/>
    <w:rsid w:val="006D2165"/>
    <w:rsid w:val="006D3E43"/>
    <w:rsid w:val="006D430E"/>
    <w:rsid w:val="006D4CE3"/>
    <w:rsid w:val="006D681F"/>
    <w:rsid w:val="006D6E35"/>
    <w:rsid w:val="006D7B46"/>
    <w:rsid w:val="006E0546"/>
    <w:rsid w:val="006E0F44"/>
    <w:rsid w:val="006E5698"/>
    <w:rsid w:val="006E6B1B"/>
    <w:rsid w:val="006E6B6C"/>
    <w:rsid w:val="006E776E"/>
    <w:rsid w:val="006F00FA"/>
    <w:rsid w:val="006F0227"/>
    <w:rsid w:val="006F06C7"/>
    <w:rsid w:val="006F11EB"/>
    <w:rsid w:val="006F2F06"/>
    <w:rsid w:val="006F32FA"/>
    <w:rsid w:val="006F5696"/>
    <w:rsid w:val="006F587F"/>
    <w:rsid w:val="006F6807"/>
    <w:rsid w:val="006F730C"/>
    <w:rsid w:val="007040D9"/>
    <w:rsid w:val="00705B35"/>
    <w:rsid w:val="00706036"/>
    <w:rsid w:val="00706CB2"/>
    <w:rsid w:val="00707D06"/>
    <w:rsid w:val="007105B1"/>
    <w:rsid w:val="00711718"/>
    <w:rsid w:val="00713267"/>
    <w:rsid w:val="00713E40"/>
    <w:rsid w:val="00714637"/>
    <w:rsid w:val="007147ED"/>
    <w:rsid w:val="00715C48"/>
    <w:rsid w:val="00715FE7"/>
    <w:rsid w:val="00717204"/>
    <w:rsid w:val="00720132"/>
    <w:rsid w:val="00720C83"/>
    <w:rsid w:val="007218DE"/>
    <w:rsid w:val="007225EE"/>
    <w:rsid w:val="00722972"/>
    <w:rsid w:val="007251BD"/>
    <w:rsid w:val="0072521F"/>
    <w:rsid w:val="00726493"/>
    <w:rsid w:val="00726C7B"/>
    <w:rsid w:val="007272D4"/>
    <w:rsid w:val="007273B9"/>
    <w:rsid w:val="00730127"/>
    <w:rsid w:val="00730CAE"/>
    <w:rsid w:val="0073287C"/>
    <w:rsid w:val="0073327C"/>
    <w:rsid w:val="0073377B"/>
    <w:rsid w:val="0073382E"/>
    <w:rsid w:val="00734548"/>
    <w:rsid w:val="00736735"/>
    <w:rsid w:val="00737ED0"/>
    <w:rsid w:val="007402CA"/>
    <w:rsid w:val="00740743"/>
    <w:rsid w:val="00740F0D"/>
    <w:rsid w:val="00740FD6"/>
    <w:rsid w:val="00741CA3"/>
    <w:rsid w:val="0074212F"/>
    <w:rsid w:val="007442FA"/>
    <w:rsid w:val="007448A6"/>
    <w:rsid w:val="00747B17"/>
    <w:rsid w:val="00747D9D"/>
    <w:rsid w:val="007500D2"/>
    <w:rsid w:val="007502EA"/>
    <w:rsid w:val="007509C8"/>
    <w:rsid w:val="00750E6E"/>
    <w:rsid w:val="0075135A"/>
    <w:rsid w:val="007518D6"/>
    <w:rsid w:val="007522E5"/>
    <w:rsid w:val="0075259F"/>
    <w:rsid w:val="00753513"/>
    <w:rsid w:val="007547DA"/>
    <w:rsid w:val="00754CFA"/>
    <w:rsid w:val="007550EC"/>
    <w:rsid w:val="00756ED6"/>
    <w:rsid w:val="00757F21"/>
    <w:rsid w:val="0076135C"/>
    <w:rsid w:val="007617CE"/>
    <w:rsid w:val="00762299"/>
    <w:rsid w:val="0076574F"/>
    <w:rsid w:val="00765C1D"/>
    <w:rsid w:val="00765EB9"/>
    <w:rsid w:val="00766030"/>
    <w:rsid w:val="00766DB9"/>
    <w:rsid w:val="00770073"/>
    <w:rsid w:val="0077018F"/>
    <w:rsid w:val="00771E4F"/>
    <w:rsid w:val="0077298A"/>
    <w:rsid w:val="007737AA"/>
    <w:rsid w:val="00773A76"/>
    <w:rsid w:val="00775564"/>
    <w:rsid w:val="00776955"/>
    <w:rsid w:val="0077710E"/>
    <w:rsid w:val="00777607"/>
    <w:rsid w:val="0077767C"/>
    <w:rsid w:val="00777A64"/>
    <w:rsid w:val="007806EA"/>
    <w:rsid w:val="00780D32"/>
    <w:rsid w:val="00781A7D"/>
    <w:rsid w:val="00781E09"/>
    <w:rsid w:val="00782843"/>
    <w:rsid w:val="00787D73"/>
    <w:rsid w:val="007912B4"/>
    <w:rsid w:val="0079221D"/>
    <w:rsid w:val="00795793"/>
    <w:rsid w:val="00795D12"/>
    <w:rsid w:val="007978DE"/>
    <w:rsid w:val="007A1490"/>
    <w:rsid w:val="007A291E"/>
    <w:rsid w:val="007A54BA"/>
    <w:rsid w:val="007A583C"/>
    <w:rsid w:val="007A5939"/>
    <w:rsid w:val="007A5C7F"/>
    <w:rsid w:val="007A6167"/>
    <w:rsid w:val="007A66D8"/>
    <w:rsid w:val="007A6867"/>
    <w:rsid w:val="007A7B9F"/>
    <w:rsid w:val="007B006B"/>
    <w:rsid w:val="007B01E7"/>
    <w:rsid w:val="007B053B"/>
    <w:rsid w:val="007B0791"/>
    <w:rsid w:val="007B0A17"/>
    <w:rsid w:val="007B2F25"/>
    <w:rsid w:val="007B3B8D"/>
    <w:rsid w:val="007B43DF"/>
    <w:rsid w:val="007B4C1C"/>
    <w:rsid w:val="007B4F50"/>
    <w:rsid w:val="007B50BE"/>
    <w:rsid w:val="007B58B1"/>
    <w:rsid w:val="007B5CBD"/>
    <w:rsid w:val="007B6607"/>
    <w:rsid w:val="007B72B2"/>
    <w:rsid w:val="007B7F5A"/>
    <w:rsid w:val="007C02AF"/>
    <w:rsid w:val="007C1332"/>
    <w:rsid w:val="007C18BF"/>
    <w:rsid w:val="007C20C8"/>
    <w:rsid w:val="007C2581"/>
    <w:rsid w:val="007C27EF"/>
    <w:rsid w:val="007C2931"/>
    <w:rsid w:val="007C2E4F"/>
    <w:rsid w:val="007C32C5"/>
    <w:rsid w:val="007C372B"/>
    <w:rsid w:val="007C52EA"/>
    <w:rsid w:val="007C5387"/>
    <w:rsid w:val="007C67D6"/>
    <w:rsid w:val="007C6D7E"/>
    <w:rsid w:val="007C7A52"/>
    <w:rsid w:val="007C7C20"/>
    <w:rsid w:val="007D0F24"/>
    <w:rsid w:val="007D1402"/>
    <w:rsid w:val="007D2ED4"/>
    <w:rsid w:val="007D32EC"/>
    <w:rsid w:val="007D475A"/>
    <w:rsid w:val="007D4F15"/>
    <w:rsid w:val="007D5106"/>
    <w:rsid w:val="007D5625"/>
    <w:rsid w:val="007D6375"/>
    <w:rsid w:val="007D685F"/>
    <w:rsid w:val="007D7450"/>
    <w:rsid w:val="007D7570"/>
    <w:rsid w:val="007D7650"/>
    <w:rsid w:val="007E14FB"/>
    <w:rsid w:val="007E1A4F"/>
    <w:rsid w:val="007E1E9F"/>
    <w:rsid w:val="007E2FA7"/>
    <w:rsid w:val="007E3500"/>
    <w:rsid w:val="007E3579"/>
    <w:rsid w:val="007E363D"/>
    <w:rsid w:val="007E41CF"/>
    <w:rsid w:val="007E42E3"/>
    <w:rsid w:val="007E5DD0"/>
    <w:rsid w:val="007E60FA"/>
    <w:rsid w:val="007E6F39"/>
    <w:rsid w:val="007E79B7"/>
    <w:rsid w:val="007F0EA2"/>
    <w:rsid w:val="007F2167"/>
    <w:rsid w:val="007F25C3"/>
    <w:rsid w:val="007F459D"/>
    <w:rsid w:val="007F7AF3"/>
    <w:rsid w:val="007F7DAE"/>
    <w:rsid w:val="00800A00"/>
    <w:rsid w:val="0080386F"/>
    <w:rsid w:val="0080448E"/>
    <w:rsid w:val="008056A1"/>
    <w:rsid w:val="00806B1F"/>
    <w:rsid w:val="00811DCD"/>
    <w:rsid w:val="00811E9F"/>
    <w:rsid w:val="00812A19"/>
    <w:rsid w:val="00813310"/>
    <w:rsid w:val="00813410"/>
    <w:rsid w:val="008136E3"/>
    <w:rsid w:val="00814BBD"/>
    <w:rsid w:val="00815E00"/>
    <w:rsid w:val="00816081"/>
    <w:rsid w:val="0081622D"/>
    <w:rsid w:val="00816DF3"/>
    <w:rsid w:val="00816E4C"/>
    <w:rsid w:val="00817E79"/>
    <w:rsid w:val="00817F15"/>
    <w:rsid w:val="008204D8"/>
    <w:rsid w:val="008204E3"/>
    <w:rsid w:val="00820DE7"/>
    <w:rsid w:val="008217CF"/>
    <w:rsid w:val="0082197C"/>
    <w:rsid w:val="00821A1D"/>
    <w:rsid w:val="00824E56"/>
    <w:rsid w:val="00826550"/>
    <w:rsid w:val="0082750D"/>
    <w:rsid w:val="00827CC3"/>
    <w:rsid w:val="008304EC"/>
    <w:rsid w:val="00830BBE"/>
    <w:rsid w:val="008310D3"/>
    <w:rsid w:val="00831200"/>
    <w:rsid w:val="008316D5"/>
    <w:rsid w:val="00831989"/>
    <w:rsid w:val="00831AFC"/>
    <w:rsid w:val="0083315B"/>
    <w:rsid w:val="0083353C"/>
    <w:rsid w:val="00833CDB"/>
    <w:rsid w:val="00835294"/>
    <w:rsid w:val="00836C04"/>
    <w:rsid w:val="008376B3"/>
    <w:rsid w:val="0083773A"/>
    <w:rsid w:val="00837D47"/>
    <w:rsid w:val="00837E30"/>
    <w:rsid w:val="00841A33"/>
    <w:rsid w:val="00842902"/>
    <w:rsid w:val="00847245"/>
    <w:rsid w:val="00847777"/>
    <w:rsid w:val="008477BF"/>
    <w:rsid w:val="0085178D"/>
    <w:rsid w:val="00852362"/>
    <w:rsid w:val="008528B5"/>
    <w:rsid w:val="00852F62"/>
    <w:rsid w:val="00854774"/>
    <w:rsid w:val="008558A9"/>
    <w:rsid w:val="00855DD0"/>
    <w:rsid w:val="00856CD9"/>
    <w:rsid w:val="00857A1C"/>
    <w:rsid w:val="0086086A"/>
    <w:rsid w:val="00860BB0"/>
    <w:rsid w:val="00861EC4"/>
    <w:rsid w:val="0086293C"/>
    <w:rsid w:val="00862F07"/>
    <w:rsid w:val="0086339A"/>
    <w:rsid w:val="008641C4"/>
    <w:rsid w:val="00864D1B"/>
    <w:rsid w:val="00864DA5"/>
    <w:rsid w:val="008668BB"/>
    <w:rsid w:val="00867558"/>
    <w:rsid w:val="008705B0"/>
    <w:rsid w:val="008714AA"/>
    <w:rsid w:val="00871B96"/>
    <w:rsid w:val="008745B5"/>
    <w:rsid w:val="00875D41"/>
    <w:rsid w:val="00876AA6"/>
    <w:rsid w:val="00876FF4"/>
    <w:rsid w:val="0087713E"/>
    <w:rsid w:val="00882232"/>
    <w:rsid w:val="0088276F"/>
    <w:rsid w:val="008835A9"/>
    <w:rsid w:val="008846F1"/>
    <w:rsid w:val="0088537A"/>
    <w:rsid w:val="0088584C"/>
    <w:rsid w:val="00886A5D"/>
    <w:rsid w:val="00886AD0"/>
    <w:rsid w:val="008904AD"/>
    <w:rsid w:val="00892E7D"/>
    <w:rsid w:val="00892FAD"/>
    <w:rsid w:val="008933EF"/>
    <w:rsid w:val="00893AB5"/>
    <w:rsid w:val="00895BEF"/>
    <w:rsid w:val="00895DB7"/>
    <w:rsid w:val="00896A80"/>
    <w:rsid w:val="00897679"/>
    <w:rsid w:val="008A3113"/>
    <w:rsid w:val="008A3A6D"/>
    <w:rsid w:val="008A4C21"/>
    <w:rsid w:val="008A54E3"/>
    <w:rsid w:val="008B0622"/>
    <w:rsid w:val="008B0809"/>
    <w:rsid w:val="008B1B74"/>
    <w:rsid w:val="008B20BD"/>
    <w:rsid w:val="008B3E9B"/>
    <w:rsid w:val="008B4C82"/>
    <w:rsid w:val="008B60BD"/>
    <w:rsid w:val="008B6B2A"/>
    <w:rsid w:val="008B7013"/>
    <w:rsid w:val="008B7895"/>
    <w:rsid w:val="008C28B7"/>
    <w:rsid w:val="008C2C3F"/>
    <w:rsid w:val="008C3145"/>
    <w:rsid w:val="008C4646"/>
    <w:rsid w:val="008C4815"/>
    <w:rsid w:val="008C4CC6"/>
    <w:rsid w:val="008C4F81"/>
    <w:rsid w:val="008C522C"/>
    <w:rsid w:val="008C52EE"/>
    <w:rsid w:val="008C571E"/>
    <w:rsid w:val="008C70C7"/>
    <w:rsid w:val="008C772E"/>
    <w:rsid w:val="008C7C0B"/>
    <w:rsid w:val="008C7CE1"/>
    <w:rsid w:val="008D1225"/>
    <w:rsid w:val="008D1D0E"/>
    <w:rsid w:val="008D1E7F"/>
    <w:rsid w:val="008D1F15"/>
    <w:rsid w:val="008D1F2B"/>
    <w:rsid w:val="008D3B96"/>
    <w:rsid w:val="008D5210"/>
    <w:rsid w:val="008D6416"/>
    <w:rsid w:val="008D652C"/>
    <w:rsid w:val="008D7F6B"/>
    <w:rsid w:val="008E05E9"/>
    <w:rsid w:val="008E0D37"/>
    <w:rsid w:val="008E2D53"/>
    <w:rsid w:val="008E4467"/>
    <w:rsid w:val="008E4CD7"/>
    <w:rsid w:val="008E641D"/>
    <w:rsid w:val="008E64DA"/>
    <w:rsid w:val="008E660D"/>
    <w:rsid w:val="008E66E5"/>
    <w:rsid w:val="008E7DD4"/>
    <w:rsid w:val="008F056F"/>
    <w:rsid w:val="008F21C1"/>
    <w:rsid w:val="008F305A"/>
    <w:rsid w:val="008F3154"/>
    <w:rsid w:val="008F3465"/>
    <w:rsid w:val="008F3512"/>
    <w:rsid w:val="008F371C"/>
    <w:rsid w:val="008F3D5F"/>
    <w:rsid w:val="008F438E"/>
    <w:rsid w:val="008F66BA"/>
    <w:rsid w:val="008F7D54"/>
    <w:rsid w:val="008F7DD2"/>
    <w:rsid w:val="009004F9"/>
    <w:rsid w:val="0090344A"/>
    <w:rsid w:val="0090383C"/>
    <w:rsid w:val="00904041"/>
    <w:rsid w:val="0090561B"/>
    <w:rsid w:val="009070E0"/>
    <w:rsid w:val="00910139"/>
    <w:rsid w:val="009112B1"/>
    <w:rsid w:val="00913261"/>
    <w:rsid w:val="00913B82"/>
    <w:rsid w:val="00914276"/>
    <w:rsid w:val="009158AA"/>
    <w:rsid w:val="00916549"/>
    <w:rsid w:val="00916DEB"/>
    <w:rsid w:val="00917022"/>
    <w:rsid w:val="00917485"/>
    <w:rsid w:val="00920C84"/>
    <w:rsid w:val="00920F02"/>
    <w:rsid w:val="00922591"/>
    <w:rsid w:val="00922A73"/>
    <w:rsid w:val="00922D02"/>
    <w:rsid w:val="00922E82"/>
    <w:rsid w:val="00926673"/>
    <w:rsid w:val="00926FCA"/>
    <w:rsid w:val="009271A2"/>
    <w:rsid w:val="0093027F"/>
    <w:rsid w:val="0093151B"/>
    <w:rsid w:val="00931738"/>
    <w:rsid w:val="009319FC"/>
    <w:rsid w:val="00931B31"/>
    <w:rsid w:val="009325AE"/>
    <w:rsid w:val="00932FDF"/>
    <w:rsid w:val="009346E0"/>
    <w:rsid w:val="009349B5"/>
    <w:rsid w:val="0093602A"/>
    <w:rsid w:val="00940224"/>
    <w:rsid w:val="009402E0"/>
    <w:rsid w:val="009425A7"/>
    <w:rsid w:val="0094265B"/>
    <w:rsid w:val="00942CF7"/>
    <w:rsid w:val="00942E4C"/>
    <w:rsid w:val="00944900"/>
    <w:rsid w:val="00944C91"/>
    <w:rsid w:val="00944EA3"/>
    <w:rsid w:val="0094583D"/>
    <w:rsid w:val="00945BCE"/>
    <w:rsid w:val="009474C1"/>
    <w:rsid w:val="00950947"/>
    <w:rsid w:val="009509BD"/>
    <w:rsid w:val="00950C0B"/>
    <w:rsid w:val="00951984"/>
    <w:rsid w:val="0095439B"/>
    <w:rsid w:val="00954EC8"/>
    <w:rsid w:val="009553FC"/>
    <w:rsid w:val="009554DD"/>
    <w:rsid w:val="0095681C"/>
    <w:rsid w:val="00957E5D"/>
    <w:rsid w:val="0096009C"/>
    <w:rsid w:val="009624C2"/>
    <w:rsid w:val="0096374D"/>
    <w:rsid w:val="00966DA4"/>
    <w:rsid w:val="00970201"/>
    <w:rsid w:val="00971402"/>
    <w:rsid w:val="00971744"/>
    <w:rsid w:val="00971830"/>
    <w:rsid w:val="00971A5A"/>
    <w:rsid w:val="00972C2E"/>
    <w:rsid w:val="00972EB6"/>
    <w:rsid w:val="0097707B"/>
    <w:rsid w:val="00980A15"/>
    <w:rsid w:val="00980C9E"/>
    <w:rsid w:val="009846CF"/>
    <w:rsid w:val="00984BF8"/>
    <w:rsid w:val="009850BA"/>
    <w:rsid w:val="00985D75"/>
    <w:rsid w:val="00986146"/>
    <w:rsid w:val="00987534"/>
    <w:rsid w:val="00990E20"/>
    <w:rsid w:val="00990ED9"/>
    <w:rsid w:val="00992514"/>
    <w:rsid w:val="00992888"/>
    <w:rsid w:val="00992AA9"/>
    <w:rsid w:val="009947F1"/>
    <w:rsid w:val="009949CE"/>
    <w:rsid w:val="00994F03"/>
    <w:rsid w:val="009972B4"/>
    <w:rsid w:val="009A01F1"/>
    <w:rsid w:val="009A045C"/>
    <w:rsid w:val="009A081F"/>
    <w:rsid w:val="009A0EB3"/>
    <w:rsid w:val="009A0F19"/>
    <w:rsid w:val="009A1D3C"/>
    <w:rsid w:val="009A1E77"/>
    <w:rsid w:val="009A2123"/>
    <w:rsid w:val="009A43E6"/>
    <w:rsid w:val="009A47F0"/>
    <w:rsid w:val="009A5D78"/>
    <w:rsid w:val="009A6127"/>
    <w:rsid w:val="009A6C1F"/>
    <w:rsid w:val="009A77F3"/>
    <w:rsid w:val="009A7B25"/>
    <w:rsid w:val="009B05A6"/>
    <w:rsid w:val="009B0BA2"/>
    <w:rsid w:val="009B1322"/>
    <w:rsid w:val="009B2029"/>
    <w:rsid w:val="009B27DF"/>
    <w:rsid w:val="009B2ABB"/>
    <w:rsid w:val="009B3429"/>
    <w:rsid w:val="009B387F"/>
    <w:rsid w:val="009B5848"/>
    <w:rsid w:val="009B6103"/>
    <w:rsid w:val="009B6310"/>
    <w:rsid w:val="009B64AA"/>
    <w:rsid w:val="009B6859"/>
    <w:rsid w:val="009B6E90"/>
    <w:rsid w:val="009B7E61"/>
    <w:rsid w:val="009C0395"/>
    <w:rsid w:val="009C0670"/>
    <w:rsid w:val="009C0DB6"/>
    <w:rsid w:val="009C2D4D"/>
    <w:rsid w:val="009C3F50"/>
    <w:rsid w:val="009C4DDA"/>
    <w:rsid w:val="009C56B9"/>
    <w:rsid w:val="009C60FB"/>
    <w:rsid w:val="009C61D4"/>
    <w:rsid w:val="009C6A99"/>
    <w:rsid w:val="009C6D41"/>
    <w:rsid w:val="009C7432"/>
    <w:rsid w:val="009C750F"/>
    <w:rsid w:val="009C796D"/>
    <w:rsid w:val="009C7CB5"/>
    <w:rsid w:val="009D18C6"/>
    <w:rsid w:val="009D1DA9"/>
    <w:rsid w:val="009D3922"/>
    <w:rsid w:val="009D4471"/>
    <w:rsid w:val="009D4775"/>
    <w:rsid w:val="009D4AE0"/>
    <w:rsid w:val="009D56BB"/>
    <w:rsid w:val="009D5D54"/>
    <w:rsid w:val="009D6DFE"/>
    <w:rsid w:val="009D771F"/>
    <w:rsid w:val="009E191B"/>
    <w:rsid w:val="009E2771"/>
    <w:rsid w:val="009E322F"/>
    <w:rsid w:val="009E4300"/>
    <w:rsid w:val="009E4DF6"/>
    <w:rsid w:val="009E58C7"/>
    <w:rsid w:val="009E6334"/>
    <w:rsid w:val="009E7251"/>
    <w:rsid w:val="009E7A57"/>
    <w:rsid w:val="009E7EE6"/>
    <w:rsid w:val="009F1542"/>
    <w:rsid w:val="009F1734"/>
    <w:rsid w:val="009F2E83"/>
    <w:rsid w:val="009F3B03"/>
    <w:rsid w:val="009F4E51"/>
    <w:rsid w:val="009F652E"/>
    <w:rsid w:val="009F669E"/>
    <w:rsid w:val="009F6ED1"/>
    <w:rsid w:val="009F7467"/>
    <w:rsid w:val="00A00155"/>
    <w:rsid w:val="00A01043"/>
    <w:rsid w:val="00A0126B"/>
    <w:rsid w:val="00A01720"/>
    <w:rsid w:val="00A02454"/>
    <w:rsid w:val="00A02548"/>
    <w:rsid w:val="00A02D52"/>
    <w:rsid w:val="00A03A7D"/>
    <w:rsid w:val="00A03B4A"/>
    <w:rsid w:val="00A048CA"/>
    <w:rsid w:val="00A04AA5"/>
    <w:rsid w:val="00A072C1"/>
    <w:rsid w:val="00A07B14"/>
    <w:rsid w:val="00A113B3"/>
    <w:rsid w:val="00A11694"/>
    <w:rsid w:val="00A12A17"/>
    <w:rsid w:val="00A12F12"/>
    <w:rsid w:val="00A134B2"/>
    <w:rsid w:val="00A139E6"/>
    <w:rsid w:val="00A13AE9"/>
    <w:rsid w:val="00A14C28"/>
    <w:rsid w:val="00A16061"/>
    <w:rsid w:val="00A16582"/>
    <w:rsid w:val="00A16772"/>
    <w:rsid w:val="00A16E83"/>
    <w:rsid w:val="00A17085"/>
    <w:rsid w:val="00A2036F"/>
    <w:rsid w:val="00A21509"/>
    <w:rsid w:val="00A22BC9"/>
    <w:rsid w:val="00A24769"/>
    <w:rsid w:val="00A250DA"/>
    <w:rsid w:val="00A25620"/>
    <w:rsid w:val="00A2662F"/>
    <w:rsid w:val="00A26E55"/>
    <w:rsid w:val="00A27D3E"/>
    <w:rsid w:val="00A31EA1"/>
    <w:rsid w:val="00A31ED2"/>
    <w:rsid w:val="00A31F1F"/>
    <w:rsid w:val="00A32146"/>
    <w:rsid w:val="00A331B3"/>
    <w:rsid w:val="00A33C7F"/>
    <w:rsid w:val="00A33FE0"/>
    <w:rsid w:val="00A35768"/>
    <w:rsid w:val="00A36146"/>
    <w:rsid w:val="00A36D05"/>
    <w:rsid w:val="00A377EF"/>
    <w:rsid w:val="00A379E0"/>
    <w:rsid w:val="00A4117D"/>
    <w:rsid w:val="00A42017"/>
    <w:rsid w:val="00A4272C"/>
    <w:rsid w:val="00A428EA"/>
    <w:rsid w:val="00A429C0"/>
    <w:rsid w:val="00A43172"/>
    <w:rsid w:val="00A43A21"/>
    <w:rsid w:val="00A43B00"/>
    <w:rsid w:val="00A446B7"/>
    <w:rsid w:val="00A45306"/>
    <w:rsid w:val="00A45A73"/>
    <w:rsid w:val="00A46106"/>
    <w:rsid w:val="00A47E87"/>
    <w:rsid w:val="00A47ED7"/>
    <w:rsid w:val="00A47F97"/>
    <w:rsid w:val="00A5258C"/>
    <w:rsid w:val="00A526BF"/>
    <w:rsid w:val="00A538EB"/>
    <w:rsid w:val="00A541BE"/>
    <w:rsid w:val="00A57180"/>
    <w:rsid w:val="00A6060F"/>
    <w:rsid w:val="00A60BE4"/>
    <w:rsid w:val="00A6169A"/>
    <w:rsid w:val="00A628ED"/>
    <w:rsid w:val="00A65364"/>
    <w:rsid w:val="00A654C1"/>
    <w:rsid w:val="00A65A24"/>
    <w:rsid w:val="00A66322"/>
    <w:rsid w:val="00A6632D"/>
    <w:rsid w:val="00A67605"/>
    <w:rsid w:val="00A67CA0"/>
    <w:rsid w:val="00A70308"/>
    <w:rsid w:val="00A7097C"/>
    <w:rsid w:val="00A712FA"/>
    <w:rsid w:val="00A71A85"/>
    <w:rsid w:val="00A72138"/>
    <w:rsid w:val="00A7271F"/>
    <w:rsid w:val="00A7430F"/>
    <w:rsid w:val="00A756FC"/>
    <w:rsid w:val="00A763B2"/>
    <w:rsid w:val="00A77112"/>
    <w:rsid w:val="00A77A56"/>
    <w:rsid w:val="00A80438"/>
    <w:rsid w:val="00A818B5"/>
    <w:rsid w:val="00A81BA4"/>
    <w:rsid w:val="00A824FF"/>
    <w:rsid w:val="00A82EC3"/>
    <w:rsid w:val="00A82FDB"/>
    <w:rsid w:val="00A839BC"/>
    <w:rsid w:val="00A841EE"/>
    <w:rsid w:val="00A843ED"/>
    <w:rsid w:val="00A85A0C"/>
    <w:rsid w:val="00A866D6"/>
    <w:rsid w:val="00A867D8"/>
    <w:rsid w:val="00A90878"/>
    <w:rsid w:val="00A92684"/>
    <w:rsid w:val="00A93C69"/>
    <w:rsid w:val="00A93EE1"/>
    <w:rsid w:val="00A94509"/>
    <w:rsid w:val="00A947BE"/>
    <w:rsid w:val="00A948B1"/>
    <w:rsid w:val="00A95790"/>
    <w:rsid w:val="00A963A6"/>
    <w:rsid w:val="00A969DE"/>
    <w:rsid w:val="00A97396"/>
    <w:rsid w:val="00A97565"/>
    <w:rsid w:val="00AA0D88"/>
    <w:rsid w:val="00AA1E13"/>
    <w:rsid w:val="00AA1FEB"/>
    <w:rsid w:val="00AA24CB"/>
    <w:rsid w:val="00AA4832"/>
    <w:rsid w:val="00AA52B4"/>
    <w:rsid w:val="00AA5A2D"/>
    <w:rsid w:val="00AA7982"/>
    <w:rsid w:val="00AB14E0"/>
    <w:rsid w:val="00AB1985"/>
    <w:rsid w:val="00AB1FF4"/>
    <w:rsid w:val="00AB3527"/>
    <w:rsid w:val="00AB38CA"/>
    <w:rsid w:val="00AB511C"/>
    <w:rsid w:val="00AB60E2"/>
    <w:rsid w:val="00AB6456"/>
    <w:rsid w:val="00AB6AEF"/>
    <w:rsid w:val="00AB7107"/>
    <w:rsid w:val="00AB7139"/>
    <w:rsid w:val="00AB7C34"/>
    <w:rsid w:val="00AC14D1"/>
    <w:rsid w:val="00AC22A0"/>
    <w:rsid w:val="00AC244F"/>
    <w:rsid w:val="00AC392D"/>
    <w:rsid w:val="00AC3C2E"/>
    <w:rsid w:val="00AC488B"/>
    <w:rsid w:val="00AC4CC9"/>
    <w:rsid w:val="00AC5D60"/>
    <w:rsid w:val="00AC6957"/>
    <w:rsid w:val="00AC76F5"/>
    <w:rsid w:val="00AD2869"/>
    <w:rsid w:val="00AD2B96"/>
    <w:rsid w:val="00AD478B"/>
    <w:rsid w:val="00AD5A34"/>
    <w:rsid w:val="00AD5F18"/>
    <w:rsid w:val="00AE0F11"/>
    <w:rsid w:val="00AE1C47"/>
    <w:rsid w:val="00AE1E2E"/>
    <w:rsid w:val="00AE2057"/>
    <w:rsid w:val="00AE2820"/>
    <w:rsid w:val="00AE2BAB"/>
    <w:rsid w:val="00AE33ED"/>
    <w:rsid w:val="00AE5BDE"/>
    <w:rsid w:val="00AF044A"/>
    <w:rsid w:val="00AF0FF7"/>
    <w:rsid w:val="00AF1F2F"/>
    <w:rsid w:val="00AF2E25"/>
    <w:rsid w:val="00AF42FD"/>
    <w:rsid w:val="00AF59E7"/>
    <w:rsid w:val="00AF6265"/>
    <w:rsid w:val="00AF6BB4"/>
    <w:rsid w:val="00AF6BDD"/>
    <w:rsid w:val="00AF7523"/>
    <w:rsid w:val="00B018BC"/>
    <w:rsid w:val="00B0260E"/>
    <w:rsid w:val="00B02A35"/>
    <w:rsid w:val="00B04C55"/>
    <w:rsid w:val="00B05581"/>
    <w:rsid w:val="00B0682B"/>
    <w:rsid w:val="00B07CDD"/>
    <w:rsid w:val="00B07E11"/>
    <w:rsid w:val="00B10547"/>
    <w:rsid w:val="00B113CC"/>
    <w:rsid w:val="00B11456"/>
    <w:rsid w:val="00B114A3"/>
    <w:rsid w:val="00B1195C"/>
    <w:rsid w:val="00B11981"/>
    <w:rsid w:val="00B11A9E"/>
    <w:rsid w:val="00B12D4D"/>
    <w:rsid w:val="00B12FE0"/>
    <w:rsid w:val="00B13220"/>
    <w:rsid w:val="00B1431D"/>
    <w:rsid w:val="00B1679C"/>
    <w:rsid w:val="00B16EAB"/>
    <w:rsid w:val="00B16F27"/>
    <w:rsid w:val="00B1771C"/>
    <w:rsid w:val="00B17B88"/>
    <w:rsid w:val="00B20597"/>
    <w:rsid w:val="00B20ADD"/>
    <w:rsid w:val="00B20B1F"/>
    <w:rsid w:val="00B21A44"/>
    <w:rsid w:val="00B21A9F"/>
    <w:rsid w:val="00B21BF0"/>
    <w:rsid w:val="00B21BF2"/>
    <w:rsid w:val="00B227CC"/>
    <w:rsid w:val="00B239FA"/>
    <w:rsid w:val="00B23A59"/>
    <w:rsid w:val="00B23BDF"/>
    <w:rsid w:val="00B25705"/>
    <w:rsid w:val="00B25807"/>
    <w:rsid w:val="00B25DA6"/>
    <w:rsid w:val="00B25E64"/>
    <w:rsid w:val="00B26EA4"/>
    <w:rsid w:val="00B35742"/>
    <w:rsid w:val="00B35D64"/>
    <w:rsid w:val="00B3628F"/>
    <w:rsid w:val="00B36379"/>
    <w:rsid w:val="00B363FB"/>
    <w:rsid w:val="00B364E8"/>
    <w:rsid w:val="00B372D9"/>
    <w:rsid w:val="00B37E5E"/>
    <w:rsid w:val="00B407F7"/>
    <w:rsid w:val="00B40CCB"/>
    <w:rsid w:val="00B41CF3"/>
    <w:rsid w:val="00B42A7F"/>
    <w:rsid w:val="00B42B1C"/>
    <w:rsid w:val="00B43812"/>
    <w:rsid w:val="00B43F5D"/>
    <w:rsid w:val="00B44032"/>
    <w:rsid w:val="00B45E12"/>
    <w:rsid w:val="00B468AF"/>
    <w:rsid w:val="00B519C5"/>
    <w:rsid w:val="00B51B78"/>
    <w:rsid w:val="00B528CF"/>
    <w:rsid w:val="00B53C22"/>
    <w:rsid w:val="00B53F3F"/>
    <w:rsid w:val="00B540E7"/>
    <w:rsid w:val="00B541B9"/>
    <w:rsid w:val="00B54834"/>
    <w:rsid w:val="00B55791"/>
    <w:rsid w:val="00B55BBD"/>
    <w:rsid w:val="00B56AC9"/>
    <w:rsid w:val="00B600D9"/>
    <w:rsid w:val="00B61465"/>
    <w:rsid w:val="00B6397D"/>
    <w:rsid w:val="00B6405A"/>
    <w:rsid w:val="00B64466"/>
    <w:rsid w:val="00B653BC"/>
    <w:rsid w:val="00B65763"/>
    <w:rsid w:val="00B66AB4"/>
    <w:rsid w:val="00B67AC9"/>
    <w:rsid w:val="00B67CFF"/>
    <w:rsid w:val="00B7072F"/>
    <w:rsid w:val="00B726BD"/>
    <w:rsid w:val="00B72966"/>
    <w:rsid w:val="00B745B1"/>
    <w:rsid w:val="00B77A7D"/>
    <w:rsid w:val="00B77D1D"/>
    <w:rsid w:val="00B80104"/>
    <w:rsid w:val="00B805E4"/>
    <w:rsid w:val="00B80DAE"/>
    <w:rsid w:val="00B811D6"/>
    <w:rsid w:val="00B814E7"/>
    <w:rsid w:val="00B82039"/>
    <w:rsid w:val="00B82698"/>
    <w:rsid w:val="00B8272E"/>
    <w:rsid w:val="00B833BF"/>
    <w:rsid w:val="00B84302"/>
    <w:rsid w:val="00B84B85"/>
    <w:rsid w:val="00B84C76"/>
    <w:rsid w:val="00B84DDC"/>
    <w:rsid w:val="00B853DA"/>
    <w:rsid w:val="00B86576"/>
    <w:rsid w:val="00B86DCD"/>
    <w:rsid w:val="00B876A5"/>
    <w:rsid w:val="00B87BF6"/>
    <w:rsid w:val="00B87DCC"/>
    <w:rsid w:val="00B907DF"/>
    <w:rsid w:val="00B90804"/>
    <w:rsid w:val="00B92080"/>
    <w:rsid w:val="00B932C4"/>
    <w:rsid w:val="00B93856"/>
    <w:rsid w:val="00B94394"/>
    <w:rsid w:val="00B950AD"/>
    <w:rsid w:val="00B9607F"/>
    <w:rsid w:val="00B9731F"/>
    <w:rsid w:val="00BA0346"/>
    <w:rsid w:val="00BA0CCD"/>
    <w:rsid w:val="00BA18FE"/>
    <w:rsid w:val="00BA1DE7"/>
    <w:rsid w:val="00BA2435"/>
    <w:rsid w:val="00BA3742"/>
    <w:rsid w:val="00BA525E"/>
    <w:rsid w:val="00BA55C5"/>
    <w:rsid w:val="00BA6CC7"/>
    <w:rsid w:val="00BA6FDB"/>
    <w:rsid w:val="00BA7021"/>
    <w:rsid w:val="00BA7C2B"/>
    <w:rsid w:val="00BA7DA0"/>
    <w:rsid w:val="00BA7EC6"/>
    <w:rsid w:val="00BB0945"/>
    <w:rsid w:val="00BB43D3"/>
    <w:rsid w:val="00BB4A5F"/>
    <w:rsid w:val="00BB4D31"/>
    <w:rsid w:val="00BB662B"/>
    <w:rsid w:val="00BB7097"/>
    <w:rsid w:val="00BB7392"/>
    <w:rsid w:val="00BB7EF4"/>
    <w:rsid w:val="00BC079B"/>
    <w:rsid w:val="00BC1D50"/>
    <w:rsid w:val="00BC2298"/>
    <w:rsid w:val="00BC4B77"/>
    <w:rsid w:val="00BC4EB6"/>
    <w:rsid w:val="00BC4FB5"/>
    <w:rsid w:val="00BD0271"/>
    <w:rsid w:val="00BD13D6"/>
    <w:rsid w:val="00BD158F"/>
    <w:rsid w:val="00BD17AA"/>
    <w:rsid w:val="00BD1804"/>
    <w:rsid w:val="00BD21F3"/>
    <w:rsid w:val="00BD2401"/>
    <w:rsid w:val="00BD2932"/>
    <w:rsid w:val="00BD294F"/>
    <w:rsid w:val="00BD3A58"/>
    <w:rsid w:val="00BD3C74"/>
    <w:rsid w:val="00BD3EDC"/>
    <w:rsid w:val="00BD5205"/>
    <w:rsid w:val="00BD67C7"/>
    <w:rsid w:val="00BD739D"/>
    <w:rsid w:val="00BE0246"/>
    <w:rsid w:val="00BE10DD"/>
    <w:rsid w:val="00BE1824"/>
    <w:rsid w:val="00BE3B85"/>
    <w:rsid w:val="00BE423B"/>
    <w:rsid w:val="00BE465C"/>
    <w:rsid w:val="00BE4990"/>
    <w:rsid w:val="00BE7015"/>
    <w:rsid w:val="00BE7D0B"/>
    <w:rsid w:val="00BF30BE"/>
    <w:rsid w:val="00BF3810"/>
    <w:rsid w:val="00BF4273"/>
    <w:rsid w:val="00BF447E"/>
    <w:rsid w:val="00BF567D"/>
    <w:rsid w:val="00BF6DB1"/>
    <w:rsid w:val="00C01755"/>
    <w:rsid w:val="00C027BF"/>
    <w:rsid w:val="00C036D9"/>
    <w:rsid w:val="00C05723"/>
    <w:rsid w:val="00C06DC6"/>
    <w:rsid w:val="00C1009A"/>
    <w:rsid w:val="00C10135"/>
    <w:rsid w:val="00C103AF"/>
    <w:rsid w:val="00C10A3C"/>
    <w:rsid w:val="00C10AB7"/>
    <w:rsid w:val="00C1124D"/>
    <w:rsid w:val="00C118B3"/>
    <w:rsid w:val="00C122C6"/>
    <w:rsid w:val="00C133E4"/>
    <w:rsid w:val="00C133E7"/>
    <w:rsid w:val="00C13BE5"/>
    <w:rsid w:val="00C15A80"/>
    <w:rsid w:val="00C16962"/>
    <w:rsid w:val="00C16C27"/>
    <w:rsid w:val="00C1753B"/>
    <w:rsid w:val="00C20017"/>
    <w:rsid w:val="00C20615"/>
    <w:rsid w:val="00C21F0D"/>
    <w:rsid w:val="00C22F62"/>
    <w:rsid w:val="00C23589"/>
    <w:rsid w:val="00C24C68"/>
    <w:rsid w:val="00C24F14"/>
    <w:rsid w:val="00C251B7"/>
    <w:rsid w:val="00C256D7"/>
    <w:rsid w:val="00C26BF6"/>
    <w:rsid w:val="00C27038"/>
    <w:rsid w:val="00C31BA5"/>
    <w:rsid w:val="00C3214A"/>
    <w:rsid w:val="00C32AA5"/>
    <w:rsid w:val="00C33426"/>
    <w:rsid w:val="00C34633"/>
    <w:rsid w:val="00C349E8"/>
    <w:rsid w:val="00C352EC"/>
    <w:rsid w:val="00C35459"/>
    <w:rsid w:val="00C36621"/>
    <w:rsid w:val="00C40F2B"/>
    <w:rsid w:val="00C42257"/>
    <w:rsid w:val="00C4247A"/>
    <w:rsid w:val="00C42505"/>
    <w:rsid w:val="00C4396C"/>
    <w:rsid w:val="00C44691"/>
    <w:rsid w:val="00C46101"/>
    <w:rsid w:val="00C46231"/>
    <w:rsid w:val="00C46887"/>
    <w:rsid w:val="00C47F3D"/>
    <w:rsid w:val="00C5255D"/>
    <w:rsid w:val="00C5270F"/>
    <w:rsid w:val="00C53BC6"/>
    <w:rsid w:val="00C54416"/>
    <w:rsid w:val="00C54DA6"/>
    <w:rsid w:val="00C55787"/>
    <w:rsid w:val="00C57059"/>
    <w:rsid w:val="00C609A5"/>
    <w:rsid w:val="00C61F15"/>
    <w:rsid w:val="00C620F4"/>
    <w:rsid w:val="00C62769"/>
    <w:rsid w:val="00C632A2"/>
    <w:rsid w:val="00C64A64"/>
    <w:rsid w:val="00C64FC7"/>
    <w:rsid w:val="00C654B8"/>
    <w:rsid w:val="00C655A8"/>
    <w:rsid w:val="00C660A0"/>
    <w:rsid w:val="00C66134"/>
    <w:rsid w:val="00C66464"/>
    <w:rsid w:val="00C702D6"/>
    <w:rsid w:val="00C70BDA"/>
    <w:rsid w:val="00C723F9"/>
    <w:rsid w:val="00C72BCD"/>
    <w:rsid w:val="00C73A0A"/>
    <w:rsid w:val="00C763D3"/>
    <w:rsid w:val="00C76904"/>
    <w:rsid w:val="00C7765B"/>
    <w:rsid w:val="00C77983"/>
    <w:rsid w:val="00C779E3"/>
    <w:rsid w:val="00C818B5"/>
    <w:rsid w:val="00C8243D"/>
    <w:rsid w:val="00C83326"/>
    <w:rsid w:val="00C839C7"/>
    <w:rsid w:val="00C83B36"/>
    <w:rsid w:val="00C852D4"/>
    <w:rsid w:val="00C8560B"/>
    <w:rsid w:val="00C87E2D"/>
    <w:rsid w:val="00C908AE"/>
    <w:rsid w:val="00C909C0"/>
    <w:rsid w:val="00C90DAF"/>
    <w:rsid w:val="00C90EA8"/>
    <w:rsid w:val="00C916B4"/>
    <w:rsid w:val="00C91BD8"/>
    <w:rsid w:val="00C92613"/>
    <w:rsid w:val="00C9597C"/>
    <w:rsid w:val="00C9627B"/>
    <w:rsid w:val="00C962F1"/>
    <w:rsid w:val="00C9657E"/>
    <w:rsid w:val="00C9692E"/>
    <w:rsid w:val="00C9773F"/>
    <w:rsid w:val="00CA13DB"/>
    <w:rsid w:val="00CA1F7A"/>
    <w:rsid w:val="00CA2EAA"/>
    <w:rsid w:val="00CA3848"/>
    <w:rsid w:val="00CA3EDB"/>
    <w:rsid w:val="00CA4F9B"/>
    <w:rsid w:val="00CA58E8"/>
    <w:rsid w:val="00CA5F96"/>
    <w:rsid w:val="00CA637F"/>
    <w:rsid w:val="00CA6C44"/>
    <w:rsid w:val="00CA6DD5"/>
    <w:rsid w:val="00CA7170"/>
    <w:rsid w:val="00CA738A"/>
    <w:rsid w:val="00CA7753"/>
    <w:rsid w:val="00CA7E0E"/>
    <w:rsid w:val="00CB06AB"/>
    <w:rsid w:val="00CB0E75"/>
    <w:rsid w:val="00CB116D"/>
    <w:rsid w:val="00CB1504"/>
    <w:rsid w:val="00CB2742"/>
    <w:rsid w:val="00CB307D"/>
    <w:rsid w:val="00CB36B3"/>
    <w:rsid w:val="00CB387F"/>
    <w:rsid w:val="00CB5F69"/>
    <w:rsid w:val="00CB763B"/>
    <w:rsid w:val="00CC08EE"/>
    <w:rsid w:val="00CC08F1"/>
    <w:rsid w:val="00CC0C2F"/>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D7058"/>
    <w:rsid w:val="00CE02B0"/>
    <w:rsid w:val="00CE03CA"/>
    <w:rsid w:val="00CE0764"/>
    <w:rsid w:val="00CE1721"/>
    <w:rsid w:val="00CE2E5E"/>
    <w:rsid w:val="00CE3670"/>
    <w:rsid w:val="00CE3F98"/>
    <w:rsid w:val="00CE4665"/>
    <w:rsid w:val="00CE4A4A"/>
    <w:rsid w:val="00CE4B31"/>
    <w:rsid w:val="00CE57A6"/>
    <w:rsid w:val="00CE5886"/>
    <w:rsid w:val="00CE67FD"/>
    <w:rsid w:val="00CE701B"/>
    <w:rsid w:val="00CE7331"/>
    <w:rsid w:val="00CE7473"/>
    <w:rsid w:val="00CF0732"/>
    <w:rsid w:val="00CF1126"/>
    <w:rsid w:val="00CF24AD"/>
    <w:rsid w:val="00CF2FEF"/>
    <w:rsid w:val="00CF4273"/>
    <w:rsid w:val="00CF49C3"/>
    <w:rsid w:val="00CF5FBE"/>
    <w:rsid w:val="00CF6275"/>
    <w:rsid w:val="00CF7606"/>
    <w:rsid w:val="00CF77D6"/>
    <w:rsid w:val="00D00889"/>
    <w:rsid w:val="00D01238"/>
    <w:rsid w:val="00D01E89"/>
    <w:rsid w:val="00D0202D"/>
    <w:rsid w:val="00D028C3"/>
    <w:rsid w:val="00D03781"/>
    <w:rsid w:val="00D0450A"/>
    <w:rsid w:val="00D062B9"/>
    <w:rsid w:val="00D065DA"/>
    <w:rsid w:val="00D06E1E"/>
    <w:rsid w:val="00D1018B"/>
    <w:rsid w:val="00D10A04"/>
    <w:rsid w:val="00D128D7"/>
    <w:rsid w:val="00D131E9"/>
    <w:rsid w:val="00D1471A"/>
    <w:rsid w:val="00D152D9"/>
    <w:rsid w:val="00D15BC3"/>
    <w:rsid w:val="00D16328"/>
    <w:rsid w:val="00D1692E"/>
    <w:rsid w:val="00D16FF9"/>
    <w:rsid w:val="00D17D88"/>
    <w:rsid w:val="00D17DF9"/>
    <w:rsid w:val="00D2167C"/>
    <w:rsid w:val="00D2282C"/>
    <w:rsid w:val="00D22F0B"/>
    <w:rsid w:val="00D23D1F"/>
    <w:rsid w:val="00D24C21"/>
    <w:rsid w:val="00D26BBF"/>
    <w:rsid w:val="00D26E9C"/>
    <w:rsid w:val="00D27BC8"/>
    <w:rsid w:val="00D316FE"/>
    <w:rsid w:val="00D3262D"/>
    <w:rsid w:val="00D32A6A"/>
    <w:rsid w:val="00D33F7C"/>
    <w:rsid w:val="00D34976"/>
    <w:rsid w:val="00D35EDA"/>
    <w:rsid w:val="00D36D16"/>
    <w:rsid w:val="00D379DA"/>
    <w:rsid w:val="00D41955"/>
    <w:rsid w:val="00D41CEF"/>
    <w:rsid w:val="00D41F15"/>
    <w:rsid w:val="00D42A9B"/>
    <w:rsid w:val="00D436B0"/>
    <w:rsid w:val="00D43EC5"/>
    <w:rsid w:val="00D44378"/>
    <w:rsid w:val="00D44C7A"/>
    <w:rsid w:val="00D44E9F"/>
    <w:rsid w:val="00D46528"/>
    <w:rsid w:val="00D47ADA"/>
    <w:rsid w:val="00D47EDA"/>
    <w:rsid w:val="00D507E7"/>
    <w:rsid w:val="00D50FD9"/>
    <w:rsid w:val="00D516BE"/>
    <w:rsid w:val="00D521CB"/>
    <w:rsid w:val="00D52596"/>
    <w:rsid w:val="00D53811"/>
    <w:rsid w:val="00D53DAE"/>
    <w:rsid w:val="00D543C1"/>
    <w:rsid w:val="00D54667"/>
    <w:rsid w:val="00D5516F"/>
    <w:rsid w:val="00D554B6"/>
    <w:rsid w:val="00D564A7"/>
    <w:rsid w:val="00D566D4"/>
    <w:rsid w:val="00D604C1"/>
    <w:rsid w:val="00D62698"/>
    <w:rsid w:val="00D62831"/>
    <w:rsid w:val="00D62DC1"/>
    <w:rsid w:val="00D641AA"/>
    <w:rsid w:val="00D64AD2"/>
    <w:rsid w:val="00D65F6E"/>
    <w:rsid w:val="00D702D2"/>
    <w:rsid w:val="00D7034F"/>
    <w:rsid w:val="00D70AD3"/>
    <w:rsid w:val="00D70DF4"/>
    <w:rsid w:val="00D71A09"/>
    <w:rsid w:val="00D72D6A"/>
    <w:rsid w:val="00D73337"/>
    <w:rsid w:val="00D733A1"/>
    <w:rsid w:val="00D74300"/>
    <w:rsid w:val="00D75A3C"/>
    <w:rsid w:val="00D76680"/>
    <w:rsid w:val="00D802C2"/>
    <w:rsid w:val="00D803BC"/>
    <w:rsid w:val="00D80A78"/>
    <w:rsid w:val="00D81D55"/>
    <w:rsid w:val="00D81F28"/>
    <w:rsid w:val="00D8253A"/>
    <w:rsid w:val="00D82FC4"/>
    <w:rsid w:val="00D83FF9"/>
    <w:rsid w:val="00D849C0"/>
    <w:rsid w:val="00D84CCA"/>
    <w:rsid w:val="00D84DBD"/>
    <w:rsid w:val="00D85988"/>
    <w:rsid w:val="00D860A8"/>
    <w:rsid w:val="00D86166"/>
    <w:rsid w:val="00D86C8B"/>
    <w:rsid w:val="00D8737F"/>
    <w:rsid w:val="00D87764"/>
    <w:rsid w:val="00D90E79"/>
    <w:rsid w:val="00D92B64"/>
    <w:rsid w:val="00D93567"/>
    <w:rsid w:val="00D93E39"/>
    <w:rsid w:val="00D940CE"/>
    <w:rsid w:val="00D94C20"/>
    <w:rsid w:val="00D95A74"/>
    <w:rsid w:val="00D96803"/>
    <w:rsid w:val="00D96A40"/>
    <w:rsid w:val="00D96B14"/>
    <w:rsid w:val="00D96F38"/>
    <w:rsid w:val="00D97978"/>
    <w:rsid w:val="00D97F13"/>
    <w:rsid w:val="00DA0A08"/>
    <w:rsid w:val="00DA0CAA"/>
    <w:rsid w:val="00DA171F"/>
    <w:rsid w:val="00DA183F"/>
    <w:rsid w:val="00DA22E7"/>
    <w:rsid w:val="00DA2E0B"/>
    <w:rsid w:val="00DA347F"/>
    <w:rsid w:val="00DA445D"/>
    <w:rsid w:val="00DA701D"/>
    <w:rsid w:val="00DB0890"/>
    <w:rsid w:val="00DB0B04"/>
    <w:rsid w:val="00DB2049"/>
    <w:rsid w:val="00DB2710"/>
    <w:rsid w:val="00DB32C8"/>
    <w:rsid w:val="00DB348A"/>
    <w:rsid w:val="00DB3916"/>
    <w:rsid w:val="00DB3B2C"/>
    <w:rsid w:val="00DB5405"/>
    <w:rsid w:val="00DB548B"/>
    <w:rsid w:val="00DB59BA"/>
    <w:rsid w:val="00DB689E"/>
    <w:rsid w:val="00DB751D"/>
    <w:rsid w:val="00DC0491"/>
    <w:rsid w:val="00DC09E2"/>
    <w:rsid w:val="00DC23E3"/>
    <w:rsid w:val="00DC3596"/>
    <w:rsid w:val="00DC5559"/>
    <w:rsid w:val="00DC5BE7"/>
    <w:rsid w:val="00DC5EAF"/>
    <w:rsid w:val="00DD19FE"/>
    <w:rsid w:val="00DD203D"/>
    <w:rsid w:val="00DD216E"/>
    <w:rsid w:val="00DD2D22"/>
    <w:rsid w:val="00DD463B"/>
    <w:rsid w:val="00DD5E88"/>
    <w:rsid w:val="00DD6531"/>
    <w:rsid w:val="00DD68D0"/>
    <w:rsid w:val="00DD7BA3"/>
    <w:rsid w:val="00DE0003"/>
    <w:rsid w:val="00DE0119"/>
    <w:rsid w:val="00DE05C2"/>
    <w:rsid w:val="00DE0E79"/>
    <w:rsid w:val="00DE1CCB"/>
    <w:rsid w:val="00DE2AF3"/>
    <w:rsid w:val="00DE3591"/>
    <w:rsid w:val="00DE4B3D"/>
    <w:rsid w:val="00DE7027"/>
    <w:rsid w:val="00DE7B3D"/>
    <w:rsid w:val="00DF252D"/>
    <w:rsid w:val="00DF2C51"/>
    <w:rsid w:val="00DF4282"/>
    <w:rsid w:val="00DF4DB1"/>
    <w:rsid w:val="00DF4F75"/>
    <w:rsid w:val="00DF61AF"/>
    <w:rsid w:val="00DF6F41"/>
    <w:rsid w:val="00DF79C0"/>
    <w:rsid w:val="00DF7E39"/>
    <w:rsid w:val="00E00787"/>
    <w:rsid w:val="00E00B96"/>
    <w:rsid w:val="00E010D2"/>
    <w:rsid w:val="00E021D8"/>
    <w:rsid w:val="00E0264D"/>
    <w:rsid w:val="00E03B3D"/>
    <w:rsid w:val="00E04240"/>
    <w:rsid w:val="00E05C6B"/>
    <w:rsid w:val="00E07645"/>
    <w:rsid w:val="00E10C48"/>
    <w:rsid w:val="00E10EB8"/>
    <w:rsid w:val="00E11027"/>
    <w:rsid w:val="00E118E0"/>
    <w:rsid w:val="00E12966"/>
    <w:rsid w:val="00E129DE"/>
    <w:rsid w:val="00E13C8B"/>
    <w:rsid w:val="00E14292"/>
    <w:rsid w:val="00E14BDC"/>
    <w:rsid w:val="00E14E4F"/>
    <w:rsid w:val="00E150CB"/>
    <w:rsid w:val="00E15476"/>
    <w:rsid w:val="00E15592"/>
    <w:rsid w:val="00E1563B"/>
    <w:rsid w:val="00E15721"/>
    <w:rsid w:val="00E15C7D"/>
    <w:rsid w:val="00E15ED5"/>
    <w:rsid w:val="00E16038"/>
    <w:rsid w:val="00E1633B"/>
    <w:rsid w:val="00E167E1"/>
    <w:rsid w:val="00E17832"/>
    <w:rsid w:val="00E213CE"/>
    <w:rsid w:val="00E21C48"/>
    <w:rsid w:val="00E23764"/>
    <w:rsid w:val="00E25497"/>
    <w:rsid w:val="00E25BD9"/>
    <w:rsid w:val="00E26147"/>
    <w:rsid w:val="00E263F0"/>
    <w:rsid w:val="00E2730C"/>
    <w:rsid w:val="00E3101C"/>
    <w:rsid w:val="00E31310"/>
    <w:rsid w:val="00E32479"/>
    <w:rsid w:val="00E324A0"/>
    <w:rsid w:val="00E32E2A"/>
    <w:rsid w:val="00E3342C"/>
    <w:rsid w:val="00E344DD"/>
    <w:rsid w:val="00E34D03"/>
    <w:rsid w:val="00E35D00"/>
    <w:rsid w:val="00E3666B"/>
    <w:rsid w:val="00E36952"/>
    <w:rsid w:val="00E36DE6"/>
    <w:rsid w:val="00E372B5"/>
    <w:rsid w:val="00E37C9E"/>
    <w:rsid w:val="00E40337"/>
    <w:rsid w:val="00E40635"/>
    <w:rsid w:val="00E4173E"/>
    <w:rsid w:val="00E41BE8"/>
    <w:rsid w:val="00E41D55"/>
    <w:rsid w:val="00E43350"/>
    <w:rsid w:val="00E43737"/>
    <w:rsid w:val="00E43C55"/>
    <w:rsid w:val="00E441FD"/>
    <w:rsid w:val="00E4439E"/>
    <w:rsid w:val="00E46542"/>
    <w:rsid w:val="00E50152"/>
    <w:rsid w:val="00E508E3"/>
    <w:rsid w:val="00E5093C"/>
    <w:rsid w:val="00E50983"/>
    <w:rsid w:val="00E51198"/>
    <w:rsid w:val="00E51B1F"/>
    <w:rsid w:val="00E532C7"/>
    <w:rsid w:val="00E5493C"/>
    <w:rsid w:val="00E54E86"/>
    <w:rsid w:val="00E54F09"/>
    <w:rsid w:val="00E54F6F"/>
    <w:rsid w:val="00E5538C"/>
    <w:rsid w:val="00E55F04"/>
    <w:rsid w:val="00E56258"/>
    <w:rsid w:val="00E601E4"/>
    <w:rsid w:val="00E60723"/>
    <w:rsid w:val="00E61427"/>
    <w:rsid w:val="00E62521"/>
    <w:rsid w:val="00E637E6"/>
    <w:rsid w:val="00E63C9C"/>
    <w:rsid w:val="00E63DEB"/>
    <w:rsid w:val="00E6408C"/>
    <w:rsid w:val="00E64BDE"/>
    <w:rsid w:val="00E667F5"/>
    <w:rsid w:val="00E66862"/>
    <w:rsid w:val="00E675E5"/>
    <w:rsid w:val="00E67B51"/>
    <w:rsid w:val="00E70C9E"/>
    <w:rsid w:val="00E71481"/>
    <w:rsid w:val="00E7279F"/>
    <w:rsid w:val="00E736B1"/>
    <w:rsid w:val="00E74803"/>
    <w:rsid w:val="00E74C42"/>
    <w:rsid w:val="00E74C7F"/>
    <w:rsid w:val="00E75332"/>
    <w:rsid w:val="00E7624D"/>
    <w:rsid w:val="00E8001E"/>
    <w:rsid w:val="00E808D0"/>
    <w:rsid w:val="00E80A7D"/>
    <w:rsid w:val="00E8251D"/>
    <w:rsid w:val="00E8490D"/>
    <w:rsid w:val="00E85B1B"/>
    <w:rsid w:val="00E86EA2"/>
    <w:rsid w:val="00E87E37"/>
    <w:rsid w:val="00E90138"/>
    <w:rsid w:val="00E92CFD"/>
    <w:rsid w:val="00E933DC"/>
    <w:rsid w:val="00E940C3"/>
    <w:rsid w:val="00E94C05"/>
    <w:rsid w:val="00E94CA0"/>
    <w:rsid w:val="00E9668E"/>
    <w:rsid w:val="00E9744A"/>
    <w:rsid w:val="00E974CF"/>
    <w:rsid w:val="00E97AE2"/>
    <w:rsid w:val="00EA169B"/>
    <w:rsid w:val="00EA2012"/>
    <w:rsid w:val="00EA26A1"/>
    <w:rsid w:val="00EA32C3"/>
    <w:rsid w:val="00EA4711"/>
    <w:rsid w:val="00EA538F"/>
    <w:rsid w:val="00EA5938"/>
    <w:rsid w:val="00EA5A39"/>
    <w:rsid w:val="00EA5B35"/>
    <w:rsid w:val="00EA5BCF"/>
    <w:rsid w:val="00EA5E9F"/>
    <w:rsid w:val="00EA65EF"/>
    <w:rsid w:val="00EA6A83"/>
    <w:rsid w:val="00EA7E15"/>
    <w:rsid w:val="00EB1612"/>
    <w:rsid w:val="00EB1B35"/>
    <w:rsid w:val="00EB249E"/>
    <w:rsid w:val="00EB492A"/>
    <w:rsid w:val="00EB52C5"/>
    <w:rsid w:val="00EB5843"/>
    <w:rsid w:val="00EB5DE7"/>
    <w:rsid w:val="00EB5E79"/>
    <w:rsid w:val="00EB6589"/>
    <w:rsid w:val="00EB761E"/>
    <w:rsid w:val="00EB7C1E"/>
    <w:rsid w:val="00EC1BCB"/>
    <w:rsid w:val="00EC1F33"/>
    <w:rsid w:val="00EC2021"/>
    <w:rsid w:val="00EC2701"/>
    <w:rsid w:val="00EC37D2"/>
    <w:rsid w:val="00EC4D59"/>
    <w:rsid w:val="00EC53F2"/>
    <w:rsid w:val="00EC55C4"/>
    <w:rsid w:val="00EC5795"/>
    <w:rsid w:val="00ED0571"/>
    <w:rsid w:val="00ED094A"/>
    <w:rsid w:val="00ED205C"/>
    <w:rsid w:val="00ED7314"/>
    <w:rsid w:val="00ED7B8B"/>
    <w:rsid w:val="00EE0808"/>
    <w:rsid w:val="00EE3B17"/>
    <w:rsid w:val="00EE481C"/>
    <w:rsid w:val="00EE48F1"/>
    <w:rsid w:val="00EE4A2D"/>
    <w:rsid w:val="00EE544C"/>
    <w:rsid w:val="00EE66E6"/>
    <w:rsid w:val="00EE7A5F"/>
    <w:rsid w:val="00EF13E6"/>
    <w:rsid w:val="00EF14C9"/>
    <w:rsid w:val="00EF2ED7"/>
    <w:rsid w:val="00EF3888"/>
    <w:rsid w:val="00EF3DC1"/>
    <w:rsid w:val="00EF502A"/>
    <w:rsid w:val="00EF5055"/>
    <w:rsid w:val="00EF5967"/>
    <w:rsid w:val="00EF5A61"/>
    <w:rsid w:val="00EF72F8"/>
    <w:rsid w:val="00EF7C44"/>
    <w:rsid w:val="00EF7CD4"/>
    <w:rsid w:val="00F01695"/>
    <w:rsid w:val="00F025AD"/>
    <w:rsid w:val="00F032A1"/>
    <w:rsid w:val="00F040C8"/>
    <w:rsid w:val="00F058C4"/>
    <w:rsid w:val="00F059D2"/>
    <w:rsid w:val="00F05BA8"/>
    <w:rsid w:val="00F073AA"/>
    <w:rsid w:val="00F0747C"/>
    <w:rsid w:val="00F07A38"/>
    <w:rsid w:val="00F07BF2"/>
    <w:rsid w:val="00F11DCA"/>
    <w:rsid w:val="00F12D1C"/>
    <w:rsid w:val="00F1593A"/>
    <w:rsid w:val="00F170C8"/>
    <w:rsid w:val="00F17823"/>
    <w:rsid w:val="00F21D4A"/>
    <w:rsid w:val="00F2303C"/>
    <w:rsid w:val="00F23074"/>
    <w:rsid w:val="00F23FDB"/>
    <w:rsid w:val="00F252C0"/>
    <w:rsid w:val="00F25C19"/>
    <w:rsid w:val="00F2607A"/>
    <w:rsid w:val="00F261AF"/>
    <w:rsid w:val="00F31F13"/>
    <w:rsid w:val="00F33C2B"/>
    <w:rsid w:val="00F3519E"/>
    <w:rsid w:val="00F35792"/>
    <w:rsid w:val="00F359B1"/>
    <w:rsid w:val="00F368EA"/>
    <w:rsid w:val="00F378C2"/>
    <w:rsid w:val="00F37BB4"/>
    <w:rsid w:val="00F40C36"/>
    <w:rsid w:val="00F418DA"/>
    <w:rsid w:val="00F42930"/>
    <w:rsid w:val="00F42B5D"/>
    <w:rsid w:val="00F42F9E"/>
    <w:rsid w:val="00F437A5"/>
    <w:rsid w:val="00F43DB2"/>
    <w:rsid w:val="00F45282"/>
    <w:rsid w:val="00F45A36"/>
    <w:rsid w:val="00F461C7"/>
    <w:rsid w:val="00F4639C"/>
    <w:rsid w:val="00F470D1"/>
    <w:rsid w:val="00F47CE2"/>
    <w:rsid w:val="00F5223F"/>
    <w:rsid w:val="00F5250B"/>
    <w:rsid w:val="00F526F5"/>
    <w:rsid w:val="00F530DB"/>
    <w:rsid w:val="00F53ED3"/>
    <w:rsid w:val="00F5403B"/>
    <w:rsid w:val="00F54D42"/>
    <w:rsid w:val="00F56183"/>
    <w:rsid w:val="00F565E0"/>
    <w:rsid w:val="00F567DC"/>
    <w:rsid w:val="00F573F8"/>
    <w:rsid w:val="00F60173"/>
    <w:rsid w:val="00F609DC"/>
    <w:rsid w:val="00F62756"/>
    <w:rsid w:val="00F632C5"/>
    <w:rsid w:val="00F63616"/>
    <w:rsid w:val="00F636D1"/>
    <w:rsid w:val="00F643FD"/>
    <w:rsid w:val="00F64404"/>
    <w:rsid w:val="00F64F3C"/>
    <w:rsid w:val="00F656C4"/>
    <w:rsid w:val="00F657B2"/>
    <w:rsid w:val="00F65EF3"/>
    <w:rsid w:val="00F66C9B"/>
    <w:rsid w:val="00F67296"/>
    <w:rsid w:val="00F67B34"/>
    <w:rsid w:val="00F67EFB"/>
    <w:rsid w:val="00F70EDA"/>
    <w:rsid w:val="00F717DA"/>
    <w:rsid w:val="00F722D4"/>
    <w:rsid w:val="00F72439"/>
    <w:rsid w:val="00F732E4"/>
    <w:rsid w:val="00F73A36"/>
    <w:rsid w:val="00F74216"/>
    <w:rsid w:val="00F74453"/>
    <w:rsid w:val="00F76095"/>
    <w:rsid w:val="00F769E0"/>
    <w:rsid w:val="00F76DFB"/>
    <w:rsid w:val="00F7745F"/>
    <w:rsid w:val="00F777C1"/>
    <w:rsid w:val="00F77DE8"/>
    <w:rsid w:val="00F80E82"/>
    <w:rsid w:val="00F81232"/>
    <w:rsid w:val="00F8142A"/>
    <w:rsid w:val="00F81CC6"/>
    <w:rsid w:val="00F81E68"/>
    <w:rsid w:val="00F83348"/>
    <w:rsid w:val="00F83CBB"/>
    <w:rsid w:val="00F83F5F"/>
    <w:rsid w:val="00F841C3"/>
    <w:rsid w:val="00F847A8"/>
    <w:rsid w:val="00F874E5"/>
    <w:rsid w:val="00F9078F"/>
    <w:rsid w:val="00F90EC9"/>
    <w:rsid w:val="00F91152"/>
    <w:rsid w:val="00F93435"/>
    <w:rsid w:val="00F95B2D"/>
    <w:rsid w:val="00F960F6"/>
    <w:rsid w:val="00F96918"/>
    <w:rsid w:val="00F9747C"/>
    <w:rsid w:val="00F979CA"/>
    <w:rsid w:val="00FA0EBD"/>
    <w:rsid w:val="00FA13ED"/>
    <w:rsid w:val="00FA1A7B"/>
    <w:rsid w:val="00FA1DD2"/>
    <w:rsid w:val="00FA1E83"/>
    <w:rsid w:val="00FA4546"/>
    <w:rsid w:val="00FA4878"/>
    <w:rsid w:val="00FA504E"/>
    <w:rsid w:val="00FA5150"/>
    <w:rsid w:val="00FA6E64"/>
    <w:rsid w:val="00FB2E1D"/>
    <w:rsid w:val="00FB365C"/>
    <w:rsid w:val="00FB4843"/>
    <w:rsid w:val="00FB5B4E"/>
    <w:rsid w:val="00FB5F3F"/>
    <w:rsid w:val="00FB6D7A"/>
    <w:rsid w:val="00FB7313"/>
    <w:rsid w:val="00FC0A85"/>
    <w:rsid w:val="00FC0F39"/>
    <w:rsid w:val="00FC1063"/>
    <w:rsid w:val="00FC1AD5"/>
    <w:rsid w:val="00FC1D6F"/>
    <w:rsid w:val="00FC2E6C"/>
    <w:rsid w:val="00FC2FA1"/>
    <w:rsid w:val="00FC2FF6"/>
    <w:rsid w:val="00FC3171"/>
    <w:rsid w:val="00FC57AE"/>
    <w:rsid w:val="00FC5D27"/>
    <w:rsid w:val="00FC5E32"/>
    <w:rsid w:val="00FC60B4"/>
    <w:rsid w:val="00FC721E"/>
    <w:rsid w:val="00FC7502"/>
    <w:rsid w:val="00FD152A"/>
    <w:rsid w:val="00FD1851"/>
    <w:rsid w:val="00FD1D35"/>
    <w:rsid w:val="00FD3615"/>
    <w:rsid w:val="00FD3F0E"/>
    <w:rsid w:val="00FD4EB6"/>
    <w:rsid w:val="00FD564D"/>
    <w:rsid w:val="00FD571E"/>
    <w:rsid w:val="00FD6AB7"/>
    <w:rsid w:val="00FD6C2B"/>
    <w:rsid w:val="00FD712F"/>
    <w:rsid w:val="00FD76B5"/>
    <w:rsid w:val="00FD7D6D"/>
    <w:rsid w:val="00FE0656"/>
    <w:rsid w:val="00FE16B3"/>
    <w:rsid w:val="00FE369E"/>
    <w:rsid w:val="00FE3EE5"/>
    <w:rsid w:val="00FE3FAE"/>
    <w:rsid w:val="00FE4404"/>
    <w:rsid w:val="00FE4C68"/>
    <w:rsid w:val="00FE5BEC"/>
    <w:rsid w:val="00FE6B74"/>
    <w:rsid w:val="00FE6BD4"/>
    <w:rsid w:val="00FE74AD"/>
    <w:rsid w:val="00FE772F"/>
    <w:rsid w:val="00FE77E0"/>
    <w:rsid w:val="00FE79FA"/>
    <w:rsid w:val="00FE7EFC"/>
    <w:rsid w:val="00FF15D2"/>
    <w:rsid w:val="00FF19D9"/>
    <w:rsid w:val="00FF33E7"/>
    <w:rsid w:val="00FF3883"/>
    <w:rsid w:val="00FF48F5"/>
    <w:rsid w:val="00FF539D"/>
    <w:rsid w:val="00FF5443"/>
    <w:rsid w:val="00FF5CF5"/>
    <w:rsid w:val="00FF6563"/>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B60705A3-33AE-48C6-9A3A-48BCBF5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elenco,Equipment,Figure_name,List Paragraph Char Char,List Paragraph1,List Paragraph11,List Paragraph2,List_TIS,Normal Sentence,Number_1,Numbered Indented Text,Ref,SGLText List Paragraph,TOC style,new,Amex_bullet,ListPar1,d_bodyb,L"/>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rsid w:val="00C9597C"/>
    <w:rPr>
      <w:rFonts w:ascii="Calibri" w:eastAsia="Calibri" w:hAnsi="Calibri"/>
      <w:b/>
      <w:bCs/>
      <w:sz w:val="20"/>
      <w:szCs w:val="20"/>
      <w:lang w:val="en-US"/>
    </w:rPr>
  </w:style>
  <w:style w:type="character" w:customStyle="1" w:styleId="BalloonTextChar1">
    <w:name w:val="Balloon Text Char1"/>
    <w:uiPriority w:val="99"/>
    <w:rsid w:val="00C9597C"/>
    <w:rPr>
      <w:rFonts w:ascii="Tahoma" w:hAnsi="Tahoma" w:cs="Tahoma"/>
      <w:sz w:val="16"/>
      <w:szCs w:val="16"/>
      <w:lang w:val="en-GB"/>
    </w:rPr>
  </w:style>
  <w:style w:type="character" w:customStyle="1" w:styleId="CommentTextChar1">
    <w:name w:val="Comment Text Char1"/>
    <w:uiPriority w:val="99"/>
    <w:rsid w:val="00C9597C"/>
    <w:rPr>
      <w:sz w:val="20"/>
      <w:szCs w:val="20"/>
      <w:lang w:val="en-GB"/>
    </w:rPr>
  </w:style>
  <w:style w:type="character" w:customStyle="1" w:styleId="CommentSubjectChar1">
    <w:name w:val="Comment Subject Char1"/>
    <w:uiPriority w:val="99"/>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elenco Char,Equipment Char,Figure_name Char,List Paragraph Char Char Char,List Paragraph1 Char,List Paragraph11 Char,List Paragraph2 Char,List_TIS Char,Normal Sentence Char,Number_1 Char,Numbered Indented Text Char,Ref Char"/>
    <w:link w:val="ListParagraph"/>
    <w:uiPriority w:val="34"/>
    <w:qFormat/>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rsid w:val="00C9597C"/>
    <w:rPr>
      <w:rFonts w:ascii="Calibri" w:eastAsia="Calibri" w:hAnsi="Calibri"/>
      <w:sz w:val="22"/>
      <w:szCs w:val="22"/>
      <w:lang w:val="en-US"/>
    </w:rPr>
  </w:style>
  <w:style w:type="numbering" w:customStyle="1" w:styleId="NoList2">
    <w:name w:val="No List2"/>
    <w:next w:val="NoList"/>
    <w:uiPriority w:val="99"/>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unhideWhenUsed/>
    <w:rsid w:val="00C9597C"/>
  </w:style>
  <w:style w:type="numbering" w:customStyle="1" w:styleId="NoList23">
    <w:name w:val="No List23"/>
    <w:next w:val="NoList"/>
    <w:uiPriority w:val="99"/>
    <w:unhideWhenUsed/>
    <w:rsid w:val="00C9597C"/>
  </w:style>
  <w:style w:type="numbering" w:customStyle="1" w:styleId="NoList33">
    <w:name w:val="No List33"/>
    <w:next w:val="NoList"/>
    <w:uiPriority w:val="99"/>
    <w:unhideWhenUsed/>
    <w:rsid w:val="00C9597C"/>
  </w:style>
  <w:style w:type="numbering" w:customStyle="1" w:styleId="NoList7">
    <w:name w:val="No List7"/>
    <w:next w:val="NoList"/>
    <w:uiPriority w:val="99"/>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unhideWhenUsed/>
    <w:rsid w:val="00C9597C"/>
  </w:style>
  <w:style w:type="numbering" w:customStyle="1" w:styleId="NoList221">
    <w:name w:val="No List221"/>
    <w:next w:val="NoList"/>
    <w:uiPriority w:val="99"/>
    <w:unhideWhenUsed/>
    <w:rsid w:val="00C9597C"/>
  </w:style>
  <w:style w:type="numbering" w:customStyle="1" w:styleId="NoList321">
    <w:name w:val="No List321"/>
    <w:next w:val="NoList"/>
    <w:uiPriority w:val="99"/>
    <w:unhideWhenUsed/>
    <w:rsid w:val="00C9597C"/>
  </w:style>
  <w:style w:type="numbering" w:customStyle="1" w:styleId="NoList61">
    <w:name w:val="No List61"/>
    <w:next w:val="NoList"/>
    <w:uiPriority w:val="99"/>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unhideWhenUsed/>
    <w:rsid w:val="00C9597C"/>
  </w:style>
  <w:style w:type="numbering" w:customStyle="1" w:styleId="NoList231">
    <w:name w:val="No List231"/>
    <w:next w:val="NoList"/>
    <w:uiPriority w:val="99"/>
    <w:unhideWhenUsed/>
    <w:rsid w:val="00C9597C"/>
  </w:style>
  <w:style w:type="numbering" w:customStyle="1" w:styleId="NoList331">
    <w:name w:val="No List331"/>
    <w:next w:val="NoList"/>
    <w:uiPriority w:val="99"/>
    <w:unhideWhenUsed/>
    <w:rsid w:val="00C9597C"/>
  </w:style>
  <w:style w:type="numbering" w:customStyle="1" w:styleId="NoList8">
    <w:name w:val="No List8"/>
    <w:next w:val="NoList"/>
    <w:uiPriority w:val="99"/>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unhideWhenUsed/>
    <w:rsid w:val="00C9597C"/>
  </w:style>
  <w:style w:type="numbering" w:customStyle="1" w:styleId="NoList222">
    <w:name w:val="No List222"/>
    <w:next w:val="NoList"/>
    <w:uiPriority w:val="99"/>
    <w:unhideWhenUsed/>
    <w:rsid w:val="00C9597C"/>
  </w:style>
  <w:style w:type="numbering" w:customStyle="1" w:styleId="NoList322">
    <w:name w:val="No List322"/>
    <w:next w:val="NoList"/>
    <w:uiPriority w:val="99"/>
    <w:unhideWhenUsed/>
    <w:rsid w:val="00C9597C"/>
  </w:style>
  <w:style w:type="numbering" w:customStyle="1" w:styleId="NoList62">
    <w:name w:val="No List62"/>
    <w:next w:val="NoList"/>
    <w:uiPriority w:val="99"/>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unhideWhenUsed/>
    <w:rsid w:val="00C9597C"/>
  </w:style>
  <w:style w:type="numbering" w:customStyle="1" w:styleId="NoList232">
    <w:name w:val="No List232"/>
    <w:next w:val="NoList"/>
    <w:uiPriority w:val="99"/>
    <w:unhideWhenUsed/>
    <w:rsid w:val="00C9597C"/>
  </w:style>
  <w:style w:type="numbering" w:customStyle="1" w:styleId="NoList332">
    <w:name w:val="No List332"/>
    <w:next w:val="NoList"/>
    <w:uiPriority w:val="99"/>
    <w:unhideWhenUsed/>
    <w:rsid w:val="00C9597C"/>
  </w:style>
  <w:style w:type="numbering" w:customStyle="1" w:styleId="NoList9">
    <w:name w:val="No List9"/>
    <w:next w:val="NoList"/>
    <w:uiPriority w:val="99"/>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unhideWhenUsed/>
    <w:rsid w:val="00C9597C"/>
  </w:style>
  <w:style w:type="numbering" w:customStyle="1" w:styleId="NoList223">
    <w:name w:val="No List223"/>
    <w:next w:val="NoList"/>
    <w:uiPriority w:val="99"/>
    <w:unhideWhenUsed/>
    <w:rsid w:val="00C9597C"/>
  </w:style>
  <w:style w:type="numbering" w:customStyle="1" w:styleId="NoList323">
    <w:name w:val="No List323"/>
    <w:next w:val="NoList"/>
    <w:uiPriority w:val="99"/>
    <w:unhideWhenUsed/>
    <w:rsid w:val="00C9597C"/>
  </w:style>
  <w:style w:type="numbering" w:customStyle="1" w:styleId="NoList63">
    <w:name w:val="No List63"/>
    <w:next w:val="NoList"/>
    <w:uiPriority w:val="99"/>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unhideWhenUsed/>
    <w:rsid w:val="00C9597C"/>
  </w:style>
  <w:style w:type="numbering" w:customStyle="1" w:styleId="NoList233">
    <w:name w:val="No List233"/>
    <w:next w:val="NoList"/>
    <w:uiPriority w:val="99"/>
    <w:unhideWhenUsed/>
    <w:rsid w:val="00C9597C"/>
  </w:style>
  <w:style w:type="numbering" w:customStyle="1" w:styleId="NoList333">
    <w:name w:val="No List333"/>
    <w:next w:val="NoList"/>
    <w:uiPriority w:val="99"/>
    <w:unhideWhenUsed/>
    <w:rsid w:val="00C9597C"/>
  </w:style>
  <w:style w:type="numbering" w:customStyle="1" w:styleId="NoList10">
    <w:name w:val="No List10"/>
    <w:next w:val="NoList"/>
    <w:uiPriority w:val="99"/>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unhideWhenUsed/>
    <w:rsid w:val="00C9597C"/>
  </w:style>
  <w:style w:type="numbering" w:customStyle="1" w:styleId="NoList224">
    <w:name w:val="No List224"/>
    <w:next w:val="NoList"/>
    <w:uiPriority w:val="99"/>
    <w:unhideWhenUsed/>
    <w:rsid w:val="00C9597C"/>
  </w:style>
  <w:style w:type="numbering" w:customStyle="1" w:styleId="NoList324">
    <w:name w:val="No List324"/>
    <w:next w:val="NoList"/>
    <w:uiPriority w:val="99"/>
    <w:unhideWhenUsed/>
    <w:rsid w:val="00C9597C"/>
  </w:style>
  <w:style w:type="numbering" w:customStyle="1" w:styleId="NoList64">
    <w:name w:val="No List64"/>
    <w:next w:val="NoList"/>
    <w:uiPriority w:val="99"/>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unhideWhenUsed/>
    <w:rsid w:val="00C9597C"/>
  </w:style>
  <w:style w:type="numbering" w:customStyle="1" w:styleId="NoList234">
    <w:name w:val="No List234"/>
    <w:next w:val="NoList"/>
    <w:uiPriority w:val="99"/>
    <w:unhideWhenUsed/>
    <w:rsid w:val="00C9597C"/>
  </w:style>
  <w:style w:type="numbering" w:customStyle="1" w:styleId="NoList334">
    <w:name w:val="No List334"/>
    <w:next w:val="NoList"/>
    <w:uiPriority w:val="99"/>
    <w:unhideWhenUsed/>
    <w:rsid w:val="00C9597C"/>
  </w:style>
  <w:style w:type="numbering" w:customStyle="1" w:styleId="NoList18">
    <w:name w:val="No List18"/>
    <w:next w:val="NoList"/>
    <w:uiPriority w:val="99"/>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unhideWhenUsed/>
    <w:rsid w:val="00C9597C"/>
  </w:style>
  <w:style w:type="numbering" w:customStyle="1" w:styleId="NoList225">
    <w:name w:val="No List225"/>
    <w:next w:val="NoList"/>
    <w:uiPriority w:val="99"/>
    <w:unhideWhenUsed/>
    <w:rsid w:val="00C9597C"/>
  </w:style>
  <w:style w:type="numbering" w:customStyle="1" w:styleId="NoList325">
    <w:name w:val="No List325"/>
    <w:next w:val="NoList"/>
    <w:uiPriority w:val="99"/>
    <w:unhideWhenUsed/>
    <w:rsid w:val="00C9597C"/>
  </w:style>
  <w:style w:type="numbering" w:customStyle="1" w:styleId="NoList65">
    <w:name w:val="No List65"/>
    <w:next w:val="NoList"/>
    <w:uiPriority w:val="99"/>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unhideWhenUsed/>
    <w:rsid w:val="00C9597C"/>
  </w:style>
  <w:style w:type="numbering" w:customStyle="1" w:styleId="NoList235">
    <w:name w:val="No List235"/>
    <w:next w:val="NoList"/>
    <w:uiPriority w:val="99"/>
    <w:unhideWhenUsed/>
    <w:rsid w:val="00C9597C"/>
  </w:style>
  <w:style w:type="numbering" w:customStyle="1" w:styleId="NoList335">
    <w:name w:val="No List335"/>
    <w:next w:val="NoList"/>
    <w:uiPriority w:val="99"/>
    <w:unhideWhenUsed/>
    <w:rsid w:val="00C9597C"/>
  </w:style>
  <w:style w:type="numbering" w:customStyle="1" w:styleId="NoList20">
    <w:name w:val="No List20"/>
    <w:next w:val="NoList"/>
    <w:uiPriority w:val="99"/>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
    <w:name w:val="No List56"/>
    <w:next w:val="NoList"/>
    <w:uiPriority w:val="99"/>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unhideWhenUsed/>
    <w:rsid w:val="00C9597C"/>
  </w:style>
  <w:style w:type="numbering" w:customStyle="1" w:styleId="NoList236">
    <w:name w:val="No List236"/>
    <w:next w:val="NoList"/>
    <w:uiPriority w:val="99"/>
    <w:unhideWhenUsed/>
    <w:rsid w:val="00C9597C"/>
  </w:style>
  <w:style w:type="numbering" w:customStyle="1" w:styleId="NoList336">
    <w:name w:val="No List336"/>
    <w:next w:val="NoList"/>
    <w:uiPriority w:val="99"/>
    <w:unhideWhenUsed/>
    <w:rsid w:val="00C9597C"/>
  </w:style>
  <w:style w:type="numbering" w:customStyle="1" w:styleId="NoList71">
    <w:name w:val="No List71"/>
    <w:next w:val="NoList"/>
    <w:uiPriority w:val="99"/>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NoList"/>
    <w:uiPriority w:val="99"/>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unhideWhenUsed/>
    <w:rsid w:val="00C9597C"/>
  </w:style>
  <w:style w:type="numbering" w:customStyle="1" w:styleId="NoList2211">
    <w:name w:val="No List2211"/>
    <w:next w:val="NoList"/>
    <w:uiPriority w:val="99"/>
    <w:unhideWhenUsed/>
    <w:rsid w:val="00C9597C"/>
  </w:style>
  <w:style w:type="numbering" w:customStyle="1" w:styleId="NoList3211">
    <w:name w:val="No List3211"/>
    <w:next w:val="NoList"/>
    <w:uiPriority w:val="99"/>
    <w:unhideWhenUsed/>
    <w:rsid w:val="00C9597C"/>
  </w:style>
  <w:style w:type="numbering" w:customStyle="1" w:styleId="NoList611">
    <w:name w:val="No List611"/>
    <w:next w:val="NoList"/>
    <w:uiPriority w:val="99"/>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unhideWhenUsed/>
    <w:rsid w:val="00C9597C"/>
  </w:style>
  <w:style w:type="numbering" w:customStyle="1" w:styleId="NoList2311">
    <w:name w:val="No List2311"/>
    <w:next w:val="NoList"/>
    <w:uiPriority w:val="99"/>
    <w:unhideWhenUsed/>
    <w:rsid w:val="00C9597C"/>
  </w:style>
  <w:style w:type="numbering" w:customStyle="1" w:styleId="NoList3311">
    <w:name w:val="No List3311"/>
    <w:next w:val="NoList"/>
    <w:uiPriority w:val="99"/>
    <w:unhideWhenUsed/>
    <w:rsid w:val="00C9597C"/>
  </w:style>
  <w:style w:type="numbering" w:customStyle="1" w:styleId="NoList81">
    <w:name w:val="No List81"/>
    <w:next w:val="NoList"/>
    <w:uiPriority w:val="99"/>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unhideWhenUsed/>
    <w:rsid w:val="00C9597C"/>
  </w:style>
  <w:style w:type="numbering" w:customStyle="1" w:styleId="NoList2221">
    <w:name w:val="No List2221"/>
    <w:next w:val="NoList"/>
    <w:uiPriority w:val="99"/>
    <w:unhideWhenUsed/>
    <w:rsid w:val="00C9597C"/>
  </w:style>
  <w:style w:type="numbering" w:customStyle="1" w:styleId="NoList3221">
    <w:name w:val="No List3221"/>
    <w:next w:val="NoList"/>
    <w:uiPriority w:val="99"/>
    <w:unhideWhenUsed/>
    <w:rsid w:val="00C9597C"/>
  </w:style>
  <w:style w:type="numbering" w:customStyle="1" w:styleId="NoList621">
    <w:name w:val="No List621"/>
    <w:next w:val="NoList"/>
    <w:uiPriority w:val="99"/>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unhideWhenUsed/>
    <w:rsid w:val="00C9597C"/>
  </w:style>
  <w:style w:type="numbering" w:customStyle="1" w:styleId="NoList2321">
    <w:name w:val="No List2321"/>
    <w:next w:val="NoList"/>
    <w:uiPriority w:val="99"/>
    <w:unhideWhenUsed/>
    <w:rsid w:val="00C9597C"/>
  </w:style>
  <w:style w:type="numbering" w:customStyle="1" w:styleId="NoList3321">
    <w:name w:val="No List3321"/>
    <w:next w:val="NoList"/>
    <w:uiPriority w:val="99"/>
    <w:unhideWhenUsed/>
    <w:rsid w:val="00C9597C"/>
  </w:style>
  <w:style w:type="numbering" w:customStyle="1" w:styleId="NoList91">
    <w:name w:val="No List91"/>
    <w:next w:val="NoList"/>
    <w:uiPriority w:val="99"/>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unhideWhenUsed/>
    <w:rsid w:val="00C9597C"/>
  </w:style>
  <w:style w:type="numbering" w:customStyle="1" w:styleId="NoList2231">
    <w:name w:val="No List2231"/>
    <w:next w:val="NoList"/>
    <w:uiPriority w:val="99"/>
    <w:unhideWhenUsed/>
    <w:rsid w:val="00C9597C"/>
  </w:style>
  <w:style w:type="numbering" w:customStyle="1" w:styleId="NoList3231">
    <w:name w:val="No List3231"/>
    <w:next w:val="NoList"/>
    <w:uiPriority w:val="99"/>
    <w:unhideWhenUsed/>
    <w:rsid w:val="00C9597C"/>
  </w:style>
  <w:style w:type="numbering" w:customStyle="1" w:styleId="NoList631">
    <w:name w:val="No List631"/>
    <w:next w:val="NoList"/>
    <w:uiPriority w:val="99"/>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unhideWhenUsed/>
    <w:rsid w:val="00C9597C"/>
  </w:style>
  <w:style w:type="numbering" w:customStyle="1" w:styleId="NoList2331">
    <w:name w:val="No List2331"/>
    <w:next w:val="NoList"/>
    <w:uiPriority w:val="99"/>
    <w:unhideWhenUsed/>
    <w:rsid w:val="00C9597C"/>
  </w:style>
  <w:style w:type="numbering" w:customStyle="1" w:styleId="NoList3331">
    <w:name w:val="No List3331"/>
    <w:next w:val="NoList"/>
    <w:uiPriority w:val="99"/>
    <w:unhideWhenUsed/>
    <w:rsid w:val="00C9597C"/>
  </w:style>
  <w:style w:type="numbering" w:customStyle="1" w:styleId="NoList101">
    <w:name w:val="No List101"/>
    <w:next w:val="NoList"/>
    <w:uiPriority w:val="99"/>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unhideWhenUsed/>
    <w:rsid w:val="00C9597C"/>
  </w:style>
  <w:style w:type="numbering" w:customStyle="1" w:styleId="NoList2241">
    <w:name w:val="No List2241"/>
    <w:next w:val="NoList"/>
    <w:uiPriority w:val="99"/>
    <w:unhideWhenUsed/>
    <w:rsid w:val="00C9597C"/>
  </w:style>
  <w:style w:type="numbering" w:customStyle="1" w:styleId="NoList3241">
    <w:name w:val="No List3241"/>
    <w:next w:val="NoList"/>
    <w:uiPriority w:val="99"/>
    <w:unhideWhenUsed/>
    <w:rsid w:val="00C9597C"/>
  </w:style>
  <w:style w:type="numbering" w:customStyle="1" w:styleId="NoList641">
    <w:name w:val="No List641"/>
    <w:next w:val="NoList"/>
    <w:uiPriority w:val="99"/>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unhideWhenUsed/>
    <w:rsid w:val="00C9597C"/>
  </w:style>
  <w:style w:type="numbering" w:customStyle="1" w:styleId="NoList2341">
    <w:name w:val="No List2341"/>
    <w:next w:val="NoList"/>
    <w:uiPriority w:val="99"/>
    <w:unhideWhenUsed/>
    <w:rsid w:val="00C9597C"/>
  </w:style>
  <w:style w:type="numbering" w:customStyle="1" w:styleId="NoList3341">
    <w:name w:val="No List3341"/>
    <w:next w:val="NoList"/>
    <w:uiPriority w:val="99"/>
    <w:unhideWhenUsed/>
    <w:rsid w:val="00C9597C"/>
  </w:style>
  <w:style w:type="numbering" w:customStyle="1" w:styleId="NoList181">
    <w:name w:val="No List181"/>
    <w:next w:val="NoList"/>
    <w:uiPriority w:val="99"/>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unhideWhenUsed/>
    <w:rsid w:val="00C9597C"/>
  </w:style>
  <w:style w:type="numbering" w:customStyle="1" w:styleId="NoList2251">
    <w:name w:val="No List2251"/>
    <w:next w:val="NoList"/>
    <w:uiPriority w:val="99"/>
    <w:unhideWhenUsed/>
    <w:rsid w:val="00C9597C"/>
  </w:style>
  <w:style w:type="numbering" w:customStyle="1" w:styleId="NoList3251">
    <w:name w:val="No List3251"/>
    <w:next w:val="NoList"/>
    <w:uiPriority w:val="99"/>
    <w:unhideWhenUsed/>
    <w:rsid w:val="00C9597C"/>
  </w:style>
  <w:style w:type="numbering" w:customStyle="1" w:styleId="NoList651">
    <w:name w:val="No List651"/>
    <w:next w:val="NoList"/>
    <w:uiPriority w:val="99"/>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unhideWhenUsed/>
    <w:rsid w:val="00C9597C"/>
  </w:style>
  <w:style w:type="numbering" w:customStyle="1" w:styleId="NoList2351">
    <w:name w:val="No List2351"/>
    <w:next w:val="NoList"/>
    <w:uiPriority w:val="99"/>
    <w:unhideWhenUsed/>
    <w:rsid w:val="00C9597C"/>
  </w:style>
  <w:style w:type="numbering" w:customStyle="1" w:styleId="NoList3351">
    <w:name w:val="No List3351"/>
    <w:next w:val="NoList"/>
    <w:uiPriority w:val="99"/>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unhideWhenUsed/>
    <w:rsid w:val="00C64FC7"/>
  </w:style>
  <w:style w:type="numbering" w:customStyle="1" w:styleId="NoList237">
    <w:name w:val="No List237"/>
    <w:next w:val="NoList"/>
    <w:uiPriority w:val="99"/>
    <w:unhideWhenUsed/>
    <w:rsid w:val="00C64FC7"/>
  </w:style>
  <w:style w:type="numbering" w:customStyle="1" w:styleId="NoList337">
    <w:name w:val="No List337"/>
    <w:next w:val="NoList"/>
    <w:uiPriority w:val="99"/>
    <w:unhideWhenUsed/>
    <w:rsid w:val="00C64FC7"/>
  </w:style>
  <w:style w:type="numbering" w:customStyle="1" w:styleId="NoList72">
    <w:name w:val="No List72"/>
    <w:next w:val="NoList"/>
    <w:uiPriority w:val="99"/>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unhideWhenUsed/>
    <w:rsid w:val="00C64FC7"/>
  </w:style>
  <w:style w:type="numbering" w:customStyle="1" w:styleId="NoList2212">
    <w:name w:val="No List2212"/>
    <w:next w:val="NoList"/>
    <w:uiPriority w:val="99"/>
    <w:unhideWhenUsed/>
    <w:rsid w:val="00C64FC7"/>
  </w:style>
  <w:style w:type="numbering" w:customStyle="1" w:styleId="NoList3212">
    <w:name w:val="No List3212"/>
    <w:next w:val="NoList"/>
    <w:uiPriority w:val="99"/>
    <w:unhideWhenUsed/>
    <w:rsid w:val="00C64FC7"/>
  </w:style>
  <w:style w:type="numbering" w:customStyle="1" w:styleId="NoList612">
    <w:name w:val="No List612"/>
    <w:next w:val="NoList"/>
    <w:uiPriority w:val="99"/>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unhideWhenUsed/>
    <w:rsid w:val="00C64FC7"/>
  </w:style>
  <w:style w:type="numbering" w:customStyle="1" w:styleId="NoList2312">
    <w:name w:val="No List2312"/>
    <w:next w:val="NoList"/>
    <w:uiPriority w:val="99"/>
    <w:unhideWhenUsed/>
    <w:rsid w:val="00C64FC7"/>
  </w:style>
  <w:style w:type="numbering" w:customStyle="1" w:styleId="NoList3312">
    <w:name w:val="No List3312"/>
    <w:next w:val="NoList"/>
    <w:uiPriority w:val="99"/>
    <w:unhideWhenUsed/>
    <w:rsid w:val="00C64FC7"/>
  </w:style>
  <w:style w:type="numbering" w:customStyle="1" w:styleId="NoList82">
    <w:name w:val="No List82"/>
    <w:next w:val="NoList"/>
    <w:uiPriority w:val="99"/>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unhideWhenUsed/>
    <w:rsid w:val="00C64FC7"/>
  </w:style>
  <w:style w:type="numbering" w:customStyle="1" w:styleId="NoList2222">
    <w:name w:val="No List2222"/>
    <w:next w:val="NoList"/>
    <w:uiPriority w:val="99"/>
    <w:unhideWhenUsed/>
    <w:rsid w:val="00C64FC7"/>
  </w:style>
  <w:style w:type="numbering" w:customStyle="1" w:styleId="NoList3222">
    <w:name w:val="No List3222"/>
    <w:next w:val="NoList"/>
    <w:uiPriority w:val="99"/>
    <w:unhideWhenUsed/>
    <w:rsid w:val="00C64FC7"/>
  </w:style>
  <w:style w:type="numbering" w:customStyle="1" w:styleId="NoList622">
    <w:name w:val="No List622"/>
    <w:next w:val="NoList"/>
    <w:uiPriority w:val="99"/>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unhideWhenUsed/>
    <w:rsid w:val="00C64FC7"/>
  </w:style>
  <w:style w:type="numbering" w:customStyle="1" w:styleId="NoList2322">
    <w:name w:val="No List2322"/>
    <w:next w:val="NoList"/>
    <w:uiPriority w:val="99"/>
    <w:unhideWhenUsed/>
    <w:rsid w:val="00C64FC7"/>
  </w:style>
  <w:style w:type="numbering" w:customStyle="1" w:styleId="NoList3322">
    <w:name w:val="No List3322"/>
    <w:next w:val="NoList"/>
    <w:uiPriority w:val="99"/>
    <w:unhideWhenUsed/>
    <w:rsid w:val="00C64FC7"/>
  </w:style>
  <w:style w:type="numbering" w:customStyle="1" w:styleId="NoList92">
    <w:name w:val="No List92"/>
    <w:next w:val="NoList"/>
    <w:uiPriority w:val="99"/>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unhideWhenUsed/>
    <w:rsid w:val="00C64FC7"/>
  </w:style>
  <w:style w:type="numbering" w:customStyle="1" w:styleId="NoList2232">
    <w:name w:val="No List2232"/>
    <w:next w:val="NoList"/>
    <w:uiPriority w:val="99"/>
    <w:unhideWhenUsed/>
    <w:rsid w:val="00C64FC7"/>
  </w:style>
  <w:style w:type="numbering" w:customStyle="1" w:styleId="NoList3232">
    <w:name w:val="No List3232"/>
    <w:next w:val="NoList"/>
    <w:uiPriority w:val="99"/>
    <w:unhideWhenUsed/>
    <w:rsid w:val="00C64FC7"/>
  </w:style>
  <w:style w:type="numbering" w:customStyle="1" w:styleId="NoList632">
    <w:name w:val="No List632"/>
    <w:next w:val="NoList"/>
    <w:uiPriority w:val="99"/>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unhideWhenUsed/>
    <w:rsid w:val="00C64FC7"/>
  </w:style>
  <w:style w:type="numbering" w:customStyle="1" w:styleId="NoList2332">
    <w:name w:val="No List2332"/>
    <w:next w:val="NoList"/>
    <w:uiPriority w:val="99"/>
    <w:unhideWhenUsed/>
    <w:rsid w:val="00C64FC7"/>
  </w:style>
  <w:style w:type="numbering" w:customStyle="1" w:styleId="NoList3332">
    <w:name w:val="No List3332"/>
    <w:next w:val="NoList"/>
    <w:uiPriority w:val="99"/>
    <w:unhideWhenUsed/>
    <w:rsid w:val="00C64FC7"/>
  </w:style>
  <w:style w:type="numbering" w:customStyle="1" w:styleId="NoList102">
    <w:name w:val="No List102"/>
    <w:next w:val="NoList"/>
    <w:uiPriority w:val="99"/>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unhideWhenUsed/>
    <w:rsid w:val="00C64FC7"/>
  </w:style>
  <w:style w:type="numbering" w:customStyle="1" w:styleId="NoList2242">
    <w:name w:val="No List2242"/>
    <w:next w:val="NoList"/>
    <w:uiPriority w:val="99"/>
    <w:unhideWhenUsed/>
    <w:rsid w:val="00C64FC7"/>
  </w:style>
  <w:style w:type="numbering" w:customStyle="1" w:styleId="NoList3242">
    <w:name w:val="No List3242"/>
    <w:next w:val="NoList"/>
    <w:uiPriority w:val="99"/>
    <w:unhideWhenUsed/>
    <w:rsid w:val="00C64FC7"/>
  </w:style>
  <w:style w:type="numbering" w:customStyle="1" w:styleId="NoList642">
    <w:name w:val="No List642"/>
    <w:next w:val="NoList"/>
    <w:uiPriority w:val="99"/>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unhideWhenUsed/>
    <w:rsid w:val="00C64FC7"/>
  </w:style>
  <w:style w:type="numbering" w:customStyle="1" w:styleId="NoList2342">
    <w:name w:val="No List2342"/>
    <w:next w:val="NoList"/>
    <w:uiPriority w:val="99"/>
    <w:unhideWhenUsed/>
    <w:rsid w:val="00C64FC7"/>
  </w:style>
  <w:style w:type="numbering" w:customStyle="1" w:styleId="NoList3342">
    <w:name w:val="No List3342"/>
    <w:next w:val="NoList"/>
    <w:uiPriority w:val="99"/>
    <w:unhideWhenUsed/>
    <w:rsid w:val="00C64FC7"/>
  </w:style>
  <w:style w:type="numbering" w:customStyle="1" w:styleId="NoList182">
    <w:name w:val="No List182"/>
    <w:next w:val="NoList"/>
    <w:uiPriority w:val="99"/>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unhideWhenUsed/>
    <w:rsid w:val="00C64FC7"/>
  </w:style>
  <w:style w:type="numbering" w:customStyle="1" w:styleId="NoList2252">
    <w:name w:val="No List2252"/>
    <w:next w:val="NoList"/>
    <w:uiPriority w:val="99"/>
    <w:unhideWhenUsed/>
    <w:rsid w:val="00C64FC7"/>
  </w:style>
  <w:style w:type="numbering" w:customStyle="1" w:styleId="NoList3252">
    <w:name w:val="No List3252"/>
    <w:next w:val="NoList"/>
    <w:uiPriority w:val="99"/>
    <w:unhideWhenUsed/>
    <w:rsid w:val="00C64FC7"/>
  </w:style>
  <w:style w:type="numbering" w:customStyle="1" w:styleId="NoList652">
    <w:name w:val="No List652"/>
    <w:next w:val="NoList"/>
    <w:uiPriority w:val="99"/>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unhideWhenUsed/>
    <w:rsid w:val="00C64FC7"/>
  </w:style>
  <w:style w:type="numbering" w:customStyle="1" w:styleId="NoList2352">
    <w:name w:val="No List2352"/>
    <w:next w:val="NoList"/>
    <w:uiPriority w:val="99"/>
    <w:unhideWhenUsed/>
    <w:rsid w:val="00C64FC7"/>
  </w:style>
  <w:style w:type="numbering" w:customStyle="1" w:styleId="NoList3352">
    <w:name w:val="No List3352"/>
    <w:next w:val="NoList"/>
    <w:uiPriority w:val="99"/>
    <w:unhideWhenUsed/>
    <w:rsid w:val="00C64FC7"/>
  </w:style>
  <w:style w:type="numbering" w:customStyle="1" w:styleId="NoList201">
    <w:name w:val="No List201"/>
    <w:next w:val="NoList"/>
    <w:uiPriority w:val="99"/>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1">
    <w:name w:val="No List561"/>
    <w:next w:val="NoList"/>
    <w:uiPriority w:val="99"/>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unhideWhenUsed/>
    <w:rsid w:val="00C64FC7"/>
  </w:style>
  <w:style w:type="numbering" w:customStyle="1" w:styleId="NoList2361">
    <w:name w:val="No List2361"/>
    <w:next w:val="NoList"/>
    <w:uiPriority w:val="99"/>
    <w:unhideWhenUsed/>
    <w:rsid w:val="00C64FC7"/>
  </w:style>
  <w:style w:type="numbering" w:customStyle="1" w:styleId="NoList3361">
    <w:name w:val="No List3361"/>
    <w:next w:val="NoList"/>
    <w:uiPriority w:val="99"/>
    <w:unhideWhenUsed/>
    <w:rsid w:val="00C64FC7"/>
  </w:style>
  <w:style w:type="numbering" w:customStyle="1" w:styleId="NoList711">
    <w:name w:val="No List711"/>
    <w:next w:val="NoList"/>
    <w:uiPriority w:val="99"/>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
    <w:name w:val="No List4111"/>
    <w:next w:val="NoList"/>
    <w:uiPriority w:val="99"/>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1">
    <w:name w:val="No List5111"/>
    <w:next w:val="NoList"/>
    <w:uiPriority w:val="99"/>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unhideWhenUsed/>
    <w:rsid w:val="00C64FC7"/>
  </w:style>
  <w:style w:type="numbering" w:customStyle="1" w:styleId="NoList22111">
    <w:name w:val="No List22111"/>
    <w:next w:val="NoList"/>
    <w:uiPriority w:val="99"/>
    <w:unhideWhenUsed/>
    <w:rsid w:val="00C64FC7"/>
  </w:style>
  <w:style w:type="numbering" w:customStyle="1" w:styleId="NoList32111">
    <w:name w:val="No List32111"/>
    <w:next w:val="NoList"/>
    <w:uiPriority w:val="99"/>
    <w:unhideWhenUsed/>
    <w:rsid w:val="00C64FC7"/>
  </w:style>
  <w:style w:type="numbering" w:customStyle="1" w:styleId="NoList6111">
    <w:name w:val="No List6111"/>
    <w:next w:val="NoList"/>
    <w:uiPriority w:val="99"/>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unhideWhenUsed/>
    <w:rsid w:val="00C64FC7"/>
  </w:style>
  <w:style w:type="numbering" w:customStyle="1" w:styleId="NoList23111">
    <w:name w:val="No List23111"/>
    <w:next w:val="NoList"/>
    <w:uiPriority w:val="99"/>
    <w:unhideWhenUsed/>
    <w:rsid w:val="00C64FC7"/>
  </w:style>
  <w:style w:type="numbering" w:customStyle="1" w:styleId="NoList33111">
    <w:name w:val="No List33111"/>
    <w:next w:val="NoList"/>
    <w:uiPriority w:val="99"/>
    <w:unhideWhenUsed/>
    <w:rsid w:val="00C64FC7"/>
  </w:style>
  <w:style w:type="numbering" w:customStyle="1" w:styleId="NoList811">
    <w:name w:val="No List811"/>
    <w:next w:val="NoList"/>
    <w:uiPriority w:val="99"/>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unhideWhenUsed/>
    <w:rsid w:val="00C64FC7"/>
  </w:style>
  <w:style w:type="numbering" w:customStyle="1" w:styleId="NoList22211">
    <w:name w:val="No List22211"/>
    <w:next w:val="NoList"/>
    <w:uiPriority w:val="99"/>
    <w:unhideWhenUsed/>
    <w:rsid w:val="00C64FC7"/>
  </w:style>
  <w:style w:type="numbering" w:customStyle="1" w:styleId="NoList32211">
    <w:name w:val="No List32211"/>
    <w:next w:val="NoList"/>
    <w:uiPriority w:val="99"/>
    <w:unhideWhenUsed/>
    <w:rsid w:val="00C64FC7"/>
  </w:style>
  <w:style w:type="numbering" w:customStyle="1" w:styleId="NoList6211">
    <w:name w:val="No List6211"/>
    <w:next w:val="NoList"/>
    <w:uiPriority w:val="99"/>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unhideWhenUsed/>
    <w:rsid w:val="00C64FC7"/>
  </w:style>
  <w:style w:type="numbering" w:customStyle="1" w:styleId="NoList23211">
    <w:name w:val="No List23211"/>
    <w:next w:val="NoList"/>
    <w:uiPriority w:val="99"/>
    <w:unhideWhenUsed/>
    <w:rsid w:val="00C64FC7"/>
  </w:style>
  <w:style w:type="numbering" w:customStyle="1" w:styleId="NoList33211">
    <w:name w:val="No List33211"/>
    <w:next w:val="NoList"/>
    <w:uiPriority w:val="99"/>
    <w:unhideWhenUsed/>
    <w:rsid w:val="00C64FC7"/>
  </w:style>
  <w:style w:type="numbering" w:customStyle="1" w:styleId="NoList911">
    <w:name w:val="No List911"/>
    <w:next w:val="NoList"/>
    <w:uiPriority w:val="99"/>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unhideWhenUsed/>
    <w:rsid w:val="00C64FC7"/>
  </w:style>
  <w:style w:type="numbering" w:customStyle="1" w:styleId="NoList22311">
    <w:name w:val="No List22311"/>
    <w:next w:val="NoList"/>
    <w:uiPriority w:val="99"/>
    <w:unhideWhenUsed/>
    <w:rsid w:val="00C64FC7"/>
  </w:style>
  <w:style w:type="numbering" w:customStyle="1" w:styleId="NoList32311">
    <w:name w:val="No List32311"/>
    <w:next w:val="NoList"/>
    <w:uiPriority w:val="99"/>
    <w:unhideWhenUsed/>
    <w:rsid w:val="00C64FC7"/>
  </w:style>
  <w:style w:type="numbering" w:customStyle="1" w:styleId="NoList6311">
    <w:name w:val="No List6311"/>
    <w:next w:val="NoList"/>
    <w:uiPriority w:val="99"/>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unhideWhenUsed/>
    <w:rsid w:val="00C64FC7"/>
  </w:style>
  <w:style w:type="numbering" w:customStyle="1" w:styleId="NoList23311">
    <w:name w:val="No List23311"/>
    <w:next w:val="NoList"/>
    <w:uiPriority w:val="99"/>
    <w:unhideWhenUsed/>
    <w:rsid w:val="00C64FC7"/>
  </w:style>
  <w:style w:type="numbering" w:customStyle="1" w:styleId="NoList33311">
    <w:name w:val="No List33311"/>
    <w:next w:val="NoList"/>
    <w:uiPriority w:val="99"/>
    <w:unhideWhenUsed/>
    <w:rsid w:val="00C64FC7"/>
  </w:style>
  <w:style w:type="numbering" w:customStyle="1" w:styleId="NoList1011">
    <w:name w:val="No List1011"/>
    <w:next w:val="NoList"/>
    <w:uiPriority w:val="99"/>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1">
    <w:name w:val="No List4411"/>
    <w:next w:val="NoList"/>
    <w:uiPriority w:val="99"/>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1">
    <w:name w:val="No List5411"/>
    <w:next w:val="NoList"/>
    <w:uiPriority w:val="99"/>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unhideWhenUsed/>
    <w:rsid w:val="00C64FC7"/>
  </w:style>
  <w:style w:type="numbering" w:customStyle="1" w:styleId="NoList22411">
    <w:name w:val="No List22411"/>
    <w:next w:val="NoList"/>
    <w:uiPriority w:val="99"/>
    <w:unhideWhenUsed/>
    <w:rsid w:val="00C64FC7"/>
  </w:style>
  <w:style w:type="numbering" w:customStyle="1" w:styleId="NoList32411">
    <w:name w:val="No List32411"/>
    <w:next w:val="NoList"/>
    <w:uiPriority w:val="99"/>
    <w:unhideWhenUsed/>
    <w:rsid w:val="00C64FC7"/>
  </w:style>
  <w:style w:type="numbering" w:customStyle="1" w:styleId="NoList6411">
    <w:name w:val="No List6411"/>
    <w:next w:val="NoList"/>
    <w:uiPriority w:val="99"/>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unhideWhenUsed/>
    <w:rsid w:val="00C64FC7"/>
  </w:style>
  <w:style w:type="numbering" w:customStyle="1" w:styleId="NoList23411">
    <w:name w:val="No List23411"/>
    <w:next w:val="NoList"/>
    <w:uiPriority w:val="99"/>
    <w:unhideWhenUsed/>
    <w:rsid w:val="00C64FC7"/>
  </w:style>
  <w:style w:type="numbering" w:customStyle="1" w:styleId="NoList33411">
    <w:name w:val="No List33411"/>
    <w:next w:val="NoList"/>
    <w:uiPriority w:val="99"/>
    <w:unhideWhenUsed/>
    <w:rsid w:val="00C64FC7"/>
  </w:style>
  <w:style w:type="numbering" w:customStyle="1" w:styleId="NoList1811">
    <w:name w:val="No List1811"/>
    <w:next w:val="NoList"/>
    <w:uiPriority w:val="99"/>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1">
    <w:name w:val="No List4511"/>
    <w:next w:val="NoList"/>
    <w:uiPriority w:val="99"/>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1">
    <w:name w:val="No List5511"/>
    <w:next w:val="NoList"/>
    <w:uiPriority w:val="99"/>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unhideWhenUsed/>
    <w:rsid w:val="00C64FC7"/>
  </w:style>
  <w:style w:type="numbering" w:customStyle="1" w:styleId="NoList22511">
    <w:name w:val="No List22511"/>
    <w:next w:val="NoList"/>
    <w:uiPriority w:val="99"/>
    <w:unhideWhenUsed/>
    <w:rsid w:val="00C64FC7"/>
  </w:style>
  <w:style w:type="numbering" w:customStyle="1" w:styleId="NoList32511">
    <w:name w:val="No List32511"/>
    <w:next w:val="NoList"/>
    <w:uiPriority w:val="99"/>
    <w:unhideWhenUsed/>
    <w:rsid w:val="00C64FC7"/>
  </w:style>
  <w:style w:type="numbering" w:customStyle="1" w:styleId="NoList6511">
    <w:name w:val="No List6511"/>
    <w:next w:val="NoList"/>
    <w:uiPriority w:val="99"/>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unhideWhenUsed/>
    <w:rsid w:val="00C64FC7"/>
  </w:style>
  <w:style w:type="numbering" w:customStyle="1" w:styleId="NoList23511">
    <w:name w:val="No List23511"/>
    <w:next w:val="NoList"/>
    <w:uiPriority w:val="99"/>
    <w:unhideWhenUsed/>
    <w:rsid w:val="00C64FC7"/>
  </w:style>
  <w:style w:type="numbering" w:customStyle="1" w:styleId="NoList33511">
    <w:name w:val="No List33511"/>
    <w:next w:val="NoList"/>
    <w:uiPriority w:val="99"/>
    <w:unhideWhenUsed/>
    <w:rsid w:val="00C64FC7"/>
  </w:style>
  <w:style w:type="numbering" w:customStyle="1" w:styleId="NoList40">
    <w:name w:val="No List40"/>
    <w:next w:val="NoList"/>
    <w:uiPriority w:val="99"/>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unhideWhenUsed/>
    <w:rsid w:val="00C64FC7"/>
  </w:style>
  <w:style w:type="numbering" w:customStyle="1" w:styleId="NoList238">
    <w:name w:val="No List238"/>
    <w:next w:val="NoList"/>
    <w:uiPriority w:val="99"/>
    <w:unhideWhenUsed/>
    <w:rsid w:val="00C64FC7"/>
  </w:style>
  <w:style w:type="numbering" w:customStyle="1" w:styleId="NoList338">
    <w:name w:val="No List338"/>
    <w:next w:val="NoList"/>
    <w:uiPriority w:val="99"/>
    <w:unhideWhenUsed/>
    <w:rsid w:val="00C64FC7"/>
  </w:style>
  <w:style w:type="numbering" w:customStyle="1" w:styleId="NoList73">
    <w:name w:val="No List73"/>
    <w:next w:val="NoList"/>
    <w:uiPriority w:val="99"/>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unhideWhenUsed/>
    <w:rsid w:val="00C64FC7"/>
  </w:style>
  <w:style w:type="numbering" w:customStyle="1" w:styleId="NoList2213">
    <w:name w:val="No List2213"/>
    <w:next w:val="NoList"/>
    <w:uiPriority w:val="99"/>
    <w:unhideWhenUsed/>
    <w:rsid w:val="00C64FC7"/>
  </w:style>
  <w:style w:type="numbering" w:customStyle="1" w:styleId="NoList3213">
    <w:name w:val="No List3213"/>
    <w:next w:val="NoList"/>
    <w:uiPriority w:val="99"/>
    <w:unhideWhenUsed/>
    <w:rsid w:val="00C64FC7"/>
  </w:style>
  <w:style w:type="numbering" w:customStyle="1" w:styleId="NoList613">
    <w:name w:val="No List613"/>
    <w:next w:val="NoList"/>
    <w:uiPriority w:val="99"/>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unhideWhenUsed/>
    <w:rsid w:val="00C64FC7"/>
  </w:style>
  <w:style w:type="numbering" w:customStyle="1" w:styleId="NoList2313">
    <w:name w:val="No List2313"/>
    <w:next w:val="NoList"/>
    <w:uiPriority w:val="99"/>
    <w:unhideWhenUsed/>
    <w:rsid w:val="00C64FC7"/>
  </w:style>
  <w:style w:type="numbering" w:customStyle="1" w:styleId="NoList3313">
    <w:name w:val="No List3313"/>
    <w:next w:val="NoList"/>
    <w:uiPriority w:val="99"/>
    <w:unhideWhenUsed/>
    <w:rsid w:val="00C64FC7"/>
  </w:style>
  <w:style w:type="numbering" w:customStyle="1" w:styleId="NoList83">
    <w:name w:val="No List83"/>
    <w:next w:val="NoList"/>
    <w:uiPriority w:val="99"/>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unhideWhenUsed/>
    <w:rsid w:val="00C64FC7"/>
  </w:style>
  <w:style w:type="numbering" w:customStyle="1" w:styleId="NoList2223">
    <w:name w:val="No List2223"/>
    <w:next w:val="NoList"/>
    <w:uiPriority w:val="99"/>
    <w:unhideWhenUsed/>
    <w:rsid w:val="00C64FC7"/>
  </w:style>
  <w:style w:type="numbering" w:customStyle="1" w:styleId="NoList3223">
    <w:name w:val="No List3223"/>
    <w:next w:val="NoList"/>
    <w:uiPriority w:val="99"/>
    <w:unhideWhenUsed/>
    <w:rsid w:val="00C64FC7"/>
  </w:style>
  <w:style w:type="numbering" w:customStyle="1" w:styleId="NoList623">
    <w:name w:val="No List623"/>
    <w:next w:val="NoList"/>
    <w:uiPriority w:val="99"/>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unhideWhenUsed/>
    <w:rsid w:val="00C64FC7"/>
  </w:style>
  <w:style w:type="numbering" w:customStyle="1" w:styleId="NoList2323">
    <w:name w:val="No List2323"/>
    <w:next w:val="NoList"/>
    <w:uiPriority w:val="99"/>
    <w:unhideWhenUsed/>
    <w:rsid w:val="00C64FC7"/>
  </w:style>
  <w:style w:type="numbering" w:customStyle="1" w:styleId="NoList3323">
    <w:name w:val="No List3323"/>
    <w:next w:val="NoList"/>
    <w:uiPriority w:val="99"/>
    <w:unhideWhenUsed/>
    <w:rsid w:val="00C64FC7"/>
  </w:style>
  <w:style w:type="numbering" w:customStyle="1" w:styleId="NoList93">
    <w:name w:val="No List93"/>
    <w:next w:val="NoList"/>
    <w:uiPriority w:val="99"/>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unhideWhenUsed/>
    <w:rsid w:val="00C64FC7"/>
  </w:style>
  <w:style w:type="numbering" w:customStyle="1" w:styleId="NoList2233">
    <w:name w:val="No List2233"/>
    <w:next w:val="NoList"/>
    <w:uiPriority w:val="99"/>
    <w:unhideWhenUsed/>
    <w:rsid w:val="00C64FC7"/>
  </w:style>
  <w:style w:type="numbering" w:customStyle="1" w:styleId="NoList3233">
    <w:name w:val="No List3233"/>
    <w:next w:val="NoList"/>
    <w:uiPriority w:val="99"/>
    <w:unhideWhenUsed/>
    <w:rsid w:val="00C64FC7"/>
  </w:style>
  <w:style w:type="numbering" w:customStyle="1" w:styleId="NoList633">
    <w:name w:val="No List633"/>
    <w:next w:val="NoList"/>
    <w:uiPriority w:val="99"/>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unhideWhenUsed/>
    <w:rsid w:val="00C64FC7"/>
  </w:style>
  <w:style w:type="numbering" w:customStyle="1" w:styleId="NoList2333">
    <w:name w:val="No List2333"/>
    <w:next w:val="NoList"/>
    <w:uiPriority w:val="99"/>
    <w:unhideWhenUsed/>
    <w:rsid w:val="00C64FC7"/>
  </w:style>
  <w:style w:type="numbering" w:customStyle="1" w:styleId="NoList3333">
    <w:name w:val="No List3333"/>
    <w:next w:val="NoList"/>
    <w:uiPriority w:val="99"/>
    <w:unhideWhenUsed/>
    <w:rsid w:val="00C64FC7"/>
  </w:style>
  <w:style w:type="numbering" w:customStyle="1" w:styleId="NoList103">
    <w:name w:val="No List103"/>
    <w:next w:val="NoList"/>
    <w:uiPriority w:val="99"/>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unhideWhenUsed/>
    <w:rsid w:val="00C64FC7"/>
  </w:style>
  <w:style w:type="numbering" w:customStyle="1" w:styleId="NoList2243">
    <w:name w:val="No List2243"/>
    <w:next w:val="NoList"/>
    <w:uiPriority w:val="99"/>
    <w:unhideWhenUsed/>
    <w:rsid w:val="00C64FC7"/>
  </w:style>
  <w:style w:type="numbering" w:customStyle="1" w:styleId="NoList3243">
    <w:name w:val="No List3243"/>
    <w:next w:val="NoList"/>
    <w:uiPriority w:val="99"/>
    <w:unhideWhenUsed/>
    <w:rsid w:val="00C64FC7"/>
  </w:style>
  <w:style w:type="numbering" w:customStyle="1" w:styleId="NoList643">
    <w:name w:val="No List643"/>
    <w:next w:val="NoList"/>
    <w:uiPriority w:val="99"/>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unhideWhenUsed/>
    <w:rsid w:val="00C64FC7"/>
  </w:style>
  <w:style w:type="numbering" w:customStyle="1" w:styleId="NoList2343">
    <w:name w:val="No List2343"/>
    <w:next w:val="NoList"/>
    <w:uiPriority w:val="99"/>
    <w:unhideWhenUsed/>
    <w:rsid w:val="00C64FC7"/>
  </w:style>
  <w:style w:type="numbering" w:customStyle="1" w:styleId="NoList3343">
    <w:name w:val="No List3343"/>
    <w:next w:val="NoList"/>
    <w:uiPriority w:val="99"/>
    <w:unhideWhenUsed/>
    <w:rsid w:val="00C64FC7"/>
  </w:style>
  <w:style w:type="numbering" w:customStyle="1" w:styleId="NoList183">
    <w:name w:val="No List183"/>
    <w:next w:val="NoList"/>
    <w:uiPriority w:val="99"/>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3">
    <w:name w:val="No List453"/>
    <w:next w:val="NoList"/>
    <w:uiPriority w:val="99"/>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3">
    <w:name w:val="No List553"/>
    <w:next w:val="NoList"/>
    <w:uiPriority w:val="99"/>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unhideWhenUsed/>
    <w:rsid w:val="00C64FC7"/>
  </w:style>
  <w:style w:type="numbering" w:customStyle="1" w:styleId="NoList2253">
    <w:name w:val="No List2253"/>
    <w:next w:val="NoList"/>
    <w:uiPriority w:val="99"/>
    <w:unhideWhenUsed/>
    <w:rsid w:val="00C64FC7"/>
  </w:style>
  <w:style w:type="numbering" w:customStyle="1" w:styleId="NoList3253">
    <w:name w:val="No List3253"/>
    <w:next w:val="NoList"/>
    <w:uiPriority w:val="99"/>
    <w:unhideWhenUsed/>
    <w:rsid w:val="00C64FC7"/>
  </w:style>
  <w:style w:type="numbering" w:customStyle="1" w:styleId="NoList653">
    <w:name w:val="No List653"/>
    <w:next w:val="NoList"/>
    <w:uiPriority w:val="99"/>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unhideWhenUsed/>
    <w:rsid w:val="00C64FC7"/>
  </w:style>
  <w:style w:type="numbering" w:customStyle="1" w:styleId="NoList2353">
    <w:name w:val="No List2353"/>
    <w:next w:val="NoList"/>
    <w:uiPriority w:val="99"/>
    <w:unhideWhenUsed/>
    <w:rsid w:val="00C64FC7"/>
  </w:style>
  <w:style w:type="numbering" w:customStyle="1" w:styleId="NoList3353">
    <w:name w:val="No List3353"/>
    <w:next w:val="NoList"/>
    <w:uiPriority w:val="99"/>
    <w:unhideWhenUsed/>
    <w:rsid w:val="00C64FC7"/>
  </w:style>
  <w:style w:type="numbering" w:customStyle="1" w:styleId="NoList202">
    <w:name w:val="No List202"/>
    <w:next w:val="NoList"/>
    <w:uiPriority w:val="99"/>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2">
    <w:name w:val="No List562"/>
    <w:next w:val="NoList"/>
    <w:uiPriority w:val="99"/>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unhideWhenUsed/>
    <w:rsid w:val="00C64FC7"/>
  </w:style>
  <w:style w:type="numbering" w:customStyle="1" w:styleId="NoList2362">
    <w:name w:val="No List2362"/>
    <w:next w:val="NoList"/>
    <w:uiPriority w:val="99"/>
    <w:unhideWhenUsed/>
    <w:rsid w:val="00C64FC7"/>
  </w:style>
  <w:style w:type="numbering" w:customStyle="1" w:styleId="NoList3362">
    <w:name w:val="No List3362"/>
    <w:next w:val="NoList"/>
    <w:uiPriority w:val="99"/>
    <w:unhideWhenUsed/>
    <w:rsid w:val="00C64FC7"/>
  </w:style>
  <w:style w:type="numbering" w:customStyle="1" w:styleId="NoList712">
    <w:name w:val="No List712"/>
    <w:next w:val="NoList"/>
    <w:uiPriority w:val="99"/>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2">
    <w:name w:val="No List4112"/>
    <w:next w:val="NoList"/>
    <w:uiPriority w:val="99"/>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2">
    <w:name w:val="No List5112"/>
    <w:next w:val="NoList"/>
    <w:uiPriority w:val="99"/>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unhideWhenUsed/>
    <w:rsid w:val="00C64FC7"/>
  </w:style>
  <w:style w:type="numbering" w:customStyle="1" w:styleId="NoList22112">
    <w:name w:val="No List22112"/>
    <w:next w:val="NoList"/>
    <w:uiPriority w:val="99"/>
    <w:unhideWhenUsed/>
    <w:rsid w:val="00C64FC7"/>
  </w:style>
  <w:style w:type="numbering" w:customStyle="1" w:styleId="NoList32112">
    <w:name w:val="No List32112"/>
    <w:next w:val="NoList"/>
    <w:uiPriority w:val="99"/>
    <w:unhideWhenUsed/>
    <w:rsid w:val="00C64FC7"/>
  </w:style>
  <w:style w:type="numbering" w:customStyle="1" w:styleId="NoList6112">
    <w:name w:val="No List6112"/>
    <w:next w:val="NoList"/>
    <w:uiPriority w:val="99"/>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unhideWhenUsed/>
    <w:rsid w:val="00C64FC7"/>
  </w:style>
  <w:style w:type="numbering" w:customStyle="1" w:styleId="NoList23112">
    <w:name w:val="No List23112"/>
    <w:next w:val="NoList"/>
    <w:uiPriority w:val="99"/>
    <w:unhideWhenUsed/>
    <w:rsid w:val="00C64FC7"/>
  </w:style>
  <w:style w:type="numbering" w:customStyle="1" w:styleId="NoList33112">
    <w:name w:val="No List33112"/>
    <w:next w:val="NoList"/>
    <w:uiPriority w:val="99"/>
    <w:unhideWhenUsed/>
    <w:rsid w:val="00C64FC7"/>
  </w:style>
  <w:style w:type="numbering" w:customStyle="1" w:styleId="NoList812">
    <w:name w:val="No List812"/>
    <w:next w:val="NoList"/>
    <w:uiPriority w:val="99"/>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unhideWhenUsed/>
    <w:rsid w:val="00C64FC7"/>
  </w:style>
  <w:style w:type="numbering" w:customStyle="1" w:styleId="NoList22212">
    <w:name w:val="No List22212"/>
    <w:next w:val="NoList"/>
    <w:uiPriority w:val="99"/>
    <w:unhideWhenUsed/>
    <w:rsid w:val="00C64FC7"/>
  </w:style>
  <w:style w:type="numbering" w:customStyle="1" w:styleId="NoList32212">
    <w:name w:val="No List32212"/>
    <w:next w:val="NoList"/>
    <w:uiPriority w:val="99"/>
    <w:unhideWhenUsed/>
    <w:rsid w:val="00C64FC7"/>
  </w:style>
  <w:style w:type="numbering" w:customStyle="1" w:styleId="NoList6212">
    <w:name w:val="No List6212"/>
    <w:next w:val="NoList"/>
    <w:uiPriority w:val="99"/>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unhideWhenUsed/>
    <w:rsid w:val="00C64FC7"/>
  </w:style>
  <w:style w:type="numbering" w:customStyle="1" w:styleId="NoList23212">
    <w:name w:val="No List23212"/>
    <w:next w:val="NoList"/>
    <w:uiPriority w:val="99"/>
    <w:unhideWhenUsed/>
    <w:rsid w:val="00C64FC7"/>
  </w:style>
  <w:style w:type="numbering" w:customStyle="1" w:styleId="NoList33212">
    <w:name w:val="No List33212"/>
    <w:next w:val="NoList"/>
    <w:uiPriority w:val="99"/>
    <w:unhideWhenUsed/>
    <w:rsid w:val="00C64FC7"/>
  </w:style>
  <w:style w:type="numbering" w:customStyle="1" w:styleId="NoList912">
    <w:name w:val="No List912"/>
    <w:next w:val="NoList"/>
    <w:uiPriority w:val="99"/>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2">
    <w:name w:val="No List4312"/>
    <w:next w:val="NoList"/>
    <w:uiPriority w:val="99"/>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2">
    <w:name w:val="No List5312"/>
    <w:next w:val="NoList"/>
    <w:uiPriority w:val="99"/>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unhideWhenUsed/>
    <w:rsid w:val="00C64FC7"/>
  </w:style>
  <w:style w:type="numbering" w:customStyle="1" w:styleId="NoList22312">
    <w:name w:val="No List22312"/>
    <w:next w:val="NoList"/>
    <w:uiPriority w:val="99"/>
    <w:unhideWhenUsed/>
    <w:rsid w:val="00C64FC7"/>
  </w:style>
  <w:style w:type="numbering" w:customStyle="1" w:styleId="NoList32312">
    <w:name w:val="No List32312"/>
    <w:next w:val="NoList"/>
    <w:uiPriority w:val="99"/>
    <w:unhideWhenUsed/>
    <w:rsid w:val="00C64FC7"/>
  </w:style>
  <w:style w:type="numbering" w:customStyle="1" w:styleId="NoList6312">
    <w:name w:val="No List6312"/>
    <w:next w:val="NoList"/>
    <w:uiPriority w:val="99"/>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unhideWhenUsed/>
    <w:rsid w:val="00C64FC7"/>
  </w:style>
  <w:style w:type="numbering" w:customStyle="1" w:styleId="NoList23312">
    <w:name w:val="No List23312"/>
    <w:next w:val="NoList"/>
    <w:uiPriority w:val="99"/>
    <w:unhideWhenUsed/>
    <w:rsid w:val="00C64FC7"/>
  </w:style>
  <w:style w:type="numbering" w:customStyle="1" w:styleId="NoList33312">
    <w:name w:val="No List33312"/>
    <w:next w:val="NoList"/>
    <w:uiPriority w:val="99"/>
    <w:unhideWhenUsed/>
    <w:rsid w:val="00C64FC7"/>
  </w:style>
  <w:style w:type="numbering" w:customStyle="1" w:styleId="NoList1012">
    <w:name w:val="No List1012"/>
    <w:next w:val="NoList"/>
    <w:uiPriority w:val="99"/>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2">
    <w:name w:val="No List4412"/>
    <w:next w:val="NoList"/>
    <w:uiPriority w:val="99"/>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3315537">
      <w:bodyDiv w:val="1"/>
      <w:marLeft w:val="0"/>
      <w:marRight w:val="0"/>
      <w:marTop w:val="0"/>
      <w:marBottom w:val="0"/>
      <w:divBdr>
        <w:top w:val="none" w:sz="0" w:space="0" w:color="auto"/>
        <w:left w:val="none" w:sz="0" w:space="0" w:color="auto"/>
        <w:bottom w:val="none" w:sz="0" w:space="0" w:color="auto"/>
        <w:right w:val="none" w:sz="0" w:space="0" w:color="auto"/>
      </w:divBdr>
      <w:divsChild>
        <w:div w:id="1843623163">
          <w:marLeft w:val="0"/>
          <w:marRight w:val="0"/>
          <w:marTop w:val="0"/>
          <w:marBottom w:val="0"/>
          <w:divBdr>
            <w:top w:val="none" w:sz="0" w:space="0" w:color="auto"/>
            <w:left w:val="none" w:sz="0" w:space="0" w:color="auto"/>
            <w:bottom w:val="none" w:sz="0" w:space="0" w:color="auto"/>
            <w:right w:val="none" w:sz="0" w:space="0" w:color="auto"/>
          </w:divBdr>
        </w:div>
        <w:div w:id="1726680702">
          <w:marLeft w:val="0"/>
          <w:marRight w:val="0"/>
          <w:marTop w:val="0"/>
          <w:marBottom w:val="0"/>
          <w:divBdr>
            <w:top w:val="none" w:sz="0" w:space="0" w:color="auto"/>
            <w:left w:val="none" w:sz="0" w:space="0" w:color="auto"/>
            <w:bottom w:val="none" w:sz="0" w:space="0" w:color="auto"/>
            <w:right w:val="none" w:sz="0" w:space="0" w:color="auto"/>
          </w:divBdr>
        </w:div>
        <w:div w:id="1944070104">
          <w:marLeft w:val="0"/>
          <w:marRight w:val="0"/>
          <w:marTop w:val="0"/>
          <w:marBottom w:val="0"/>
          <w:divBdr>
            <w:top w:val="none" w:sz="0" w:space="0" w:color="auto"/>
            <w:left w:val="none" w:sz="0" w:space="0" w:color="auto"/>
            <w:bottom w:val="none" w:sz="0" w:space="0" w:color="auto"/>
            <w:right w:val="none" w:sz="0" w:space="0" w:color="auto"/>
          </w:divBdr>
        </w:div>
        <w:div w:id="413475020">
          <w:marLeft w:val="0"/>
          <w:marRight w:val="0"/>
          <w:marTop w:val="0"/>
          <w:marBottom w:val="0"/>
          <w:divBdr>
            <w:top w:val="none" w:sz="0" w:space="0" w:color="auto"/>
            <w:left w:val="none" w:sz="0" w:space="0" w:color="auto"/>
            <w:bottom w:val="none" w:sz="0" w:space="0" w:color="auto"/>
            <w:right w:val="none" w:sz="0" w:space="0" w:color="auto"/>
          </w:divBdr>
        </w:div>
        <w:div w:id="1132092421">
          <w:marLeft w:val="0"/>
          <w:marRight w:val="0"/>
          <w:marTop w:val="0"/>
          <w:marBottom w:val="0"/>
          <w:divBdr>
            <w:top w:val="none" w:sz="0" w:space="0" w:color="auto"/>
            <w:left w:val="none" w:sz="0" w:space="0" w:color="auto"/>
            <w:bottom w:val="none" w:sz="0" w:space="0" w:color="auto"/>
            <w:right w:val="none" w:sz="0" w:space="0" w:color="auto"/>
          </w:divBdr>
        </w:div>
        <w:div w:id="1569459871">
          <w:marLeft w:val="0"/>
          <w:marRight w:val="0"/>
          <w:marTop w:val="0"/>
          <w:marBottom w:val="0"/>
          <w:divBdr>
            <w:top w:val="none" w:sz="0" w:space="0" w:color="auto"/>
            <w:left w:val="none" w:sz="0" w:space="0" w:color="auto"/>
            <w:bottom w:val="none" w:sz="0" w:space="0" w:color="auto"/>
            <w:right w:val="none" w:sz="0" w:space="0" w:color="auto"/>
          </w:divBdr>
        </w:div>
        <w:div w:id="2123573788">
          <w:marLeft w:val="0"/>
          <w:marRight w:val="0"/>
          <w:marTop w:val="0"/>
          <w:marBottom w:val="0"/>
          <w:divBdr>
            <w:top w:val="none" w:sz="0" w:space="0" w:color="auto"/>
            <w:left w:val="none" w:sz="0" w:space="0" w:color="auto"/>
            <w:bottom w:val="none" w:sz="0" w:space="0" w:color="auto"/>
            <w:right w:val="none" w:sz="0" w:space="0" w:color="auto"/>
          </w:divBdr>
        </w:div>
        <w:div w:id="463542758">
          <w:marLeft w:val="0"/>
          <w:marRight w:val="0"/>
          <w:marTop w:val="0"/>
          <w:marBottom w:val="0"/>
          <w:divBdr>
            <w:top w:val="none" w:sz="0" w:space="0" w:color="auto"/>
            <w:left w:val="none" w:sz="0" w:space="0" w:color="auto"/>
            <w:bottom w:val="none" w:sz="0" w:space="0" w:color="auto"/>
            <w:right w:val="none" w:sz="0" w:space="0" w:color="auto"/>
          </w:divBdr>
        </w:div>
        <w:div w:id="767821550">
          <w:marLeft w:val="0"/>
          <w:marRight w:val="0"/>
          <w:marTop w:val="0"/>
          <w:marBottom w:val="0"/>
          <w:divBdr>
            <w:top w:val="none" w:sz="0" w:space="0" w:color="auto"/>
            <w:left w:val="none" w:sz="0" w:space="0" w:color="auto"/>
            <w:bottom w:val="none" w:sz="0" w:space="0" w:color="auto"/>
            <w:right w:val="none" w:sz="0" w:space="0" w:color="auto"/>
          </w:divBdr>
        </w:div>
        <w:div w:id="1386640956">
          <w:marLeft w:val="0"/>
          <w:marRight w:val="0"/>
          <w:marTop w:val="0"/>
          <w:marBottom w:val="0"/>
          <w:divBdr>
            <w:top w:val="none" w:sz="0" w:space="0" w:color="auto"/>
            <w:left w:val="none" w:sz="0" w:space="0" w:color="auto"/>
            <w:bottom w:val="none" w:sz="0" w:space="0" w:color="auto"/>
            <w:right w:val="none" w:sz="0" w:space="0" w:color="auto"/>
          </w:divBdr>
        </w:div>
        <w:div w:id="304824829">
          <w:marLeft w:val="0"/>
          <w:marRight w:val="0"/>
          <w:marTop w:val="0"/>
          <w:marBottom w:val="0"/>
          <w:divBdr>
            <w:top w:val="none" w:sz="0" w:space="0" w:color="auto"/>
            <w:left w:val="none" w:sz="0" w:space="0" w:color="auto"/>
            <w:bottom w:val="none" w:sz="0" w:space="0" w:color="auto"/>
            <w:right w:val="none" w:sz="0" w:space="0" w:color="auto"/>
          </w:divBdr>
        </w:div>
        <w:div w:id="764770610">
          <w:marLeft w:val="0"/>
          <w:marRight w:val="0"/>
          <w:marTop w:val="0"/>
          <w:marBottom w:val="0"/>
          <w:divBdr>
            <w:top w:val="none" w:sz="0" w:space="0" w:color="auto"/>
            <w:left w:val="none" w:sz="0" w:space="0" w:color="auto"/>
            <w:bottom w:val="none" w:sz="0" w:space="0" w:color="auto"/>
            <w:right w:val="none" w:sz="0" w:space="0" w:color="auto"/>
          </w:divBdr>
        </w:div>
        <w:div w:id="847597016">
          <w:marLeft w:val="0"/>
          <w:marRight w:val="0"/>
          <w:marTop w:val="0"/>
          <w:marBottom w:val="0"/>
          <w:divBdr>
            <w:top w:val="none" w:sz="0" w:space="0" w:color="auto"/>
            <w:left w:val="none" w:sz="0" w:space="0" w:color="auto"/>
            <w:bottom w:val="none" w:sz="0" w:space="0" w:color="auto"/>
            <w:right w:val="none" w:sz="0" w:space="0" w:color="auto"/>
          </w:divBdr>
        </w:div>
        <w:div w:id="2015722103">
          <w:marLeft w:val="0"/>
          <w:marRight w:val="0"/>
          <w:marTop w:val="0"/>
          <w:marBottom w:val="0"/>
          <w:divBdr>
            <w:top w:val="none" w:sz="0" w:space="0" w:color="auto"/>
            <w:left w:val="none" w:sz="0" w:space="0" w:color="auto"/>
            <w:bottom w:val="none" w:sz="0" w:space="0" w:color="auto"/>
            <w:right w:val="none" w:sz="0" w:space="0" w:color="auto"/>
          </w:divBdr>
        </w:div>
        <w:div w:id="1180465105">
          <w:marLeft w:val="0"/>
          <w:marRight w:val="0"/>
          <w:marTop w:val="0"/>
          <w:marBottom w:val="0"/>
          <w:divBdr>
            <w:top w:val="none" w:sz="0" w:space="0" w:color="auto"/>
            <w:left w:val="none" w:sz="0" w:space="0" w:color="auto"/>
            <w:bottom w:val="none" w:sz="0" w:space="0" w:color="auto"/>
            <w:right w:val="none" w:sz="0" w:space="0" w:color="auto"/>
          </w:divBdr>
        </w:div>
        <w:div w:id="827667789">
          <w:marLeft w:val="0"/>
          <w:marRight w:val="0"/>
          <w:marTop w:val="0"/>
          <w:marBottom w:val="0"/>
          <w:divBdr>
            <w:top w:val="none" w:sz="0" w:space="0" w:color="auto"/>
            <w:left w:val="none" w:sz="0" w:space="0" w:color="auto"/>
            <w:bottom w:val="none" w:sz="0" w:space="0" w:color="auto"/>
            <w:right w:val="none" w:sz="0" w:space="0" w:color="auto"/>
          </w:divBdr>
        </w:div>
        <w:div w:id="1385062433">
          <w:marLeft w:val="0"/>
          <w:marRight w:val="0"/>
          <w:marTop w:val="0"/>
          <w:marBottom w:val="0"/>
          <w:divBdr>
            <w:top w:val="none" w:sz="0" w:space="0" w:color="auto"/>
            <w:left w:val="none" w:sz="0" w:space="0" w:color="auto"/>
            <w:bottom w:val="none" w:sz="0" w:space="0" w:color="auto"/>
            <w:right w:val="none" w:sz="0" w:space="0" w:color="auto"/>
          </w:divBdr>
        </w:div>
        <w:div w:id="1688943621">
          <w:marLeft w:val="0"/>
          <w:marRight w:val="0"/>
          <w:marTop w:val="0"/>
          <w:marBottom w:val="0"/>
          <w:divBdr>
            <w:top w:val="none" w:sz="0" w:space="0" w:color="auto"/>
            <w:left w:val="none" w:sz="0" w:space="0" w:color="auto"/>
            <w:bottom w:val="none" w:sz="0" w:space="0" w:color="auto"/>
            <w:right w:val="none" w:sz="0" w:space="0" w:color="auto"/>
          </w:divBdr>
        </w:div>
        <w:div w:id="831024916">
          <w:marLeft w:val="0"/>
          <w:marRight w:val="0"/>
          <w:marTop w:val="0"/>
          <w:marBottom w:val="0"/>
          <w:divBdr>
            <w:top w:val="none" w:sz="0" w:space="0" w:color="auto"/>
            <w:left w:val="none" w:sz="0" w:space="0" w:color="auto"/>
            <w:bottom w:val="none" w:sz="0" w:space="0" w:color="auto"/>
            <w:right w:val="none" w:sz="0" w:space="0" w:color="auto"/>
          </w:divBdr>
        </w:div>
        <w:div w:id="58554659">
          <w:marLeft w:val="0"/>
          <w:marRight w:val="0"/>
          <w:marTop w:val="0"/>
          <w:marBottom w:val="0"/>
          <w:divBdr>
            <w:top w:val="none" w:sz="0" w:space="0" w:color="auto"/>
            <w:left w:val="none" w:sz="0" w:space="0" w:color="auto"/>
            <w:bottom w:val="none" w:sz="0" w:space="0" w:color="auto"/>
            <w:right w:val="none" w:sz="0" w:space="0" w:color="auto"/>
          </w:divBdr>
        </w:div>
        <w:div w:id="1780366795">
          <w:marLeft w:val="0"/>
          <w:marRight w:val="0"/>
          <w:marTop w:val="0"/>
          <w:marBottom w:val="0"/>
          <w:divBdr>
            <w:top w:val="none" w:sz="0" w:space="0" w:color="auto"/>
            <w:left w:val="none" w:sz="0" w:space="0" w:color="auto"/>
            <w:bottom w:val="none" w:sz="0" w:space="0" w:color="auto"/>
            <w:right w:val="none" w:sz="0" w:space="0" w:color="auto"/>
          </w:divBdr>
        </w:div>
        <w:div w:id="670988903">
          <w:marLeft w:val="0"/>
          <w:marRight w:val="0"/>
          <w:marTop w:val="0"/>
          <w:marBottom w:val="0"/>
          <w:divBdr>
            <w:top w:val="none" w:sz="0" w:space="0" w:color="auto"/>
            <w:left w:val="none" w:sz="0" w:space="0" w:color="auto"/>
            <w:bottom w:val="none" w:sz="0" w:space="0" w:color="auto"/>
            <w:right w:val="none" w:sz="0" w:space="0" w:color="auto"/>
          </w:divBdr>
        </w:div>
        <w:div w:id="1650010697">
          <w:marLeft w:val="0"/>
          <w:marRight w:val="0"/>
          <w:marTop w:val="0"/>
          <w:marBottom w:val="0"/>
          <w:divBdr>
            <w:top w:val="none" w:sz="0" w:space="0" w:color="auto"/>
            <w:left w:val="none" w:sz="0" w:space="0" w:color="auto"/>
            <w:bottom w:val="none" w:sz="0" w:space="0" w:color="auto"/>
            <w:right w:val="none" w:sz="0" w:space="0" w:color="auto"/>
          </w:divBdr>
        </w:div>
        <w:div w:id="1285037378">
          <w:marLeft w:val="0"/>
          <w:marRight w:val="0"/>
          <w:marTop w:val="0"/>
          <w:marBottom w:val="0"/>
          <w:divBdr>
            <w:top w:val="none" w:sz="0" w:space="0" w:color="auto"/>
            <w:left w:val="none" w:sz="0" w:space="0" w:color="auto"/>
            <w:bottom w:val="none" w:sz="0" w:space="0" w:color="auto"/>
            <w:right w:val="none" w:sz="0" w:space="0" w:color="auto"/>
          </w:divBdr>
        </w:div>
      </w:divsChild>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57279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1195577">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1901644">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95370907">
      <w:bodyDiv w:val="1"/>
      <w:marLeft w:val="0"/>
      <w:marRight w:val="0"/>
      <w:marTop w:val="0"/>
      <w:marBottom w:val="0"/>
      <w:divBdr>
        <w:top w:val="none" w:sz="0" w:space="0" w:color="auto"/>
        <w:left w:val="none" w:sz="0" w:space="0" w:color="auto"/>
        <w:bottom w:val="none" w:sz="0" w:space="0" w:color="auto"/>
        <w:right w:val="none" w:sz="0" w:space="0" w:color="auto"/>
      </w:divBdr>
    </w:div>
    <w:div w:id="96216600">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7213224">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4763259">
      <w:bodyDiv w:val="1"/>
      <w:marLeft w:val="0"/>
      <w:marRight w:val="0"/>
      <w:marTop w:val="0"/>
      <w:marBottom w:val="0"/>
      <w:divBdr>
        <w:top w:val="none" w:sz="0" w:space="0" w:color="auto"/>
        <w:left w:val="none" w:sz="0" w:space="0" w:color="auto"/>
        <w:bottom w:val="none" w:sz="0" w:space="0" w:color="auto"/>
        <w:right w:val="none" w:sz="0" w:space="0" w:color="auto"/>
      </w:divBdr>
      <w:divsChild>
        <w:div w:id="170611104">
          <w:marLeft w:val="0"/>
          <w:marRight w:val="83"/>
          <w:marTop w:val="0"/>
          <w:marBottom w:val="0"/>
          <w:divBdr>
            <w:top w:val="none" w:sz="0" w:space="0" w:color="auto"/>
            <w:left w:val="none" w:sz="0" w:space="0" w:color="auto"/>
            <w:bottom w:val="none" w:sz="0" w:space="0" w:color="auto"/>
            <w:right w:val="none" w:sz="0" w:space="0" w:color="auto"/>
          </w:divBdr>
        </w:div>
        <w:div w:id="1727146921">
          <w:marLeft w:val="0"/>
          <w:marRight w:val="0"/>
          <w:marTop w:val="0"/>
          <w:marBottom w:val="0"/>
          <w:divBdr>
            <w:top w:val="none" w:sz="0" w:space="0" w:color="auto"/>
            <w:left w:val="none" w:sz="0" w:space="0" w:color="auto"/>
            <w:bottom w:val="none" w:sz="0" w:space="0" w:color="auto"/>
            <w:right w:val="none" w:sz="0" w:space="0" w:color="auto"/>
          </w:divBdr>
          <w:divsChild>
            <w:div w:id="1770270629">
              <w:marLeft w:val="0"/>
              <w:marRight w:val="0"/>
              <w:marTop w:val="0"/>
              <w:marBottom w:val="0"/>
              <w:divBdr>
                <w:top w:val="none" w:sz="0" w:space="0" w:color="auto"/>
                <w:left w:val="none" w:sz="0" w:space="0" w:color="auto"/>
                <w:bottom w:val="none" w:sz="0" w:space="0" w:color="auto"/>
                <w:right w:val="none" w:sz="0" w:space="0" w:color="auto"/>
              </w:divBdr>
              <w:divsChild>
                <w:div w:id="1938443985">
                  <w:marLeft w:val="0"/>
                  <w:marRight w:val="0"/>
                  <w:marTop w:val="0"/>
                  <w:marBottom w:val="0"/>
                  <w:divBdr>
                    <w:top w:val="none" w:sz="0" w:space="0" w:color="auto"/>
                    <w:left w:val="none" w:sz="0" w:space="0" w:color="auto"/>
                    <w:bottom w:val="none" w:sz="0" w:space="0" w:color="auto"/>
                    <w:right w:val="none" w:sz="0" w:space="0" w:color="auto"/>
                  </w:divBdr>
                  <w:divsChild>
                    <w:div w:id="187302444">
                      <w:marLeft w:val="0"/>
                      <w:marRight w:val="0"/>
                      <w:marTop w:val="0"/>
                      <w:marBottom w:val="0"/>
                      <w:divBdr>
                        <w:top w:val="none" w:sz="0" w:space="0" w:color="auto"/>
                        <w:left w:val="none" w:sz="0" w:space="0" w:color="auto"/>
                        <w:bottom w:val="none" w:sz="0" w:space="0" w:color="auto"/>
                        <w:right w:val="none" w:sz="0" w:space="0" w:color="auto"/>
                      </w:divBdr>
                    </w:div>
                    <w:div w:id="1297759539">
                      <w:marLeft w:val="0"/>
                      <w:marRight w:val="0"/>
                      <w:marTop w:val="0"/>
                      <w:marBottom w:val="0"/>
                      <w:divBdr>
                        <w:top w:val="none" w:sz="0" w:space="0" w:color="auto"/>
                        <w:left w:val="none" w:sz="0" w:space="0" w:color="auto"/>
                        <w:bottom w:val="none" w:sz="0" w:space="0" w:color="auto"/>
                        <w:right w:val="none" w:sz="0" w:space="0" w:color="auto"/>
                      </w:divBdr>
                    </w:div>
                  </w:divsChild>
                </w:div>
                <w:div w:id="12215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8374425">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3346049">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0140575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17472511">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38373744">
      <w:bodyDiv w:val="1"/>
      <w:marLeft w:val="0"/>
      <w:marRight w:val="0"/>
      <w:marTop w:val="0"/>
      <w:marBottom w:val="0"/>
      <w:divBdr>
        <w:top w:val="none" w:sz="0" w:space="0" w:color="auto"/>
        <w:left w:val="none" w:sz="0" w:space="0" w:color="auto"/>
        <w:bottom w:val="none" w:sz="0" w:space="0" w:color="auto"/>
        <w:right w:val="none" w:sz="0" w:space="0" w:color="auto"/>
      </w:divBdr>
    </w:div>
    <w:div w:id="244808016">
      <w:bodyDiv w:val="1"/>
      <w:marLeft w:val="0"/>
      <w:marRight w:val="0"/>
      <w:marTop w:val="0"/>
      <w:marBottom w:val="0"/>
      <w:divBdr>
        <w:top w:val="none" w:sz="0" w:space="0" w:color="auto"/>
        <w:left w:val="none" w:sz="0" w:space="0" w:color="auto"/>
        <w:bottom w:val="none" w:sz="0" w:space="0" w:color="auto"/>
        <w:right w:val="none" w:sz="0" w:space="0" w:color="auto"/>
      </w:divBdr>
      <w:divsChild>
        <w:div w:id="1942032327">
          <w:marLeft w:val="0"/>
          <w:marRight w:val="0"/>
          <w:marTop w:val="0"/>
          <w:marBottom w:val="0"/>
          <w:divBdr>
            <w:top w:val="none" w:sz="0" w:space="0" w:color="auto"/>
            <w:left w:val="none" w:sz="0" w:space="0" w:color="auto"/>
            <w:bottom w:val="none" w:sz="0" w:space="0" w:color="auto"/>
            <w:right w:val="none" w:sz="0" w:space="0" w:color="auto"/>
          </w:divBdr>
        </w:div>
        <w:div w:id="1518231279">
          <w:marLeft w:val="0"/>
          <w:marRight w:val="0"/>
          <w:marTop w:val="0"/>
          <w:marBottom w:val="0"/>
          <w:divBdr>
            <w:top w:val="none" w:sz="0" w:space="0" w:color="auto"/>
            <w:left w:val="none" w:sz="0" w:space="0" w:color="auto"/>
            <w:bottom w:val="none" w:sz="0" w:space="0" w:color="auto"/>
            <w:right w:val="none" w:sz="0" w:space="0" w:color="auto"/>
          </w:divBdr>
          <w:divsChild>
            <w:div w:id="287704891">
              <w:marLeft w:val="0"/>
              <w:marRight w:val="0"/>
              <w:marTop w:val="0"/>
              <w:marBottom w:val="0"/>
              <w:divBdr>
                <w:top w:val="none" w:sz="0" w:space="0" w:color="auto"/>
                <w:left w:val="none" w:sz="0" w:space="0" w:color="auto"/>
                <w:bottom w:val="none" w:sz="0" w:space="0" w:color="auto"/>
                <w:right w:val="none" w:sz="0" w:space="0" w:color="auto"/>
              </w:divBdr>
              <w:divsChild>
                <w:div w:id="16266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5667258">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4482857">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937061378">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2435366">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317729565">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5333317">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59940020">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16441346">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2719549">
      <w:bodyDiv w:val="1"/>
      <w:marLeft w:val="0"/>
      <w:marRight w:val="0"/>
      <w:marTop w:val="0"/>
      <w:marBottom w:val="0"/>
      <w:divBdr>
        <w:top w:val="none" w:sz="0" w:space="0" w:color="auto"/>
        <w:left w:val="none" w:sz="0" w:space="0" w:color="auto"/>
        <w:bottom w:val="none" w:sz="0" w:space="0" w:color="auto"/>
        <w:right w:val="none" w:sz="0" w:space="0" w:color="auto"/>
      </w:divBdr>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7846913">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4199877">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449399322">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157311528">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3738575">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09488653">
      <w:bodyDiv w:val="1"/>
      <w:marLeft w:val="0"/>
      <w:marRight w:val="0"/>
      <w:marTop w:val="0"/>
      <w:marBottom w:val="0"/>
      <w:divBdr>
        <w:top w:val="none" w:sz="0" w:space="0" w:color="auto"/>
        <w:left w:val="none" w:sz="0" w:space="0" w:color="auto"/>
        <w:bottom w:val="none" w:sz="0" w:space="0" w:color="auto"/>
        <w:right w:val="none" w:sz="0" w:space="0" w:color="auto"/>
      </w:divBdr>
    </w:div>
    <w:div w:id="514809623">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16887666">
      <w:bodyDiv w:val="1"/>
      <w:marLeft w:val="0"/>
      <w:marRight w:val="0"/>
      <w:marTop w:val="0"/>
      <w:marBottom w:val="0"/>
      <w:divBdr>
        <w:top w:val="none" w:sz="0" w:space="0" w:color="auto"/>
        <w:left w:val="none" w:sz="0" w:space="0" w:color="auto"/>
        <w:bottom w:val="none" w:sz="0" w:space="0" w:color="auto"/>
        <w:right w:val="none" w:sz="0" w:space="0" w:color="auto"/>
      </w:divBdr>
    </w:div>
    <w:div w:id="521936552">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7958898">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6842089">
      <w:bodyDiv w:val="1"/>
      <w:marLeft w:val="0"/>
      <w:marRight w:val="0"/>
      <w:marTop w:val="0"/>
      <w:marBottom w:val="0"/>
      <w:divBdr>
        <w:top w:val="none" w:sz="0" w:space="0" w:color="auto"/>
        <w:left w:val="none" w:sz="0" w:space="0" w:color="auto"/>
        <w:bottom w:val="none" w:sz="0" w:space="0" w:color="auto"/>
        <w:right w:val="none" w:sz="0" w:space="0" w:color="auto"/>
      </w:divBdr>
      <w:divsChild>
        <w:div w:id="964963553">
          <w:marLeft w:val="0"/>
          <w:marRight w:val="83"/>
          <w:marTop w:val="0"/>
          <w:marBottom w:val="0"/>
          <w:divBdr>
            <w:top w:val="none" w:sz="0" w:space="0" w:color="auto"/>
            <w:left w:val="none" w:sz="0" w:space="0" w:color="auto"/>
            <w:bottom w:val="none" w:sz="0" w:space="0" w:color="auto"/>
            <w:right w:val="none" w:sz="0" w:space="0" w:color="auto"/>
          </w:divBdr>
        </w:div>
        <w:div w:id="385182808">
          <w:marLeft w:val="0"/>
          <w:marRight w:val="0"/>
          <w:marTop w:val="0"/>
          <w:marBottom w:val="0"/>
          <w:divBdr>
            <w:top w:val="none" w:sz="0" w:space="0" w:color="auto"/>
            <w:left w:val="none" w:sz="0" w:space="0" w:color="auto"/>
            <w:bottom w:val="none" w:sz="0" w:space="0" w:color="auto"/>
            <w:right w:val="none" w:sz="0" w:space="0" w:color="auto"/>
          </w:divBdr>
          <w:divsChild>
            <w:div w:id="440808192">
              <w:marLeft w:val="0"/>
              <w:marRight w:val="0"/>
              <w:marTop w:val="0"/>
              <w:marBottom w:val="0"/>
              <w:divBdr>
                <w:top w:val="none" w:sz="0" w:space="0" w:color="auto"/>
                <w:left w:val="none" w:sz="0" w:space="0" w:color="auto"/>
                <w:bottom w:val="none" w:sz="0" w:space="0" w:color="auto"/>
                <w:right w:val="none" w:sz="0" w:space="0" w:color="auto"/>
              </w:divBdr>
              <w:divsChild>
                <w:div w:id="270548660">
                  <w:marLeft w:val="0"/>
                  <w:marRight w:val="0"/>
                  <w:marTop w:val="0"/>
                  <w:marBottom w:val="0"/>
                  <w:divBdr>
                    <w:top w:val="none" w:sz="0" w:space="0" w:color="auto"/>
                    <w:left w:val="none" w:sz="0" w:space="0" w:color="auto"/>
                    <w:bottom w:val="none" w:sz="0" w:space="0" w:color="auto"/>
                    <w:right w:val="none" w:sz="0" w:space="0" w:color="auto"/>
                  </w:divBdr>
                  <w:divsChild>
                    <w:div w:id="1028918427">
                      <w:marLeft w:val="0"/>
                      <w:marRight w:val="0"/>
                      <w:marTop w:val="0"/>
                      <w:marBottom w:val="0"/>
                      <w:divBdr>
                        <w:top w:val="none" w:sz="0" w:space="0" w:color="auto"/>
                        <w:left w:val="none" w:sz="0" w:space="0" w:color="auto"/>
                        <w:bottom w:val="none" w:sz="0" w:space="0" w:color="auto"/>
                        <w:right w:val="none" w:sz="0" w:space="0" w:color="auto"/>
                      </w:divBdr>
                    </w:div>
                    <w:div w:id="384456507">
                      <w:marLeft w:val="0"/>
                      <w:marRight w:val="0"/>
                      <w:marTop w:val="0"/>
                      <w:marBottom w:val="0"/>
                      <w:divBdr>
                        <w:top w:val="none" w:sz="0" w:space="0" w:color="auto"/>
                        <w:left w:val="none" w:sz="0" w:space="0" w:color="auto"/>
                        <w:bottom w:val="none" w:sz="0" w:space="0" w:color="auto"/>
                        <w:right w:val="none" w:sz="0" w:space="0" w:color="auto"/>
                      </w:divBdr>
                    </w:div>
                  </w:divsChild>
                </w:div>
                <w:div w:id="2690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53933637">
      <w:bodyDiv w:val="1"/>
      <w:marLeft w:val="0"/>
      <w:marRight w:val="0"/>
      <w:marTop w:val="0"/>
      <w:marBottom w:val="0"/>
      <w:divBdr>
        <w:top w:val="none" w:sz="0" w:space="0" w:color="auto"/>
        <w:left w:val="none" w:sz="0" w:space="0" w:color="auto"/>
        <w:bottom w:val="none" w:sz="0" w:space="0" w:color="auto"/>
        <w:right w:val="none" w:sz="0" w:space="0" w:color="auto"/>
      </w:divBdr>
      <w:divsChild>
        <w:div w:id="617419825">
          <w:marLeft w:val="0"/>
          <w:marRight w:val="0"/>
          <w:marTop w:val="0"/>
          <w:marBottom w:val="0"/>
          <w:divBdr>
            <w:top w:val="none" w:sz="0" w:space="0" w:color="auto"/>
            <w:left w:val="none" w:sz="0" w:space="0" w:color="auto"/>
            <w:bottom w:val="none" w:sz="0" w:space="0" w:color="auto"/>
            <w:right w:val="none" w:sz="0" w:space="0" w:color="auto"/>
          </w:divBdr>
        </w:div>
      </w:divsChild>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54525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8662156">
      <w:bodyDiv w:val="1"/>
      <w:marLeft w:val="0"/>
      <w:marRight w:val="0"/>
      <w:marTop w:val="0"/>
      <w:marBottom w:val="0"/>
      <w:divBdr>
        <w:top w:val="none" w:sz="0" w:space="0" w:color="auto"/>
        <w:left w:val="none" w:sz="0" w:space="0" w:color="auto"/>
        <w:bottom w:val="none" w:sz="0" w:space="0" w:color="auto"/>
        <w:right w:val="none" w:sz="0" w:space="0" w:color="auto"/>
      </w:divBdr>
      <w:divsChild>
        <w:div w:id="2100329158">
          <w:marLeft w:val="0"/>
          <w:marRight w:val="0"/>
          <w:marTop w:val="0"/>
          <w:marBottom w:val="0"/>
          <w:divBdr>
            <w:top w:val="none" w:sz="0" w:space="0" w:color="auto"/>
            <w:left w:val="none" w:sz="0" w:space="0" w:color="auto"/>
            <w:bottom w:val="none" w:sz="0" w:space="0" w:color="auto"/>
            <w:right w:val="none" w:sz="0" w:space="0" w:color="auto"/>
          </w:divBdr>
        </w:div>
      </w:divsChild>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76475356">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3687153">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592052598">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34068280">
      <w:bodyDiv w:val="1"/>
      <w:marLeft w:val="0"/>
      <w:marRight w:val="0"/>
      <w:marTop w:val="0"/>
      <w:marBottom w:val="0"/>
      <w:divBdr>
        <w:top w:val="none" w:sz="0" w:space="0" w:color="auto"/>
        <w:left w:val="none" w:sz="0" w:space="0" w:color="auto"/>
        <w:bottom w:val="none" w:sz="0" w:space="0" w:color="auto"/>
        <w:right w:val="none" w:sz="0" w:space="0" w:color="auto"/>
      </w:divBdr>
      <w:divsChild>
        <w:div w:id="678242144">
          <w:marLeft w:val="0"/>
          <w:marRight w:val="0"/>
          <w:marTop w:val="15"/>
          <w:marBottom w:val="0"/>
          <w:divBdr>
            <w:top w:val="none" w:sz="0" w:space="0" w:color="auto"/>
            <w:left w:val="none" w:sz="0" w:space="0" w:color="auto"/>
            <w:bottom w:val="none" w:sz="0" w:space="0" w:color="auto"/>
            <w:right w:val="none" w:sz="0" w:space="0" w:color="auto"/>
          </w:divBdr>
          <w:divsChild>
            <w:div w:id="1013916222">
              <w:marLeft w:val="0"/>
              <w:marRight w:val="0"/>
              <w:marTop w:val="0"/>
              <w:marBottom w:val="0"/>
              <w:divBdr>
                <w:top w:val="none" w:sz="0" w:space="0" w:color="auto"/>
                <w:left w:val="none" w:sz="0" w:space="0" w:color="auto"/>
                <w:bottom w:val="none" w:sz="0" w:space="0" w:color="auto"/>
                <w:right w:val="none" w:sz="0" w:space="0" w:color="auto"/>
              </w:divBdr>
              <w:divsChild>
                <w:div w:id="147789651">
                  <w:marLeft w:val="0"/>
                  <w:marRight w:val="0"/>
                  <w:marTop w:val="0"/>
                  <w:marBottom w:val="0"/>
                  <w:divBdr>
                    <w:top w:val="none" w:sz="0" w:space="0" w:color="auto"/>
                    <w:left w:val="none" w:sz="0" w:space="0" w:color="auto"/>
                    <w:bottom w:val="none" w:sz="0" w:space="0" w:color="auto"/>
                    <w:right w:val="none" w:sz="0" w:space="0" w:color="auto"/>
                  </w:divBdr>
                </w:div>
                <w:div w:id="1455178109">
                  <w:marLeft w:val="0"/>
                  <w:marRight w:val="0"/>
                  <w:marTop w:val="0"/>
                  <w:marBottom w:val="0"/>
                  <w:divBdr>
                    <w:top w:val="none" w:sz="0" w:space="0" w:color="auto"/>
                    <w:left w:val="none" w:sz="0" w:space="0" w:color="auto"/>
                    <w:bottom w:val="none" w:sz="0" w:space="0" w:color="auto"/>
                    <w:right w:val="none" w:sz="0" w:space="0" w:color="auto"/>
                  </w:divBdr>
                </w:div>
                <w:div w:id="1839611292">
                  <w:marLeft w:val="0"/>
                  <w:marRight w:val="0"/>
                  <w:marTop w:val="0"/>
                  <w:marBottom w:val="0"/>
                  <w:divBdr>
                    <w:top w:val="none" w:sz="0" w:space="0" w:color="auto"/>
                    <w:left w:val="none" w:sz="0" w:space="0" w:color="auto"/>
                    <w:bottom w:val="none" w:sz="0" w:space="0" w:color="auto"/>
                    <w:right w:val="none" w:sz="0" w:space="0" w:color="auto"/>
                  </w:divBdr>
                </w:div>
                <w:div w:id="479544844">
                  <w:marLeft w:val="0"/>
                  <w:marRight w:val="0"/>
                  <w:marTop w:val="0"/>
                  <w:marBottom w:val="0"/>
                  <w:divBdr>
                    <w:top w:val="none" w:sz="0" w:space="0" w:color="auto"/>
                    <w:left w:val="none" w:sz="0" w:space="0" w:color="auto"/>
                    <w:bottom w:val="none" w:sz="0" w:space="0" w:color="auto"/>
                    <w:right w:val="none" w:sz="0" w:space="0" w:color="auto"/>
                  </w:divBdr>
                </w:div>
                <w:div w:id="1534882941">
                  <w:marLeft w:val="0"/>
                  <w:marRight w:val="0"/>
                  <w:marTop w:val="0"/>
                  <w:marBottom w:val="0"/>
                  <w:divBdr>
                    <w:top w:val="none" w:sz="0" w:space="0" w:color="auto"/>
                    <w:left w:val="none" w:sz="0" w:space="0" w:color="auto"/>
                    <w:bottom w:val="none" w:sz="0" w:space="0" w:color="auto"/>
                    <w:right w:val="none" w:sz="0" w:space="0" w:color="auto"/>
                  </w:divBdr>
                </w:div>
                <w:div w:id="253322822">
                  <w:marLeft w:val="0"/>
                  <w:marRight w:val="0"/>
                  <w:marTop w:val="0"/>
                  <w:marBottom w:val="0"/>
                  <w:divBdr>
                    <w:top w:val="none" w:sz="0" w:space="0" w:color="auto"/>
                    <w:left w:val="none" w:sz="0" w:space="0" w:color="auto"/>
                    <w:bottom w:val="none" w:sz="0" w:space="0" w:color="auto"/>
                    <w:right w:val="none" w:sz="0" w:space="0" w:color="auto"/>
                  </w:divBdr>
                </w:div>
                <w:div w:id="677000141">
                  <w:marLeft w:val="0"/>
                  <w:marRight w:val="0"/>
                  <w:marTop w:val="0"/>
                  <w:marBottom w:val="0"/>
                  <w:divBdr>
                    <w:top w:val="none" w:sz="0" w:space="0" w:color="auto"/>
                    <w:left w:val="none" w:sz="0" w:space="0" w:color="auto"/>
                    <w:bottom w:val="none" w:sz="0" w:space="0" w:color="auto"/>
                    <w:right w:val="none" w:sz="0" w:space="0" w:color="auto"/>
                  </w:divBdr>
                </w:div>
                <w:div w:id="1572620362">
                  <w:marLeft w:val="0"/>
                  <w:marRight w:val="0"/>
                  <w:marTop w:val="0"/>
                  <w:marBottom w:val="0"/>
                  <w:divBdr>
                    <w:top w:val="none" w:sz="0" w:space="0" w:color="auto"/>
                    <w:left w:val="none" w:sz="0" w:space="0" w:color="auto"/>
                    <w:bottom w:val="none" w:sz="0" w:space="0" w:color="auto"/>
                    <w:right w:val="none" w:sz="0" w:space="0" w:color="auto"/>
                  </w:divBdr>
                </w:div>
                <w:div w:id="1639337835">
                  <w:marLeft w:val="0"/>
                  <w:marRight w:val="0"/>
                  <w:marTop w:val="0"/>
                  <w:marBottom w:val="0"/>
                  <w:divBdr>
                    <w:top w:val="none" w:sz="0" w:space="0" w:color="auto"/>
                    <w:left w:val="none" w:sz="0" w:space="0" w:color="auto"/>
                    <w:bottom w:val="none" w:sz="0" w:space="0" w:color="auto"/>
                    <w:right w:val="none" w:sz="0" w:space="0" w:color="auto"/>
                  </w:divBdr>
                </w:div>
                <w:div w:id="1822112048">
                  <w:marLeft w:val="0"/>
                  <w:marRight w:val="0"/>
                  <w:marTop w:val="0"/>
                  <w:marBottom w:val="0"/>
                  <w:divBdr>
                    <w:top w:val="none" w:sz="0" w:space="0" w:color="auto"/>
                    <w:left w:val="none" w:sz="0" w:space="0" w:color="auto"/>
                    <w:bottom w:val="none" w:sz="0" w:space="0" w:color="auto"/>
                    <w:right w:val="none" w:sz="0" w:space="0" w:color="auto"/>
                  </w:divBdr>
                </w:div>
                <w:div w:id="151067295">
                  <w:marLeft w:val="0"/>
                  <w:marRight w:val="0"/>
                  <w:marTop w:val="0"/>
                  <w:marBottom w:val="0"/>
                  <w:divBdr>
                    <w:top w:val="none" w:sz="0" w:space="0" w:color="auto"/>
                    <w:left w:val="none" w:sz="0" w:space="0" w:color="auto"/>
                    <w:bottom w:val="none" w:sz="0" w:space="0" w:color="auto"/>
                    <w:right w:val="none" w:sz="0" w:space="0" w:color="auto"/>
                  </w:divBdr>
                </w:div>
                <w:div w:id="1552645219">
                  <w:marLeft w:val="0"/>
                  <w:marRight w:val="0"/>
                  <w:marTop w:val="0"/>
                  <w:marBottom w:val="0"/>
                  <w:divBdr>
                    <w:top w:val="none" w:sz="0" w:space="0" w:color="auto"/>
                    <w:left w:val="none" w:sz="0" w:space="0" w:color="auto"/>
                    <w:bottom w:val="none" w:sz="0" w:space="0" w:color="auto"/>
                    <w:right w:val="none" w:sz="0" w:space="0" w:color="auto"/>
                  </w:divBdr>
                </w:div>
                <w:div w:id="206188249">
                  <w:marLeft w:val="0"/>
                  <w:marRight w:val="0"/>
                  <w:marTop w:val="0"/>
                  <w:marBottom w:val="0"/>
                  <w:divBdr>
                    <w:top w:val="none" w:sz="0" w:space="0" w:color="auto"/>
                    <w:left w:val="none" w:sz="0" w:space="0" w:color="auto"/>
                    <w:bottom w:val="none" w:sz="0" w:space="0" w:color="auto"/>
                    <w:right w:val="none" w:sz="0" w:space="0" w:color="auto"/>
                  </w:divBdr>
                </w:div>
                <w:div w:id="1434787786">
                  <w:marLeft w:val="0"/>
                  <w:marRight w:val="0"/>
                  <w:marTop w:val="0"/>
                  <w:marBottom w:val="0"/>
                  <w:divBdr>
                    <w:top w:val="none" w:sz="0" w:space="0" w:color="auto"/>
                    <w:left w:val="none" w:sz="0" w:space="0" w:color="auto"/>
                    <w:bottom w:val="none" w:sz="0" w:space="0" w:color="auto"/>
                    <w:right w:val="none" w:sz="0" w:space="0" w:color="auto"/>
                  </w:divBdr>
                </w:div>
                <w:div w:id="177431031">
                  <w:marLeft w:val="0"/>
                  <w:marRight w:val="0"/>
                  <w:marTop w:val="0"/>
                  <w:marBottom w:val="0"/>
                  <w:divBdr>
                    <w:top w:val="none" w:sz="0" w:space="0" w:color="auto"/>
                    <w:left w:val="none" w:sz="0" w:space="0" w:color="auto"/>
                    <w:bottom w:val="none" w:sz="0" w:space="0" w:color="auto"/>
                    <w:right w:val="none" w:sz="0" w:space="0" w:color="auto"/>
                  </w:divBdr>
                </w:div>
                <w:div w:id="1471751422">
                  <w:marLeft w:val="0"/>
                  <w:marRight w:val="0"/>
                  <w:marTop w:val="0"/>
                  <w:marBottom w:val="0"/>
                  <w:divBdr>
                    <w:top w:val="none" w:sz="0" w:space="0" w:color="auto"/>
                    <w:left w:val="none" w:sz="0" w:space="0" w:color="auto"/>
                    <w:bottom w:val="none" w:sz="0" w:space="0" w:color="auto"/>
                    <w:right w:val="none" w:sz="0" w:space="0" w:color="auto"/>
                  </w:divBdr>
                </w:div>
                <w:div w:id="823932285">
                  <w:marLeft w:val="0"/>
                  <w:marRight w:val="0"/>
                  <w:marTop w:val="0"/>
                  <w:marBottom w:val="0"/>
                  <w:divBdr>
                    <w:top w:val="none" w:sz="0" w:space="0" w:color="auto"/>
                    <w:left w:val="none" w:sz="0" w:space="0" w:color="auto"/>
                    <w:bottom w:val="none" w:sz="0" w:space="0" w:color="auto"/>
                    <w:right w:val="none" w:sz="0" w:space="0" w:color="auto"/>
                  </w:divBdr>
                </w:div>
                <w:div w:id="495344378">
                  <w:marLeft w:val="0"/>
                  <w:marRight w:val="0"/>
                  <w:marTop w:val="0"/>
                  <w:marBottom w:val="0"/>
                  <w:divBdr>
                    <w:top w:val="none" w:sz="0" w:space="0" w:color="auto"/>
                    <w:left w:val="none" w:sz="0" w:space="0" w:color="auto"/>
                    <w:bottom w:val="none" w:sz="0" w:space="0" w:color="auto"/>
                    <w:right w:val="none" w:sz="0" w:space="0" w:color="auto"/>
                  </w:divBdr>
                </w:div>
                <w:div w:id="1108038593">
                  <w:marLeft w:val="0"/>
                  <w:marRight w:val="0"/>
                  <w:marTop w:val="0"/>
                  <w:marBottom w:val="0"/>
                  <w:divBdr>
                    <w:top w:val="none" w:sz="0" w:space="0" w:color="auto"/>
                    <w:left w:val="none" w:sz="0" w:space="0" w:color="auto"/>
                    <w:bottom w:val="none" w:sz="0" w:space="0" w:color="auto"/>
                    <w:right w:val="none" w:sz="0" w:space="0" w:color="auto"/>
                  </w:divBdr>
                </w:div>
                <w:div w:id="1187674121">
                  <w:marLeft w:val="0"/>
                  <w:marRight w:val="0"/>
                  <w:marTop w:val="0"/>
                  <w:marBottom w:val="0"/>
                  <w:divBdr>
                    <w:top w:val="none" w:sz="0" w:space="0" w:color="auto"/>
                    <w:left w:val="none" w:sz="0" w:space="0" w:color="auto"/>
                    <w:bottom w:val="none" w:sz="0" w:space="0" w:color="auto"/>
                    <w:right w:val="none" w:sz="0" w:space="0" w:color="auto"/>
                  </w:divBdr>
                </w:div>
                <w:div w:id="330064562">
                  <w:marLeft w:val="0"/>
                  <w:marRight w:val="0"/>
                  <w:marTop w:val="0"/>
                  <w:marBottom w:val="0"/>
                  <w:divBdr>
                    <w:top w:val="none" w:sz="0" w:space="0" w:color="auto"/>
                    <w:left w:val="none" w:sz="0" w:space="0" w:color="auto"/>
                    <w:bottom w:val="none" w:sz="0" w:space="0" w:color="auto"/>
                    <w:right w:val="none" w:sz="0" w:space="0" w:color="auto"/>
                  </w:divBdr>
                </w:div>
                <w:div w:id="1631402818">
                  <w:marLeft w:val="0"/>
                  <w:marRight w:val="0"/>
                  <w:marTop w:val="0"/>
                  <w:marBottom w:val="0"/>
                  <w:divBdr>
                    <w:top w:val="none" w:sz="0" w:space="0" w:color="auto"/>
                    <w:left w:val="none" w:sz="0" w:space="0" w:color="auto"/>
                    <w:bottom w:val="none" w:sz="0" w:space="0" w:color="auto"/>
                    <w:right w:val="none" w:sz="0" w:space="0" w:color="auto"/>
                  </w:divBdr>
                </w:div>
                <w:div w:id="1828328619">
                  <w:marLeft w:val="0"/>
                  <w:marRight w:val="0"/>
                  <w:marTop w:val="0"/>
                  <w:marBottom w:val="0"/>
                  <w:divBdr>
                    <w:top w:val="none" w:sz="0" w:space="0" w:color="auto"/>
                    <w:left w:val="none" w:sz="0" w:space="0" w:color="auto"/>
                    <w:bottom w:val="none" w:sz="0" w:space="0" w:color="auto"/>
                    <w:right w:val="none" w:sz="0" w:space="0" w:color="auto"/>
                  </w:divBdr>
                </w:div>
                <w:div w:id="47464650">
                  <w:marLeft w:val="0"/>
                  <w:marRight w:val="0"/>
                  <w:marTop w:val="0"/>
                  <w:marBottom w:val="0"/>
                  <w:divBdr>
                    <w:top w:val="none" w:sz="0" w:space="0" w:color="auto"/>
                    <w:left w:val="none" w:sz="0" w:space="0" w:color="auto"/>
                    <w:bottom w:val="none" w:sz="0" w:space="0" w:color="auto"/>
                    <w:right w:val="none" w:sz="0" w:space="0" w:color="auto"/>
                  </w:divBdr>
                </w:div>
                <w:div w:id="762338758">
                  <w:marLeft w:val="0"/>
                  <w:marRight w:val="0"/>
                  <w:marTop w:val="0"/>
                  <w:marBottom w:val="0"/>
                  <w:divBdr>
                    <w:top w:val="none" w:sz="0" w:space="0" w:color="auto"/>
                    <w:left w:val="none" w:sz="0" w:space="0" w:color="auto"/>
                    <w:bottom w:val="none" w:sz="0" w:space="0" w:color="auto"/>
                    <w:right w:val="none" w:sz="0" w:space="0" w:color="auto"/>
                  </w:divBdr>
                </w:div>
                <w:div w:id="350495436">
                  <w:marLeft w:val="0"/>
                  <w:marRight w:val="0"/>
                  <w:marTop w:val="0"/>
                  <w:marBottom w:val="0"/>
                  <w:divBdr>
                    <w:top w:val="none" w:sz="0" w:space="0" w:color="auto"/>
                    <w:left w:val="none" w:sz="0" w:space="0" w:color="auto"/>
                    <w:bottom w:val="none" w:sz="0" w:space="0" w:color="auto"/>
                    <w:right w:val="none" w:sz="0" w:space="0" w:color="auto"/>
                  </w:divBdr>
                </w:div>
                <w:div w:id="1972007360">
                  <w:marLeft w:val="0"/>
                  <w:marRight w:val="0"/>
                  <w:marTop w:val="0"/>
                  <w:marBottom w:val="0"/>
                  <w:divBdr>
                    <w:top w:val="none" w:sz="0" w:space="0" w:color="auto"/>
                    <w:left w:val="none" w:sz="0" w:space="0" w:color="auto"/>
                    <w:bottom w:val="none" w:sz="0" w:space="0" w:color="auto"/>
                    <w:right w:val="none" w:sz="0" w:space="0" w:color="auto"/>
                  </w:divBdr>
                </w:div>
                <w:div w:id="1953199690">
                  <w:marLeft w:val="0"/>
                  <w:marRight w:val="0"/>
                  <w:marTop w:val="0"/>
                  <w:marBottom w:val="0"/>
                  <w:divBdr>
                    <w:top w:val="none" w:sz="0" w:space="0" w:color="auto"/>
                    <w:left w:val="none" w:sz="0" w:space="0" w:color="auto"/>
                    <w:bottom w:val="none" w:sz="0" w:space="0" w:color="auto"/>
                    <w:right w:val="none" w:sz="0" w:space="0" w:color="auto"/>
                  </w:divBdr>
                </w:div>
                <w:div w:id="7119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5791">
          <w:marLeft w:val="0"/>
          <w:marRight w:val="0"/>
          <w:marTop w:val="15"/>
          <w:marBottom w:val="0"/>
          <w:divBdr>
            <w:top w:val="none" w:sz="0" w:space="0" w:color="auto"/>
            <w:left w:val="none" w:sz="0" w:space="0" w:color="auto"/>
            <w:bottom w:val="none" w:sz="0" w:space="0" w:color="auto"/>
            <w:right w:val="none" w:sz="0" w:space="0" w:color="auto"/>
          </w:divBdr>
          <w:divsChild>
            <w:div w:id="586618962">
              <w:marLeft w:val="0"/>
              <w:marRight w:val="0"/>
              <w:marTop w:val="0"/>
              <w:marBottom w:val="0"/>
              <w:divBdr>
                <w:top w:val="none" w:sz="0" w:space="0" w:color="auto"/>
                <w:left w:val="none" w:sz="0" w:space="0" w:color="auto"/>
                <w:bottom w:val="none" w:sz="0" w:space="0" w:color="auto"/>
                <w:right w:val="none" w:sz="0" w:space="0" w:color="auto"/>
              </w:divBdr>
              <w:divsChild>
                <w:div w:id="450979554">
                  <w:marLeft w:val="0"/>
                  <w:marRight w:val="0"/>
                  <w:marTop w:val="0"/>
                  <w:marBottom w:val="0"/>
                  <w:divBdr>
                    <w:top w:val="none" w:sz="0" w:space="0" w:color="auto"/>
                    <w:left w:val="none" w:sz="0" w:space="0" w:color="auto"/>
                    <w:bottom w:val="none" w:sz="0" w:space="0" w:color="auto"/>
                    <w:right w:val="none" w:sz="0" w:space="0" w:color="auto"/>
                  </w:divBdr>
                </w:div>
                <w:div w:id="366561565">
                  <w:marLeft w:val="0"/>
                  <w:marRight w:val="0"/>
                  <w:marTop w:val="0"/>
                  <w:marBottom w:val="0"/>
                  <w:divBdr>
                    <w:top w:val="none" w:sz="0" w:space="0" w:color="auto"/>
                    <w:left w:val="none" w:sz="0" w:space="0" w:color="auto"/>
                    <w:bottom w:val="none" w:sz="0" w:space="0" w:color="auto"/>
                    <w:right w:val="none" w:sz="0" w:space="0" w:color="auto"/>
                  </w:divBdr>
                </w:div>
                <w:div w:id="147943483">
                  <w:marLeft w:val="0"/>
                  <w:marRight w:val="0"/>
                  <w:marTop w:val="0"/>
                  <w:marBottom w:val="0"/>
                  <w:divBdr>
                    <w:top w:val="none" w:sz="0" w:space="0" w:color="auto"/>
                    <w:left w:val="none" w:sz="0" w:space="0" w:color="auto"/>
                    <w:bottom w:val="none" w:sz="0" w:space="0" w:color="auto"/>
                    <w:right w:val="none" w:sz="0" w:space="0" w:color="auto"/>
                  </w:divBdr>
                </w:div>
                <w:div w:id="579290825">
                  <w:marLeft w:val="0"/>
                  <w:marRight w:val="0"/>
                  <w:marTop w:val="0"/>
                  <w:marBottom w:val="0"/>
                  <w:divBdr>
                    <w:top w:val="none" w:sz="0" w:space="0" w:color="auto"/>
                    <w:left w:val="none" w:sz="0" w:space="0" w:color="auto"/>
                    <w:bottom w:val="none" w:sz="0" w:space="0" w:color="auto"/>
                    <w:right w:val="none" w:sz="0" w:space="0" w:color="auto"/>
                  </w:divBdr>
                </w:div>
                <w:div w:id="981806497">
                  <w:marLeft w:val="0"/>
                  <w:marRight w:val="0"/>
                  <w:marTop w:val="0"/>
                  <w:marBottom w:val="0"/>
                  <w:divBdr>
                    <w:top w:val="none" w:sz="0" w:space="0" w:color="auto"/>
                    <w:left w:val="none" w:sz="0" w:space="0" w:color="auto"/>
                    <w:bottom w:val="none" w:sz="0" w:space="0" w:color="auto"/>
                    <w:right w:val="none" w:sz="0" w:space="0" w:color="auto"/>
                  </w:divBdr>
                </w:div>
                <w:div w:id="48841882">
                  <w:marLeft w:val="0"/>
                  <w:marRight w:val="0"/>
                  <w:marTop w:val="0"/>
                  <w:marBottom w:val="0"/>
                  <w:divBdr>
                    <w:top w:val="none" w:sz="0" w:space="0" w:color="auto"/>
                    <w:left w:val="none" w:sz="0" w:space="0" w:color="auto"/>
                    <w:bottom w:val="none" w:sz="0" w:space="0" w:color="auto"/>
                    <w:right w:val="none" w:sz="0" w:space="0" w:color="auto"/>
                  </w:divBdr>
                </w:div>
                <w:div w:id="1779250185">
                  <w:marLeft w:val="0"/>
                  <w:marRight w:val="0"/>
                  <w:marTop w:val="0"/>
                  <w:marBottom w:val="0"/>
                  <w:divBdr>
                    <w:top w:val="none" w:sz="0" w:space="0" w:color="auto"/>
                    <w:left w:val="none" w:sz="0" w:space="0" w:color="auto"/>
                    <w:bottom w:val="none" w:sz="0" w:space="0" w:color="auto"/>
                    <w:right w:val="none" w:sz="0" w:space="0" w:color="auto"/>
                  </w:divBdr>
                </w:div>
                <w:div w:id="1513104496">
                  <w:marLeft w:val="0"/>
                  <w:marRight w:val="0"/>
                  <w:marTop w:val="0"/>
                  <w:marBottom w:val="0"/>
                  <w:divBdr>
                    <w:top w:val="none" w:sz="0" w:space="0" w:color="auto"/>
                    <w:left w:val="none" w:sz="0" w:space="0" w:color="auto"/>
                    <w:bottom w:val="none" w:sz="0" w:space="0" w:color="auto"/>
                    <w:right w:val="none" w:sz="0" w:space="0" w:color="auto"/>
                  </w:divBdr>
                </w:div>
                <w:div w:id="1931427086">
                  <w:marLeft w:val="0"/>
                  <w:marRight w:val="0"/>
                  <w:marTop w:val="0"/>
                  <w:marBottom w:val="0"/>
                  <w:divBdr>
                    <w:top w:val="none" w:sz="0" w:space="0" w:color="auto"/>
                    <w:left w:val="none" w:sz="0" w:space="0" w:color="auto"/>
                    <w:bottom w:val="none" w:sz="0" w:space="0" w:color="auto"/>
                    <w:right w:val="none" w:sz="0" w:space="0" w:color="auto"/>
                  </w:divBdr>
                </w:div>
                <w:div w:id="1608468288">
                  <w:marLeft w:val="0"/>
                  <w:marRight w:val="0"/>
                  <w:marTop w:val="0"/>
                  <w:marBottom w:val="0"/>
                  <w:divBdr>
                    <w:top w:val="none" w:sz="0" w:space="0" w:color="auto"/>
                    <w:left w:val="none" w:sz="0" w:space="0" w:color="auto"/>
                    <w:bottom w:val="none" w:sz="0" w:space="0" w:color="auto"/>
                    <w:right w:val="none" w:sz="0" w:space="0" w:color="auto"/>
                  </w:divBdr>
                </w:div>
                <w:div w:id="30811187">
                  <w:marLeft w:val="0"/>
                  <w:marRight w:val="0"/>
                  <w:marTop w:val="0"/>
                  <w:marBottom w:val="0"/>
                  <w:divBdr>
                    <w:top w:val="none" w:sz="0" w:space="0" w:color="auto"/>
                    <w:left w:val="none" w:sz="0" w:space="0" w:color="auto"/>
                    <w:bottom w:val="none" w:sz="0" w:space="0" w:color="auto"/>
                    <w:right w:val="none" w:sz="0" w:space="0" w:color="auto"/>
                  </w:divBdr>
                </w:div>
                <w:div w:id="1269775970">
                  <w:marLeft w:val="0"/>
                  <w:marRight w:val="0"/>
                  <w:marTop w:val="0"/>
                  <w:marBottom w:val="0"/>
                  <w:divBdr>
                    <w:top w:val="none" w:sz="0" w:space="0" w:color="auto"/>
                    <w:left w:val="none" w:sz="0" w:space="0" w:color="auto"/>
                    <w:bottom w:val="none" w:sz="0" w:space="0" w:color="auto"/>
                    <w:right w:val="none" w:sz="0" w:space="0" w:color="auto"/>
                  </w:divBdr>
                </w:div>
                <w:div w:id="1363092173">
                  <w:marLeft w:val="0"/>
                  <w:marRight w:val="0"/>
                  <w:marTop w:val="0"/>
                  <w:marBottom w:val="0"/>
                  <w:divBdr>
                    <w:top w:val="none" w:sz="0" w:space="0" w:color="auto"/>
                    <w:left w:val="none" w:sz="0" w:space="0" w:color="auto"/>
                    <w:bottom w:val="none" w:sz="0" w:space="0" w:color="auto"/>
                    <w:right w:val="none" w:sz="0" w:space="0" w:color="auto"/>
                  </w:divBdr>
                </w:div>
                <w:div w:id="926615484">
                  <w:marLeft w:val="0"/>
                  <w:marRight w:val="0"/>
                  <w:marTop w:val="0"/>
                  <w:marBottom w:val="0"/>
                  <w:divBdr>
                    <w:top w:val="none" w:sz="0" w:space="0" w:color="auto"/>
                    <w:left w:val="none" w:sz="0" w:space="0" w:color="auto"/>
                    <w:bottom w:val="none" w:sz="0" w:space="0" w:color="auto"/>
                    <w:right w:val="none" w:sz="0" w:space="0" w:color="auto"/>
                  </w:divBdr>
                </w:div>
                <w:div w:id="1354838984">
                  <w:marLeft w:val="0"/>
                  <w:marRight w:val="0"/>
                  <w:marTop w:val="0"/>
                  <w:marBottom w:val="0"/>
                  <w:divBdr>
                    <w:top w:val="none" w:sz="0" w:space="0" w:color="auto"/>
                    <w:left w:val="none" w:sz="0" w:space="0" w:color="auto"/>
                    <w:bottom w:val="none" w:sz="0" w:space="0" w:color="auto"/>
                    <w:right w:val="none" w:sz="0" w:space="0" w:color="auto"/>
                  </w:divBdr>
                </w:div>
                <w:div w:id="387845432">
                  <w:marLeft w:val="0"/>
                  <w:marRight w:val="0"/>
                  <w:marTop w:val="0"/>
                  <w:marBottom w:val="0"/>
                  <w:divBdr>
                    <w:top w:val="none" w:sz="0" w:space="0" w:color="auto"/>
                    <w:left w:val="none" w:sz="0" w:space="0" w:color="auto"/>
                    <w:bottom w:val="none" w:sz="0" w:space="0" w:color="auto"/>
                    <w:right w:val="none" w:sz="0" w:space="0" w:color="auto"/>
                  </w:divBdr>
                </w:div>
                <w:div w:id="840387591">
                  <w:marLeft w:val="0"/>
                  <w:marRight w:val="0"/>
                  <w:marTop w:val="0"/>
                  <w:marBottom w:val="0"/>
                  <w:divBdr>
                    <w:top w:val="none" w:sz="0" w:space="0" w:color="auto"/>
                    <w:left w:val="none" w:sz="0" w:space="0" w:color="auto"/>
                    <w:bottom w:val="none" w:sz="0" w:space="0" w:color="auto"/>
                    <w:right w:val="none" w:sz="0" w:space="0" w:color="auto"/>
                  </w:divBdr>
                </w:div>
                <w:div w:id="1337659126">
                  <w:marLeft w:val="0"/>
                  <w:marRight w:val="0"/>
                  <w:marTop w:val="0"/>
                  <w:marBottom w:val="0"/>
                  <w:divBdr>
                    <w:top w:val="none" w:sz="0" w:space="0" w:color="auto"/>
                    <w:left w:val="none" w:sz="0" w:space="0" w:color="auto"/>
                    <w:bottom w:val="none" w:sz="0" w:space="0" w:color="auto"/>
                    <w:right w:val="none" w:sz="0" w:space="0" w:color="auto"/>
                  </w:divBdr>
                </w:div>
                <w:div w:id="188491852">
                  <w:marLeft w:val="0"/>
                  <w:marRight w:val="0"/>
                  <w:marTop w:val="0"/>
                  <w:marBottom w:val="0"/>
                  <w:divBdr>
                    <w:top w:val="none" w:sz="0" w:space="0" w:color="auto"/>
                    <w:left w:val="none" w:sz="0" w:space="0" w:color="auto"/>
                    <w:bottom w:val="none" w:sz="0" w:space="0" w:color="auto"/>
                    <w:right w:val="none" w:sz="0" w:space="0" w:color="auto"/>
                  </w:divBdr>
                </w:div>
                <w:div w:id="69272413">
                  <w:marLeft w:val="0"/>
                  <w:marRight w:val="0"/>
                  <w:marTop w:val="0"/>
                  <w:marBottom w:val="0"/>
                  <w:divBdr>
                    <w:top w:val="none" w:sz="0" w:space="0" w:color="auto"/>
                    <w:left w:val="none" w:sz="0" w:space="0" w:color="auto"/>
                    <w:bottom w:val="none" w:sz="0" w:space="0" w:color="auto"/>
                    <w:right w:val="none" w:sz="0" w:space="0" w:color="auto"/>
                  </w:divBdr>
                </w:div>
                <w:div w:id="2121949795">
                  <w:marLeft w:val="0"/>
                  <w:marRight w:val="0"/>
                  <w:marTop w:val="0"/>
                  <w:marBottom w:val="0"/>
                  <w:divBdr>
                    <w:top w:val="none" w:sz="0" w:space="0" w:color="auto"/>
                    <w:left w:val="none" w:sz="0" w:space="0" w:color="auto"/>
                    <w:bottom w:val="none" w:sz="0" w:space="0" w:color="auto"/>
                    <w:right w:val="none" w:sz="0" w:space="0" w:color="auto"/>
                  </w:divBdr>
                </w:div>
                <w:div w:id="591668497">
                  <w:marLeft w:val="0"/>
                  <w:marRight w:val="0"/>
                  <w:marTop w:val="0"/>
                  <w:marBottom w:val="0"/>
                  <w:divBdr>
                    <w:top w:val="none" w:sz="0" w:space="0" w:color="auto"/>
                    <w:left w:val="none" w:sz="0" w:space="0" w:color="auto"/>
                    <w:bottom w:val="none" w:sz="0" w:space="0" w:color="auto"/>
                    <w:right w:val="none" w:sz="0" w:space="0" w:color="auto"/>
                  </w:divBdr>
                </w:div>
                <w:div w:id="142739935">
                  <w:marLeft w:val="0"/>
                  <w:marRight w:val="0"/>
                  <w:marTop w:val="0"/>
                  <w:marBottom w:val="0"/>
                  <w:divBdr>
                    <w:top w:val="none" w:sz="0" w:space="0" w:color="auto"/>
                    <w:left w:val="none" w:sz="0" w:space="0" w:color="auto"/>
                    <w:bottom w:val="none" w:sz="0" w:space="0" w:color="auto"/>
                    <w:right w:val="none" w:sz="0" w:space="0" w:color="auto"/>
                  </w:divBdr>
                </w:div>
                <w:div w:id="1096098270">
                  <w:marLeft w:val="0"/>
                  <w:marRight w:val="0"/>
                  <w:marTop w:val="0"/>
                  <w:marBottom w:val="0"/>
                  <w:divBdr>
                    <w:top w:val="none" w:sz="0" w:space="0" w:color="auto"/>
                    <w:left w:val="none" w:sz="0" w:space="0" w:color="auto"/>
                    <w:bottom w:val="none" w:sz="0" w:space="0" w:color="auto"/>
                    <w:right w:val="none" w:sz="0" w:space="0" w:color="auto"/>
                  </w:divBdr>
                </w:div>
                <w:div w:id="1584413688">
                  <w:marLeft w:val="0"/>
                  <w:marRight w:val="0"/>
                  <w:marTop w:val="0"/>
                  <w:marBottom w:val="0"/>
                  <w:divBdr>
                    <w:top w:val="none" w:sz="0" w:space="0" w:color="auto"/>
                    <w:left w:val="none" w:sz="0" w:space="0" w:color="auto"/>
                    <w:bottom w:val="none" w:sz="0" w:space="0" w:color="auto"/>
                    <w:right w:val="none" w:sz="0" w:space="0" w:color="auto"/>
                  </w:divBdr>
                </w:div>
                <w:div w:id="897328391">
                  <w:marLeft w:val="0"/>
                  <w:marRight w:val="0"/>
                  <w:marTop w:val="0"/>
                  <w:marBottom w:val="0"/>
                  <w:divBdr>
                    <w:top w:val="none" w:sz="0" w:space="0" w:color="auto"/>
                    <w:left w:val="none" w:sz="0" w:space="0" w:color="auto"/>
                    <w:bottom w:val="none" w:sz="0" w:space="0" w:color="auto"/>
                    <w:right w:val="none" w:sz="0" w:space="0" w:color="auto"/>
                  </w:divBdr>
                </w:div>
                <w:div w:id="2582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84797">
          <w:marLeft w:val="0"/>
          <w:marRight w:val="0"/>
          <w:marTop w:val="15"/>
          <w:marBottom w:val="0"/>
          <w:divBdr>
            <w:top w:val="none" w:sz="0" w:space="0" w:color="auto"/>
            <w:left w:val="none" w:sz="0" w:space="0" w:color="auto"/>
            <w:bottom w:val="none" w:sz="0" w:space="0" w:color="auto"/>
            <w:right w:val="none" w:sz="0" w:space="0" w:color="auto"/>
          </w:divBdr>
          <w:divsChild>
            <w:div w:id="1783918785">
              <w:marLeft w:val="0"/>
              <w:marRight w:val="0"/>
              <w:marTop w:val="0"/>
              <w:marBottom w:val="0"/>
              <w:divBdr>
                <w:top w:val="none" w:sz="0" w:space="0" w:color="auto"/>
                <w:left w:val="none" w:sz="0" w:space="0" w:color="auto"/>
                <w:bottom w:val="none" w:sz="0" w:space="0" w:color="auto"/>
                <w:right w:val="none" w:sz="0" w:space="0" w:color="auto"/>
              </w:divBdr>
              <w:divsChild>
                <w:div w:id="1734280448">
                  <w:marLeft w:val="0"/>
                  <w:marRight w:val="0"/>
                  <w:marTop w:val="0"/>
                  <w:marBottom w:val="0"/>
                  <w:divBdr>
                    <w:top w:val="none" w:sz="0" w:space="0" w:color="auto"/>
                    <w:left w:val="none" w:sz="0" w:space="0" w:color="auto"/>
                    <w:bottom w:val="none" w:sz="0" w:space="0" w:color="auto"/>
                    <w:right w:val="none" w:sz="0" w:space="0" w:color="auto"/>
                  </w:divBdr>
                </w:div>
                <w:div w:id="1405641972">
                  <w:marLeft w:val="0"/>
                  <w:marRight w:val="0"/>
                  <w:marTop w:val="0"/>
                  <w:marBottom w:val="0"/>
                  <w:divBdr>
                    <w:top w:val="none" w:sz="0" w:space="0" w:color="auto"/>
                    <w:left w:val="none" w:sz="0" w:space="0" w:color="auto"/>
                    <w:bottom w:val="none" w:sz="0" w:space="0" w:color="auto"/>
                    <w:right w:val="none" w:sz="0" w:space="0" w:color="auto"/>
                  </w:divBdr>
                </w:div>
                <w:div w:id="362292321">
                  <w:marLeft w:val="0"/>
                  <w:marRight w:val="0"/>
                  <w:marTop w:val="0"/>
                  <w:marBottom w:val="0"/>
                  <w:divBdr>
                    <w:top w:val="none" w:sz="0" w:space="0" w:color="auto"/>
                    <w:left w:val="none" w:sz="0" w:space="0" w:color="auto"/>
                    <w:bottom w:val="none" w:sz="0" w:space="0" w:color="auto"/>
                    <w:right w:val="none" w:sz="0" w:space="0" w:color="auto"/>
                  </w:divBdr>
                </w:div>
                <w:div w:id="601688100">
                  <w:marLeft w:val="0"/>
                  <w:marRight w:val="0"/>
                  <w:marTop w:val="0"/>
                  <w:marBottom w:val="0"/>
                  <w:divBdr>
                    <w:top w:val="none" w:sz="0" w:space="0" w:color="auto"/>
                    <w:left w:val="none" w:sz="0" w:space="0" w:color="auto"/>
                    <w:bottom w:val="none" w:sz="0" w:space="0" w:color="auto"/>
                    <w:right w:val="none" w:sz="0" w:space="0" w:color="auto"/>
                  </w:divBdr>
                </w:div>
                <w:div w:id="1438914707">
                  <w:marLeft w:val="0"/>
                  <w:marRight w:val="0"/>
                  <w:marTop w:val="0"/>
                  <w:marBottom w:val="0"/>
                  <w:divBdr>
                    <w:top w:val="none" w:sz="0" w:space="0" w:color="auto"/>
                    <w:left w:val="none" w:sz="0" w:space="0" w:color="auto"/>
                    <w:bottom w:val="none" w:sz="0" w:space="0" w:color="auto"/>
                    <w:right w:val="none" w:sz="0" w:space="0" w:color="auto"/>
                  </w:divBdr>
                </w:div>
                <w:div w:id="1040015748">
                  <w:marLeft w:val="0"/>
                  <w:marRight w:val="0"/>
                  <w:marTop w:val="0"/>
                  <w:marBottom w:val="0"/>
                  <w:divBdr>
                    <w:top w:val="none" w:sz="0" w:space="0" w:color="auto"/>
                    <w:left w:val="none" w:sz="0" w:space="0" w:color="auto"/>
                    <w:bottom w:val="none" w:sz="0" w:space="0" w:color="auto"/>
                    <w:right w:val="none" w:sz="0" w:space="0" w:color="auto"/>
                  </w:divBdr>
                </w:div>
                <w:div w:id="454063908">
                  <w:marLeft w:val="0"/>
                  <w:marRight w:val="0"/>
                  <w:marTop w:val="0"/>
                  <w:marBottom w:val="0"/>
                  <w:divBdr>
                    <w:top w:val="none" w:sz="0" w:space="0" w:color="auto"/>
                    <w:left w:val="none" w:sz="0" w:space="0" w:color="auto"/>
                    <w:bottom w:val="none" w:sz="0" w:space="0" w:color="auto"/>
                    <w:right w:val="none" w:sz="0" w:space="0" w:color="auto"/>
                  </w:divBdr>
                </w:div>
                <w:div w:id="1139881054">
                  <w:marLeft w:val="0"/>
                  <w:marRight w:val="0"/>
                  <w:marTop w:val="0"/>
                  <w:marBottom w:val="0"/>
                  <w:divBdr>
                    <w:top w:val="none" w:sz="0" w:space="0" w:color="auto"/>
                    <w:left w:val="none" w:sz="0" w:space="0" w:color="auto"/>
                    <w:bottom w:val="none" w:sz="0" w:space="0" w:color="auto"/>
                    <w:right w:val="none" w:sz="0" w:space="0" w:color="auto"/>
                  </w:divBdr>
                </w:div>
                <w:div w:id="267860303">
                  <w:marLeft w:val="0"/>
                  <w:marRight w:val="0"/>
                  <w:marTop w:val="0"/>
                  <w:marBottom w:val="0"/>
                  <w:divBdr>
                    <w:top w:val="none" w:sz="0" w:space="0" w:color="auto"/>
                    <w:left w:val="none" w:sz="0" w:space="0" w:color="auto"/>
                    <w:bottom w:val="none" w:sz="0" w:space="0" w:color="auto"/>
                    <w:right w:val="none" w:sz="0" w:space="0" w:color="auto"/>
                  </w:divBdr>
                </w:div>
                <w:div w:id="356128148">
                  <w:marLeft w:val="0"/>
                  <w:marRight w:val="0"/>
                  <w:marTop w:val="0"/>
                  <w:marBottom w:val="0"/>
                  <w:divBdr>
                    <w:top w:val="none" w:sz="0" w:space="0" w:color="auto"/>
                    <w:left w:val="none" w:sz="0" w:space="0" w:color="auto"/>
                    <w:bottom w:val="none" w:sz="0" w:space="0" w:color="auto"/>
                    <w:right w:val="none" w:sz="0" w:space="0" w:color="auto"/>
                  </w:divBdr>
                </w:div>
                <w:div w:id="1281457123">
                  <w:marLeft w:val="0"/>
                  <w:marRight w:val="0"/>
                  <w:marTop w:val="0"/>
                  <w:marBottom w:val="0"/>
                  <w:divBdr>
                    <w:top w:val="none" w:sz="0" w:space="0" w:color="auto"/>
                    <w:left w:val="none" w:sz="0" w:space="0" w:color="auto"/>
                    <w:bottom w:val="none" w:sz="0" w:space="0" w:color="auto"/>
                    <w:right w:val="none" w:sz="0" w:space="0" w:color="auto"/>
                  </w:divBdr>
                </w:div>
                <w:div w:id="1579318249">
                  <w:marLeft w:val="0"/>
                  <w:marRight w:val="0"/>
                  <w:marTop w:val="0"/>
                  <w:marBottom w:val="0"/>
                  <w:divBdr>
                    <w:top w:val="none" w:sz="0" w:space="0" w:color="auto"/>
                    <w:left w:val="none" w:sz="0" w:space="0" w:color="auto"/>
                    <w:bottom w:val="none" w:sz="0" w:space="0" w:color="auto"/>
                    <w:right w:val="none" w:sz="0" w:space="0" w:color="auto"/>
                  </w:divBdr>
                </w:div>
                <w:div w:id="1306620819">
                  <w:marLeft w:val="0"/>
                  <w:marRight w:val="0"/>
                  <w:marTop w:val="0"/>
                  <w:marBottom w:val="0"/>
                  <w:divBdr>
                    <w:top w:val="none" w:sz="0" w:space="0" w:color="auto"/>
                    <w:left w:val="none" w:sz="0" w:space="0" w:color="auto"/>
                    <w:bottom w:val="none" w:sz="0" w:space="0" w:color="auto"/>
                    <w:right w:val="none" w:sz="0" w:space="0" w:color="auto"/>
                  </w:divBdr>
                </w:div>
                <w:div w:id="1741319918">
                  <w:marLeft w:val="0"/>
                  <w:marRight w:val="0"/>
                  <w:marTop w:val="0"/>
                  <w:marBottom w:val="0"/>
                  <w:divBdr>
                    <w:top w:val="none" w:sz="0" w:space="0" w:color="auto"/>
                    <w:left w:val="none" w:sz="0" w:space="0" w:color="auto"/>
                    <w:bottom w:val="none" w:sz="0" w:space="0" w:color="auto"/>
                    <w:right w:val="none" w:sz="0" w:space="0" w:color="auto"/>
                  </w:divBdr>
                </w:div>
                <w:div w:id="1265765697">
                  <w:marLeft w:val="0"/>
                  <w:marRight w:val="0"/>
                  <w:marTop w:val="0"/>
                  <w:marBottom w:val="0"/>
                  <w:divBdr>
                    <w:top w:val="none" w:sz="0" w:space="0" w:color="auto"/>
                    <w:left w:val="none" w:sz="0" w:space="0" w:color="auto"/>
                    <w:bottom w:val="none" w:sz="0" w:space="0" w:color="auto"/>
                    <w:right w:val="none" w:sz="0" w:space="0" w:color="auto"/>
                  </w:divBdr>
                </w:div>
                <w:div w:id="15350888">
                  <w:marLeft w:val="0"/>
                  <w:marRight w:val="0"/>
                  <w:marTop w:val="0"/>
                  <w:marBottom w:val="0"/>
                  <w:divBdr>
                    <w:top w:val="none" w:sz="0" w:space="0" w:color="auto"/>
                    <w:left w:val="none" w:sz="0" w:space="0" w:color="auto"/>
                    <w:bottom w:val="none" w:sz="0" w:space="0" w:color="auto"/>
                    <w:right w:val="none" w:sz="0" w:space="0" w:color="auto"/>
                  </w:divBdr>
                </w:div>
                <w:div w:id="2139490919">
                  <w:marLeft w:val="0"/>
                  <w:marRight w:val="0"/>
                  <w:marTop w:val="0"/>
                  <w:marBottom w:val="0"/>
                  <w:divBdr>
                    <w:top w:val="none" w:sz="0" w:space="0" w:color="auto"/>
                    <w:left w:val="none" w:sz="0" w:space="0" w:color="auto"/>
                    <w:bottom w:val="none" w:sz="0" w:space="0" w:color="auto"/>
                    <w:right w:val="none" w:sz="0" w:space="0" w:color="auto"/>
                  </w:divBdr>
                </w:div>
                <w:div w:id="628363626">
                  <w:marLeft w:val="0"/>
                  <w:marRight w:val="0"/>
                  <w:marTop w:val="0"/>
                  <w:marBottom w:val="0"/>
                  <w:divBdr>
                    <w:top w:val="none" w:sz="0" w:space="0" w:color="auto"/>
                    <w:left w:val="none" w:sz="0" w:space="0" w:color="auto"/>
                    <w:bottom w:val="none" w:sz="0" w:space="0" w:color="auto"/>
                    <w:right w:val="none" w:sz="0" w:space="0" w:color="auto"/>
                  </w:divBdr>
                </w:div>
                <w:div w:id="659775428">
                  <w:marLeft w:val="0"/>
                  <w:marRight w:val="0"/>
                  <w:marTop w:val="0"/>
                  <w:marBottom w:val="0"/>
                  <w:divBdr>
                    <w:top w:val="none" w:sz="0" w:space="0" w:color="auto"/>
                    <w:left w:val="none" w:sz="0" w:space="0" w:color="auto"/>
                    <w:bottom w:val="none" w:sz="0" w:space="0" w:color="auto"/>
                    <w:right w:val="none" w:sz="0" w:space="0" w:color="auto"/>
                  </w:divBdr>
                </w:div>
                <w:div w:id="351029646">
                  <w:marLeft w:val="0"/>
                  <w:marRight w:val="0"/>
                  <w:marTop w:val="0"/>
                  <w:marBottom w:val="0"/>
                  <w:divBdr>
                    <w:top w:val="none" w:sz="0" w:space="0" w:color="auto"/>
                    <w:left w:val="none" w:sz="0" w:space="0" w:color="auto"/>
                    <w:bottom w:val="none" w:sz="0" w:space="0" w:color="auto"/>
                    <w:right w:val="none" w:sz="0" w:space="0" w:color="auto"/>
                  </w:divBdr>
                </w:div>
                <w:div w:id="1566717686">
                  <w:marLeft w:val="0"/>
                  <w:marRight w:val="0"/>
                  <w:marTop w:val="0"/>
                  <w:marBottom w:val="0"/>
                  <w:divBdr>
                    <w:top w:val="none" w:sz="0" w:space="0" w:color="auto"/>
                    <w:left w:val="none" w:sz="0" w:space="0" w:color="auto"/>
                    <w:bottom w:val="none" w:sz="0" w:space="0" w:color="auto"/>
                    <w:right w:val="none" w:sz="0" w:space="0" w:color="auto"/>
                  </w:divBdr>
                </w:div>
                <w:div w:id="383866953">
                  <w:marLeft w:val="0"/>
                  <w:marRight w:val="0"/>
                  <w:marTop w:val="0"/>
                  <w:marBottom w:val="0"/>
                  <w:divBdr>
                    <w:top w:val="none" w:sz="0" w:space="0" w:color="auto"/>
                    <w:left w:val="none" w:sz="0" w:space="0" w:color="auto"/>
                    <w:bottom w:val="none" w:sz="0" w:space="0" w:color="auto"/>
                    <w:right w:val="none" w:sz="0" w:space="0" w:color="auto"/>
                  </w:divBdr>
                </w:div>
                <w:div w:id="451216572">
                  <w:marLeft w:val="0"/>
                  <w:marRight w:val="0"/>
                  <w:marTop w:val="0"/>
                  <w:marBottom w:val="0"/>
                  <w:divBdr>
                    <w:top w:val="none" w:sz="0" w:space="0" w:color="auto"/>
                    <w:left w:val="none" w:sz="0" w:space="0" w:color="auto"/>
                    <w:bottom w:val="none" w:sz="0" w:space="0" w:color="auto"/>
                    <w:right w:val="none" w:sz="0" w:space="0" w:color="auto"/>
                  </w:divBdr>
                </w:div>
                <w:div w:id="811018446">
                  <w:marLeft w:val="0"/>
                  <w:marRight w:val="0"/>
                  <w:marTop w:val="0"/>
                  <w:marBottom w:val="0"/>
                  <w:divBdr>
                    <w:top w:val="none" w:sz="0" w:space="0" w:color="auto"/>
                    <w:left w:val="none" w:sz="0" w:space="0" w:color="auto"/>
                    <w:bottom w:val="none" w:sz="0" w:space="0" w:color="auto"/>
                    <w:right w:val="none" w:sz="0" w:space="0" w:color="auto"/>
                  </w:divBdr>
                </w:div>
                <w:div w:id="70978271">
                  <w:marLeft w:val="0"/>
                  <w:marRight w:val="0"/>
                  <w:marTop w:val="0"/>
                  <w:marBottom w:val="0"/>
                  <w:divBdr>
                    <w:top w:val="none" w:sz="0" w:space="0" w:color="auto"/>
                    <w:left w:val="none" w:sz="0" w:space="0" w:color="auto"/>
                    <w:bottom w:val="none" w:sz="0" w:space="0" w:color="auto"/>
                    <w:right w:val="none" w:sz="0" w:space="0" w:color="auto"/>
                  </w:divBdr>
                </w:div>
                <w:div w:id="433132668">
                  <w:marLeft w:val="0"/>
                  <w:marRight w:val="0"/>
                  <w:marTop w:val="0"/>
                  <w:marBottom w:val="0"/>
                  <w:divBdr>
                    <w:top w:val="none" w:sz="0" w:space="0" w:color="auto"/>
                    <w:left w:val="none" w:sz="0" w:space="0" w:color="auto"/>
                    <w:bottom w:val="none" w:sz="0" w:space="0" w:color="auto"/>
                    <w:right w:val="none" w:sz="0" w:space="0" w:color="auto"/>
                  </w:divBdr>
                </w:div>
                <w:div w:id="16164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21174">
          <w:marLeft w:val="0"/>
          <w:marRight w:val="0"/>
          <w:marTop w:val="15"/>
          <w:marBottom w:val="0"/>
          <w:divBdr>
            <w:top w:val="none" w:sz="0" w:space="0" w:color="auto"/>
            <w:left w:val="none" w:sz="0" w:space="0" w:color="auto"/>
            <w:bottom w:val="none" w:sz="0" w:space="0" w:color="auto"/>
            <w:right w:val="none" w:sz="0" w:space="0" w:color="auto"/>
          </w:divBdr>
          <w:divsChild>
            <w:div w:id="1378629169">
              <w:marLeft w:val="0"/>
              <w:marRight w:val="0"/>
              <w:marTop w:val="0"/>
              <w:marBottom w:val="0"/>
              <w:divBdr>
                <w:top w:val="none" w:sz="0" w:space="0" w:color="auto"/>
                <w:left w:val="none" w:sz="0" w:space="0" w:color="auto"/>
                <w:bottom w:val="none" w:sz="0" w:space="0" w:color="auto"/>
                <w:right w:val="none" w:sz="0" w:space="0" w:color="auto"/>
              </w:divBdr>
              <w:divsChild>
                <w:div w:id="2027704512">
                  <w:marLeft w:val="0"/>
                  <w:marRight w:val="0"/>
                  <w:marTop w:val="0"/>
                  <w:marBottom w:val="0"/>
                  <w:divBdr>
                    <w:top w:val="none" w:sz="0" w:space="0" w:color="auto"/>
                    <w:left w:val="none" w:sz="0" w:space="0" w:color="auto"/>
                    <w:bottom w:val="none" w:sz="0" w:space="0" w:color="auto"/>
                    <w:right w:val="none" w:sz="0" w:space="0" w:color="auto"/>
                  </w:divBdr>
                </w:div>
                <w:div w:id="1664971891">
                  <w:marLeft w:val="0"/>
                  <w:marRight w:val="0"/>
                  <w:marTop w:val="0"/>
                  <w:marBottom w:val="0"/>
                  <w:divBdr>
                    <w:top w:val="none" w:sz="0" w:space="0" w:color="auto"/>
                    <w:left w:val="none" w:sz="0" w:space="0" w:color="auto"/>
                    <w:bottom w:val="none" w:sz="0" w:space="0" w:color="auto"/>
                    <w:right w:val="none" w:sz="0" w:space="0" w:color="auto"/>
                  </w:divBdr>
                </w:div>
                <w:div w:id="214699716">
                  <w:marLeft w:val="0"/>
                  <w:marRight w:val="0"/>
                  <w:marTop w:val="0"/>
                  <w:marBottom w:val="0"/>
                  <w:divBdr>
                    <w:top w:val="none" w:sz="0" w:space="0" w:color="auto"/>
                    <w:left w:val="none" w:sz="0" w:space="0" w:color="auto"/>
                    <w:bottom w:val="none" w:sz="0" w:space="0" w:color="auto"/>
                    <w:right w:val="none" w:sz="0" w:space="0" w:color="auto"/>
                  </w:divBdr>
                </w:div>
                <w:div w:id="2119257107">
                  <w:marLeft w:val="0"/>
                  <w:marRight w:val="0"/>
                  <w:marTop w:val="0"/>
                  <w:marBottom w:val="0"/>
                  <w:divBdr>
                    <w:top w:val="none" w:sz="0" w:space="0" w:color="auto"/>
                    <w:left w:val="none" w:sz="0" w:space="0" w:color="auto"/>
                    <w:bottom w:val="none" w:sz="0" w:space="0" w:color="auto"/>
                    <w:right w:val="none" w:sz="0" w:space="0" w:color="auto"/>
                  </w:divBdr>
                </w:div>
                <w:div w:id="291522786">
                  <w:marLeft w:val="0"/>
                  <w:marRight w:val="0"/>
                  <w:marTop w:val="0"/>
                  <w:marBottom w:val="0"/>
                  <w:divBdr>
                    <w:top w:val="none" w:sz="0" w:space="0" w:color="auto"/>
                    <w:left w:val="none" w:sz="0" w:space="0" w:color="auto"/>
                    <w:bottom w:val="none" w:sz="0" w:space="0" w:color="auto"/>
                    <w:right w:val="none" w:sz="0" w:space="0" w:color="auto"/>
                  </w:divBdr>
                </w:div>
                <w:div w:id="879710176">
                  <w:marLeft w:val="0"/>
                  <w:marRight w:val="0"/>
                  <w:marTop w:val="0"/>
                  <w:marBottom w:val="0"/>
                  <w:divBdr>
                    <w:top w:val="none" w:sz="0" w:space="0" w:color="auto"/>
                    <w:left w:val="none" w:sz="0" w:space="0" w:color="auto"/>
                    <w:bottom w:val="none" w:sz="0" w:space="0" w:color="auto"/>
                    <w:right w:val="none" w:sz="0" w:space="0" w:color="auto"/>
                  </w:divBdr>
                </w:div>
                <w:div w:id="1766851062">
                  <w:marLeft w:val="0"/>
                  <w:marRight w:val="0"/>
                  <w:marTop w:val="0"/>
                  <w:marBottom w:val="0"/>
                  <w:divBdr>
                    <w:top w:val="none" w:sz="0" w:space="0" w:color="auto"/>
                    <w:left w:val="none" w:sz="0" w:space="0" w:color="auto"/>
                    <w:bottom w:val="none" w:sz="0" w:space="0" w:color="auto"/>
                    <w:right w:val="none" w:sz="0" w:space="0" w:color="auto"/>
                  </w:divBdr>
                </w:div>
                <w:div w:id="803162465">
                  <w:marLeft w:val="0"/>
                  <w:marRight w:val="0"/>
                  <w:marTop w:val="0"/>
                  <w:marBottom w:val="0"/>
                  <w:divBdr>
                    <w:top w:val="none" w:sz="0" w:space="0" w:color="auto"/>
                    <w:left w:val="none" w:sz="0" w:space="0" w:color="auto"/>
                    <w:bottom w:val="none" w:sz="0" w:space="0" w:color="auto"/>
                    <w:right w:val="none" w:sz="0" w:space="0" w:color="auto"/>
                  </w:divBdr>
                </w:div>
                <w:div w:id="986134310">
                  <w:marLeft w:val="0"/>
                  <w:marRight w:val="0"/>
                  <w:marTop w:val="0"/>
                  <w:marBottom w:val="0"/>
                  <w:divBdr>
                    <w:top w:val="none" w:sz="0" w:space="0" w:color="auto"/>
                    <w:left w:val="none" w:sz="0" w:space="0" w:color="auto"/>
                    <w:bottom w:val="none" w:sz="0" w:space="0" w:color="auto"/>
                    <w:right w:val="none" w:sz="0" w:space="0" w:color="auto"/>
                  </w:divBdr>
                </w:div>
                <w:div w:id="1170800709">
                  <w:marLeft w:val="0"/>
                  <w:marRight w:val="0"/>
                  <w:marTop w:val="0"/>
                  <w:marBottom w:val="0"/>
                  <w:divBdr>
                    <w:top w:val="none" w:sz="0" w:space="0" w:color="auto"/>
                    <w:left w:val="none" w:sz="0" w:space="0" w:color="auto"/>
                    <w:bottom w:val="none" w:sz="0" w:space="0" w:color="auto"/>
                    <w:right w:val="none" w:sz="0" w:space="0" w:color="auto"/>
                  </w:divBdr>
                </w:div>
                <w:div w:id="1832063556">
                  <w:marLeft w:val="0"/>
                  <w:marRight w:val="0"/>
                  <w:marTop w:val="0"/>
                  <w:marBottom w:val="0"/>
                  <w:divBdr>
                    <w:top w:val="none" w:sz="0" w:space="0" w:color="auto"/>
                    <w:left w:val="none" w:sz="0" w:space="0" w:color="auto"/>
                    <w:bottom w:val="none" w:sz="0" w:space="0" w:color="auto"/>
                    <w:right w:val="none" w:sz="0" w:space="0" w:color="auto"/>
                  </w:divBdr>
                </w:div>
                <w:div w:id="1226650038">
                  <w:marLeft w:val="0"/>
                  <w:marRight w:val="0"/>
                  <w:marTop w:val="0"/>
                  <w:marBottom w:val="0"/>
                  <w:divBdr>
                    <w:top w:val="none" w:sz="0" w:space="0" w:color="auto"/>
                    <w:left w:val="none" w:sz="0" w:space="0" w:color="auto"/>
                    <w:bottom w:val="none" w:sz="0" w:space="0" w:color="auto"/>
                    <w:right w:val="none" w:sz="0" w:space="0" w:color="auto"/>
                  </w:divBdr>
                </w:div>
                <w:div w:id="525876230">
                  <w:marLeft w:val="0"/>
                  <w:marRight w:val="0"/>
                  <w:marTop w:val="0"/>
                  <w:marBottom w:val="0"/>
                  <w:divBdr>
                    <w:top w:val="none" w:sz="0" w:space="0" w:color="auto"/>
                    <w:left w:val="none" w:sz="0" w:space="0" w:color="auto"/>
                    <w:bottom w:val="none" w:sz="0" w:space="0" w:color="auto"/>
                    <w:right w:val="none" w:sz="0" w:space="0" w:color="auto"/>
                  </w:divBdr>
                </w:div>
                <w:div w:id="1099638795">
                  <w:marLeft w:val="0"/>
                  <w:marRight w:val="0"/>
                  <w:marTop w:val="0"/>
                  <w:marBottom w:val="0"/>
                  <w:divBdr>
                    <w:top w:val="none" w:sz="0" w:space="0" w:color="auto"/>
                    <w:left w:val="none" w:sz="0" w:space="0" w:color="auto"/>
                    <w:bottom w:val="none" w:sz="0" w:space="0" w:color="auto"/>
                    <w:right w:val="none" w:sz="0" w:space="0" w:color="auto"/>
                  </w:divBdr>
                </w:div>
                <w:div w:id="1420982549">
                  <w:marLeft w:val="0"/>
                  <w:marRight w:val="0"/>
                  <w:marTop w:val="0"/>
                  <w:marBottom w:val="0"/>
                  <w:divBdr>
                    <w:top w:val="none" w:sz="0" w:space="0" w:color="auto"/>
                    <w:left w:val="none" w:sz="0" w:space="0" w:color="auto"/>
                    <w:bottom w:val="none" w:sz="0" w:space="0" w:color="auto"/>
                    <w:right w:val="none" w:sz="0" w:space="0" w:color="auto"/>
                  </w:divBdr>
                </w:div>
                <w:div w:id="999501497">
                  <w:marLeft w:val="0"/>
                  <w:marRight w:val="0"/>
                  <w:marTop w:val="0"/>
                  <w:marBottom w:val="0"/>
                  <w:divBdr>
                    <w:top w:val="none" w:sz="0" w:space="0" w:color="auto"/>
                    <w:left w:val="none" w:sz="0" w:space="0" w:color="auto"/>
                    <w:bottom w:val="none" w:sz="0" w:space="0" w:color="auto"/>
                    <w:right w:val="none" w:sz="0" w:space="0" w:color="auto"/>
                  </w:divBdr>
                </w:div>
                <w:div w:id="184560430">
                  <w:marLeft w:val="0"/>
                  <w:marRight w:val="0"/>
                  <w:marTop w:val="0"/>
                  <w:marBottom w:val="0"/>
                  <w:divBdr>
                    <w:top w:val="none" w:sz="0" w:space="0" w:color="auto"/>
                    <w:left w:val="none" w:sz="0" w:space="0" w:color="auto"/>
                    <w:bottom w:val="none" w:sz="0" w:space="0" w:color="auto"/>
                    <w:right w:val="none" w:sz="0" w:space="0" w:color="auto"/>
                  </w:divBdr>
                </w:div>
                <w:div w:id="695009668">
                  <w:marLeft w:val="0"/>
                  <w:marRight w:val="0"/>
                  <w:marTop w:val="0"/>
                  <w:marBottom w:val="0"/>
                  <w:divBdr>
                    <w:top w:val="none" w:sz="0" w:space="0" w:color="auto"/>
                    <w:left w:val="none" w:sz="0" w:space="0" w:color="auto"/>
                    <w:bottom w:val="none" w:sz="0" w:space="0" w:color="auto"/>
                    <w:right w:val="none" w:sz="0" w:space="0" w:color="auto"/>
                  </w:divBdr>
                </w:div>
                <w:div w:id="943153755">
                  <w:marLeft w:val="0"/>
                  <w:marRight w:val="0"/>
                  <w:marTop w:val="0"/>
                  <w:marBottom w:val="0"/>
                  <w:divBdr>
                    <w:top w:val="none" w:sz="0" w:space="0" w:color="auto"/>
                    <w:left w:val="none" w:sz="0" w:space="0" w:color="auto"/>
                    <w:bottom w:val="none" w:sz="0" w:space="0" w:color="auto"/>
                    <w:right w:val="none" w:sz="0" w:space="0" w:color="auto"/>
                  </w:divBdr>
                </w:div>
                <w:div w:id="1416046749">
                  <w:marLeft w:val="0"/>
                  <w:marRight w:val="0"/>
                  <w:marTop w:val="0"/>
                  <w:marBottom w:val="0"/>
                  <w:divBdr>
                    <w:top w:val="none" w:sz="0" w:space="0" w:color="auto"/>
                    <w:left w:val="none" w:sz="0" w:space="0" w:color="auto"/>
                    <w:bottom w:val="none" w:sz="0" w:space="0" w:color="auto"/>
                    <w:right w:val="none" w:sz="0" w:space="0" w:color="auto"/>
                  </w:divBdr>
                </w:div>
                <w:div w:id="645668171">
                  <w:marLeft w:val="0"/>
                  <w:marRight w:val="0"/>
                  <w:marTop w:val="0"/>
                  <w:marBottom w:val="0"/>
                  <w:divBdr>
                    <w:top w:val="none" w:sz="0" w:space="0" w:color="auto"/>
                    <w:left w:val="none" w:sz="0" w:space="0" w:color="auto"/>
                    <w:bottom w:val="none" w:sz="0" w:space="0" w:color="auto"/>
                    <w:right w:val="none" w:sz="0" w:space="0" w:color="auto"/>
                  </w:divBdr>
                </w:div>
                <w:div w:id="1521043030">
                  <w:marLeft w:val="0"/>
                  <w:marRight w:val="0"/>
                  <w:marTop w:val="0"/>
                  <w:marBottom w:val="0"/>
                  <w:divBdr>
                    <w:top w:val="none" w:sz="0" w:space="0" w:color="auto"/>
                    <w:left w:val="none" w:sz="0" w:space="0" w:color="auto"/>
                    <w:bottom w:val="none" w:sz="0" w:space="0" w:color="auto"/>
                    <w:right w:val="none" w:sz="0" w:space="0" w:color="auto"/>
                  </w:divBdr>
                </w:div>
                <w:div w:id="2057582535">
                  <w:marLeft w:val="0"/>
                  <w:marRight w:val="0"/>
                  <w:marTop w:val="0"/>
                  <w:marBottom w:val="0"/>
                  <w:divBdr>
                    <w:top w:val="none" w:sz="0" w:space="0" w:color="auto"/>
                    <w:left w:val="none" w:sz="0" w:space="0" w:color="auto"/>
                    <w:bottom w:val="none" w:sz="0" w:space="0" w:color="auto"/>
                    <w:right w:val="none" w:sz="0" w:space="0" w:color="auto"/>
                  </w:divBdr>
                </w:div>
                <w:div w:id="1944150375">
                  <w:marLeft w:val="0"/>
                  <w:marRight w:val="0"/>
                  <w:marTop w:val="0"/>
                  <w:marBottom w:val="0"/>
                  <w:divBdr>
                    <w:top w:val="none" w:sz="0" w:space="0" w:color="auto"/>
                    <w:left w:val="none" w:sz="0" w:space="0" w:color="auto"/>
                    <w:bottom w:val="none" w:sz="0" w:space="0" w:color="auto"/>
                    <w:right w:val="none" w:sz="0" w:space="0" w:color="auto"/>
                  </w:divBdr>
                </w:div>
                <w:div w:id="1216236534">
                  <w:marLeft w:val="0"/>
                  <w:marRight w:val="0"/>
                  <w:marTop w:val="0"/>
                  <w:marBottom w:val="0"/>
                  <w:divBdr>
                    <w:top w:val="none" w:sz="0" w:space="0" w:color="auto"/>
                    <w:left w:val="none" w:sz="0" w:space="0" w:color="auto"/>
                    <w:bottom w:val="none" w:sz="0" w:space="0" w:color="auto"/>
                    <w:right w:val="none" w:sz="0" w:space="0" w:color="auto"/>
                  </w:divBdr>
                </w:div>
                <w:div w:id="698898344">
                  <w:marLeft w:val="0"/>
                  <w:marRight w:val="0"/>
                  <w:marTop w:val="0"/>
                  <w:marBottom w:val="0"/>
                  <w:divBdr>
                    <w:top w:val="none" w:sz="0" w:space="0" w:color="auto"/>
                    <w:left w:val="none" w:sz="0" w:space="0" w:color="auto"/>
                    <w:bottom w:val="none" w:sz="0" w:space="0" w:color="auto"/>
                    <w:right w:val="none" w:sz="0" w:space="0" w:color="auto"/>
                  </w:divBdr>
                </w:div>
                <w:div w:id="174525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49970">
          <w:marLeft w:val="0"/>
          <w:marRight w:val="0"/>
          <w:marTop w:val="15"/>
          <w:marBottom w:val="0"/>
          <w:divBdr>
            <w:top w:val="none" w:sz="0" w:space="0" w:color="auto"/>
            <w:left w:val="none" w:sz="0" w:space="0" w:color="auto"/>
            <w:bottom w:val="none" w:sz="0" w:space="0" w:color="auto"/>
            <w:right w:val="none" w:sz="0" w:space="0" w:color="auto"/>
          </w:divBdr>
          <w:divsChild>
            <w:div w:id="95178880">
              <w:marLeft w:val="0"/>
              <w:marRight w:val="0"/>
              <w:marTop w:val="0"/>
              <w:marBottom w:val="0"/>
              <w:divBdr>
                <w:top w:val="none" w:sz="0" w:space="0" w:color="auto"/>
                <w:left w:val="none" w:sz="0" w:space="0" w:color="auto"/>
                <w:bottom w:val="none" w:sz="0" w:space="0" w:color="auto"/>
                <w:right w:val="none" w:sz="0" w:space="0" w:color="auto"/>
              </w:divBdr>
              <w:divsChild>
                <w:div w:id="1879319389">
                  <w:marLeft w:val="0"/>
                  <w:marRight w:val="0"/>
                  <w:marTop w:val="0"/>
                  <w:marBottom w:val="0"/>
                  <w:divBdr>
                    <w:top w:val="none" w:sz="0" w:space="0" w:color="auto"/>
                    <w:left w:val="none" w:sz="0" w:space="0" w:color="auto"/>
                    <w:bottom w:val="none" w:sz="0" w:space="0" w:color="auto"/>
                    <w:right w:val="none" w:sz="0" w:space="0" w:color="auto"/>
                  </w:divBdr>
                </w:div>
                <w:div w:id="968121625">
                  <w:marLeft w:val="0"/>
                  <w:marRight w:val="0"/>
                  <w:marTop w:val="0"/>
                  <w:marBottom w:val="0"/>
                  <w:divBdr>
                    <w:top w:val="none" w:sz="0" w:space="0" w:color="auto"/>
                    <w:left w:val="none" w:sz="0" w:space="0" w:color="auto"/>
                    <w:bottom w:val="none" w:sz="0" w:space="0" w:color="auto"/>
                    <w:right w:val="none" w:sz="0" w:space="0" w:color="auto"/>
                  </w:divBdr>
                </w:div>
                <w:div w:id="589894860">
                  <w:marLeft w:val="0"/>
                  <w:marRight w:val="0"/>
                  <w:marTop w:val="0"/>
                  <w:marBottom w:val="0"/>
                  <w:divBdr>
                    <w:top w:val="none" w:sz="0" w:space="0" w:color="auto"/>
                    <w:left w:val="none" w:sz="0" w:space="0" w:color="auto"/>
                    <w:bottom w:val="none" w:sz="0" w:space="0" w:color="auto"/>
                    <w:right w:val="none" w:sz="0" w:space="0" w:color="auto"/>
                  </w:divBdr>
                </w:div>
                <w:div w:id="1697580529">
                  <w:marLeft w:val="0"/>
                  <w:marRight w:val="0"/>
                  <w:marTop w:val="0"/>
                  <w:marBottom w:val="0"/>
                  <w:divBdr>
                    <w:top w:val="none" w:sz="0" w:space="0" w:color="auto"/>
                    <w:left w:val="none" w:sz="0" w:space="0" w:color="auto"/>
                    <w:bottom w:val="none" w:sz="0" w:space="0" w:color="auto"/>
                    <w:right w:val="none" w:sz="0" w:space="0" w:color="auto"/>
                  </w:divBdr>
                </w:div>
                <w:div w:id="2088569277">
                  <w:marLeft w:val="0"/>
                  <w:marRight w:val="0"/>
                  <w:marTop w:val="0"/>
                  <w:marBottom w:val="0"/>
                  <w:divBdr>
                    <w:top w:val="none" w:sz="0" w:space="0" w:color="auto"/>
                    <w:left w:val="none" w:sz="0" w:space="0" w:color="auto"/>
                    <w:bottom w:val="none" w:sz="0" w:space="0" w:color="auto"/>
                    <w:right w:val="none" w:sz="0" w:space="0" w:color="auto"/>
                  </w:divBdr>
                </w:div>
                <w:div w:id="858474209">
                  <w:marLeft w:val="0"/>
                  <w:marRight w:val="0"/>
                  <w:marTop w:val="0"/>
                  <w:marBottom w:val="0"/>
                  <w:divBdr>
                    <w:top w:val="none" w:sz="0" w:space="0" w:color="auto"/>
                    <w:left w:val="none" w:sz="0" w:space="0" w:color="auto"/>
                    <w:bottom w:val="none" w:sz="0" w:space="0" w:color="auto"/>
                    <w:right w:val="none" w:sz="0" w:space="0" w:color="auto"/>
                  </w:divBdr>
                </w:div>
                <w:div w:id="1001737240">
                  <w:marLeft w:val="0"/>
                  <w:marRight w:val="0"/>
                  <w:marTop w:val="0"/>
                  <w:marBottom w:val="0"/>
                  <w:divBdr>
                    <w:top w:val="none" w:sz="0" w:space="0" w:color="auto"/>
                    <w:left w:val="none" w:sz="0" w:space="0" w:color="auto"/>
                    <w:bottom w:val="none" w:sz="0" w:space="0" w:color="auto"/>
                    <w:right w:val="none" w:sz="0" w:space="0" w:color="auto"/>
                  </w:divBdr>
                </w:div>
                <w:div w:id="1235356770">
                  <w:marLeft w:val="0"/>
                  <w:marRight w:val="0"/>
                  <w:marTop w:val="0"/>
                  <w:marBottom w:val="0"/>
                  <w:divBdr>
                    <w:top w:val="none" w:sz="0" w:space="0" w:color="auto"/>
                    <w:left w:val="none" w:sz="0" w:space="0" w:color="auto"/>
                    <w:bottom w:val="none" w:sz="0" w:space="0" w:color="auto"/>
                    <w:right w:val="none" w:sz="0" w:space="0" w:color="auto"/>
                  </w:divBdr>
                </w:div>
                <w:div w:id="304354092">
                  <w:marLeft w:val="0"/>
                  <w:marRight w:val="0"/>
                  <w:marTop w:val="0"/>
                  <w:marBottom w:val="0"/>
                  <w:divBdr>
                    <w:top w:val="none" w:sz="0" w:space="0" w:color="auto"/>
                    <w:left w:val="none" w:sz="0" w:space="0" w:color="auto"/>
                    <w:bottom w:val="none" w:sz="0" w:space="0" w:color="auto"/>
                    <w:right w:val="none" w:sz="0" w:space="0" w:color="auto"/>
                  </w:divBdr>
                </w:div>
                <w:div w:id="2041977291">
                  <w:marLeft w:val="0"/>
                  <w:marRight w:val="0"/>
                  <w:marTop w:val="0"/>
                  <w:marBottom w:val="0"/>
                  <w:divBdr>
                    <w:top w:val="none" w:sz="0" w:space="0" w:color="auto"/>
                    <w:left w:val="none" w:sz="0" w:space="0" w:color="auto"/>
                    <w:bottom w:val="none" w:sz="0" w:space="0" w:color="auto"/>
                    <w:right w:val="none" w:sz="0" w:space="0" w:color="auto"/>
                  </w:divBdr>
                </w:div>
                <w:div w:id="261423887">
                  <w:marLeft w:val="0"/>
                  <w:marRight w:val="0"/>
                  <w:marTop w:val="0"/>
                  <w:marBottom w:val="0"/>
                  <w:divBdr>
                    <w:top w:val="none" w:sz="0" w:space="0" w:color="auto"/>
                    <w:left w:val="none" w:sz="0" w:space="0" w:color="auto"/>
                    <w:bottom w:val="none" w:sz="0" w:space="0" w:color="auto"/>
                    <w:right w:val="none" w:sz="0" w:space="0" w:color="auto"/>
                  </w:divBdr>
                </w:div>
                <w:div w:id="1467233105">
                  <w:marLeft w:val="0"/>
                  <w:marRight w:val="0"/>
                  <w:marTop w:val="0"/>
                  <w:marBottom w:val="0"/>
                  <w:divBdr>
                    <w:top w:val="none" w:sz="0" w:space="0" w:color="auto"/>
                    <w:left w:val="none" w:sz="0" w:space="0" w:color="auto"/>
                    <w:bottom w:val="none" w:sz="0" w:space="0" w:color="auto"/>
                    <w:right w:val="none" w:sz="0" w:space="0" w:color="auto"/>
                  </w:divBdr>
                </w:div>
                <w:div w:id="1216619303">
                  <w:marLeft w:val="0"/>
                  <w:marRight w:val="0"/>
                  <w:marTop w:val="0"/>
                  <w:marBottom w:val="0"/>
                  <w:divBdr>
                    <w:top w:val="none" w:sz="0" w:space="0" w:color="auto"/>
                    <w:left w:val="none" w:sz="0" w:space="0" w:color="auto"/>
                    <w:bottom w:val="none" w:sz="0" w:space="0" w:color="auto"/>
                    <w:right w:val="none" w:sz="0" w:space="0" w:color="auto"/>
                  </w:divBdr>
                </w:div>
                <w:div w:id="596987591">
                  <w:marLeft w:val="0"/>
                  <w:marRight w:val="0"/>
                  <w:marTop w:val="0"/>
                  <w:marBottom w:val="0"/>
                  <w:divBdr>
                    <w:top w:val="none" w:sz="0" w:space="0" w:color="auto"/>
                    <w:left w:val="none" w:sz="0" w:space="0" w:color="auto"/>
                    <w:bottom w:val="none" w:sz="0" w:space="0" w:color="auto"/>
                    <w:right w:val="none" w:sz="0" w:space="0" w:color="auto"/>
                  </w:divBdr>
                </w:div>
                <w:div w:id="1211768635">
                  <w:marLeft w:val="0"/>
                  <w:marRight w:val="0"/>
                  <w:marTop w:val="0"/>
                  <w:marBottom w:val="0"/>
                  <w:divBdr>
                    <w:top w:val="none" w:sz="0" w:space="0" w:color="auto"/>
                    <w:left w:val="none" w:sz="0" w:space="0" w:color="auto"/>
                    <w:bottom w:val="none" w:sz="0" w:space="0" w:color="auto"/>
                    <w:right w:val="none" w:sz="0" w:space="0" w:color="auto"/>
                  </w:divBdr>
                </w:div>
                <w:div w:id="771316776">
                  <w:marLeft w:val="0"/>
                  <w:marRight w:val="0"/>
                  <w:marTop w:val="0"/>
                  <w:marBottom w:val="0"/>
                  <w:divBdr>
                    <w:top w:val="none" w:sz="0" w:space="0" w:color="auto"/>
                    <w:left w:val="none" w:sz="0" w:space="0" w:color="auto"/>
                    <w:bottom w:val="none" w:sz="0" w:space="0" w:color="auto"/>
                    <w:right w:val="none" w:sz="0" w:space="0" w:color="auto"/>
                  </w:divBdr>
                </w:div>
                <w:div w:id="101926158">
                  <w:marLeft w:val="0"/>
                  <w:marRight w:val="0"/>
                  <w:marTop w:val="0"/>
                  <w:marBottom w:val="0"/>
                  <w:divBdr>
                    <w:top w:val="none" w:sz="0" w:space="0" w:color="auto"/>
                    <w:left w:val="none" w:sz="0" w:space="0" w:color="auto"/>
                    <w:bottom w:val="none" w:sz="0" w:space="0" w:color="auto"/>
                    <w:right w:val="none" w:sz="0" w:space="0" w:color="auto"/>
                  </w:divBdr>
                </w:div>
                <w:div w:id="956059191">
                  <w:marLeft w:val="0"/>
                  <w:marRight w:val="0"/>
                  <w:marTop w:val="0"/>
                  <w:marBottom w:val="0"/>
                  <w:divBdr>
                    <w:top w:val="none" w:sz="0" w:space="0" w:color="auto"/>
                    <w:left w:val="none" w:sz="0" w:space="0" w:color="auto"/>
                    <w:bottom w:val="none" w:sz="0" w:space="0" w:color="auto"/>
                    <w:right w:val="none" w:sz="0" w:space="0" w:color="auto"/>
                  </w:divBdr>
                </w:div>
                <w:div w:id="786898676">
                  <w:marLeft w:val="0"/>
                  <w:marRight w:val="0"/>
                  <w:marTop w:val="0"/>
                  <w:marBottom w:val="0"/>
                  <w:divBdr>
                    <w:top w:val="none" w:sz="0" w:space="0" w:color="auto"/>
                    <w:left w:val="none" w:sz="0" w:space="0" w:color="auto"/>
                    <w:bottom w:val="none" w:sz="0" w:space="0" w:color="auto"/>
                    <w:right w:val="none" w:sz="0" w:space="0" w:color="auto"/>
                  </w:divBdr>
                </w:div>
                <w:div w:id="320541821">
                  <w:marLeft w:val="0"/>
                  <w:marRight w:val="0"/>
                  <w:marTop w:val="0"/>
                  <w:marBottom w:val="0"/>
                  <w:divBdr>
                    <w:top w:val="none" w:sz="0" w:space="0" w:color="auto"/>
                    <w:left w:val="none" w:sz="0" w:space="0" w:color="auto"/>
                    <w:bottom w:val="none" w:sz="0" w:space="0" w:color="auto"/>
                    <w:right w:val="none" w:sz="0" w:space="0" w:color="auto"/>
                  </w:divBdr>
                </w:div>
                <w:div w:id="366293814">
                  <w:marLeft w:val="0"/>
                  <w:marRight w:val="0"/>
                  <w:marTop w:val="0"/>
                  <w:marBottom w:val="0"/>
                  <w:divBdr>
                    <w:top w:val="none" w:sz="0" w:space="0" w:color="auto"/>
                    <w:left w:val="none" w:sz="0" w:space="0" w:color="auto"/>
                    <w:bottom w:val="none" w:sz="0" w:space="0" w:color="auto"/>
                    <w:right w:val="none" w:sz="0" w:space="0" w:color="auto"/>
                  </w:divBdr>
                </w:div>
                <w:div w:id="653609563">
                  <w:marLeft w:val="0"/>
                  <w:marRight w:val="0"/>
                  <w:marTop w:val="0"/>
                  <w:marBottom w:val="0"/>
                  <w:divBdr>
                    <w:top w:val="none" w:sz="0" w:space="0" w:color="auto"/>
                    <w:left w:val="none" w:sz="0" w:space="0" w:color="auto"/>
                    <w:bottom w:val="none" w:sz="0" w:space="0" w:color="auto"/>
                    <w:right w:val="none" w:sz="0" w:space="0" w:color="auto"/>
                  </w:divBdr>
                </w:div>
                <w:div w:id="604535358">
                  <w:marLeft w:val="0"/>
                  <w:marRight w:val="0"/>
                  <w:marTop w:val="0"/>
                  <w:marBottom w:val="0"/>
                  <w:divBdr>
                    <w:top w:val="none" w:sz="0" w:space="0" w:color="auto"/>
                    <w:left w:val="none" w:sz="0" w:space="0" w:color="auto"/>
                    <w:bottom w:val="none" w:sz="0" w:space="0" w:color="auto"/>
                    <w:right w:val="none" w:sz="0" w:space="0" w:color="auto"/>
                  </w:divBdr>
                </w:div>
                <w:div w:id="1090589978">
                  <w:marLeft w:val="0"/>
                  <w:marRight w:val="0"/>
                  <w:marTop w:val="0"/>
                  <w:marBottom w:val="0"/>
                  <w:divBdr>
                    <w:top w:val="none" w:sz="0" w:space="0" w:color="auto"/>
                    <w:left w:val="none" w:sz="0" w:space="0" w:color="auto"/>
                    <w:bottom w:val="none" w:sz="0" w:space="0" w:color="auto"/>
                    <w:right w:val="none" w:sz="0" w:space="0" w:color="auto"/>
                  </w:divBdr>
                </w:div>
                <w:div w:id="545685148">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 w:id="5693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5546">
          <w:marLeft w:val="0"/>
          <w:marRight w:val="0"/>
          <w:marTop w:val="15"/>
          <w:marBottom w:val="0"/>
          <w:divBdr>
            <w:top w:val="none" w:sz="0" w:space="0" w:color="auto"/>
            <w:left w:val="none" w:sz="0" w:space="0" w:color="auto"/>
            <w:bottom w:val="none" w:sz="0" w:space="0" w:color="auto"/>
            <w:right w:val="none" w:sz="0" w:space="0" w:color="auto"/>
          </w:divBdr>
          <w:divsChild>
            <w:div w:id="1978367330">
              <w:marLeft w:val="0"/>
              <w:marRight w:val="0"/>
              <w:marTop w:val="0"/>
              <w:marBottom w:val="0"/>
              <w:divBdr>
                <w:top w:val="none" w:sz="0" w:space="0" w:color="auto"/>
                <w:left w:val="none" w:sz="0" w:space="0" w:color="auto"/>
                <w:bottom w:val="none" w:sz="0" w:space="0" w:color="auto"/>
                <w:right w:val="none" w:sz="0" w:space="0" w:color="auto"/>
              </w:divBdr>
              <w:divsChild>
                <w:div w:id="1648048802">
                  <w:marLeft w:val="0"/>
                  <w:marRight w:val="0"/>
                  <w:marTop w:val="0"/>
                  <w:marBottom w:val="0"/>
                  <w:divBdr>
                    <w:top w:val="none" w:sz="0" w:space="0" w:color="auto"/>
                    <w:left w:val="none" w:sz="0" w:space="0" w:color="auto"/>
                    <w:bottom w:val="none" w:sz="0" w:space="0" w:color="auto"/>
                    <w:right w:val="none" w:sz="0" w:space="0" w:color="auto"/>
                  </w:divBdr>
                </w:div>
                <w:div w:id="1770200312">
                  <w:marLeft w:val="0"/>
                  <w:marRight w:val="0"/>
                  <w:marTop w:val="0"/>
                  <w:marBottom w:val="0"/>
                  <w:divBdr>
                    <w:top w:val="none" w:sz="0" w:space="0" w:color="auto"/>
                    <w:left w:val="none" w:sz="0" w:space="0" w:color="auto"/>
                    <w:bottom w:val="none" w:sz="0" w:space="0" w:color="auto"/>
                    <w:right w:val="none" w:sz="0" w:space="0" w:color="auto"/>
                  </w:divBdr>
                </w:div>
                <w:div w:id="1635135052">
                  <w:marLeft w:val="0"/>
                  <w:marRight w:val="0"/>
                  <w:marTop w:val="0"/>
                  <w:marBottom w:val="0"/>
                  <w:divBdr>
                    <w:top w:val="none" w:sz="0" w:space="0" w:color="auto"/>
                    <w:left w:val="none" w:sz="0" w:space="0" w:color="auto"/>
                    <w:bottom w:val="none" w:sz="0" w:space="0" w:color="auto"/>
                    <w:right w:val="none" w:sz="0" w:space="0" w:color="auto"/>
                  </w:divBdr>
                </w:div>
                <w:div w:id="859274877">
                  <w:marLeft w:val="0"/>
                  <w:marRight w:val="0"/>
                  <w:marTop w:val="0"/>
                  <w:marBottom w:val="0"/>
                  <w:divBdr>
                    <w:top w:val="none" w:sz="0" w:space="0" w:color="auto"/>
                    <w:left w:val="none" w:sz="0" w:space="0" w:color="auto"/>
                    <w:bottom w:val="none" w:sz="0" w:space="0" w:color="auto"/>
                    <w:right w:val="none" w:sz="0" w:space="0" w:color="auto"/>
                  </w:divBdr>
                </w:div>
                <w:div w:id="1031420194">
                  <w:marLeft w:val="0"/>
                  <w:marRight w:val="0"/>
                  <w:marTop w:val="0"/>
                  <w:marBottom w:val="0"/>
                  <w:divBdr>
                    <w:top w:val="none" w:sz="0" w:space="0" w:color="auto"/>
                    <w:left w:val="none" w:sz="0" w:space="0" w:color="auto"/>
                    <w:bottom w:val="none" w:sz="0" w:space="0" w:color="auto"/>
                    <w:right w:val="none" w:sz="0" w:space="0" w:color="auto"/>
                  </w:divBdr>
                </w:div>
                <w:div w:id="1903980022">
                  <w:marLeft w:val="0"/>
                  <w:marRight w:val="0"/>
                  <w:marTop w:val="0"/>
                  <w:marBottom w:val="0"/>
                  <w:divBdr>
                    <w:top w:val="none" w:sz="0" w:space="0" w:color="auto"/>
                    <w:left w:val="none" w:sz="0" w:space="0" w:color="auto"/>
                    <w:bottom w:val="none" w:sz="0" w:space="0" w:color="auto"/>
                    <w:right w:val="none" w:sz="0" w:space="0" w:color="auto"/>
                  </w:divBdr>
                </w:div>
                <w:div w:id="517695247">
                  <w:marLeft w:val="0"/>
                  <w:marRight w:val="0"/>
                  <w:marTop w:val="0"/>
                  <w:marBottom w:val="0"/>
                  <w:divBdr>
                    <w:top w:val="none" w:sz="0" w:space="0" w:color="auto"/>
                    <w:left w:val="none" w:sz="0" w:space="0" w:color="auto"/>
                    <w:bottom w:val="none" w:sz="0" w:space="0" w:color="auto"/>
                    <w:right w:val="none" w:sz="0" w:space="0" w:color="auto"/>
                  </w:divBdr>
                </w:div>
                <w:div w:id="1660965699">
                  <w:marLeft w:val="0"/>
                  <w:marRight w:val="0"/>
                  <w:marTop w:val="0"/>
                  <w:marBottom w:val="0"/>
                  <w:divBdr>
                    <w:top w:val="none" w:sz="0" w:space="0" w:color="auto"/>
                    <w:left w:val="none" w:sz="0" w:space="0" w:color="auto"/>
                    <w:bottom w:val="none" w:sz="0" w:space="0" w:color="auto"/>
                    <w:right w:val="none" w:sz="0" w:space="0" w:color="auto"/>
                  </w:divBdr>
                </w:div>
                <w:div w:id="1659503311">
                  <w:marLeft w:val="0"/>
                  <w:marRight w:val="0"/>
                  <w:marTop w:val="0"/>
                  <w:marBottom w:val="0"/>
                  <w:divBdr>
                    <w:top w:val="none" w:sz="0" w:space="0" w:color="auto"/>
                    <w:left w:val="none" w:sz="0" w:space="0" w:color="auto"/>
                    <w:bottom w:val="none" w:sz="0" w:space="0" w:color="auto"/>
                    <w:right w:val="none" w:sz="0" w:space="0" w:color="auto"/>
                  </w:divBdr>
                </w:div>
                <w:div w:id="977223538">
                  <w:marLeft w:val="0"/>
                  <w:marRight w:val="0"/>
                  <w:marTop w:val="0"/>
                  <w:marBottom w:val="0"/>
                  <w:divBdr>
                    <w:top w:val="none" w:sz="0" w:space="0" w:color="auto"/>
                    <w:left w:val="none" w:sz="0" w:space="0" w:color="auto"/>
                    <w:bottom w:val="none" w:sz="0" w:space="0" w:color="auto"/>
                    <w:right w:val="none" w:sz="0" w:space="0" w:color="auto"/>
                  </w:divBdr>
                </w:div>
                <w:div w:id="526023318">
                  <w:marLeft w:val="0"/>
                  <w:marRight w:val="0"/>
                  <w:marTop w:val="0"/>
                  <w:marBottom w:val="0"/>
                  <w:divBdr>
                    <w:top w:val="none" w:sz="0" w:space="0" w:color="auto"/>
                    <w:left w:val="none" w:sz="0" w:space="0" w:color="auto"/>
                    <w:bottom w:val="none" w:sz="0" w:space="0" w:color="auto"/>
                    <w:right w:val="none" w:sz="0" w:space="0" w:color="auto"/>
                  </w:divBdr>
                </w:div>
                <w:div w:id="2043820869">
                  <w:marLeft w:val="0"/>
                  <w:marRight w:val="0"/>
                  <w:marTop w:val="0"/>
                  <w:marBottom w:val="0"/>
                  <w:divBdr>
                    <w:top w:val="none" w:sz="0" w:space="0" w:color="auto"/>
                    <w:left w:val="none" w:sz="0" w:space="0" w:color="auto"/>
                    <w:bottom w:val="none" w:sz="0" w:space="0" w:color="auto"/>
                    <w:right w:val="none" w:sz="0" w:space="0" w:color="auto"/>
                  </w:divBdr>
                </w:div>
                <w:div w:id="1397438267">
                  <w:marLeft w:val="0"/>
                  <w:marRight w:val="0"/>
                  <w:marTop w:val="0"/>
                  <w:marBottom w:val="0"/>
                  <w:divBdr>
                    <w:top w:val="none" w:sz="0" w:space="0" w:color="auto"/>
                    <w:left w:val="none" w:sz="0" w:space="0" w:color="auto"/>
                    <w:bottom w:val="none" w:sz="0" w:space="0" w:color="auto"/>
                    <w:right w:val="none" w:sz="0" w:space="0" w:color="auto"/>
                  </w:divBdr>
                </w:div>
                <w:div w:id="1607543916">
                  <w:marLeft w:val="0"/>
                  <w:marRight w:val="0"/>
                  <w:marTop w:val="0"/>
                  <w:marBottom w:val="0"/>
                  <w:divBdr>
                    <w:top w:val="none" w:sz="0" w:space="0" w:color="auto"/>
                    <w:left w:val="none" w:sz="0" w:space="0" w:color="auto"/>
                    <w:bottom w:val="none" w:sz="0" w:space="0" w:color="auto"/>
                    <w:right w:val="none" w:sz="0" w:space="0" w:color="auto"/>
                  </w:divBdr>
                </w:div>
                <w:div w:id="1276326776">
                  <w:marLeft w:val="0"/>
                  <w:marRight w:val="0"/>
                  <w:marTop w:val="0"/>
                  <w:marBottom w:val="0"/>
                  <w:divBdr>
                    <w:top w:val="none" w:sz="0" w:space="0" w:color="auto"/>
                    <w:left w:val="none" w:sz="0" w:space="0" w:color="auto"/>
                    <w:bottom w:val="none" w:sz="0" w:space="0" w:color="auto"/>
                    <w:right w:val="none" w:sz="0" w:space="0" w:color="auto"/>
                  </w:divBdr>
                </w:div>
                <w:div w:id="394354344">
                  <w:marLeft w:val="0"/>
                  <w:marRight w:val="0"/>
                  <w:marTop w:val="0"/>
                  <w:marBottom w:val="0"/>
                  <w:divBdr>
                    <w:top w:val="none" w:sz="0" w:space="0" w:color="auto"/>
                    <w:left w:val="none" w:sz="0" w:space="0" w:color="auto"/>
                    <w:bottom w:val="none" w:sz="0" w:space="0" w:color="auto"/>
                    <w:right w:val="none" w:sz="0" w:space="0" w:color="auto"/>
                  </w:divBdr>
                </w:div>
                <w:div w:id="14236478">
                  <w:marLeft w:val="0"/>
                  <w:marRight w:val="0"/>
                  <w:marTop w:val="0"/>
                  <w:marBottom w:val="0"/>
                  <w:divBdr>
                    <w:top w:val="none" w:sz="0" w:space="0" w:color="auto"/>
                    <w:left w:val="none" w:sz="0" w:space="0" w:color="auto"/>
                    <w:bottom w:val="none" w:sz="0" w:space="0" w:color="auto"/>
                    <w:right w:val="none" w:sz="0" w:space="0" w:color="auto"/>
                  </w:divBdr>
                </w:div>
                <w:div w:id="1387021945">
                  <w:marLeft w:val="0"/>
                  <w:marRight w:val="0"/>
                  <w:marTop w:val="0"/>
                  <w:marBottom w:val="0"/>
                  <w:divBdr>
                    <w:top w:val="none" w:sz="0" w:space="0" w:color="auto"/>
                    <w:left w:val="none" w:sz="0" w:space="0" w:color="auto"/>
                    <w:bottom w:val="none" w:sz="0" w:space="0" w:color="auto"/>
                    <w:right w:val="none" w:sz="0" w:space="0" w:color="auto"/>
                  </w:divBdr>
                </w:div>
                <w:div w:id="725029012">
                  <w:marLeft w:val="0"/>
                  <w:marRight w:val="0"/>
                  <w:marTop w:val="0"/>
                  <w:marBottom w:val="0"/>
                  <w:divBdr>
                    <w:top w:val="none" w:sz="0" w:space="0" w:color="auto"/>
                    <w:left w:val="none" w:sz="0" w:space="0" w:color="auto"/>
                    <w:bottom w:val="none" w:sz="0" w:space="0" w:color="auto"/>
                    <w:right w:val="none" w:sz="0" w:space="0" w:color="auto"/>
                  </w:divBdr>
                </w:div>
                <w:div w:id="2020498358">
                  <w:marLeft w:val="0"/>
                  <w:marRight w:val="0"/>
                  <w:marTop w:val="0"/>
                  <w:marBottom w:val="0"/>
                  <w:divBdr>
                    <w:top w:val="none" w:sz="0" w:space="0" w:color="auto"/>
                    <w:left w:val="none" w:sz="0" w:space="0" w:color="auto"/>
                    <w:bottom w:val="none" w:sz="0" w:space="0" w:color="auto"/>
                    <w:right w:val="none" w:sz="0" w:space="0" w:color="auto"/>
                  </w:divBdr>
                </w:div>
                <w:div w:id="187378602">
                  <w:marLeft w:val="0"/>
                  <w:marRight w:val="0"/>
                  <w:marTop w:val="0"/>
                  <w:marBottom w:val="0"/>
                  <w:divBdr>
                    <w:top w:val="none" w:sz="0" w:space="0" w:color="auto"/>
                    <w:left w:val="none" w:sz="0" w:space="0" w:color="auto"/>
                    <w:bottom w:val="none" w:sz="0" w:space="0" w:color="auto"/>
                    <w:right w:val="none" w:sz="0" w:space="0" w:color="auto"/>
                  </w:divBdr>
                </w:div>
                <w:div w:id="607853334">
                  <w:marLeft w:val="0"/>
                  <w:marRight w:val="0"/>
                  <w:marTop w:val="0"/>
                  <w:marBottom w:val="0"/>
                  <w:divBdr>
                    <w:top w:val="none" w:sz="0" w:space="0" w:color="auto"/>
                    <w:left w:val="none" w:sz="0" w:space="0" w:color="auto"/>
                    <w:bottom w:val="none" w:sz="0" w:space="0" w:color="auto"/>
                    <w:right w:val="none" w:sz="0" w:space="0" w:color="auto"/>
                  </w:divBdr>
                </w:div>
                <w:div w:id="1038746729">
                  <w:marLeft w:val="0"/>
                  <w:marRight w:val="0"/>
                  <w:marTop w:val="0"/>
                  <w:marBottom w:val="0"/>
                  <w:divBdr>
                    <w:top w:val="none" w:sz="0" w:space="0" w:color="auto"/>
                    <w:left w:val="none" w:sz="0" w:space="0" w:color="auto"/>
                    <w:bottom w:val="none" w:sz="0" w:space="0" w:color="auto"/>
                    <w:right w:val="none" w:sz="0" w:space="0" w:color="auto"/>
                  </w:divBdr>
                </w:div>
                <w:div w:id="1005329885">
                  <w:marLeft w:val="0"/>
                  <w:marRight w:val="0"/>
                  <w:marTop w:val="0"/>
                  <w:marBottom w:val="0"/>
                  <w:divBdr>
                    <w:top w:val="none" w:sz="0" w:space="0" w:color="auto"/>
                    <w:left w:val="none" w:sz="0" w:space="0" w:color="auto"/>
                    <w:bottom w:val="none" w:sz="0" w:space="0" w:color="auto"/>
                    <w:right w:val="none" w:sz="0" w:space="0" w:color="auto"/>
                  </w:divBdr>
                </w:div>
                <w:div w:id="837158865">
                  <w:marLeft w:val="0"/>
                  <w:marRight w:val="0"/>
                  <w:marTop w:val="0"/>
                  <w:marBottom w:val="0"/>
                  <w:divBdr>
                    <w:top w:val="none" w:sz="0" w:space="0" w:color="auto"/>
                    <w:left w:val="none" w:sz="0" w:space="0" w:color="auto"/>
                    <w:bottom w:val="none" w:sz="0" w:space="0" w:color="auto"/>
                    <w:right w:val="none" w:sz="0" w:space="0" w:color="auto"/>
                  </w:divBdr>
                </w:div>
                <w:div w:id="1557206264">
                  <w:marLeft w:val="0"/>
                  <w:marRight w:val="0"/>
                  <w:marTop w:val="0"/>
                  <w:marBottom w:val="0"/>
                  <w:divBdr>
                    <w:top w:val="none" w:sz="0" w:space="0" w:color="auto"/>
                    <w:left w:val="none" w:sz="0" w:space="0" w:color="auto"/>
                    <w:bottom w:val="none" w:sz="0" w:space="0" w:color="auto"/>
                    <w:right w:val="none" w:sz="0" w:space="0" w:color="auto"/>
                  </w:divBdr>
                </w:div>
                <w:div w:id="1593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1231">
          <w:marLeft w:val="0"/>
          <w:marRight w:val="0"/>
          <w:marTop w:val="15"/>
          <w:marBottom w:val="0"/>
          <w:divBdr>
            <w:top w:val="none" w:sz="0" w:space="0" w:color="auto"/>
            <w:left w:val="none" w:sz="0" w:space="0" w:color="auto"/>
            <w:bottom w:val="none" w:sz="0" w:space="0" w:color="auto"/>
            <w:right w:val="none" w:sz="0" w:space="0" w:color="auto"/>
          </w:divBdr>
          <w:divsChild>
            <w:div w:id="1485463744">
              <w:marLeft w:val="0"/>
              <w:marRight w:val="0"/>
              <w:marTop w:val="0"/>
              <w:marBottom w:val="0"/>
              <w:divBdr>
                <w:top w:val="none" w:sz="0" w:space="0" w:color="auto"/>
                <w:left w:val="none" w:sz="0" w:space="0" w:color="auto"/>
                <w:bottom w:val="none" w:sz="0" w:space="0" w:color="auto"/>
                <w:right w:val="none" w:sz="0" w:space="0" w:color="auto"/>
              </w:divBdr>
              <w:divsChild>
                <w:div w:id="1852722860">
                  <w:marLeft w:val="0"/>
                  <w:marRight w:val="0"/>
                  <w:marTop w:val="0"/>
                  <w:marBottom w:val="0"/>
                  <w:divBdr>
                    <w:top w:val="none" w:sz="0" w:space="0" w:color="auto"/>
                    <w:left w:val="none" w:sz="0" w:space="0" w:color="auto"/>
                    <w:bottom w:val="none" w:sz="0" w:space="0" w:color="auto"/>
                    <w:right w:val="none" w:sz="0" w:space="0" w:color="auto"/>
                  </w:divBdr>
                </w:div>
                <w:div w:id="938369213">
                  <w:marLeft w:val="0"/>
                  <w:marRight w:val="0"/>
                  <w:marTop w:val="0"/>
                  <w:marBottom w:val="0"/>
                  <w:divBdr>
                    <w:top w:val="none" w:sz="0" w:space="0" w:color="auto"/>
                    <w:left w:val="none" w:sz="0" w:space="0" w:color="auto"/>
                    <w:bottom w:val="none" w:sz="0" w:space="0" w:color="auto"/>
                    <w:right w:val="none" w:sz="0" w:space="0" w:color="auto"/>
                  </w:divBdr>
                </w:div>
                <w:div w:id="1199124623">
                  <w:marLeft w:val="0"/>
                  <w:marRight w:val="0"/>
                  <w:marTop w:val="0"/>
                  <w:marBottom w:val="0"/>
                  <w:divBdr>
                    <w:top w:val="none" w:sz="0" w:space="0" w:color="auto"/>
                    <w:left w:val="none" w:sz="0" w:space="0" w:color="auto"/>
                    <w:bottom w:val="none" w:sz="0" w:space="0" w:color="auto"/>
                    <w:right w:val="none" w:sz="0" w:space="0" w:color="auto"/>
                  </w:divBdr>
                </w:div>
                <w:div w:id="1999726551">
                  <w:marLeft w:val="0"/>
                  <w:marRight w:val="0"/>
                  <w:marTop w:val="0"/>
                  <w:marBottom w:val="0"/>
                  <w:divBdr>
                    <w:top w:val="none" w:sz="0" w:space="0" w:color="auto"/>
                    <w:left w:val="none" w:sz="0" w:space="0" w:color="auto"/>
                    <w:bottom w:val="none" w:sz="0" w:space="0" w:color="auto"/>
                    <w:right w:val="none" w:sz="0" w:space="0" w:color="auto"/>
                  </w:divBdr>
                </w:div>
                <w:div w:id="1454444209">
                  <w:marLeft w:val="0"/>
                  <w:marRight w:val="0"/>
                  <w:marTop w:val="0"/>
                  <w:marBottom w:val="0"/>
                  <w:divBdr>
                    <w:top w:val="none" w:sz="0" w:space="0" w:color="auto"/>
                    <w:left w:val="none" w:sz="0" w:space="0" w:color="auto"/>
                    <w:bottom w:val="none" w:sz="0" w:space="0" w:color="auto"/>
                    <w:right w:val="none" w:sz="0" w:space="0" w:color="auto"/>
                  </w:divBdr>
                </w:div>
                <w:div w:id="611013833">
                  <w:marLeft w:val="0"/>
                  <w:marRight w:val="0"/>
                  <w:marTop w:val="0"/>
                  <w:marBottom w:val="0"/>
                  <w:divBdr>
                    <w:top w:val="none" w:sz="0" w:space="0" w:color="auto"/>
                    <w:left w:val="none" w:sz="0" w:space="0" w:color="auto"/>
                    <w:bottom w:val="none" w:sz="0" w:space="0" w:color="auto"/>
                    <w:right w:val="none" w:sz="0" w:space="0" w:color="auto"/>
                  </w:divBdr>
                </w:div>
                <w:div w:id="1017923402">
                  <w:marLeft w:val="0"/>
                  <w:marRight w:val="0"/>
                  <w:marTop w:val="0"/>
                  <w:marBottom w:val="0"/>
                  <w:divBdr>
                    <w:top w:val="none" w:sz="0" w:space="0" w:color="auto"/>
                    <w:left w:val="none" w:sz="0" w:space="0" w:color="auto"/>
                    <w:bottom w:val="none" w:sz="0" w:space="0" w:color="auto"/>
                    <w:right w:val="none" w:sz="0" w:space="0" w:color="auto"/>
                  </w:divBdr>
                </w:div>
                <w:div w:id="2006203657">
                  <w:marLeft w:val="0"/>
                  <w:marRight w:val="0"/>
                  <w:marTop w:val="0"/>
                  <w:marBottom w:val="0"/>
                  <w:divBdr>
                    <w:top w:val="none" w:sz="0" w:space="0" w:color="auto"/>
                    <w:left w:val="none" w:sz="0" w:space="0" w:color="auto"/>
                    <w:bottom w:val="none" w:sz="0" w:space="0" w:color="auto"/>
                    <w:right w:val="none" w:sz="0" w:space="0" w:color="auto"/>
                  </w:divBdr>
                </w:div>
                <w:div w:id="252593131">
                  <w:marLeft w:val="0"/>
                  <w:marRight w:val="0"/>
                  <w:marTop w:val="0"/>
                  <w:marBottom w:val="0"/>
                  <w:divBdr>
                    <w:top w:val="none" w:sz="0" w:space="0" w:color="auto"/>
                    <w:left w:val="none" w:sz="0" w:space="0" w:color="auto"/>
                    <w:bottom w:val="none" w:sz="0" w:space="0" w:color="auto"/>
                    <w:right w:val="none" w:sz="0" w:space="0" w:color="auto"/>
                  </w:divBdr>
                </w:div>
                <w:div w:id="471559640">
                  <w:marLeft w:val="0"/>
                  <w:marRight w:val="0"/>
                  <w:marTop w:val="0"/>
                  <w:marBottom w:val="0"/>
                  <w:divBdr>
                    <w:top w:val="none" w:sz="0" w:space="0" w:color="auto"/>
                    <w:left w:val="none" w:sz="0" w:space="0" w:color="auto"/>
                    <w:bottom w:val="none" w:sz="0" w:space="0" w:color="auto"/>
                    <w:right w:val="none" w:sz="0" w:space="0" w:color="auto"/>
                  </w:divBdr>
                </w:div>
                <w:div w:id="353729641">
                  <w:marLeft w:val="0"/>
                  <w:marRight w:val="0"/>
                  <w:marTop w:val="0"/>
                  <w:marBottom w:val="0"/>
                  <w:divBdr>
                    <w:top w:val="none" w:sz="0" w:space="0" w:color="auto"/>
                    <w:left w:val="none" w:sz="0" w:space="0" w:color="auto"/>
                    <w:bottom w:val="none" w:sz="0" w:space="0" w:color="auto"/>
                    <w:right w:val="none" w:sz="0" w:space="0" w:color="auto"/>
                  </w:divBdr>
                </w:div>
                <w:div w:id="2087338701">
                  <w:marLeft w:val="0"/>
                  <w:marRight w:val="0"/>
                  <w:marTop w:val="0"/>
                  <w:marBottom w:val="0"/>
                  <w:divBdr>
                    <w:top w:val="none" w:sz="0" w:space="0" w:color="auto"/>
                    <w:left w:val="none" w:sz="0" w:space="0" w:color="auto"/>
                    <w:bottom w:val="none" w:sz="0" w:space="0" w:color="auto"/>
                    <w:right w:val="none" w:sz="0" w:space="0" w:color="auto"/>
                  </w:divBdr>
                </w:div>
                <w:div w:id="1067189562">
                  <w:marLeft w:val="0"/>
                  <w:marRight w:val="0"/>
                  <w:marTop w:val="0"/>
                  <w:marBottom w:val="0"/>
                  <w:divBdr>
                    <w:top w:val="none" w:sz="0" w:space="0" w:color="auto"/>
                    <w:left w:val="none" w:sz="0" w:space="0" w:color="auto"/>
                    <w:bottom w:val="none" w:sz="0" w:space="0" w:color="auto"/>
                    <w:right w:val="none" w:sz="0" w:space="0" w:color="auto"/>
                  </w:divBdr>
                </w:div>
                <w:div w:id="408692891">
                  <w:marLeft w:val="0"/>
                  <w:marRight w:val="0"/>
                  <w:marTop w:val="0"/>
                  <w:marBottom w:val="0"/>
                  <w:divBdr>
                    <w:top w:val="none" w:sz="0" w:space="0" w:color="auto"/>
                    <w:left w:val="none" w:sz="0" w:space="0" w:color="auto"/>
                    <w:bottom w:val="none" w:sz="0" w:space="0" w:color="auto"/>
                    <w:right w:val="none" w:sz="0" w:space="0" w:color="auto"/>
                  </w:divBdr>
                </w:div>
                <w:div w:id="1440953741">
                  <w:marLeft w:val="0"/>
                  <w:marRight w:val="0"/>
                  <w:marTop w:val="0"/>
                  <w:marBottom w:val="0"/>
                  <w:divBdr>
                    <w:top w:val="none" w:sz="0" w:space="0" w:color="auto"/>
                    <w:left w:val="none" w:sz="0" w:space="0" w:color="auto"/>
                    <w:bottom w:val="none" w:sz="0" w:space="0" w:color="auto"/>
                    <w:right w:val="none" w:sz="0" w:space="0" w:color="auto"/>
                  </w:divBdr>
                </w:div>
                <w:div w:id="1815834213">
                  <w:marLeft w:val="0"/>
                  <w:marRight w:val="0"/>
                  <w:marTop w:val="0"/>
                  <w:marBottom w:val="0"/>
                  <w:divBdr>
                    <w:top w:val="none" w:sz="0" w:space="0" w:color="auto"/>
                    <w:left w:val="none" w:sz="0" w:space="0" w:color="auto"/>
                    <w:bottom w:val="none" w:sz="0" w:space="0" w:color="auto"/>
                    <w:right w:val="none" w:sz="0" w:space="0" w:color="auto"/>
                  </w:divBdr>
                </w:div>
                <w:div w:id="1193104862">
                  <w:marLeft w:val="0"/>
                  <w:marRight w:val="0"/>
                  <w:marTop w:val="0"/>
                  <w:marBottom w:val="0"/>
                  <w:divBdr>
                    <w:top w:val="none" w:sz="0" w:space="0" w:color="auto"/>
                    <w:left w:val="none" w:sz="0" w:space="0" w:color="auto"/>
                    <w:bottom w:val="none" w:sz="0" w:space="0" w:color="auto"/>
                    <w:right w:val="none" w:sz="0" w:space="0" w:color="auto"/>
                  </w:divBdr>
                </w:div>
                <w:div w:id="1313801194">
                  <w:marLeft w:val="0"/>
                  <w:marRight w:val="0"/>
                  <w:marTop w:val="0"/>
                  <w:marBottom w:val="0"/>
                  <w:divBdr>
                    <w:top w:val="none" w:sz="0" w:space="0" w:color="auto"/>
                    <w:left w:val="none" w:sz="0" w:space="0" w:color="auto"/>
                    <w:bottom w:val="none" w:sz="0" w:space="0" w:color="auto"/>
                    <w:right w:val="none" w:sz="0" w:space="0" w:color="auto"/>
                  </w:divBdr>
                </w:div>
                <w:div w:id="908418550">
                  <w:marLeft w:val="0"/>
                  <w:marRight w:val="0"/>
                  <w:marTop w:val="0"/>
                  <w:marBottom w:val="0"/>
                  <w:divBdr>
                    <w:top w:val="none" w:sz="0" w:space="0" w:color="auto"/>
                    <w:left w:val="none" w:sz="0" w:space="0" w:color="auto"/>
                    <w:bottom w:val="none" w:sz="0" w:space="0" w:color="auto"/>
                    <w:right w:val="none" w:sz="0" w:space="0" w:color="auto"/>
                  </w:divBdr>
                </w:div>
                <w:div w:id="1407996237">
                  <w:marLeft w:val="0"/>
                  <w:marRight w:val="0"/>
                  <w:marTop w:val="0"/>
                  <w:marBottom w:val="0"/>
                  <w:divBdr>
                    <w:top w:val="none" w:sz="0" w:space="0" w:color="auto"/>
                    <w:left w:val="none" w:sz="0" w:space="0" w:color="auto"/>
                    <w:bottom w:val="none" w:sz="0" w:space="0" w:color="auto"/>
                    <w:right w:val="none" w:sz="0" w:space="0" w:color="auto"/>
                  </w:divBdr>
                </w:div>
                <w:div w:id="283272168">
                  <w:marLeft w:val="0"/>
                  <w:marRight w:val="0"/>
                  <w:marTop w:val="0"/>
                  <w:marBottom w:val="0"/>
                  <w:divBdr>
                    <w:top w:val="none" w:sz="0" w:space="0" w:color="auto"/>
                    <w:left w:val="none" w:sz="0" w:space="0" w:color="auto"/>
                    <w:bottom w:val="none" w:sz="0" w:space="0" w:color="auto"/>
                    <w:right w:val="none" w:sz="0" w:space="0" w:color="auto"/>
                  </w:divBdr>
                </w:div>
                <w:div w:id="1946960491">
                  <w:marLeft w:val="0"/>
                  <w:marRight w:val="0"/>
                  <w:marTop w:val="0"/>
                  <w:marBottom w:val="0"/>
                  <w:divBdr>
                    <w:top w:val="none" w:sz="0" w:space="0" w:color="auto"/>
                    <w:left w:val="none" w:sz="0" w:space="0" w:color="auto"/>
                    <w:bottom w:val="none" w:sz="0" w:space="0" w:color="auto"/>
                    <w:right w:val="none" w:sz="0" w:space="0" w:color="auto"/>
                  </w:divBdr>
                </w:div>
                <w:div w:id="255292580">
                  <w:marLeft w:val="0"/>
                  <w:marRight w:val="0"/>
                  <w:marTop w:val="0"/>
                  <w:marBottom w:val="0"/>
                  <w:divBdr>
                    <w:top w:val="none" w:sz="0" w:space="0" w:color="auto"/>
                    <w:left w:val="none" w:sz="0" w:space="0" w:color="auto"/>
                    <w:bottom w:val="none" w:sz="0" w:space="0" w:color="auto"/>
                    <w:right w:val="none" w:sz="0" w:space="0" w:color="auto"/>
                  </w:divBdr>
                </w:div>
                <w:div w:id="1970696257">
                  <w:marLeft w:val="0"/>
                  <w:marRight w:val="0"/>
                  <w:marTop w:val="0"/>
                  <w:marBottom w:val="0"/>
                  <w:divBdr>
                    <w:top w:val="none" w:sz="0" w:space="0" w:color="auto"/>
                    <w:left w:val="none" w:sz="0" w:space="0" w:color="auto"/>
                    <w:bottom w:val="none" w:sz="0" w:space="0" w:color="auto"/>
                    <w:right w:val="none" w:sz="0" w:space="0" w:color="auto"/>
                  </w:divBdr>
                </w:div>
                <w:div w:id="617109758">
                  <w:marLeft w:val="0"/>
                  <w:marRight w:val="0"/>
                  <w:marTop w:val="0"/>
                  <w:marBottom w:val="0"/>
                  <w:divBdr>
                    <w:top w:val="none" w:sz="0" w:space="0" w:color="auto"/>
                    <w:left w:val="none" w:sz="0" w:space="0" w:color="auto"/>
                    <w:bottom w:val="none" w:sz="0" w:space="0" w:color="auto"/>
                    <w:right w:val="none" w:sz="0" w:space="0" w:color="auto"/>
                  </w:divBdr>
                </w:div>
                <w:div w:id="709451151">
                  <w:marLeft w:val="0"/>
                  <w:marRight w:val="0"/>
                  <w:marTop w:val="0"/>
                  <w:marBottom w:val="0"/>
                  <w:divBdr>
                    <w:top w:val="none" w:sz="0" w:space="0" w:color="auto"/>
                    <w:left w:val="none" w:sz="0" w:space="0" w:color="auto"/>
                    <w:bottom w:val="none" w:sz="0" w:space="0" w:color="auto"/>
                    <w:right w:val="none" w:sz="0" w:space="0" w:color="auto"/>
                  </w:divBdr>
                </w:div>
                <w:div w:id="1243684292">
                  <w:marLeft w:val="0"/>
                  <w:marRight w:val="0"/>
                  <w:marTop w:val="0"/>
                  <w:marBottom w:val="0"/>
                  <w:divBdr>
                    <w:top w:val="none" w:sz="0" w:space="0" w:color="auto"/>
                    <w:left w:val="none" w:sz="0" w:space="0" w:color="auto"/>
                    <w:bottom w:val="none" w:sz="0" w:space="0" w:color="auto"/>
                    <w:right w:val="none" w:sz="0" w:space="0" w:color="auto"/>
                  </w:divBdr>
                </w:div>
                <w:div w:id="20515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4496">
          <w:marLeft w:val="0"/>
          <w:marRight w:val="0"/>
          <w:marTop w:val="15"/>
          <w:marBottom w:val="0"/>
          <w:divBdr>
            <w:top w:val="none" w:sz="0" w:space="0" w:color="auto"/>
            <w:left w:val="none" w:sz="0" w:space="0" w:color="auto"/>
            <w:bottom w:val="none" w:sz="0" w:space="0" w:color="auto"/>
            <w:right w:val="none" w:sz="0" w:space="0" w:color="auto"/>
          </w:divBdr>
          <w:divsChild>
            <w:div w:id="1836260341">
              <w:marLeft w:val="0"/>
              <w:marRight w:val="0"/>
              <w:marTop w:val="0"/>
              <w:marBottom w:val="0"/>
              <w:divBdr>
                <w:top w:val="none" w:sz="0" w:space="0" w:color="auto"/>
                <w:left w:val="none" w:sz="0" w:space="0" w:color="auto"/>
                <w:bottom w:val="none" w:sz="0" w:space="0" w:color="auto"/>
                <w:right w:val="none" w:sz="0" w:space="0" w:color="auto"/>
              </w:divBdr>
              <w:divsChild>
                <w:div w:id="1124689945">
                  <w:marLeft w:val="0"/>
                  <w:marRight w:val="0"/>
                  <w:marTop w:val="0"/>
                  <w:marBottom w:val="0"/>
                  <w:divBdr>
                    <w:top w:val="none" w:sz="0" w:space="0" w:color="auto"/>
                    <w:left w:val="none" w:sz="0" w:space="0" w:color="auto"/>
                    <w:bottom w:val="none" w:sz="0" w:space="0" w:color="auto"/>
                    <w:right w:val="none" w:sz="0" w:space="0" w:color="auto"/>
                  </w:divBdr>
                </w:div>
                <w:div w:id="880945758">
                  <w:marLeft w:val="0"/>
                  <w:marRight w:val="0"/>
                  <w:marTop w:val="0"/>
                  <w:marBottom w:val="0"/>
                  <w:divBdr>
                    <w:top w:val="none" w:sz="0" w:space="0" w:color="auto"/>
                    <w:left w:val="none" w:sz="0" w:space="0" w:color="auto"/>
                    <w:bottom w:val="none" w:sz="0" w:space="0" w:color="auto"/>
                    <w:right w:val="none" w:sz="0" w:space="0" w:color="auto"/>
                  </w:divBdr>
                </w:div>
                <w:div w:id="1525485205">
                  <w:marLeft w:val="0"/>
                  <w:marRight w:val="0"/>
                  <w:marTop w:val="0"/>
                  <w:marBottom w:val="0"/>
                  <w:divBdr>
                    <w:top w:val="none" w:sz="0" w:space="0" w:color="auto"/>
                    <w:left w:val="none" w:sz="0" w:space="0" w:color="auto"/>
                    <w:bottom w:val="none" w:sz="0" w:space="0" w:color="auto"/>
                    <w:right w:val="none" w:sz="0" w:space="0" w:color="auto"/>
                  </w:divBdr>
                </w:div>
                <w:div w:id="44332791">
                  <w:marLeft w:val="0"/>
                  <w:marRight w:val="0"/>
                  <w:marTop w:val="0"/>
                  <w:marBottom w:val="0"/>
                  <w:divBdr>
                    <w:top w:val="none" w:sz="0" w:space="0" w:color="auto"/>
                    <w:left w:val="none" w:sz="0" w:space="0" w:color="auto"/>
                    <w:bottom w:val="none" w:sz="0" w:space="0" w:color="auto"/>
                    <w:right w:val="none" w:sz="0" w:space="0" w:color="auto"/>
                  </w:divBdr>
                </w:div>
                <w:div w:id="180749324">
                  <w:marLeft w:val="0"/>
                  <w:marRight w:val="0"/>
                  <w:marTop w:val="0"/>
                  <w:marBottom w:val="0"/>
                  <w:divBdr>
                    <w:top w:val="none" w:sz="0" w:space="0" w:color="auto"/>
                    <w:left w:val="none" w:sz="0" w:space="0" w:color="auto"/>
                    <w:bottom w:val="none" w:sz="0" w:space="0" w:color="auto"/>
                    <w:right w:val="none" w:sz="0" w:space="0" w:color="auto"/>
                  </w:divBdr>
                </w:div>
                <w:div w:id="1031494283">
                  <w:marLeft w:val="0"/>
                  <w:marRight w:val="0"/>
                  <w:marTop w:val="0"/>
                  <w:marBottom w:val="0"/>
                  <w:divBdr>
                    <w:top w:val="none" w:sz="0" w:space="0" w:color="auto"/>
                    <w:left w:val="none" w:sz="0" w:space="0" w:color="auto"/>
                    <w:bottom w:val="none" w:sz="0" w:space="0" w:color="auto"/>
                    <w:right w:val="none" w:sz="0" w:space="0" w:color="auto"/>
                  </w:divBdr>
                </w:div>
                <w:div w:id="899294076">
                  <w:marLeft w:val="0"/>
                  <w:marRight w:val="0"/>
                  <w:marTop w:val="0"/>
                  <w:marBottom w:val="0"/>
                  <w:divBdr>
                    <w:top w:val="none" w:sz="0" w:space="0" w:color="auto"/>
                    <w:left w:val="none" w:sz="0" w:space="0" w:color="auto"/>
                    <w:bottom w:val="none" w:sz="0" w:space="0" w:color="auto"/>
                    <w:right w:val="none" w:sz="0" w:space="0" w:color="auto"/>
                  </w:divBdr>
                </w:div>
                <w:div w:id="1672639807">
                  <w:marLeft w:val="0"/>
                  <w:marRight w:val="0"/>
                  <w:marTop w:val="0"/>
                  <w:marBottom w:val="0"/>
                  <w:divBdr>
                    <w:top w:val="none" w:sz="0" w:space="0" w:color="auto"/>
                    <w:left w:val="none" w:sz="0" w:space="0" w:color="auto"/>
                    <w:bottom w:val="none" w:sz="0" w:space="0" w:color="auto"/>
                    <w:right w:val="none" w:sz="0" w:space="0" w:color="auto"/>
                  </w:divBdr>
                </w:div>
                <w:div w:id="298414250">
                  <w:marLeft w:val="0"/>
                  <w:marRight w:val="0"/>
                  <w:marTop w:val="0"/>
                  <w:marBottom w:val="0"/>
                  <w:divBdr>
                    <w:top w:val="none" w:sz="0" w:space="0" w:color="auto"/>
                    <w:left w:val="none" w:sz="0" w:space="0" w:color="auto"/>
                    <w:bottom w:val="none" w:sz="0" w:space="0" w:color="auto"/>
                    <w:right w:val="none" w:sz="0" w:space="0" w:color="auto"/>
                  </w:divBdr>
                </w:div>
                <w:div w:id="1537962511">
                  <w:marLeft w:val="0"/>
                  <w:marRight w:val="0"/>
                  <w:marTop w:val="0"/>
                  <w:marBottom w:val="0"/>
                  <w:divBdr>
                    <w:top w:val="none" w:sz="0" w:space="0" w:color="auto"/>
                    <w:left w:val="none" w:sz="0" w:space="0" w:color="auto"/>
                    <w:bottom w:val="none" w:sz="0" w:space="0" w:color="auto"/>
                    <w:right w:val="none" w:sz="0" w:space="0" w:color="auto"/>
                  </w:divBdr>
                </w:div>
                <w:div w:id="1419055102">
                  <w:marLeft w:val="0"/>
                  <w:marRight w:val="0"/>
                  <w:marTop w:val="0"/>
                  <w:marBottom w:val="0"/>
                  <w:divBdr>
                    <w:top w:val="none" w:sz="0" w:space="0" w:color="auto"/>
                    <w:left w:val="none" w:sz="0" w:space="0" w:color="auto"/>
                    <w:bottom w:val="none" w:sz="0" w:space="0" w:color="auto"/>
                    <w:right w:val="none" w:sz="0" w:space="0" w:color="auto"/>
                  </w:divBdr>
                </w:div>
                <w:div w:id="5212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7342647">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2002059">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75885658">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698703507">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07488756">
      <w:bodyDiv w:val="1"/>
      <w:marLeft w:val="0"/>
      <w:marRight w:val="0"/>
      <w:marTop w:val="0"/>
      <w:marBottom w:val="0"/>
      <w:divBdr>
        <w:top w:val="none" w:sz="0" w:space="0" w:color="auto"/>
        <w:left w:val="none" w:sz="0" w:space="0" w:color="auto"/>
        <w:bottom w:val="none" w:sz="0" w:space="0" w:color="auto"/>
        <w:right w:val="none" w:sz="0" w:space="0" w:color="auto"/>
      </w:divBdr>
    </w:div>
    <w:div w:id="711727717">
      <w:bodyDiv w:val="1"/>
      <w:marLeft w:val="0"/>
      <w:marRight w:val="0"/>
      <w:marTop w:val="0"/>
      <w:marBottom w:val="0"/>
      <w:divBdr>
        <w:top w:val="none" w:sz="0" w:space="0" w:color="auto"/>
        <w:left w:val="none" w:sz="0" w:space="0" w:color="auto"/>
        <w:bottom w:val="none" w:sz="0" w:space="0" w:color="auto"/>
        <w:right w:val="none" w:sz="0" w:space="0" w:color="auto"/>
      </w:divBdr>
    </w:div>
    <w:div w:id="712536395">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 w:id="310058828">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3239911">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441343">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5201700">
      <w:bodyDiv w:val="1"/>
      <w:marLeft w:val="0"/>
      <w:marRight w:val="0"/>
      <w:marTop w:val="0"/>
      <w:marBottom w:val="0"/>
      <w:divBdr>
        <w:top w:val="none" w:sz="0" w:space="0" w:color="auto"/>
        <w:left w:val="none" w:sz="0" w:space="0" w:color="auto"/>
        <w:bottom w:val="none" w:sz="0" w:space="0" w:color="auto"/>
        <w:right w:val="none" w:sz="0" w:space="0" w:color="auto"/>
      </w:divBdr>
      <w:divsChild>
        <w:div w:id="73279242">
          <w:marLeft w:val="0"/>
          <w:marRight w:val="0"/>
          <w:marTop w:val="0"/>
          <w:marBottom w:val="0"/>
          <w:divBdr>
            <w:top w:val="none" w:sz="0" w:space="0" w:color="auto"/>
            <w:left w:val="none" w:sz="0" w:space="0" w:color="auto"/>
            <w:bottom w:val="none" w:sz="0" w:space="0" w:color="auto"/>
            <w:right w:val="none" w:sz="0" w:space="0" w:color="auto"/>
          </w:divBdr>
        </w:div>
      </w:divsChild>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5991139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3455518">
      <w:bodyDiv w:val="1"/>
      <w:marLeft w:val="0"/>
      <w:marRight w:val="0"/>
      <w:marTop w:val="0"/>
      <w:marBottom w:val="0"/>
      <w:divBdr>
        <w:top w:val="none" w:sz="0" w:space="0" w:color="auto"/>
        <w:left w:val="none" w:sz="0" w:space="0" w:color="auto"/>
        <w:bottom w:val="none" w:sz="0" w:space="0" w:color="auto"/>
        <w:right w:val="none" w:sz="0" w:space="0" w:color="auto"/>
      </w:divBdr>
    </w:div>
    <w:div w:id="764111307">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591915">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114603">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956763086">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 w:id="146020952">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6819195">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0675231">
      <w:bodyDiv w:val="1"/>
      <w:marLeft w:val="0"/>
      <w:marRight w:val="0"/>
      <w:marTop w:val="0"/>
      <w:marBottom w:val="0"/>
      <w:divBdr>
        <w:top w:val="none" w:sz="0" w:space="0" w:color="auto"/>
        <w:left w:val="none" w:sz="0" w:space="0" w:color="auto"/>
        <w:bottom w:val="none" w:sz="0" w:space="0" w:color="auto"/>
        <w:right w:val="none" w:sz="0" w:space="0" w:color="auto"/>
      </w:divBdr>
    </w:div>
    <w:div w:id="901403216">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010576">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2295423">
      <w:bodyDiv w:val="1"/>
      <w:marLeft w:val="0"/>
      <w:marRight w:val="0"/>
      <w:marTop w:val="0"/>
      <w:marBottom w:val="0"/>
      <w:divBdr>
        <w:top w:val="none" w:sz="0" w:space="0" w:color="auto"/>
        <w:left w:val="none" w:sz="0" w:space="0" w:color="auto"/>
        <w:bottom w:val="none" w:sz="0" w:space="0" w:color="auto"/>
        <w:right w:val="none" w:sz="0" w:space="0" w:color="auto"/>
      </w:divBdr>
      <w:divsChild>
        <w:div w:id="1362973084">
          <w:marLeft w:val="0"/>
          <w:marRight w:val="0"/>
          <w:marTop w:val="15"/>
          <w:marBottom w:val="0"/>
          <w:divBdr>
            <w:top w:val="none" w:sz="0" w:space="0" w:color="auto"/>
            <w:left w:val="none" w:sz="0" w:space="0" w:color="auto"/>
            <w:bottom w:val="none" w:sz="0" w:space="0" w:color="auto"/>
            <w:right w:val="none" w:sz="0" w:space="0" w:color="auto"/>
          </w:divBdr>
          <w:divsChild>
            <w:div w:id="550580776">
              <w:marLeft w:val="0"/>
              <w:marRight w:val="0"/>
              <w:marTop w:val="0"/>
              <w:marBottom w:val="0"/>
              <w:divBdr>
                <w:top w:val="none" w:sz="0" w:space="0" w:color="auto"/>
                <w:left w:val="none" w:sz="0" w:space="0" w:color="auto"/>
                <w:bottom w:val="none" w:sz="0" w:space="0" w:color="auto"/>
                <w:right w:val="none" w:sz="0" w:space="0" w:color="auto"/>
              </w:divBdr>
              <w:divsChild>
                <w:div w:id="949119219">
                  <w:marLeft w:val="0"/>
                  <w:marRight w:val="0"/>
                  <w:marTop w:val="0"/>
                  <w:marBottom w:val="0"/>
                  <w:divBdr>
                    <w:top w:val="none" w:sz="0" w:space="0" w:color="auto"/>
                    <w:left w:val="none" w:sz="0" w:space="0" w:color="auto"/>
                    <w:bottom w:val="none" w:sz="0" w:space="0" w:color="auto"/>
                    <w:right w:val="none" w:sz="0" w:space="0" w:color="auto"/>
                  </w:divBdr>
                </w:div>
                <w:div w:id="1483737276">
                  <w:marLeft w:val="0"/>
                  <w:marRight w:val="0"/>
                  <w:marTop w:val="0"/>
                  <w:marBottom w:val="0"/>
                  <w:divBdr>
                    <w:top w:val="none" w:sz="0" w:space="0" w:color="auto"/>
                    <w:left w:val="none" w:sz="0" w:space="0" w:color="auto"/>
                    <w:bottom w:val="none" w:sz="0" w:space="0" w:color="auto"/>
                    <w:right w:val="none" w:sz="0" w:space="0" w:color="auto"/>
                  </w:divBdr>
                </w:div>
                <w:div w:id="702826340">
                  <w:marLeft w:val="0"/>
                  <w:marRight w:val="0"/>
                  <w:marTop w:val="0"/>
                  <w:marBottom w:val="0"/>
                  <w:divBdr>
                    <w:top w:val="none" w:sz="0" w:space="0" w:color="auto"/>
                    <w:left w:val="none" w:sz="0" w:space="0" w:color="auto"/>
                    <w:bottom w:val="none" w:sz="0" w:space="0" w:color="auto"/>
                    <w:right w:val="none" w:sz="0" w:space="0" w:color="auto"/>
                  </w:divBdr>
                </w:div>
                <w:div w:id="1840656726">
                  <w:marLeft w:val="0"/>
                  <w:marRight w:val="0"/>
                  <w:marTop w:val="0"/>
                  <w:marBottom w:val="0"/>
                  <w:divBdr>
                    <w:top w:val="none" w:sz="0" w:space="0" w:color="auto"/>
                    <w:left w:val="none" w:sz="0" w:space="0" w:color="auto"/>
                    <w:bottom w:val="none" w:sz="0" w:space="0" w:color="auto"/>
                    <w:right w:val="none" w:sz="0" w:space="0" w:color="auto"/>
                  </w:divBdr>
                </w:div>
                <w:div w:id="953251915">
                  <w:marLeft w:val="0"/>
                  <w:marRight w:val="0"/>
                  <w:marTop w:val="0"/>
                  <w:marBottom w:val="0"/>
                  <w:divBdr>
                    <w:top w:val="none" w:sz="0" w:space="0" w:color="auto"/>
                    <w:left w:val="none" w:sz="0" w:space="0" w:color="auto"/>
                    <w:bottom w:val="none" w:sz="0" w:space="0" w:color="auto"/>
                    <w:right w:val="none" w:sz="0" w:space="0" w:color="auto"/>
                  </w:divBdr>
                </w:div>
                <w:div w:id="2052533198">
                  <w:marLeft w:val="0"/>
                  <w:marRight w:val="0"/>
                  <w:marTop w:val="0"/>
                  <w:marBottom w:val="0"/>
                  <w:divBdr>
                    <w:top w:val="none" w:sz="0" w:space="0" w:color="auto"/>
                    <w:left w:val="none" w:sz="0" w:space="0" w:color="auto"/>
                    <w:bottom w:val="none" w:sz="0" w:space="0" w:color="auto"/>
                    <w:right w:val="none" w:sz="0" w:space="0" w:color="auto"/>
                  </w:divBdr>
                </w:div>
                <w:div w:id="55864487">
                  <w:marLeft w:val="0"/>
                  <w:marRight w:val="0"/>
                  <w:marTop w:val="0"/>
                  <w:marBottom w:val="0"/>
                  <w:divBdr>
                    <w:top w:val="none" w:sz="0" w:space="0" w:color="auto"/>
                    <w:left w:val="none" w:sz="0" w:space="0" w:color="auto"/>
                    <w:bottom w:val="none" w:sz="0" w:space="0" w:color="auto"/>
                    <w:right w:val="none" w:sz="0" w:space="0" w:color="auto"/>
                  </w:divBdr>
                </w:div>
                <w:div w:id="1898856760">
                  <w:marLeft w:val="0"/>
                  <w:marRight w:val="0"/>
                  <w:marTop w:val="0"/>
                  <w:marBottom w:val="0"/>
                  <w:divBdr>
                    <w:top w:val="none" w:sz="0" w:space="0" w:color="auto"/>
                    <w:left w:val="none" w:sz="0" w:space="0" w:color="auto"/>
                    <w:bottom w:val="none" w:sz="0" w:space="0" w:color="auto"/>
                    <w:right w:val="none" w:sz="0" w:space="0" w:color="auto"/>
                  </w:divBdr>
                </w:div>
                <w:div w:id="433869218">
                  <w:marLeft w:val="0"/>
                  <w:marRight w:val="0"/>
                  <w:marTop w:val="0"/>
                  <w:marBottom w:val="0"/>
                  <w:divBdr>
                    <w:top w:val="none" w:sz="0" w:space="0" w:color="auto"/>
                    <w:left w:val="none" w:sz="0" w:space="0" w:color="auto"/>
                    <w:bottom w:val="none" w:sz="0" w:space="0" w:color="auto"/>
                    <w:right w:val="none" w:sz="0" w:space="0" w:color="auto"/>
                  </w:divBdr>
                </w:div>
                <w:div w:id="1426345471">
                  <w:marLeft w:val="0"/>
                  <w:marRight w:val="0"/>
                  <w:marTop w:val="0"/>
                  <w:marBottom w:val="0"/>
                  <w:divBdr>
                    <w:top w:val="none" w:sz="0" w:space="0" w:color="auto"/>
                    <w:left w:val="none" w:sz="0" w:space="0" w:color="auto"/>
                    <w:bottom w:val="none" w:sz="0" w:space="0" w:color="auto"/>
                    <w:right w:val="none" w:sz="0" w:space="0" w:color="auto"/>
                  </w:divBdr>
                </w:div>
                <w:div w:id="1181314778">
                  <w:marLeft w:val="0"/>
                  <w:marRight w:val="0"/>
                  <w:marTop w:val="0"/>
                  <w:marBottom w:val="0"/>
                  <w:divBdr>
                    <w:top w:val="none" w:sz="0" w:space="0" w:color="auto"/>
                    <w:left w:val="none" w:sz="0" w:space="0" w:color="auto"/>
                    <w:bottom w:val="none" w:sz="0" w:space="0" w:color="auto"/>
                    <w:right w:val="none" w:sz="0" w:space="0" w:color="auto"/>
                  </w:divBdr>
                </w:div>
                <w:div w:id="1302615378">
                  <w:marLeft w:val="0"/>
                  <w:marRight w:val="0"/>
                  <w:marTop w:val="0"/>
                  <w:marBottom w:val="0"/>
                  <w:divBdr>
                    <w:top w:val="none" w:sz="0" w:space="0" w:color="auto"/>
                    <w:left w:val="none" w:sz="0" w:space="0" w:color="auto"/>
                    <w:bottom w:val="none" w:sz="0" w:space="0" w:color="auto"/>
                    <w:right w:val="none" w:sz="0" w:space="0" w:color="auto"/>
                  </w:divBdr>
                </w:div>
                <w:div w:id="1300575293">
                  <w:marLeft w:val="0"/>
                  <w:marRight w:val="0"/>
                  <w:marTop w:val="0"/>
                  <w:marBottom w:val="0"/>
                  <w:divBdr>
                    <w:top w:val="none" w:sz="0" w:space="0" w:color="auto"/>
                    <w:left w:val="none" w:sz="0" w:space="0" w:color="auto"/>
                    <w:bottom w:val="none" w:sz="0" w:space="0" w:color="auto"/>
                    <w:right w:val="none" w:sz="0" w:space="0" w:color="auto"/>
                  </w:divBdr>
                </w:div>
                <w:div w:id="389504769">
                  <w:marLeft w:val="0"/>
                  <w:marRight w:val="0"/>
                  <w:marTop w:val="0"/>
                  <w:marBottom w:val="0"/>
                  <w:divBdr>
                    <w:top w:val="none" w:sz="0" w:space="0" w:color="auto"/>
                    <w:left w:val="none" w:sz="0" w:space="0" w:color="auto"/>
                    <w:bottom w:val="none" w:sz="0" w:space="0" w:color="auto"/>
                    <w:right w:val="none" w:sz="0" w:space="0" w:color="auto"/>
                  </w:divBdr>
                </w:div>
                <w:div w:id="1524903583">
                  <w:marLeft w:val="0"/>
                  <w:marRight w:val="0"/>
                  <w:marTop w:val="0"/>
                  <w:marBottom w:val="0"/>
                  <w:divBdr>
                    <w:top w:val="none" w:sz="0" w:space="0" w:color="auto"/>
                    <w:left w:val="none" w:sz="0" w:space="0" w:color="auto"/>
                    <w:bottom w:val="none" w:sz="0" w:space="0" w:color="auto"/>
                    <w:right w:val="none" w:sz="0" w:space="0" w:color="auto"/>
                  </w:divBdr>
                </w:div>
                <w:div w:id="551891028">
                  <w:marLeft w:val="0"/>
                  <w:marRight w:val="0"/>
                  <w:marTop w:val="0"/>
                  <w:marBottom w:val="0"/>
                  <w:divBdr>
                    <w:top w:val="none" w:sz="0" w:space="0" w:color="auto"/>
                    <w:left w:val="none" w:sz="0" w:space="0" w:color="auto"/>
                    <w:bottom w:val="none" w:sz="0" w:space="0" w:color="auto"/>
                    <w:right w:val="none" w:sz="0" w:space="0" w:color="auto"/>
                  </w:divBdr>
                </w:div>
                <w:div w:id="587349399">
                  <w:marLeft w:val="0"/>
                  <w:marRight w:val="0"/>
                  <w:marTop w:val="0"/>
                  <w:marBottom w:val="0"/>
                  <w:divBdr>
                    <w:top w:val="none" w:sz="0" w:space="0" w:color="auto"/>
                    <w:left w:val="none" w:sz="0" w:space="0" w:color="auto"/>
                    <w:bottom w:val="none" w:sz="0" w:space="0" w:color="auto"/>
                    <w:right w:val="none" w:sz="0" w:space="0" w:color="auto"/>
                  </w:divBdr>
                </w:div>
                <w:div w:id="1666736133">
                  <w:marLeft w:val="0"/>
                  <w:marRight w:val="0"/>
                  <w:marTop w:val="0"/>
                  <w:marBottom w:val="0"/>
                  <w:divBdr>
                    <w:top w:val="none" w:sz="0" w:space="0" w:color="auto"/>
                    <w:left w:val="none" w:sz="0" w:space="0" w:color="auto"/>
                    <w:bottom w:val="none" w:sz="0" w:space="0" w:color="auto"/>
                    <w:right w:val="none" w:sz="0" w:space="0" w:color="auto"/>
                  </w:divBdr>
                </w:div>
                <w:div w:id="1010915996">
                  <w:marLeft w:val="0"/>
                  <w:marRight w:val="0"/>
                  <w:marTop w:val="0"/>
                  <w:marBottom w:val="0"/>
                  <w:divBdr>
                    <w:top w:val="none" w:sz="0" w:space="0" w:color="auto"/>
                    <w:left w:val="none" w:sz="0" w:space="0" w:color="auto"/>
                    <w:bottom w:val="none" w:sz="0" w:space="0" w:color="auto"/>
                    <w:right w:val="none" w:sz="0" w:space="0" w:color="auto"/>
                  </w:divBdr>
                </w:div>
                <w:div w:id="1141921266">
                  <w:marLeft w:val="0"/>
                  <w:marRight w:val="0"/>
                  <w:marTop w:val="0"/>
                  <w:marBottom w:val="0"/>
                  <w:divBdr>
                    <w:top w:val="none" w:sz="0" w:space="0" w:color="auto"/>
                    <w:left w:val="none" w:sz="0" w:space="0" w:color="auto"/>
                    <w:bottom w:val="none" w:sz="0" w:space="0" w:color="auto"/>
                    <w:right w:val="none" w:sz="0" w:space="0" w:color="auto"/>
                  </w:divBdr>
                </w:div>
                <w:div w:id="1093863139">
                  <w:marLeft w:val="0"/>
                  <w:marRight w:val="0"/>
                  <w:marTop w:val="0"/>
                  <w:marBottom w:val="0"/>
                  <w:divBdr>
                    <w:top w:val="none" w:sz="0" w:space="0" w:color="auto"/>
                    <w:left w:val="none" w:sz="0" w:space="0" w:color="auto"/>
                    <w:bottom w:val="none" w:sz="0" w:space="0" w:color="auto"/>
                    <w:right w:val="none" w:sz="0" w:space="0" w:color="auto"/>
                  </w:divBdr>
                </w:div>
                <w:div w:id="12488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8994">
          <w:marLeft w:val="0"/>
          <w:marRight w:val="0"/>
          <w:marTop w:val="15"/>
          <w:marBottom w:val="0"/>
          <w:divBdr>
            <w:top w:val="none" w:sz="0" w:space="0" w:color="auto"/>
            <w:left w:val="none" w:sz="0" w:space="0" w:color="auto"/>
            <w:bottom w:val="none" w:sz="0" w:space="0" w:color="auto"/>
            <w:right w:val="none" w:sz="0" w:space="0" w:color="auto"/>
          </w:divBdr>
          <w:divsChild>
            <w:div w:id="223948702">
              <w:marLeft w:val="0"/>
              <w:marRight w:val="0"/>
              <w:marTop w:val="0"/>
              <w:marBottom w:val="0"/>
              <w:divBdr>
                <w:top w:val="none" w:sz="0" w:space="0" w:color="auto"/>
                <w:left w:val="none" w:sz="0" w:space="0" w:color="auto"/>
                <w:bottom w:val="none" w:sz="0" w:space="0" w:color="auto"/>
                <w:right w:val="none" w:sz="0" w:space="0" w:color="auto"/>
              </w:divBdr>
              <w:divsChild>
                <w:div w:id="2062946786">
                  <w:marLeft w:val="0"/>
                  <w:marRight w:val="0"/>
                  <w:marTop w:val="0"/>
                  <w:marBottom w:val="0"/>
                  <w:divBdr>
                    <w:top w:val="none" w:sz="0" w:space="0" w:color="auto"/>
                    <w:left w:val="none" w:sz="0" w:space="0" w:color="auto"/>
                    <w:bottom w:val="none" w:sz="0" w:space="0" w:color="auto"/>
                    <w:right w:val="none" w:sz="0" w:space="0" w:color="auto"/>
                  </w:divBdr>
                </w:div>
                <w:div w:id="704717884">
                  <w:marLeft w:val="0"/>
                  <w:marRight w:val="0"/>
                  <w:marTop w:val="0"/>
                  <w:marBottom w:val="0"/>
                  <w:divBdr>
                    <w:top w:val="none" w:sz="0" w:space="0" w:color="auto"/>
                    <w:left w:val="none" w:sz="0" w:space="0" w:color="auto"/>
                    <w:bottom w:val="none" w:sz="0" w:space="0" w:color="auto"/>
                    <w:right w:val="none" w:sz="0" w:space="0" w:color="auto"/>
                  </w:divBdr>
                </w:div>
                <w:div w:id="305088536">
                  <w:marLeft w:val="0"/>
                  <w:marRight w:val="0"/>
                  <w:marTop w:val="0"/>
                  <w:marBottom w:val="0"/>
                  <w:divBdr>
                    <w:top w:val="none" w:sz="0" w:space="0" w:color="auto"/>
                    <w:left w:val="none" w:sz="0" w:space="0" w:color="auto"/>
                    <w:bottom w:val="none" w:sz="0" w:space="0" w:color="auto"/>
                    <w:right w:val="none" w:sz="0" w:space="0" w:color="auto"/>
                  </w:divBdr>
                </w:div>
                <w:div w:id="1493568535">
                  <w:marLeft w:val="0"/>
                  <w:marRight w:val="0"/>
                  <w:marTop w:val="0"/>
                  <w:marBottom w:val="0"/>
                  <w:divBdr>
                    <w:top w:val="none" w:sz="0" w:space="0" w:color="auto"/>
                    <w:left w:val="none" w:sz="0" w:space="0" w:color="auto"/>
                    <w:bottom w:val="none" w:sz="0" w:space="0" w:color="auto"/>
                    <w:right w:val="none" w:sz="0" w:space="0" w:color="auto"/>
                  </w:divBdr>
                </w:div>
                <w:div w:id="1809785490">
                  <w:marLeft w:val="0"/>
                  <w:marRight w:val="0"/>
                  <w:marTop w:val="0"/>
                  <w:marBottom w:val="0"/>
                  <w:divBdr>
                    <w:top w:val="none" w:sz="0" w:space="0" w:color="auto"/>
                    <w:left w:val="none" w:sz="0" w:space="0" w:color="auto"/>
                    <w:bottom w:val="none" w:sz="0" w:space="0" w:color="auto"/>
                    <w:right w:val="none" w:sz="0" w:space="0" w:color="auto"/>
                  </w:divBdr>
                </w:div>
                <w:div w:id="1439521295">
                  <w:marLeft w:val="0"/>
                  <w:marRight w:val="0"/>
                  <w:marTop w:val="0"/>
                  <w:marBottom w:val="0"/>
                  <w:divBdr>
                    <w:top w:val="none" w:sz="0" w:space="0" w:color="auto"/>
                    <w:left w:val="none" w:sz="0" w:space="0" w:color="auto"/>
                    <w:bottom w:val="none" w:sz="0" w:space="0" w:color="auto"/>
                    <w:right w:val="none" w:sz="0" w:space="0" w:color="auto"/>
                  </w:divBdr>
                </w:div>
                <w:div w:id="626549650">
                  <w:marLeft w:val="0"/>
                  <w:marRight w:val="0"/>
                  <w:marTop w:val="0"/>
                  <w:marBottom w:val="0"/>
                  <w:divBdr>
                    <w:top w:val="none" w:sz="0" w:space="0" w:color="auto"/>
                    <w:left w:val="none" w:sz="0" w:space="0" w:color="auto"/>
                    <w:bottom w:val="none" w:sz="0" w:space="0" w:color="auto"/>
                    <w:right w:val="none" w:sz="0" w:space="0" w:color="auto"/>
                  </w:divBdr>
                </w:div>
                <w:div w:id="2093744145">
                  <w:marLeft w:val="0"/>
                  <w:marRight w:val="0"/>
                  <w:marTop w:val="0"/>
                  <w:marBottom w:val="0"/>
                  <w:divBdr>
                    <w:top w:val="none" w:sz="0" w:space="0" w:color="auto"/>
                    <w:left w:val="none" w:sz="0" w:space="0" w:color="auto"/>
                    <w:bottom w:val="none" w:sz="0" w:space="0" w:color="auto"/>
                    <w:right w:val="none" w:sz="0" w:space="0" w:color="auto"/>
                  </w:divBdr>
                </w:div>
                <w:div w:id="545068077">
                  <w:marLeft w:val="0"/>
                  <w:marRight w:val="0"/>
                  <w:marTop w:val="0"/>
                  <w:marBottom w:val="0"/>
                  <w:divBdr>
                    <w:top w:val="none" w:sz="0" w:space="0" w:color="auto"/>
                    <w:left w:val="none" w:sz="0" w:space="0" w:color="auto"/>
                    <w:bottom w:val="none" w:sz="0" w:space="0" w:color="auto"/>
                    <w:right w:val="none" w:sz="0" w:space="0" w:color="auto"/>
                  </w:divBdr>
                </w:div>
                <w:div w:id="247346622">
                  <w:marLeft w:val="0"/>
                  <w:marRight w:val="0"/>
                  <w:marTop w:val="0"/>
                  <w:marBottom w:val="0"/>
                  <w:divBdr>
                    <w:top w:val="none" w:sz="0" w:space="0" w:color="auto"/>
                    <w:left w:val="none" w:sz="0" w:space="0" w:color="auto"/>
                    <w:bottom w:val="none" w:sz="0" w:space="0" w:color="auto"/>
                    <w:right w:val="none" w:sz="0" w:space="0" w:color="auto"/>
                  </w:divBdr>
                </w:div>
                <w:div w:id="1441611647">
                  <w:marLeft w:val="0"/>
                  <w:marRight w:val="0"/>
                  <w:marTop w:val="0"/>
                  <w:marBottom w:val="0"/>
                  <w:divBdr>
                    <w:top w:val="none" w:sz="0" w:space="0" w:color="auto"/>
                    <w:left w:val="none" w:sz="0" w:space="0" w:color="auto"/>
                    <w:bottom w:val="none" w:sz="0" w:space="0" w:color="auto"/>
                    <w:right w:val="none" w:sz="0" w:space="0" w:color="auto"/>
                  </w:divBdr>
                </w:div>
                <w:div w:id="261963569">
                  <w:marLeft w:val="0"/>
                  <w:marRight w:val="0"/>
                  <w:marTop w:val="0"/>
                  <w:marBottom w:val="0"/>
                  <w:divBdr>
                    <w:top w:val="none" w:sz="0" w:space="0" w:color="auto"/>
                    <w:left w:val="none" w:sz="0" w:space="0" w:color="auto"/>
                    <w:bottom w:val="none" w:sz="0" w:space="0" w:color="auto"/>
                    <w:right w:val="none" w:sz="0" w:space="0" w:color="auto"/>
                  </w:divBdr>
                </w:div>
                <w:div w:id="1692417076">
                  <w:marLeft w:val="0"/>
                  <w:marRight w:val="0"/>
                  <w:marTop w:val="0"/>
                  <w:marBottom w:val="0"/>
                  <w:divBdr>
                    <w:top w:val="none" w:sz="0" w:space="0" w:color="auto"/>
                    <w:left w:val="none" w:sz="0" w:space="0" w:color="auto"/>
                    <w:bottom w:val="none" w:sz="0" w:space="0" w:color="auto"/>
                    <w:right w:val="none" w:sz="0" w:space="0" w:color="auto"/>
                  </w:divBdr>
                </w:div>
                <w:div w:id="834952669">
                  <w:marLeft w:val="0"/>
                  <w:marRight w:val="0"/>
                  <w:marTop w:val="0"/>
                  <w:marBottom w:val="0"/>
                  <w:divBdr>
                    <w:top w:val="none" w:sz="0" w:space="0" w:color="auto"/>
                    <w:left w:val="none" w:sz="0" w:space="0" w:color="auto"/>
                    <w:bottom w:val="none" w:sz="0" w:space="0" w:color="auto"/>
                    <w:right w:val="none" w:sz="0" w:space="0" w:color="auto"/>
                  </w:divBdr>
                </w:div>
                <w:div w:id="210000533">
                  <w:marLeft w:val="0"/>
                  <w:marRight w:val="0"/>
                  <w:marTop w:val="0"/>
                  <w:marBottom w:val="0"/>
                  <w:divBdr>
                    <w:top w:val="none" w:sz="0" w:space="0" w:color="auto"/>
                    <w:left w:val="none" w:sz="0" w:space="0" w:color="auto"/>
                    <w:bottom w:val="none" w:sz="0" w:space="0" w:color="auto"/>
                    <w:right w:val="none" w:sz="0" w:space="0" w:color="auto"/>
                  </w:divBdr>
                </w:div>
                <w:div w:id="671377598">
                  <w:marLeft w:val="0"/>
                  <w:marRight w:val="0"/>
                  <w:marTop w:val="0"/>
                  <w:marBottom w:val="0"/>
                  <w:divBdr>
                    <w:top w:val="none" w:sz="0" w:space="0" w:color="auto"/>
                    <w:left w:val="none" w:sz="0" w:space="0" w:color="auto"/>
                    <w:bottom w:val="none" w:sz="0" w:space="0" w:color="auto"/>
                    <w:right w:val="none" w:sz="0" w:space="0" w:color="auto"/>
                  </w:divBdr>
                </w:div>
                <w:div w:id="1950551199">
                  <w:marLeft w:val="0"/>
                  <w:marRight w:val="0"/>
                  <w:marTop w:val="0"/>
                  <w:marBottom w:val="0"/>
                  <w:divBdr>
                    <w:top w:val="none" w:sz="0" w:space="0" w:color="auto"/>
                    <w:left w:val="none" w:sz="0" w:space="0" w:color="auto"/>
                    <w:bottom w:val="none" w:sz="0" w:space="0" w:color="auto"/>
                    <w:right w:val="none" w:sz="0" w:space="0" w:color="auto"/>
                  </w:divBdr>
                </w:div>
                <w:div w:id="917329746">
                  <w:marLeft w:val="0"/>
                  <w:marRight w:val="0"/>
                  <w:marTop w:val="0"/>
                  <w:marBottom w:val="0"/>
                  <w:divBdr>
                    <w:top w:val="none" w:sz="0" w:space="0" w:color="auto"/>
                    <w:left w:val="none" w:sz="0" w:space="0" w:color="auto"/>
                    <w:bottom w:val="none" w:sz="0" w:space="0" w:color="auto"/>
                    <w:right w:val="none" w:sz="0" w:space="0" w:color="auto"/>
                  </w:divBdr>
                </w:div>
                <w:div w:id="2077312812">
                  <w:marLeft w:val="0"/>
                  <w:marRight w:val="0"/>
                  <w:marTop w:val="0"/>
                  <w:marBottom w:val="0"/>
                  <w:divBdr>
                    <w:top w:val="none" w:sz="0" w:space="0" w:color="auto"/>
                    <w:left w:val="none" w:sz="0" w:space="0" w:color="auto"/>
                    <w:bottom w:val="none" w:sz="0" w:space="0" w:color="auto"/>
                    <w:right w:val="none" w:sz="0" w:space="0" w:color="auto"/>
                  </w:divBdr>
                </w:div>
                <w:div w:id="92287336">
                  <w:marLeft w:val="0"/>
                  <w:marRight w:val="0"/>
                  <w:marTop w:val="0"/>
                  <w:marBottom w:val="0"/>
                  <w:divBdr>
                    <w:top w:val="none" w:sz="0" w:space="0" w:color="auto"/>
                    <w:left w:val="none" w:sz="0" w:space="0" w:color="auto"/>
                    <w:bottom w:val="none" w:sz="0" w:space="0" w:color="auto"/>
                    <w:right w:val="none" w:sz="0" w:space="0" w:color="auto"/>
                  </w:divBdr>
                </w:div>
                <w:div w:id="1922833694">
                  <w:marLeft w:val="0"/>
                  <w:marRight w:val="0"/>
                  <w:marTop w:val="0"/>
                  <w:marBottom w:val="0"/>
                  <w:divBdr>
                    <w:top w:val="none" w:sz="0" w:space="0" w:color="auto"/>
                    <w:left w:val="none" w:sz="0" w:space="0" w:color="auto"/>
                    <w:bottom w:val="none" w:sz="0" w:space="0" w:color="auto"/>
                    <w:right w:val="none" w:sz="0" w:space="0" w:color="auto"/>
                  </w:divBdr>
                </w:div>
                <w:div w:id="686177378">
                  <w:marLeft w:val="0"/>
                  <w:marRight w:val="0"/>
                  <w:marTop w:val="0"/>
                  <w:marBottom w:val="0"/>
                  <w:divBdr>
                    <w:top w:val="none" w:sz="0" w:space="0" w:color="auto"/>
                    <w:left w:val="none" w:sz="0" w:space="0" w:color="auto"/>
                    <w:bottom w:val="none" w:sz="0" w:space="0" w:color="auto"/>
                    <w:right w:val="none" w:sz="0" w:space="0" w:color="auto"/>
                  </w:divBdr>
                </w:div>
                <w:div w:id="638922688">
                  <w:marLeft w:val="0"/>
                  <w:marRight w:val="0"/>
                  <w:marTop w:val="0"/>
                  <w:marBottom w:val="0"/>
                  <w:divBdr>
                    <w:top w:val="none" w:sz="0" w:space="0" w:color="auto"/>
                    <w:left w:val="none" w:sz="0" w:space="0" w:color="auto"/>
                    <w:bottom w:val="none" w:sz="0" w:space="0" w:color="auto"/>
                    <w:right w:val="none" w:sz="0" w:space="0" w:color="auto"/>
                  </w:divBdr>
                </w:div>
                <w:div w:id="2067292990">
                  <w:marLeft w:val="0"/>
                  <w:marRight w:val="0"/>
                  <w:marTop w:val="0"/>
                  <w:marBottom w:val="0"/>
                  <w:divBdr>
                    <w:top w:val="none" w:sz="0" w:space="0" w:color="auto"/>
                    <w:left w:val="none" w:sz="0" w:space="0" w:color="auto"/>
                    <w:bottom w:val="none" w:sz="0" w:space="0" w:color="auto"/>
                    <w:right w:val="none" w:sz="0" w:space="0" w:color="auto"/>
                  </w:divBdr>
                </w:div>
                <w:div w:id="1598177392">
                  <w:marLeft w:val="0"/>
                  <w:marRight w:val="0"/>
                  <w:marTop w:val="0"/>
                  <w:marBottom w:val="0"/>
                  <w:divBdr>
                    <w:top w:val="none" w:sz="0" w:space="0" w:color="auto"/>
                    <w:left w:val="none" w:sz="0" w:space="0" w:color="auto"/>
                    <w:bottom w:val="none" w:sz="0" w:space="0" w:color="auto"/>
                    <w:right w:val="none" w:sz="0" w:space="0" w:color="auto"/>
                  </w:divBdr>
                </w:div>
                <w:div w:id="629287678">
                  <w:marLeft w:val="0"/>
                  <w:marRight w:val="0"/>
                  <w:marTop w:val="0"/>
                  <w:marBottom w:val="0"/>
                  <w:divBdr>
                    <w:top w:val="none" w:sz="0" w:space="0" w:color="auto"/>
                    <w:left w:val="none" w:sz="0" w:space="0" w:color="auto"/>
                    <w:bottom w:val="none" w:sz="0" w:space="0" w:color="auto"/>
                    <w:right w:val="none" w:sz="0" w:space="0" w:color="auto"/>
                  </w:divBdr>
                </w:div>
                <w:div w:id="1756975799">
                  <w:marLeft w:val="0"/>
                  <w:marRight w:val="0"/>
                  <w:marTop w:val="0"/>
                  <w:marBottom w:val="0"/>
                  <w:divBdr>
                    <w:top w:val="none" w:sz="0" w:space="0" w:color="auto"/>
                    <w:left w:val="none" w:sz="0" w:space="0" w:color="auto"/>
                    <w:bottom w:val="none" w:sz="0" w:space="0" w:color="auto"/>
                    <w:right w:val="none" w:sz="0" w:space="0" w:color="auto"/>
                  </w:divBdr>
                </w:div>
                <w:div w:id="1294018068">
                  <w:marLeft w:val="0"/>
                  <w:marRight w:val="0"/>
                  <w:marTop w:val="0"/>
                  <w:marBottom w:val="0"/>
                  <w:divBdr>
                    <w:top w:val="none" w:sz="0" w:space="0" w:color="auto"/>
                    <w:left w:val="none" w:sz="0" w:space="0" w:color="auto"/>
                    <w:bottom w:val="none" w:sz="0" w:space="0" w:color="auto"/>
                    <w:right w:val="none" w:sz="0" w:space="0" w:color="auto"/>
                  </w:divBdr>
                </w:div>
                <w:div w:id="1504322721">
                  <w:marLeft w:val="0"/>
                  <w:marRight w:val="0"/>
                  <w:marTop w:val="0"/>
                  <w:marBottom w:val="0"/>
                  <w:divBdr>
                    <w:top w:val="none" w:sz="0" w:space="0" w:color="auto"/>
                    <w:left w:val="none" w:sz="0" w:space="0" w:color="auto"/>
                    <w:bottom w:val="none" w:sz="0" w:space="0" w:color="auto"/>
                    <w:right w:val="none" w:sz="0" w:space="0" w:color="auto"/>
                  </w:divBdr>
                </w:div>
                <w:div w:id="1446997096">
                  <w:marLeft w:val="0"/>
                  <w:marRight w:val="0"/>
                  <w:marTop w:val="0"/>
                  <w:marBottom w:val="0"/>
                  <w:divBdr>
                    <w:top w:val="none" w:sz="0" w:space="0" w:color="auto"/>
                    <w:left w:val="none" w:sz="0" w:space="0" w:color="auto"/>
                    <w:bottom w:val="none" w:sz="0" w:space="0" w:color="auto"/>
                    <w:right w:val="none" w:sz="0" w:space="0" w:color="auto"/>
                  </w:divBdr>
                </w:div>
                <w:div w:id="2004816135">
                  <w:marLeft w:val="0"/>
                  <w:marRight w:val="0"/>
                  <w:marTop w:val="0"/>
                  <w:marBottom w:val="0"/>
                  <w:divBdr>
                    <w:top w:val="none" w:sz="0" w:space="0" w:color="auto"/>
                    <w:left w:val="none" w:sz="0" w:space="0" w:color="auto"/>
                    <w:bottom w:val="none" w:sz="0" w:space="0" w:color="auto"/>
                    <w:right w:val="none" w:sz="0" w:space="0" w:color="auto"/>
                  </w:divBdr>
                </w:div>
                <w:div w:id="1328244508">
                  <w:marLeft w:val="0"/>
                  <w:marRight w:val="0"/>
                  <w:marTop w:val="0"/>
                  <w:marBottom w:val="0"/>
                  <w:divBdr>
                    <w:top w:val="none" w:sz="0" w:space="0" w:color="auto"/>
                    <w:left w:val="none" w:sz="0" w:space="0" w:color="auto"/>
                    <w:bottom w:val="none" w:sz="0" w:space="0" w:color="auto"/>
                    <w:right w:val="none" w:sz="0" w:space="0" w:color="auto"/>
                  </w:divBdr>
                </w:div>
                <w:div w:id="1423331212">
                  <w:marLeft w:val="0"/>
                  <w:marRight w:val="0"/>
                  <w:marTop w:val="0"/>
                  <w:marBottom w:val="0"/>
                  <w:divBdr>
                    <w:top w:val="none" w:sz="0" w:space="0" w:color="auto"/>
                    <w:left w:val="none" w:sz="0" w:space="0" w:color="auto"/>
                    <w:bottom w:val="none" w:sz="0" w:space="0" w:color="auto"/>
                    <w:right w:val="none" w:sz="0" w:space="0" w:color="auto"/>
                  </w:divBdr>
                </w:div>
                <w:div w:id="15858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6701">
          <w:marLeft w:val="0"/>
          <w:marRight w:val="0"/>
          <w:marTop w:val="15"/>
          <w:marBottom w:val="0"/>
          <w:divBdr>
            <w:top w:val="none" w:sz="0" w:space="0" w:color="auto"/>
            <w:left w:val="none" w:sz="0" w:space="0" w:color="auto"/>
            <w:bottom w:val="none" w:sz="0" w:space="0" w:color="auto"/>
            <w:right w:val="none" w:sz="0" w:space="0" w:color="auto"/>
          </w:divBdr>
          <w:divsChild>
            <w:div w:id="437994684">
              <w:marLeft w:val="0"/>
              <w:marRight w:val="0"/>
              <w:marTop w:val="0"/>
              <w:marBottom w:val="0"/>
              <w:divBdr>
                <w:top w:val="none" w:sz="0" w:space="0" w:color="auto"/>
                <w:left w:val="none" w:sz="0" w:space="0" w:color="auto"/>
                <w:bottom w:val="none" w:sz="0" w:space="0" w:color="auto"/>
                <w:right w:val="none" w:sz="0" w:space="0" w:color="auto"/>
              </w:divBdr>
              <w:divsChild>
                <w:div w:id="203256245">
                  <w:marLeft w:val="0"/>
                  <w:marRight w:val="0"/>
                  <w:marTop w:val="0"/>
                  <w:marBottom w:val="0"/>
                  <w:divBdr>
                    <w:top w:val="none" w:sz="0" w:space="0" w:color="auto"/>
                    <w:left w:val="none" w:sz="0" w:space="0" w:color="auto"/>
                    <w:bottom w:val="none" w:sz="0" w:space="0" w:color="auto"/>
                    <w:right w:val="none" w:sz="0" w:space="0" w:color="auto"/>
                  </w:divBdr>
                </w:div>
                <w:div w:id="1176113122">
                  <w:marLeft w:val="0"/>
                  <w:marRight w:val="0"/>
                  <w:marTop w:val="0"/>
                  <w:marBottom w:val="0"/>
                  <w:divBdr>
                    <w:top w:val="none" w:sz="0" w:space="0" w:color="auto"/>
                    <w:left w:val="none" w:sz="0" w:space="0" w:color="auto"/>
                    <w:bottom w:val="none" w:sz="0" w:space="0" w:color="auto"/>
                    <w:right w:val="none" w:sz="0" w:space="0" w:color="auto"/>
                  </w:divBdr>
                </w:div>
                <w:div w:id="1827160467">
                  <w:marLeft w:val="0"/>
                  <w:marRight w:val="0"/>
                  <w:marTop w:val="0"/>
                  <w:marBottom w:val="0"/>
                  <w:divBdr>
                    <w:top w:val="none" w:sz="0" w:space="0" w:color="auto"/>
                    <w:left w:val="none" w:sz="0" w:space="0" w:color="auto"/>
                    <w:bottom w:val="none" w:sz="0" w:space="0" w:color="auto"/>
                    <w:right w:val="none" w:sz="0" w:space="0" w:color="auto"/>
                  </w:divBdr>
                </w:div>
                <w:div w:id="1000347888">
                  <w:marLeft w:val="0"/>
                  <w:marRight w:val="0"/>
                  <w:marTop w:val="0"/>
                  <w:marBottom w:val="0"/>
                  <w:divBdr>
                    <w:top w:val="none" w:sz="0" w:space="0" w:color="auto"/>
                    <w:left w:val="none" w:sz="0" w:space="0" w:color="auto"/>
                    <w:bottom w:val="none" w:sz="0" w:space="0" w:color="auto"/>
                    <w:right w:val="none" w:sz="0" w:space="0" w:color="auto"/>
                  </w:divBdr>
                </w:div>
                <w:div w:id="1183789079">
                  <w:marLeft w:val="0"/>
                  <w:marRight w:val="0"/>
                  <w:marTop w:val="0"/>
                  <w:marBottom w:val="0"/>
                  <w:divBdr>
                    <w:top w:val="none" w:sz="0" w:space="0" w:color="auto"/>
                    <w:left w:val="none" w:sz="0" w:space="0" w:color="auto"/>
                    <w:bottom w:val="none" w:sz="0" w:space="0" w:color="auto"/>
                    <w:right w:val="none" w:sz="0" w:space="0" w:color="auto"/>
                  </w:divBdr>
                </w:div>
                <w:div w:id="1738358484">
                  <w:marLeft w:val="0"/>
                  <w:marRight w:val="0"/>
                  <w:marTop w:val="0"/>
                  <w:marBottom w:val="0"/>
                  <w:divBdr>
                    <w:top w:val="none" w:sz="0" w:space="0" w:color="auto"/>
                    <w:left w:val="none" w:sz="0" w:space="0" w:color="auto"/>
                    <w:bottom w:val="none" w:sz="0" w:space="0" w:color="auto"/>
                    <w:right w:val="none" w:sz="0" w:space="0" w:color="auto"/>
                  </w:divBdr>
                </w:div>
                <w:div w:id="1681934654">
                  <w:marLeft w:val="0"/>
                  <w:marRight w:val="0"/>
                  <w:marTop w:val="0"/>
                  <w:marBottom w:val="0"/>
                  <w:divBdr>
                    <w:top w:val="none" w:sz="0" w:space="0" w:color="auto"/>
                    <w:left w:val="none" w:sz="0" w:space="0" w:color="auto"/>
                    <w:bottom w:val="none" w:sz="0" w:space="0" w:color="auto"/>
                    <w:right w:val="none" w:sz="0" w:space="0" w:color="auto"/>
                  </w:divBdr>
                </w:div>
                <w:div w:id="1909535917">
                  <w:marLeft w:val="0"/>
                  <w:marRight w:val="0"/>
                  <w:marTop w:val="0"/>
                  <w:marBottom w:val="0"/>
                  <w:divBdr>
                    <w:top w:val="none" w:sz="0" w:space="0" w:color="auto"/>
                    <w:left w:val="none" w:sz="0" w:space="0" w:color="auto"/>
                    <w:bottom w:val="none" w:sz="0" w:space="0" w:color="auto"/>
                    <w:right w:val="none" w:sz="0" w:space="0" w:color="auto"/>
                  </w:divBdr>
                </w:div>
                <w:div w:id="1634285516">
                  <w:marLeft w:val="0"/>
                  <w:marRight w:val="0"/>
                  <w:marTop w:val="0"/>
                  <w:marBottom w:val="0"/>
                  <w:divBdr>
                    <w:top w:val="none" w:sz="0" w:space="0" w:color="auto"/>
                    <w:left w:val="none" w:sz="0" w:space="0" w:color="auto"/>
                    <w:bottom w:val="none" w:sz="0" w:space="0" w:color="auto"/>
                    <w:right w:val="none" w:sz="0" w:space="0" w:color="auto"/>
                  </w:divBdr>
                </w:div>
                <w:div w:id="550574665">
                  <w:marLeft w:val="0"/>
                  <w:marRight w:val="0"/>
                  <w:marTop w:val="0"/>
                  <w:marBottom w:val="0"/>
                  <w:divBdr>
                    <w:top w:val="none" w:sz="0" w:space="0" w:color="auto"/>
                    <w:left w:val="none" w:sz="0" w:space="0" w:color="auto"/>
                    <w:bottom w:val="none" w:sz="0" w:space="0" w:color="auto"/>
                    <w:right w:val="none" w:sz="0" w:space="0" w:color="auto"/>
                  </w:divBdr>
                </w:div>
                <w:div w:id="46269894">
                  <w:marLeft w:val="0"/>
                  <w:marRight w:val="0"/>
                  <w:marTop w:val="0"/>
                  <w:marBottom w:val="0"/>
                  <w:divBdr>
                    <w:top w:val="none" w:sz="0" w:space="0" w:color="auto"/>
                    <w:left w:val="none" w:sz="0" w:space="0" w:color="auto"/>
                    <w:bottom w:val="none" w:sz="0" w:space="0" w:color="auto"/>
                    <w:right w:val="none" w:sz="0" w:space="0" w:color="auto"/>
                  </w:divBdr>
                </w:div>
                <w:div w:id="1990089346">
                  <w:marLeft w:val="0"/>
                  <w:marRight w:val="0"/>
                  <w:marTop w:val="0"/>
                  <w:marBottom w:val="0"/>
                  <w:divBdr>
                    <w:top w:val="none" w:sz="0" w:space="0" w:color="auto"/>
                    <w:left w:val="none" w:sz="0" w:space="0" w:color="auto"/>
                    <w:bottom w:val="none" w:sz="0" w:space="0" w:color="auto"/>
                    <w:right w:val="none" w:sz="0" w:space="0" w:color="auto"/>
                  </w:divBdr>
                </w:div>
                <w:div w:id="1107388749">
                  <w:marLeft w:val="0"/>
                  <w:marRight w:val="0"/>
                  <w:marTop w:val="0"/>
                  <w:marBottom w:val="0"/>
                  <w:divBdr>
                    <w:top w:val="none" w:sz="0" w:space="0" w:color="auto"/>
                    <w:left w:val="none" w:sz="0" w:space="0" w:color="auto"/>
                    <w:bottom w:val="none" w:sz="0" w:space="0" w:color="auto"/>
                    <w:right w:val="none" w:sz="0" w:space="0" w:color="auto"/>
                  </w:divBdr>
                </w:div>
                <w:div w:id="1561595400">
                  <w:marLeft w:val="0"/>
                  <w:marRight w:val="0"/>
                  <w:marTop w:val="0"/>
                  <w:marBottom w:val="0"/>
                  <w:divBdr>
                    <w:top w:val="none" w:sz="0" w:space="0" w:color="auto"/>
                    <w:left w:val="none" w:sz="0" w:space="0" w:color="auto"/>
                    <w:bottom w:val="none" w:sz="0" w:space="0" w:color="auto"/>
                    <w:right w:val="none" w:sz="0" w:space="0" w:color="auto"/>
                  </w:divBdr>
                </w:div>
                <w:div w:id="1700083124">
                  <w:marLeft w:val="0"/>
                  <w:marRight w:val="0"/>
                  <w:marTop w:val="0"/>
                  <w:marBottom w:val="0"/>
                  <w:divBdr>
                    <w:top w:val="none" w:sz="0" w:space="0" w:color="auto"/>
                    <w:left w:val="none" w:sz="0" w:space="0" w:color="auto"/>
                    <w:bottom w:val="none" w:sz="0" w:space="0" w:color="auto"/>
                    <w:right w:val="none" w:sz="0" w:space="0" w:color="auto"/>
                  </w:divBdr>
                </w:div>
                <w:div w:id="1142622038">
                  <w:marLeft w:val="0"/>
                  <w:marRight w:val="0"/>
                  <w:marTop w:val="0"/>
                  <w:marBottom w:val="0"/>
                  <w:divBdr>
                    <w:top w:val="none" w:sz="0" w:space="0" w:color="auto"/>
                    <w:left w:val="none" w:sz="0" w:space="0" w:color="auto"/>
                    <w:bottom w:val="none" w:sz="0" w:space="0" w:color="auto"/>
                    <w:right w:val="none" w:sz="0" w:space="0" w:color="auto"/>
                  </w:divBdr>
                </w:div>
                <w:div w:id="45881440">
                  <w:marLeft w:val="0"/>
                  <w:marRight w:val="0"/>
                  <w:marTop w:val="0"/>
                  <w:marBottom w:val="0"/>
                  <w:divBdr>
                    <w:top w:val="none" w:sz="0" w:space="0" w:color="auto"/>
                    <w:left w:val="none" w:sz="0" w:space="0" w:color="auto"/>
                    <w:bottom w:val="none" w:sz="0" w:space="0" w:color="auto"/>
                    <w:right w:val="none" w:sz="0" w:space="0" w:color="auto"/>
                  </w:divBdr>
                </w:div>
                <w:div w:id="597786307">
                  <w:marLeft w:val="0"/>
                  <w:marRight w:val="0"/>
                  <w:marTop w:val="0"/>
                  <w:marBottom w:val="0"/>
                  <w:divBdr>
                    <w:top w:val="none" w:sz="0" w:space="0" w:color="auto"/>
                    <w:left w:val="none" w:sz="0" w:space="0" w:color="auto"/>
                    <w:bottom w:val="none" w:sz="0" w:space="0" w:color="auto"/>
                    <w:right w:val="none" w:sz="0" w:space="0" w:color="auto"/>
                  </w:divBdr>
                </w:div>
                <w:div w:id="733510099">
                  <w:marLeft w:val="0"/>
                  <w:marRight w:val="0"/>
                  <w:marTop w:val="0"/>
                  <w:marBottom w:val="0"/>
                  <w:divBdr>
                    <w:top w:val="none" w:sz="0" w:space="0" w:color="auto"/>
                    <w:left w:val="none" w:sz="0" w:space="0" w:color="auto"/>
                    <w:bottom w:val="none" w:sz="0" w:space="0" w:color="auto"/>
                    <w:right w:val="none" w:sz="0" w:space="0" w:color="auto"/>
                  </w:divBdr>
                </w:div>
                <w:div w:id="1281842008">
                  <w:marLeft w:val="0"/>
                  <w:marRight w:val="0"/>
                  <w:marTop w:val="0"/>
                  <w:marBottom w:val="0"/>
                  <w:divBdr>
                    <w:top w:val="none" w:sz="0" w:space="0" w:color="auto"/>
                    <w:left w:val="none" w:sz="0" w:space="0" w:color="auto"/>
                    <w:bottom w:val="none" w:sz="0" w:space="0" w:color="auto"/>
                    <w:right w:val="none" w:sz="0" w:space="0" w:color="auto"/>
                  </w:divBdr>
                </w:div>
                <w:div w:id="1907376277">
                  <w:marLeft w:val="0"/>
                  <w:marRight w:val="0"/>
                  <w:marTop w:val="0"/>
                  <w:marBottom w:val="0"/>
                  <w:divBdr>
                    <w:top w:val="none" w:sz="0" w:space="0" w:color="auto"/>
                    <w:left w:val="none" w:sz="0" w:space="0" w:color="auto"/>
                    <w:bottom w:val="none" w:sz="0" w:space="0" w:color="auto"/>
                    <w:right w:val="none" w:sz="0" w:space="0" w:color="auto"/>
                  </w:divBdr>
                </w:div>
                <w:div w:id="718237511">
                  <w:marLeft w:val="0"/>
                  <w:marRight w:val="0"/>
                  <w:marTop w:val="0"/>
                  <w:marBottom w:val="0"/>
                  <w:divBdr>
                    <w:top w:val="none" w:sz="0" w:space="0" w:color="auto"/>
                    <w:left w:val="none" w:sz="0" w:space="0" w:color="auto"/>
                    <w:bottom w:val="none" w:sz="0" w:space="0" w:color="auto"/>
                    <w:right w:val="none" w:sz="0" w:space="0" w:color="auto"/>
                  </w:divBdr>
                </w:div>
                <w:div w:id="727612448">
                  <w:marLeft w:val="0"/>
                  <w:marRight w:val="0"/>
                  <w:marTop w:val="0"/>
                  <w:marBottom w:val="0"/>
                  <w:divBdr>
                    <w:top w:val="none" w:sz="0" w:space="0" w:color="auto"/>
                    <w:left w:val="none" w:sz="0" w:space="0" w:color="auto"/>
                    <w:bottom w:val="none" w:sz="0" w:space="0" w:color="auto"/>
                    <w:right w:val="none" w:sz="0" w:space="0" w:color="auto"/>
                  </w:divBdr>
                </w:div>
                <w:div w:id="1913272186">
                  <w:marLeft w:val="0"/>
                  <w:marRight w:val="0"/>
                  <w:marTop w:val="0"/>
                  <w:marBottom w:val="0"/>
                  <w:divBdr>
                    <w:top w:val="none" w:sz="0" w:space="0" w:color="auto"/>
                    <w:left w:val="none" w:sz="0" w:space="0" w:color="auto"/>
                    <w:bottom w:val="none" w:sz="0" w:space="0" w:color="auto"/>
                    <w:right w:val="none" w:sz="0" w:space="0" w:color="auto"/>
                  </w:divBdr>
                </w:div>
                <w:div w:id="14484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547">
          <w:marLeft w:val="0"/>
          <w:marRight w:val="0"/>
          <w:marTop w:val="15"/>
          <w:marBottom w:val="0"/>
          <w:divBdr>
            <w:top w:val="none" w:sz="0" w:space="0" w:color="auto"/>
            <w:left w:val="none" w:sz="0" w:space="0" w:color="auto"/>
            <w:bottom w:val="none" w:sz="0" w:space="0" w:color="auto"/>
            <w:right w:val="none" w:sz="0" w:space="0" w:color="auto"/>
          </w:divBdr>
          <w:divsChild>
            <w:div w:id="603613835">
              <w:marLeft w:val="0"/>
              <w:marRight w:val="0"/>
              <w:marTop w:val="0"/>
              <w:marBottom w:val="0"/>
              <w:divBdr>
                <w:top w:val="none" w:sz="0" w:space="0" w:color="auto"/>
                <w:left w:val="none" w:sz="0" w:space="0" w:color="auto"/>
                <w:bottom w:val="none" w:sz="0" w:space="0" w:color="auto"/>
                <w:right w:val="none" w:sz="0" w:space="0" w:color="auto"/>
              </w:divBdr>
              <w:divsChild>
                <w:div w:id="1510480687">
                  <w:marLeft w:val="0"/>
                  <w:marRight w:val="0"/>
                  <w:marTop w:val="0"/>
                  <w:marBottom w:val="0"/>
                  <w:divBdr>
                    <w:top w:val="none" w:sz="0" w:space="0" w:color="auto"/>
                    <w:left w:val="none" w:sz="0" w:space="0" w:color="auto"/>
                    <w:bottom w:val="none" w:sz="0" w:space="0" w:color="auto"/>
                    <w:right w:val="none" w:sz="0" w:space="0" w:color="auto"/>
                  </w:divBdr>
                </w:div>
                <w:div w:id="1906379276">
                  <w:marLeft w:val="0"/>
                  <w:marRight w:val="0"/>
                  <w:marTop w:val="0"/>
                  <w:marBottom w:val="0"/>
                  <w:divBdr>
                    <w:top w:val="none" w:sz="0" w:space="0" w:color="auto"/>
                    <w:left w:val="none" w:sz="0" w:space="0" w:color="auto"/>
                    <w:bottom w:val="none" w:sz="0" w:space="0" w:color="auto"/>
                    <w:right w:val="none" w:sz="0" w:space="0" w:color="auto"/>
                  </w:divBdr>
                </w:div>
                <w:div w:id="2100322186">
                  <w:marLeft w:val="0"/>
                  <w:marRight w:val="0"/>
                  <w:marTop w:val="0"/>
                  <w:marBottom w:val="0"/>
                  <w:divBdr>
                    <w:top w:val="none" w:sz="0" w:space="0" w:color="auto"/>
                    <w:left w:val="none" w:sz="0" w:space="0" w:color="auto"/>
                    <w:bottom w:val="none" w:sz="0" w:space="0" w:color="auto"/>
                    <w:right w:val="none" w:sz="0" w:space="0" w:color="auto"/>
                  </w:divBdr>
                </w:div>
                <w:div w:id="1509981707">
                  <w:marLeft w:val="0"/>
                  <w:marRight w:val="0"/>
                  <w:marTop w:val="0"/>
                  <w:marBottom w:val="0"/>
                  <w:divBdr>
                    <w:top w:val="none" w:sz="0" w:space="0" w:color="auto"/>
                    <w:left w:val="none" w:sz="0" w:space="0" w:color="auto"/>
                    <w:bottom w:val="none" w:sz="0" w:space="0" w:color="auto"/>
                    <w:right w:val="none" w:sz="0" w:space="0" w:color="auto"/>
                  </w:divBdr>
                </w:div>
                <w:div w:id="158927234">
                  <w:marLeft w:val="0"/>
                  <w:marRight w:val="0"/>
                  <w:marTop w:val="0"/>
                  <w:marBottom w:val="0"/>
                  <w:divBdr>
                    <w:top w:val="none" w:sz="0" w:space="0" w:color="auto"/>
                    <w:left w:val="none" w:sz="0" w:space="0" w:color="auto"/>
                    <w:bottom w:val="none" w:sz="0" w:space="0" w:color="auto"/>
                    <w:right w:val="none" w:sz="0" w:space="0" w:color="auto"/>
                  </w:divBdr>
                </w:div>
                <w:div w:id="1327126999">
                  <w:marLeft w:val="0"/>
                  <w:marRight w:val="0"/>
                  <w:marTop w:val="0"/>
                  <w:marBottom w:val="0"/>
                  <w:divBdr>
                    <w:top w:val="none" w:sz="0" w:space="0" w:color="auto"/>
                    <w:left w:val="none" w:sz="0" w:space="0" w:color="auto"/>
                    <w:bottom w:val="none" w:sz="0" w:space="0" w:color="auto"/>
                    <w:right w:val="none" w:sz="0" w:space="0" w:color="auto"/>
                  </w:divBdr>
                </w:div>
                <w:div w:id="796096956">
                  <w:marLeft w:val="0"/>
                  <w:marRight w:val="0"/>
                  <w:marTop w:val="0"/>
                  <w:marBottom w:val="0"/>
                  <w:divBdr>
                    <w:top w:val="none" w:sz="0" w:space="0" w:color="auto"/>
                    <w:left w:val="none" w:sz="0" w:space="0" w:color="auto"/>
                    <w:bottom w:val="none" w:sz="0" w:space="0" w:color="auto"/>
                    <w:right w:val="none" w:sz="0" w:space="0" w:color="auto"/>
                  </w:divBdr>
                </w:div>
                <w:div w:id="1391424258">
                  <w:marLeft w:val="0"/>
                  <w:marRight w:val="0"/>
                  <w:marTop w:val="0"/>
                  <w:marBottom w:val="0"/>
                  <w:divBdr>
                    <w:top w:val="none" w:sz="0" w:space="0" w:color="auto"/>
                    <w:left w:val="none" w:sz="0" w:space="0" w:color="auto"/>
                    <w:bottom w:val="none" w:sz="0" w:space="0" w:color="auto"/>
                    <w:right w:val="none" w:sz="0" w:space="0" w:color="auto"/>
                  </w:divBdr>
                </w:div>
                <w:div w:id="805702973">
                  <w:marLeft w:val="0"/>
                  <w:marRight w:val="0"/>
                  <w:marTop w:val="0"/>
                  <w:marBottom w:val="0"/>
                  <w:divBdr>
                    <w:top w:val="none" w:sz="0" w:space="0" w:color="auto"/>
                    <w:left w:val="none" w:sz="0" w:space="0" w:color="auto"/>
                    <w:bottom w:val="none" w:sz="0" w:space="0" w:color="auto"/>
                    <w:right w:val="none" w:sz="0" w:space="0" w:color="auto"/>
                  </w:divBdr>
                </w:div>
                <w:div w:id="1621565410">
                  <w:marLeft w:val="0"/>
                  <w:marRight w:val="0"/>
                  <w:marTop w:val="0"/>
                  <w:marBottom w:val="0"/>
                  <w:divBdr>
                    <w:top w:val="none" w:sz="0" w:space="0" w:color="auto"/>
                    <w:left w:val="none" w:sz="0" w:space="0" w:color="auto"/>
                    <w:bottom w:val="none" w:sz="0" w:space="0" w:color="auto"/>
                    <w:right w:val="none" w:sz="0" w:space="0" w:color="auto"/>
                  </w:divBdr>
                </w:div>
                <w:div w:id="918099844">
                  <w:marLeft w:val="0"/>
                  <w:marRight w:val="0"/>
                  <w:marTop w:val="0"/>
                  <w:marBottom w:val="0"/>
                  <w:divBdr>
                    <w:top w:val="none" w:sz="0" w:space="0" w:color="auto"/>
                    <w:left w:val="none" w:sz="0" w:space="0" w:color="auto"/>
                    <w:bottom w:val="none" w:sz="0" w:space="0" w:color="auto"/>
                    <w:right w:val="none" w:sz="0" w:space="0" w:color="auto"/>
                  </w:divBdr>
                </w:div>
                <w:div w:id="1004865513">
                  <w:marLeft w:val="0"/>
                  <w:marRight w:val="0"/>
                  <w:marTop w:val="0"/>
                  <w:marBottom w:val="0"/>
                  <w:divBdr>
                    <w:top w:val="none" w:sz="0" w:space="0" w:color="auto"/>
                    <w:left w:val="none" w:sz="0" w:space="0" w:color="auto"/>
                    <w:bottom w:val="none" w:sz="0" w:space="0" w:color="auto"/>
                    <w:right w:val="none" w:sz="0" w:space="0" w:color="auto"/>
                  </w:divBdr>
                </w:div>
                <w:div w:id="1954945948">
                  <w:marLeft w:val="0"/>
                  <w:marRight w:val="0"/>
                  <w:marTop w:val="0"/>
                  <w:marBottom w:val="0"/>
                  <w:divBdr>
                    <w:top w:val="none" w:sz="0" w:space="0" w:color="auto"/>
                    <w:left w:val="none" w:sz="0" w:space="0" w:color="auto"/>
                    <w:bottom w:val="none" w:sz="0" w:space="0" w:color="auto"/>
                    <w:right w:val="none" w:sz="0" w:space="0" w:color="auto"/>
                  </w:divBdr>
                </w:div>
                <w:div w:id="1016924480">
                  <w:marLeft w:val="0"/>
                  <w:marRight w:val="0"/>
                  <w:marTop w:val="0"/>
                  <w:marBottom w:val="0"/>
                  <w:divBdr>
                    <w:top w:val="none" w:sz="0" w:space="0" w:color="auto"/>
                    <w:left w:val="none" w:sz="0" w:space="0" w:color="auto"/>
                    <w:bottom w:val="none" w:sz="0" w:space="0" w:color="auto"/>
                    <w:right w:val="none" w:sz="0" w:space="0" w:color="auto"/>
                  </w:divBdr>
                </w:div>
                <w:div w:id="1799297358">
                  <w:marLeft w:val="0"/>
                  <w:marRight w:val="0"/>
                  <w:marTop w:val="0"/>
                  <w:marBottom w:val="0"/>
                  <w:divBdr>
                    <w:top w:val="none" w:sz="0" w:space="0" w:color="auto"/>
                    <w:left w:val="none" w:sz="0" w:space="0" w:color="auto"/>
                    <w:bottom w:val="none" w:sz="0" w:space="0" w:color="auto"/>
                    <w:right w:val="none" w:sz="0" w:space="0" w:color="auto"/>
                  </w:divBdr>
                </w:div>
                <w:div w:id="1422946004">
                  <w:marLeft w:val="0"/>
                  <w:marRight w:val="0"/>
                  <w:marTop w:val="0"/>
                  <w:marBottom w:val="0"/>
                  <w:divBdr>
                    <w:top w:val="none" w:sz="0" w:space="0" w:color="auto"/>
                    <w:left w:val="none" w:sz="0" w:space="0" w:color="auto"/>
                    <w:bottom w:val="none" w:sz="0" w:space="0" w:color="auto"/>
                    <w:right w:val="none" w:sz="0" w:space="0" w:color="auto"/>
                  </w:divBdr>
                </w:div>
                <w:div w:id="1834948202">
                  <w:marLeft w:val="0"/>
                  <w:marRight w:val="0"/>
                  <w:marTop w:val="0"/>
                  <w:marBottom w:val="0"/>
                  <w:divBdr>
                    <w:top w:val="none" w:sz="0" w:space="0" w:color="auto"/>
                    <w:left w:val="none" w:sz="0" w:space="0" w:color="auto"/>
                    <w:bottom w:val="none" w:sz="0" w:space="0" w:color="auto"/>
                    <w:right w:val="none" w:sz="0" w:space="0" w:color="auto"/>
                  </w:divBdr>
                </w:div>
                <w:div w:id="1990597161">
                  <w:marLeft w:val="0"/>
                  <w:marRight w:val="0"/>
                  <w:marTop w:val="0"/>
                  <w:marBottom w:val="0"/>
                  <w:divBdr>
                    <w:top w:val="none" w:sz="0" w:space="0" w:color="auto"/>
                    <w:left w:val="none" w:sz="0" w:space="0" w:color="auto"/>
                    <w:bottom w:val="none" w:sz="0" w:space="0" w:color="auto"/>
                    <w:right w:val="none" w:sz="0" w:space="0" w:color="auto"/>
                  </w:divBdr>
                </w:div>
                <w:div w:id="531192231">
                  <w:marLeft w:val="0"/>
                  <w:marRight w:val="0"/>
                  <w:marTop w:val="0"/>
                  <w:marBottom w:val="0"/>
                  <w:divBdr>
                    <w:top w:val="none" w:sz="0" w:space="0" w:color="auto"/>
                    <w:left w:val="none" w:sz="0" w:space="0" w:color="auto"/>
                    <w:bottom w:val="none" w:sz="0" w:space="0" w:color="auto"/>
                    <w:right w:val="none" w:sz="0" w:space="0" w:color="auto"/>
                  </w:divBdr>
                </w:div>
                <w:div w:id="2112698332">
                  <w:marLeft w:val="0"/>
                  <w:marRight w:val="0"/>
                  <w:marTop w:val="0"/>
                  <w:marBottom w:val="0"/>
                  <w:divBdr>
                    <w:top w:val="none" w:sz="0" w:space="0" w:color="auto"/>
                    <w:left w:val="none" w:sz="0" w:space="0" w:color="auto"/>
                    <w:bottom w:val="none" w:sz="0" w:space="0" w:color="auto"/>
                    <w:right w:val="none" w:sz="0" w:space="0" w:color="auto"/>
                  </w:divBdr>
                </w:div>
                <w:div w:id="76749425">
                  <w:marLeft w:val="0"/>
                  <w:marRight w:val="0"/>
                  <w:marTop w:val="0"/>
                  <w:marBottom w:val="0"/>
                  <w:divBdr>
                    <w:top w:val="none" w:sz="0" w:space="0" w:color="auto"/>
                    <w:left w:val="none" w:sz="0" w:space="0" w:color="auto"/>
                    <w:bottom w:val="none" w:sz="0" w:space="0" w:color="auto"/>
                    <w:right w:val="none" w:sz="0" w:space="0" w:color="auto"/>
                  </w:divBdr>
                </w:div>
                <w:div w:id="1874920070">
                  <w:marLeft w:val="0"/>
                  <w:marRight w:val="0"/>
                  <w:marTop w:val="0"/>
                  <w:marBottom w:val="0"/>
                  <w:divBdr>
                    <w:top w:val="none" w:sz="0" w:space="0" w:color="auto"/>
                    <w:left w:val="none" w:sz="0" w:space="0" w:color="auto"/>
                    <w:bottom w:val="none" w:sz="0" w:space="0" w:color="auto"/>
                    <w:right w:val="none" w:sz="0" w:space="0" w:color="auto"/>
                  </w:divBdr>
                </w:div>
                <w:div w:id="1721174279">
                  <w:marLeft w:val="0"/>
                  <w:marRight w:val="0"/>
                  <w:marTop w:val="0"/>
                  <w:marBottom w:val="0"/>
                  <w:divBdr>
                    <w:top w:val="none" w:sz="0" w:space="0" w:color="auto"/>
                    <w:left w:val="none" w:sz="0" w:space="0" w:color="auto"/>
                    <w:bottom w:val="none" w:sz="0" w:space="0" w:color="auto"/>
                    <w:right w:val="none" w:sz="0" w:space="0" w:color="auto"/>
                  </w:divBdr>
                </w:div>
                <w:div w:id="1482885815">
                  <w:marLeft w:val="0"/>
                  <w:marRight w:val="0"/>
                  <w:marTop w:val="0"/>
                  <w:marBottom w:val="0"/>
                  <w:divBdr>
                    <w:top w:val="none" w:sz="0" w:space="0" w:color="auto"/>
                    <w:left w:val="none" w:sz="0" w:space="0" w:color="auto"/>
                    <w:bottom w:val="none" w:sz="0" w:space="0" w:color="auto"/>
                    <w:right w:val="none" w:sz="0" w:space="0" w:color="auto"/>
                  </w:divBdr>
                </w:div>
                <w:div w:id="726030582">
                  <w:marLeft w:val="0"/>
                  <w:marRight w:val="0"/>
                  <w:marTop w:val="0"/>
                  <w:marBottom w:val="0"/>
                  <w:divBdr>
                    <w:top w:val="none" w:sz="0" w:space="0" w:color="auto"/>
                    <w:left w:val="none" w:sz="0" w:space="0" w:color="auto"/>
                    <w:bottom w:val="none" w:sz="0" w:space="0" w:color="auto"/>
                    <w:right w:val="none" w:sz="0" w:space="0" w:color="auto"/>
                  </w:divBdr>
                </w:div>
                <w:div w:id="20208135">
                  <w:marLeft w:val="0"/>
                  <w:marRight w:val="0"/>
                  <w:marTop w:val="0"/>
                  <w:marBottom w:val="0"/>
                  <w:divBdr>
                    <w:top w:val="none" w:sz="0" w:space="0" w:color="auto"/>
                    <w:left w:val="none" w:sz="0" w:space="0" w:color="auto"/>
                    <w:bottom w:val="none" w:sz="0" w:space="0" w:color="auto"/>
                    <w:right w:val="none" w:sz="0" w:space="0" w:color="auto"/>
                  </w:divBdr>
                </w:div>
                <w:div w:id="1404837394">
                  <w:marLeft w:val="0"/>
                  <w:marRight w:val="0"/>
                  <w:marTop w:val="0"/>
                  <w:marBottom w:val="0"/>
                  <w:divBdr>
                    <w:top w:val="none" w:sz="0" w:space="0" w:color="auto"/>
                    <w:left w:val="none" w:sz="0" w:space="0" w:color="auto"/>
                    <w:bottom w:val="none" w:sz="0" w:space="0" w:color="auto"/>
                    <w:right w:val="none" w:sz="0" w:space="0" w:color="auto"/>
                  </w:divBdr>
                </w:div>
                <w:div w:id="948270527">
                  <w:marLeft w:val="0"/>
                  <w:marRight w:val="0"/>
                  <w:marTop w:val="0"/>
                  <w:marBottom w:val="0"/>
                  <w:divBdr>
                    <w:top w:val="none" w:sz="0" w:space="0" w:color="auto"/>
                    <w:left w:val="none" w:sz="0" w:space="0" w:color="auto"/>
                    <w:bottom w:val="none" w:sz="0" w:space="0" w:color="auto"/>
                    <w:right w:val="none" w:sz="0" w:space="0" w:color="auto"/>
                  </w:divBdr>
                </w:div>
                <w:div w:id="11515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688">
          <w:marLeft w:val="0"/>
          <w:marRight w:val="0"/>
          <w:marTop w:val="15"/>
          <w:marBottom w:val="0"/>
          <w:divBdr>
            <w:top w:val="none" w:sz="0" w:space="0" w:color="auto"/>
            <w:left w:val="none" w:sz="0" w:space="0" w:color="auto"/>
            <w:bottom w:val="none" w:sz="0" w:space="0" w:color="auto"/>
            <w:right w:val="none" w:sz="0" w:space="0" w:color="auto"/>
          </w:divBdr>
          <w:divsChild>
            <w:div w:id="636030500">
              <w:marLeft w:val="0"/>
              <w:marRight w:val="0"/>
              <w:marTop w:val="0"/>
              <w:marBottom w:val="0"/>
              <w:divBdr>
                <w:top w:val="none" w:sz="0" w:space="0" w:color="auto"/>
                <w:left w:val="none" w:sz="0" w:space="0" w:color="auto"/>
                <w:bottom w:val="none" w:sz="0" w:space="0" w:color="auto"/>
                <w:right w:val="none" w:sz="0" w:space="0" w:color="auto"/>
              </w:divBdr>
              <w:divsChild>
                <w:div w:id="1580868942">
                  <w:marLeft w:val="0"/>
                  <w:marRight w:val="0"/>
                  <w:marTop w:val="0"/>
                  <w:marBottom w:val="0"/>
                  <w:divBdr>
                    <w:top w:val="none" w:sz="0" w:space="0" w:color="auto"/>
                    <w:left w:val="none" w:sz="0" w:space="0" w:color="auto"/>
                    <w:bottom w:val="none" w:sz="0" w:space="0" w:color="auto"/>
                    <w:right w:val="none" w:sz="0" w:space="0" w:color="auto"/>
                  </w:divBdr>
                </w:div>
                <w:div w:id="1170411280">
                  <w:marLeft w:val="0"/>
                  <w:marRight w:val="0"/>
                  <w:marTop w:val="0"/>
                  <w:marBottom w:val="0"/>
                  <w:divBdr>
                    <w:top w:val="none" w:sz="0" w:space="0" w:color="auto"/>
                    <w:left w:val="none" w:sz="0" w:space="0" w:color="auto"/>
                    <w:bottom w:val="none" w:sz="0" w:space="0" w:color="auto"/>
                    <w:right w:val="none" w:sz="0" w:space="0" w:color="auto"/>
                  </w:divBdr>
                </w:div>
                <w:div w:id="1993244321">
                  <w:marLeft w:val="0"/>
                  <w:marRight w:val="0"/>
                  <w:marTop w:val="0"/>
                  <w:marBottom w:val="0"/>
                  <w:divBdr>
                    <w:top w:val="none" w:sz="0" w:space="0" w:color="auto"/>
                    <w:left w:val="none" w:sz="0" w:space="0" w:color="auto"/>
                    <w:bottom w:val="none" w:sz="0" w:space="0" w:color="auto"/>
                    <w:right w:val="none" w:sz="0" w:space="0" w:color="auto"/>
                  </w:divBdr>
                </w:div>
                <w:div w:id="473260839">
                  <w:marLeft w:val="0"/>
                  <w:marRight w:val="0"/>
                  <w:marTop w:val="0"/>
                  <w:marBottom w:val="0"/>
                  <w:divBdr>
                    <w:top w:val="none" w:sz="0" w:space="0" w:color="auto"/>
                    <w:left w:val="none" w:sz="0" w:space="0" w:color="auto"/>
                    <w:bottom w:val="none" w:sz="0" w:space="0" w:color="auto"/>
                    <w:right w:val="none" w:sz="0" w:space="0" w:color="auto"/>
                  </w:divBdr>
                </w:div>
                <w:div w:id="1984962895">
                  <w:marLeft w:val="0"/>
                  <w:marRight w:val="0"/>
                  <w:marTop w:val="0"/>
                  <w:marBottom w:val="0"/>
                  <w:divBdr>
                    <w:top w:val="none" w:sz="0" w:space="0" w:color="auto"/>
                    <w:left w:val="none" w:sz="0" w:space="0" w:color="auto"/>
                    <w:bottom w:val="none" w:sz="0" w:space="0" w:color="auto"/>
                    <w:right w:val="none" w:sz="0" w:space="0" w:color="auto"/>
                  </w:divBdr>
                </w:div>
                <w:div w:id="1930698536">
                  <w:marLeft w:val="0"/>
                  <w:marRight w:val="0"/>
                  <w:marTop w:val="0"/>
                  <w:marBottom w:val="0"/>
                  <w:divBdr>
                    <w:top w:val="none" w:sz="0" w:space="0" w:color="auto"/>
                    <w:left w:val="none" w:sz="0" w:space="0" w:color="auto"/>
                    <w:bottom w:val="none" w:sz="0" w:space="0" w:color="auto"/>
                    <w:right w:val="none" w:sz="0" w:space="0" w:color="auto"/>
                  </w:divBdr>
                </w:div>
                <w:div w:id="1667633843">
                  <w:marLeft w:val="0"/>
                  <w:marRight w:val="0"/>
                  <w:marTop w:val="0"/>
                  <w:marBottom w:val="0"/>
                  <w:divBdr>
                    <w:top w:val="none" w:sz="0" w:space="0" w:color="auto"/>
                    <w:left w:val="none" w:sz="0" w:space="0" w:color="auto"/>
                    <w:bottom w:val="none" w:sz="0" w:space="0" w:color="auto"/>
                    <w:right w:val="none" w:sz="0" w:space="0" w:color="auto"/>
                  </w:divBdr>
                </w:div>
                <w:div w:id="1853496983">
                  <w:marLeft w:val="0"/>
                  <w:marRight w:val="0"/>
                  <w:marTop w:val="0"/>
                  <w:marBottom w:val="0"/>
                  <w:divBdr>
                    <w:top w:val="none" w:sz="0" w:space="0" w:color="auto"/>
                    <w:left w:val="none" w:sz="0" w:space="0" w:color="auto"/>
                    <w:bottom w:val="none" w:sz="0" w:space="0" w:color="auto"/>
                    <w:right w:val="none" w:sz="0" w:space="0" w:color="auto"/>
                  </w:divBdr>
                </w:div>
                <w:div w:id="83109269">
                  <w:marLeft w:val="0"/>
                  <w:marRight w:val="0"/>
                  <w:marTop w:val="0"/>
                  <w:marBottom w:val="0"/>
                  <w:divBdr>
                    <w:top w:val="none" w:sz="0" w:space="0" w:color="auto"/>
                    <w:left w:val="none" w:sz="0" w:space="0" w:color="auto"/>
                    <w:bottom w:val="none" w:sz="0" w:space="0" w:color="auto"/>
                    <w:right w:val="none" w:sz="0" w:space="0" w:color="auto"/>
                  </w:divBdr>
                </w:div>
                <w:div w:id="1243643774">
                  <w:marLeft w:val="0"/>
                  <w:marRight w:val="0"/>
                  <w:marTop w:val="0"/>
                  <w:marBottom w:val="0"/>
                  <w:divBdr>
                    <w:top w:val="none" w:sz="0" w:space="0" w:color="auto"/>
                    <w:left w:val="none" w:sz="0" w:space="0" w:color="auto"/>
                    <w:bottom w:val="none" w:sz="0" w:space="0" w:color="auto"/>
                    <w:right w:val="none" w:sz="0" w:space="0" w:color="auto"/>
                  </w:divBdr>
                </w:div>
                <w:div w:id="1091312502">
                  <w:marLeft w:val="0"/>
                  <w:marRight w:val="0"/>
                  <w:marTop w:val="0"/>
                  <w:marBottom w:val="0"/>
                  <w:divBdr>
                    <w:top w:val="none" w:sz="0" w:space="0" w:color="auto"/>
                    <w:left w:val="none" w:sz="0" w:space="0" w:color="auto"/>
                    <w:bottom w:val="none" w:sz="0" w:space="0" w:color="auto"/>
                    <w:right w:val="none" w:sz="0" w:space="0" w:color="auto"/>
                  </w:divBdr>
                </w:div>
                <w:div w:id="87236605">
                  <w:marLeft w:val="0"/>
                  <w:marRight w:val="0"/>
                  <w:marTop w:val="0"/>
                  <w:marBottom w:val="0"/>
                  <w:divBdr>
                    <w:top w:val="none" w:sz="0" w:space="0" w:color="auto"/>
                    <w:left w:val="none" w:sz="0" w:space="0" w:color="auto"/>
                    <w:bottom w:val="none" w:sz="0" w:space="0" w:color="auto"/>
                    <w:right w:val="none" w:sz="0" w:space="0" w:color="auto"/>
                  </w:divBdr>
                </w:div>
                <w:div w:id="801188230">
                  <w:marLeft w:val="0"/>
                  <w:marRight w:val="0"/>
                  <w:marTop w:val="0"/>
                  <w:marBottom w:val="0"/>
                  <w:divBdr>
                    <w:top w:val="none" w:sz="0" w:space="0" w:color="auto"/>
                    <w:left w:val="none" w:sz="0" w:space="0" w:color="auto"/>
                    <w:bottom w:val="none" w:sz="0" w:space="0" w:color="auto"/>
                    <w:right w:val="none" w:sz="0" w:space="0" w:color="auto"/>
                  </w:divBdr>
                </w:div>
                <w:div w:id="534274777">
                  <w:marLeft w:val="0"/>
                  <w:marRight w:val="0"/>
                  <w:marTop w:val="0"/>
                  <w:marBottom w:val="0"/>
                  <w:divBdr>
                    <w:top w:val="none" w:sz="0" w:space="0" w:color="auto"/>
                    <w:left w:val="none" w:sz="0" w:space="0" w:color="auto"/>
                    <w:bottom w:val="none" w:sz="0" w:space="0" w:color="auto"/>
                    <w:right w:val="none" w:sz="0" w:space="0" w:color="auto"/>
                  </w:divBdr>
                </w:div>
                <w:div w:id="1329332976">
                  <w:marLeft w:val="0"/>
                  <w:marRight w:val="0"/>
                  <w:marTop w:val="0"/>
                  <w:marBottom w:val="0"/>
                  <w:divBdr>
                    <w:top w:val="none" w:sz="0" w:space="0" w:color="auto"/>
                    <w:left w:val="none" w:sz="0" w:space="0" w:color="auto"/>
                    <w:bottom w:val="none" w:sz="0" w:space="0" w:color="auto"/>
                    <w:right w:val="none" w:sz="0" w:space="0" w:color="auto"/>
                  </w:divBdr>
                </w:div>
                <w:div w:id="1098141532">
                  <w:marLeft w:val="0"/>
                  <w:marRight w:val="0"/>
                  <w:marTop w:val="0"/>
                  <w:marBottom w:val="0"/>
                  <w:divBdr>
                    <w:top w:val="none" w:sz="0" w:space="0" w:color="auto"/>
                    <w:left w:val="none" w:sz="0" w:space="0" w:color="auto"/>
                    <w:bottom w:val="none" w:sz="0" w:space="0" w:color="auto"/>
                    <w:right w:val="none" w:sz="0" w:space="0" w:color="auto"/>
                  </w:divBdr>
                </w:div>
                <w:div w:id="599022087">
                  <w:marLeft w:val="0"/>
                  <w:marRight w:val="0"/>
                  <w:marTop w:val="0"/>
                  <w:marBottom w:val="0"/>
                  <w:divBdr>
                    <w:top w:val="none" w:sz="0" w:space="0" w:color="auto"/>
                    <w:left w:val="none" w:sz="0" w:space="0" w:color="auto"/>
                    <w:bottom w:val="none" w:sz="0" w:space="0" w:color="auto"/>
                    <w:right w:val="none" w:sz="0" w:space="0" w:color="auto"/>
                  </w:divBdr>
                </w:div>
                <w:div w:id="1416367056">
                  <w:marLeft w:val="0"/>
                  <w:marRight w:val="0"/>
                  <w:marTop w:val="0"/>
                  <w:marBottom w:val="0"/>
                  <w:divBdr>
                    <w:top w:val="none" w:sz="0" w:space="0" w:color="auto"/>
                    <w:left w:val="none" w:sz="0" w:space="0" w:color="auto"/>
                    <w:bottom w:val="none" w:sz="0" w:space="0" w:color="auto"/>
                    <w:right w:val="none" w:sz="0" w:space="0" w:color="auto"/>
                  </w:divBdr>
                </w:div>
                <w:div w:id="1047221860">
                  <w:marLeft w:val="0"/>
                  <w:marRight w:val="0"/>
                  <w:marTop w:val="0"/>
                  <w:marBottom w:val="0"/>
                  <w:divBdr>
                    <w:top w:val="none" w:sz="0" w:space="0" w:color="auto"/>
                    <w:left w:val="none" w:sz="0" w:space="0" w:color="auto"/>
                    <w:bottom w:val="none" w:sz="0" w:space="0" w:color="auto"/>
                    <w:right w:val="none" w:sz="0" w:space="0" w:color="auto"/>
                  </w:divBdr>
                </w:div>
                <w:div w:id="1686903994">
                  <w:marLeft w:val="0"/>
                  <w:marRight w:val="0"/>
                  <w:marTop w:val="0"/>
                  <w:marBottom w:val="0"/>
                  <w:divBdr>
                    <w:top w:val="none" w:sz="0" w:space="0" w:color="auto"/>
                    <w:left w:val="none" w:sz="0" w:space="0" w:color="auto"/>
                    <w:bottom w:val="none" w:sz="0" w:space="0" w:color="auto"/>
                    <w:right w:val="none" w:sz="0" w:space="0" w:color="auto"/>
                  </w:divBdr>
                </w:div>
                <w:div w:id="349841787">
                  <w:marLeft w:val="0"/>
                  <w:marRight w:val="0"/>
                  <w:marTop w:val="0"/>
                  <w:marBottom w:val="0"/>
                  <w:divBdr>
                    <w:top w:val="none" w:sz="0" w:space="0" w:color="auto"/>
                    <w:left w:val="none" w:sz="0" w:space="0" w:color="auto"/>
                    <w:bottom w:val="none" w:sz="0" w:space="0" w:color="auto"/>
                    <w:right w:val="none" w:sz="0" w:space="0" w:color="auto"/>
                  </w:divBdr>
                </w:div>
                <w:div w:id="1703481583">
                  <w:marLeft w:val="0"/>
                  <w:marRight w:val="0"/>
                  <w:marTop w:val="0"/>
                  <w:marBottom w:val="0"/>
                  <w:divBdr>
                    <w:top w:val="none" w:sz="0" w:space="0" w:color="auto"/>
                    <w:left w:val="none" w:sz="0" w:space="0" w:color="auto"/>
                    <w:bottom w:val="none" w:sz="0" w:space="0" w:color="auto"/>
                    <w:right w:val="none" w:sz="0" w:space="0" w:color="auto"/>
                  </w:divBdr>
                </w:div>
                <w:div w:id="574825365">
                  <w:marLeft w:val="0"/>
                  <w:marRight w:val="0"/>
                  <w:marTop w:val="0"/>
                  <w:marBottom w:val="0"/>
                  <w:divBdr>
                    <w:top w:val="none" w:sz="0" w:space="0" w:color="auto"/>
                    <w:left w:val="none" w:sz="0" w:space="0" w:color="auto"/>
                    <w:bottom w:val="none" w:sz="0" w:space="0" w:color="auto"/>
                    <w:right w:val="none" w:sz="0" w:space="0" w:color="auto"/>
                  </w:divBdr>
                </w:div>
                <w:div w:id="534926855">
                  <w:marLeft w:val="0"/>
                  <w:marRight w:val="0"/>
                  <w:marTop w:val="0"/>
                  <w:marBottom w:val="0"/>
                  <w:divBdr>
                    <w:top w:val="none" w:sz="0" w:space="0" w:color="auto"/>
                    <w:left w:val="none" w:sz="0" w:space="0" w:color="auto"/>
                    <w:bottom w:val="none" w:sz="0" w:space="0" w:color="auto"/>
                    <w:right w:val="none" w:sz="0" w:space="0" w:color="auto"/>
                  </w:divBdr>
                </w:div>
                <w:div w:id="1706445646">
                  <w:marLeft w:val="0"/>
                  <w:marRight w:val="0"/>
                  <w:marTop w:val="0"/>
                  <w:marBottom w:val="0"/>
                  <w:divBdr>
                    <w:top w:val="none" w:sz="0" w:space="0" w:color="auto"/>
                    <w:left w:val="none" w:sz="0" w:space="0" w:color="auto"/>
                    <w:bottom w:val="none" w:sz="0" w:space="0" w:color="auto"/>
                    <w:right w:val="none" w:sz="0" w:space="0" w:color="auto"/>
                  </w:divBdr>
                </w:div>
                <w:div w:id="343094227">
                  <w:marLeft w:val="0"/>
                  <w:marRight w:val="0"/>
                  <w:marTop w:val="0"/>
                  <w:marBottom w:val="0"/>
                  <w:divBdr>
                    <w:top w:val="none" w:sz="0" w:space="0" w:color="auto"/>
                    <w:left w:val="none" w:sz="0" w:space="0" w:color="auto"/>
                    <w:bottom w:val="none" w:sz="0" w:space="0" w:color="auto"/>
                    <w:right w:val="none" w:sz="0" w:space="0" w:color="auto"/>
                  </w:divBdr>
                </w:div>
                <w:div w:id="1133330920">
                  <w:marLeft w:val="0"/>
                  <w:marRight w:val="0"/>
                  <w:marTop w:val="0"/>
                  <w:marBottom w:val="0"/>
                  <w:divBdr>
                    <w:top w:val="none" w:sz="0" w:space="0" w:color="auto"/>
                    <w:left w:val="none" w:sz="0" w:space="0" w:color="auto"/>
                    <w:bottom w:val="none" w:sz="0" w:space="0" w:color="auto"/>
                    <w:right w:val="none" w:sz="0" w:space="0" w:color="auto"/>
                  </w:divBdr>
                </w:div>
                <w:div w:id="1934164248">
                  <w:marLeft w:val="0"/>
                  <w:marRight w:val="0"/>
                  <w:marTop w:val="0"/>
                  <w:marBottom w:val="0"/>
                  <w:divBdr>
                    <w:top w:val="none" w:sz="0" w:space="0" w:color="auto"/>
                    <w:left w:val="none" w:sz="0" w:space="0" w:color="auto"/>
                    <w:bottom w:val="none" w:sz="0" w:space="0" w:color="auto"/>
                    <w:right w:val="none" w:sz="0" w:space="0" w:color="auto"/>
                  </w:divBdr>
                </w:div>
                <w:div w:id="18978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1636">
          <w:marLeft w:val="0"/>
          <w:marRight w:val="0"/>
          <w:marTop w:val="15"/>
          <w:marBottom w:val="0"/>
          <w:divBdr>
            <w:top w:val="none" w:sz="0" w:space="0" w:color="auto"/>
            <w:left w:val="none" w:sz="0" w:space="0" w:color="auto"/>
            <w:bottom w:val="none" w:sz="0" w:space="0" w:color="auto"/>
            <w:right w:val="none" w:sz="0" w:space="0" w:color="auto"/>
          </w:divBdr>
          <w:divsChild>
            <w:div w:id="2058501962">
              <w:marLeft w:val="0"/>
              <w:marRight w:val="0"/>
              <w:marTop w:val="0"/>
              <w:marBottom w:val="0"/>
              <w:divBdr>
                <w:top w:val="none" w:sz="0" w:space="0" w:color="auto"/>
                <w:left w:val="none" w:sz="0" w:space="0" w:color="auto"/>
                <w:bottom w:val="none" w:sz="0" w:space="0" w:color="auto"/>
                <w:right w:val="none" w:sz="0" w:space="0" w:color="auto"/>
              </w:divBdr>
              <w:divsChild>
                <w:div w:id="1609042464">
                  <w:marLeft w:val="0"/>
                  <w:marRight w:val="0"/>
                  <w:marTop w:val="0"/>
                  <w:marBottom w:val="0"/>
                  <w:divBdr>
                    <w:top w:val="none" w:sz="0" w:space="0" w:color="auto"/>
                    <w:left w:val="none" w:sz="0" w:space="0" w:color="auto"/>
                    <w:bottom w:val="none" w:sz="0" w:space="0" w:color="auto"/>
                    <w:right w:val="none" w:sz="0" w:space="0" w:color="auto"/>
                  </w:divBdr>
                </w:div>
                <w:div w:id="1921061955">
                  <w:marLeft w:val="0"/>
                  <w:marRight w:val="0"/>
                  <w:marTop w:val="0"/>
                  <w:marBottom w:val="0"/>
                  <w:divBdr>
                    <w:top w:val="none" w:sz="0" w:space="0" w:color="auto"/>
                    <w:left w:val="none" w:sz="0" w:space="0" w:color="auto"/>
                    <w:bottom w:val="none" w:sz="0" w:space="0" w:color="auto"/>
                    <w:right w:val="none" w:sz="0" w:space="0" w:color="auto"/>
                  </w:divBdr>
                </w:div>
                <w:div w:id="1438132483">
                  <w:marLeft w:val="0"/>
                  <w:marRight w:val="0"/>
                  <w:marTop w:val="0"/>
                  <w:marBottom w:val="0"/>
                  <w:divBdr>
                    <w:top w:val="none" w:sz="0" w:space="0" w:color="auto"/>
                    <w:left w:val="none" w:sz="0" w:space="0" w:color="auto"/>
                    <w:bottom w:val="none" w:sz="0" w:space="0" w:color="auto"/>
                    <w:right w:val="none" w:sz="0" w:space="0" w:color="auto"/>
                  </w:divBdr>
                </w:div>
                <w:div w:id="1963999495">
                  <w:marLeft w:val="0"/>
                  <w:marRight w:val="0"/>
                  <w:marTop w:val="0"/>
                  <w:marBottom w:val="0"/>
                  <w:divBdr>
                    <w:top w:val="none" w:sz="0" w:space="0" w:color="auto"/>
                    <w:left w:val="none" w:sz="0" w:space="0" w:color="auto"/>
                    <w:bottom w:val="none" w:sz="0" w:space="0" w:color="auto"/>
                    <w:right w:val="none" w:sz="0" w:space="0" w:color="auto"/>
                  </w:divBdr>
                </w:div>
                <w:div w:id="1042251097">
                  <w:marLeft w:val="0"/>
                  <w:marRight w:val="0"/>
                  <w:marTop w:val="0"/>
                  <w:marBottom w:val="0"/>
                  <w:divBdr>
                    <w:top w:val="none" w:sz="0" w:space="0" w:color="auto"/>
                    <w:left w:val="none" w:sz="0" w:space="0" w:color="auto"/>
                    <w:bottom w:val="none" w:sz="0" w:space="0" w:color="auto"/>
                    <w:right w:val="none" w:sz="0" w:space="0" w:color="auto"/>
                  </w:divBdr>
                </w:div>
                <w:div w:id="1587767230">
                  <w:marLeft w:val="0"/>
                  <w:marRight w:val="0"/>
                  <w:marTop w:val="0"/>
                  <w:marBottom w:val="0"/>
                  <w:divBdr>
                    <w:top w:val="none" w:sz="0" w:space="0" w:color="auto"/>
                    <w:left w:val="none" w:sz="0" w:space="0" w:color="auto"/>
                    <w:bottom w:val="none" w:sz="0" w:space="0" w:color="auto"/>
                    <w:right w:val="none" w:sz="0" w:space="0" w:color="auto"/>
                  </w:divBdr>
                </w:div>
                <w:div w:id="92821528">
                  <w:marLeft w:val="0"/>
                  <w:marRight w:val="0"/>
                  <w:marTop w:val="0"/>
                  <w:marBottom w:val="0"/>
                  <w:divBdr>
                    <w:top w:val="none" w:sz="0" w:space="0" w:color="auto"/>
                    <w:left w:val="none" w:sz="0" w:space="0" w:color="auto"/>
                    <w:bottom w:val="none" w:sz="0" w:space="0" w:color="auto"/>
                    <w:right w:val="none" w:sz="0" w:space="0" w:color="auto"/>
                  </w:divBdr>
                </w:div>
                <w:div w:id="695081974">
                  <w:marLeft w:val="0"/>
                  <w:marRight w:val="0"/>
                  <w:marTop w:val="0"/>
                  <w:marBottom w:val="0"/>
                  <w:divBdr>
                    <w:top w:val="none" w:sz="0" w:space="0" w:color="auto"/>
                    <w:left w:val="none" w:sz="0" w:space="0" w:color="auto"/>
                    <w:bottom w:val="none" w:sz="0" w:space="0" w:color="auto"/>
                    <w:right w:val="none" w:sz="0" w:space="0" w:color="auto"/>
                  </w:divBdr>
                </w:div>
                <w:div w:id="986860603">
                  <w:marLeft w:val="0"/>
                  <w:marRight w:val="0"/>
                  <w:marTop w:val="0"/>
                  <w:marBottom w:val="0"/>
                  <w:divBdr>
                    <w:top w:val="none" w:sz="0" w:space="0" w:color="auto"/>
                    <w:left w:val="none" w:sz="0" w:space="0" w:color="auto"/>
                    <w:bottom w:val="none" w:sz="0" w:space="0" w:color="auto"/>
                    <w:right w:val="none" w:sz="0" w:space="0" w:color="auto"/>
                  </w:divBdr>
                </w:div>
                <w:div w:id="611715246">
                  <w:marLeft w:val="0"/>
                  <w:marRight w:val="0"/>
                  <w:marTop w:val="0"/>
                  <w:marBottom w:val="0"/>
                  <w:divBdr>
                    <w:top w:val="none" w:sz="0" w:space="0" w:color="auto"/>
                    <w:left w:val="none" w:sz="0" w:space="0" w:color="auto"/>
                    <w:bottom w:val="none" w:sz="0" w:space="0" w:color="auto"/>
                    <w:right w:val="none" w:sz="0" w:space="0" w:color="auto"/>
                  </w:divBdr>
                </w:div>
                <w:div w:id="2111852173">
                  <w:marLeft w:val="0"/>
                  <w:marRight w:val="0"/>
                  <w:marTop w:val="0"/>
                  <w:marBottom w:val="0"/>
                  <w:divBdr>
                    <w:top w:val="none" w:sz="0" w:space="0" w:color="auto"/>
                    <w:left w:val="none" w:sz="0" w:space="0" w:color="auto"/>
                    <w:bottom w:val="none" w:sz="0" w:space="0" w:color="auto"/>
                    <w:right w:val="none" w:sz="0" w:space="0" w:color="auto"/>
                  </w:divBdr>
                </w:div>
                <w:div w:id="503789797">
                  <w:marLeft w:val="0"/>
                  <w:marRight w:val="0"/>
                  <w:marTop w:val="0"/>
                  <w:marBottom w:val="0"/>
                  <w:divBdr>
                    <w:top w:val="none" w:sz="0" w:space="0" w:color="auto"/>
                    <w:left w:val="none" w:sz="0" w:space="0" w:color="auto"/>
                    <w:bottom w:val="none" w:sz="0" w:space="0" w:color="auto"/>
                    <w:right w:val="none" w:sz="0" w:space="0" w:color="auto"/>
                  </w:divBdr>
                </w:div>
                <w:div w:id="916324614">
                  <w:marLeft w:val="0"/>
                  <w:marRight w:val="0"/>
                  <w:marTop w:val="0"/>
                  <w:marBottom w:val="0"/>
                  <w:divBdr>
                    <w:top w:val="none" w:sz="0" w:space="0" w:color="auto"/>
                    <w:left w:val="none" w:sz="0" w:space="0" w:color="auto"/>
                    <w:bottom w:val="none" w:sz="0" w:space="0" w:color="auto"/>
                    <w:right w:val="none" w:sz="0" w:space="0" w:color="auto"/>
                  </w:divBdr>
                </w:div>
                <w:div w:id="1541556055">
                  <w:marLeft w:val="0"/>
                  <w:marRight w:val="0"/>
                  <w:marTop w:val="0"/>
                  <w:marBottom w:val="0"/>
                  <w:divBdr>
                    <w:top w:val="none" w:sz="0" w:space="0" w:color="auto"/>
                    <w:left w:val="none" w:sz="0" w:space="0" w:color="auto"/>
                    <w:bottom w:val="none" w:sz="0" w:space="0" w:color="auto"/>
                    <w:right w:val="none" w:sz="0" w:space="0" w:color="auto"/>
                  </w:divBdr>
                </w:div>
                <w:div w:id="1933199784">
                  <w:marLeft w:val="0"/>
                  <w:marRight w:val="0"/>
                  <w:marTop w:val="0"/>
                  <w:marBottom w:val="0"/>
                  <w:divBdr>
                    <w:top w:val="none" w:sz="0" w:space="0" w:color="auto"/>
                    <w:left w:val="none" w:sz="0" w:space="0" w:color="auto"/>
                    <w:bottom w:val="none" w:sz="0" w:space="0" w:color="auto"/>
                    <w:right w:val="none" w:sz="0" w:space="0" w:color="auto"/>
                  </w:divBdr>
                </w:div>
                <w:div w:id="1437677142">
                  <w:marLeft w:val="0"/>
                  <w:marRight w:val="0"/>
                  <w:marTop w:val="0"/>
                  <w:marBottom w:val="0"/>
                  <w:divBdr>
                    <w:top w:val="none" w:sz="0" w:space="0" w:color="auto"/>
                    <w:left w:val="none" w:sz="0" w:space="0" w:color="auto"/>
                    <w:bottom w:val="none" w:sz="0" w:space="0" w:color="auto"/>
                    <w:right w:val="none" w:sz="0" w:space="0" w:color="auto"/>
                  </w:divBdr>
                </w:div>
                <w:div w:id="108092312">
                  <w:marLeft w:val="0"/>
                  <w:marRight w:val="0"/>
                  <w:marTop w:val="0"/>
                  <w:marBottom w:val="0"/>
                  <w:divBdr>
                    <w:top w:val="none" w:sz="0" w:space="0" w:color="auto"/>
                    <w:left w:val="none" w:sz="0" w:space="0" w:color="auto"/>
                    <w:bottom w:val="none" w:sz="0" w:space="0" w:color="auto"/>
                    <w:right w:val="none" w:sz="0" w:space="0" w:color="auto"/>
                  </w:divBdr>
                </w:div>
                <w:div w:id="2050761248">
                  <w:marLeft w:val="0"/>
                  <w:marRight w:val="0"/>
                  <w:marTop w:val="0"/>
                  <w:marBottom w:val="0"/>
                  <w:divBdr>
                    <w:top w:val="none" w:sz="0" w:space="0" w:color="auto"/>
                    <w:left w:val="none" w:sz="0" w:space="0" w:color="auto"/>
                    <w:bottom w:val="none" w:sz="0" w:space="0" w:color="auto"/>
                    <w:right w:val="none" w:sz="0" w:space="0" w:color="auto"/>
                  </w:divBdr>
                </w:div>
                <w:div w:id="902716946">
                  <w:marLeft w:val="0"/>
                  <w:marRight w:val="0"/>
                  <w:marTop w:val="0"/>
                  <w:marBottom w:val="0"/>
                  <w:divBdr>
                    <w:top w:val="none" w:sz="0" w:space="0" w:color="auto"/>
                    <w:left w:val="none" w:sz="0" w:space="0" w:color="auto"/>
                    <w:bottom w:val="none" w:sz="0" w:space="0" w:color="auto"/>
                    <w:right w:val="none" w:sz="0" w:space="0" w:color="auto"/>
                  </w:divBdr>
                </w:div>
                <w:div w:id="1923029918">
                  <w:marLeft w:val="0"/>
                  <w:marRight w:val="0"/>
                  <w:marTop w:val="0"/>
                  <w:marBottom w:val="0"/>
                  <w:divBdr>
                    <w:top w:val="none" w:sz="0" w:space="0" w:color="auto"/>
                    <w:left w:val="none" w:sz="0" w:space="0" w:color="auto"/>
                    <w:bottom w:val="none" w:sz="0" w:space="0" w:color="auto"/>
                    <w:right w:val="none" w:sz="0" w:space="0" w:color="auto"/>
                  </w:divBdr>
                </w:div>
                <w:div w:id="331686339">
                  <w:marLeft w:val="0"/>
                  <w:marRight w:val="0"/>
                  <w:marTop w:val="0"/>
                  <w:marBottom w:val="0"/>
                  <w:divBdr>
                    <w:top w:val="none" w:sz="0" w:space="0" w:color="auto"/>
                    <w:left w:val="none" w:sz="0" w:space="0" w:color="auto"/>
                    <w:bottom w:val="none" w:sz="0" w:space="0" w:color="auto"/>
                    <w:right w:val="none" w:sz="0" w:space="0" w:color="auto"/>
                  </w:divBdr>
                </w:div>
                <w:div w:id="922185554">
                  <w:marLeft w:val="0"/>
                  <w:marRight w:val="0"/>
                  <w:marTop w:val="0"/>
                  <w:marBottom w:val="0"/>
                  <w:divBdr>
                    <w:top w:val="none" w:sz="0" w:space="0" w:color="auto"/>
                    <w:left w:val="none" w:sz="0" w:space="0" w:color="auto"/>
                    <w:bottom w:val="none" w:sz="0" w:space="0" w:color="auto"/>
                    <w:right w:val="none" w:sz="0" w:space="0" w:color="auto"/>
                  </w:divBdr>
                </w:div>
                <w:div w:id="1271430995">
                  <w:marLeft w:val="0"/>
                  <w:marRight w:val="0"/>
                  <w:marTop w:val="0"/>
                  <w:marBottom w:val="0"/>
                  <w:divBdr>
                    <w:top w:val="none" w:sz="0" w:space="0" w:color="auto"/>
                    <w:left w:val="none" w:sz="0" w:space="0" w:color="auto"/>
                    <w:bottom w:val="none" w:sz="0" w:space="0" w:color="auto"/>
                    <w:right w:val="none" w:sz="0" w:space="0" w:color="auto"/>
                  </w:divBdr>
                </w:div>
                <w:div w:id="1354108320">
                  <w:marLeft w:val="0"/>
                  <w:marRight w:val="0"/>
                  <w:marTop w:val="0"/>
                  <w:marBottom w:val="0"/>
                  <w:divBdr>
                    <w:top w:val="none" w:sz="0" w:space="0" w:color="auto"/>
                    <w:left w:val="none" w:sz="0" w:space="0" w:color="auto"/>
                    <w:bottom w:val="none" w:sz="0" w:space="0" w:color="auto"/>
                    <w:right w:val="none" w:sz="0" w:space="0" w:color="auto"/>
                  </w:divBdr>
                </w:div>
                <w:div w:id="999773202">
                  <w:marLeft w:val="0"/>
                  <w:marRight w:val="0"/>
                  <w:marTop w:val="0"/>
                  <w:marBottom w:val="0"/>
                  <w:divBdr>
                    <w:top w:val="none" w:sz="0" w:space="0" w:color="auto"/>
                    <w:left w:val="none" w:sz="0" w:space="0" w:color="auto"/>
                    <w:bottom w:val="none" w:sz="0" w:space="0" w:color="auto"/>
                    <w:right w:val="none" w:sz="0" w:space="0" w:color="auto"/>
                  </w:divBdr>
                </w:div>
                <w:div w:id="1479224349">
                  <w:marLeft w:val="0"/>
                  <w:marRight w:val="0"/>
                  <w:marTop w:val="0"/>
                  <w:marBottom w:val="0"/>
                  <w:divBdr>
                    <w:top w:val="none" w:sz="0" w:space="0" w:color="auto"/>
                    <w:left w:val="none" w:sz="0" w:space="0" w:color="auto"/>
                    <w:bottom w:val="none" w:sz="0" w:space="0" w:color="auto"/>
                    <w:right w:val="none" w:sz="0" w:space="0" w:color="auto"/>
                  </w:divBdr>
                </w:div>
                <w:div w:id="1960405579">
                  <w:marLeft w:val="0"/>
                  <w:marRight w:val="0"/>
                  <w:marTop w:val="0"/>
                  <w:marBottom w:val="0"/>
                  <w:divBdr>
                    <w:top w:val="none" w:sz="0" w:space="0" w:color="auto"/>
                    <w:left w:val="none" w:sz="0" w:space="0" w:color="auto"/>
                    <w:bottom w:val="none" w:sz="0" w:space="0" w:color="auto"/>
                    <w:right w:val="none" w:sz="0" w:space="0" w:color="auto"/>
                  </w:divBdr>
                </w:div>
                <w:div w:id="189716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4480">
          <w:marLeft w:val="0"/>
          <w:marRight w:val="0"/>
          <w:marTop w:val="15"/>
          <w:marBottom w:val="0"/>
          <w:divBdr>
            <w:top w:val="none" w:sz="0" w:space="0" w:color="auto"/>
            <w:left w:val="none" w:sz="0" w:space="0" w:color="auto"/>
            <w:bottom w:val="none" w:sz="0" w:space="0" w:color="auto"/>
            <w:right w:val="none" w:sz="0" w:space="0" w:color="auto"/>
          </w:divBdr>
          <w:divsChild>
            <w:div w:id="893270753">
              <w:marLeft w:val="0"/>
              <w:marRight w:val="0"/>
              <w:marTop w:val="0"/>
              <w:marBottom w:val="0"/>
              <w:divBdr>
                <w:top w:val="none" w:sz="0" w:space="0" w:color="auto"/>
                <w:left w:val="none" w:sz="0" w:space="0" w:color="auto"/>
                <w:bottom w:val="none" w:sz="0" w:space="0" w:color="auto"/>
                <w:right w:val="none" w:sz="0" w:space="0" w:color="auto"/>
              </w:divBdr>
              <w:divsChild>
                <w:div w:id="1482769640">
                  <w:marLeft w:val="0"/>
                  <w:marRight w:val="0"/>
                  <w:marTop w:val="0"/>
                  <w:marBottom w:val="0"/>
                  <w:divBdr>
                    <w:top w:val="none" w:sz="0" w:space="0" w:color="auto"/>
                    <w:left w:val="none" w:sz="0" w:space="0" w:color="auto"/>
                    <w:bottom w:val="none" w:sz="0" w:space="0" w:color="auto"/>
                    <w:right w:val="none" w:sz="0" w:space="0" w:color="auto"/>
                  </w:divBdr>
                </w:div>
                <w:div w:id="494809401">
                  <w:marLeft w:val="0"/>
                  <w:marRight w:val="0"/>
                  <w:marTop w:val="0"/>
                  <w:marBottom w:val="0"/>
                  <w:divBdr>
                    <w:top w:val="none" w:sz="0" w:space="0" w:color="auto"/>
                    <w:left w:val="none" w:sz="0" w:space="0" w:color="auto"/>
                    <w:bottom w:val="none" w:sz="0" w:space="0" w:color="auto"/>
                    <w:right w:val="none" w:sz="0" w:space="0" w:color="auto"/>
                  </w:divBdr>
                </w:div>
                <w:div w:id="788308">
                  <w:marLeft w:val="0"/>
                  <w:marRight w:val="0"/>
                  <w:marTop w:val="0"/>
                  <w:marBottom w:val="0"/>
                  <w:divBdr>
                    <w:top w:val="none" w:sz="0" w:space="0" w:color="auto"/>
                    <w:left w:val="none" w:sz="0" w:space="0" w:color="auto"/>
                    <w:bottom w:val="none" w:sz="0" w:space="0" w:color="auto"/>
                    <w:right w:val="none" w:sz="0" w:space="0" w:color="auto"/>
                  </w:divBdr>
                </w:div>
                <w:div w:id="431048597">
                  <w:marLeft w:val="0"/>
                  <w:marRight w:val="0"/>
                  <w:marTop w:val="0"/>
                  <w:marBottom w:val="0"/>
                  <w:divBdr>
                    <w:top w:val="none" w:sz="0" w:space="0" w:color="auto"/>
                    <w:left w:val="none" w:sz="0" w:space="0" w:color="auto"/>
                    <w:bottom w:val="none" w:sz="0" w:space="0" w:color="auto"/>
                    <w:right w:val="none" w:sz="0" w:space="0" w:color="auto"/>
                  </w:divBdr>
                </w:div>
                <w:div w:id="1025716508">
                  <w:marLeft w:val="0"/>
                  <w:marRight w:val="0"/>
                  <w:marTop w:val="0"/>
                  <w:marBottom w:val="0"/>
                  <w:divBdr>
                    <w:top w:val="none" w:sz="0" w:space="0" w:color="auto"/>
                    <w:left w:val="none" w:sz="0" w:space="0" w:color="auto"/>
                    <w:bottom w:val="none" w:sz="0" w:space="0" w:color="auto"/>
                    <w:right w:val="none" w:sz="0" w:space="0" w:color="auto"/>
                  </w:divBdr>
                </w:div>
                <w:div w:id="628512921">
                  <w:marLeft w:val="0"/>
                  <w:marRight w:val="0"/>
                  <w:marTop w:val="0"/>
                  <w:marBottom w:val="0"/>
                  <w:divBdr>
                    <w:top w:val="none" w:sz="0" w:space="0" w:color="auto"/>
                    <w:left w:val="none" w:sz="0" w:space="0" w:color="auto"/>
                    <w:bottom w:val="none" w:sz="0" w:space="0" w:color="auto"/>
                    <w:right w:val="none" w:sz="0" w:space="0" w:color="auto"/>
                  </w:divBdr>
                </w:div>
                <w:div w:id="389622605">
                  <w:marLeft w:val="0"/>
                  <w:marRight w:val="0"/>
                  <w:marTop w:val="0"/>
                  <w:marBottom w:val="0"/>
                  <w:divBdr>
                    <w:top w:val="none" w:sz="0" w:space="0" w:color="auto"/>
                    <w:left w:val="none" w:sz="0" w:space="0" w:color="auto"/>
                    <w:bottom w:val="none" w:sz="0" w:space="0" w:color="auto"/>
                    <w:right w:val="none" w:sz="0" w:space="0" w:color="auto"/>
                  </w:divBdr>
                </w:div>
                <w:div w:id="1152719517">
                  <w:marLeft w:val="0"/>
                  <w:marRight w:val="0"/>
                  <w:marTop w:val="0"/>
                  <w:marBottom w:val="0"/>
                  <w:divBdr>
                    <w:top w:val="none" w:sz="0" w:space="0" w:color="auto"/>
                    <w:left w:val="none" w:sz="0" w:space="0" w:color="auto"/>
                    <w:bottom w:val="none" w:sz="0" w:space="0" w:color="auto"/>
                    <w:right w:val="none" w:sz="0" w:space="0" w:color="auto"/>
                  </w:divBdr>
                </w:div>
                <w:div w:id="396631645">
                  <w:marLeft w:val="0"/>
                  <w:marRight w:val="0"/>
                  <w:marTop w:val="0"/>
                  <w:marBottom w:val="0"/>
                  <w:divBdr>
                    <w:top w:val="none" w:sz="0" w:space="0" w:color="auto"/>
                    <w:left w:val="none" w:sz="0" w:space="0" w:color="auto"/>
                    <w:bottom w:val="none" w:sz="0" w:space="0" w:color="auto"/>
                    <w:right w:val="none" w:sz="0" w:space="0" w:color="auto"/>
                  </w:divBdr>
                </w:div>
                <w:div w:id="1425998356">
                  <w:marLeft w:val="0"/>
                  <w:marRight w:val="0"/>
                  <w:marTop w:val="0"/>
                  <w:marBottom w:val="0"/>
                  <w:divBdr>
                    <w:top w:val="none" w:sz="0" w:space="0" w:color="auto"/>
                    <w:left w:val="none" w:sz="0" w:space="0" w:color="auto"/>
                    <w:bottom w:val="none" w:sz="0" w:space="0" w:color="auto"/>
                    <w:right w:val="none" w:sz="0" w:space="0" w:color="auto"/>
                  </w:divBdr>
                </w:div>
                <w:div w:id="1275751517">
                  <w:marLeft w:val="0"/>
                  <w:marRight w:val="0"/>
                  <w:marTop w:val="0"/>
                  <w:marBottom w:val="0"/>
                  <w:divBdr>
                    <w:top w:val="none" w:sz="0" w:space="0" w:color="auto"/>
                    <w:left w:val="none" w:sz="0" w:space="0" w:color="auto"/>
                    <w:bottom w:val="none" w:sz="0" w:space="0" w:color="auto"/>
                    <w:right w:val="none" w:sz="0" w:space="0" w:color="auto"/>
                  </w:divBdr>
                </w:div>
                <w:div w:id="1401976837">
                  <w:marLeft w:val="0"/>
                  <w:marRight w:val="0"/>
                  <w:marTop w:val="0"/>
                  <w:marBottom w:val="0"/>
                  <w:divBdr>
                    <w:top w:val="none" w:sz="0" w:space="0" w:color="auto"/>
                    <w:left w:val="none" w:sz="0" w:space="0" w:color="auto"/>
                    <w:bottom w:val="none" w:sz="0" w:space="0" w:color="auto"/>
                    <w:right w:val="none" w:sz="0" w:space="0" w:color="auto"/>
                  </w:divBdr>
                </w:div>
                <w:div w:id="379060250">
                  <w:marLeft w:val="0"/>
                  <w:marRight w:val="0"/>
                  <w:marTop w:val="0"/>
                  <w:marBottom w:val="0"/>
                  <w:divBdr>
                    <w:top w:val="none" w:sz="0" w:space="0" w:color="auto"/>
                    <w:left w:val="none" w:sz="0" w:space="0" w:color="auto"/>
                    <w:bottom w:val="none" w:sz="0" w:space="0" w:color="auto"/>
                    <w:right w:val="none" w:sz="0" w:space="0" w:color="auto"/>
                  </w:divBdr>
                </w:div>
                <w:div w:id="2061243438">
                  <w:marLeft w:val="0"/>
                  <w:marRight w:val="0"/>
                  <w:marTop w:val="0"/>
                  <w:marBottom w:val="0"/>
                  <w:divBdr>
                    <w:top w:val="none" w:sz="0" w:space="0" w:color="auto"/>
                    <w:left w:val="none" w:sz="0" w:space="0" w:color="auto"/>
                    <w:bottom w:val="none" w:sz="0" w:space="0" w:color="auto"/>
                    <w:right w:val="none" w:sz="0" w:space="0" w:color="auto"/>
                  </w:divBdr>
                </w:div>
                <w:div w:id="638264849">
                  <w:marLeft w:val="0"/>
                  <w:marRight w:val="0"/>
                  <w:marTop w:val="0"/>
                  <w:marBottom w:val="0"/>
                  <w:divBdr>
                    <w:top w:val="none" w:sz="0" w:space="0" w:color="auto"/>
                    <w:left w:val="none" w:sz="0" w:space="0" w:color="auto"/>
                    <w:bottom w:val="none" w:sz="0" w:space="0" w:color="auto"/>
                    <w:right w:val="none" w:sz="0" w:space="0" w:color="auto"/>
                  </w:divBdr>
                </w:div>
                <w:div w:id="1934237855">
                  <w:marLeft w:val="0"/>
                  <w:marRight w:val="0"/>
                  <w:marTop w:val="0"/>
                  <w:marBottom w:val="0"/>
                  <w:divBdr>
                    <w:top w:val="none" w:sz="0" w:space="0" w:color="auto"/>
                    <w:left w:val="none" w:sz="0" w:space="0" w:color="auto"/>
                    <w:bottom w:val="none" w:sz="0" w:space="0" w:color="auto"/>
                    <w:right w:val="none" w:sz="0" w:space="0" w:color="auto"/>
                  </w:divBdr>
                </w:div>
                <w:div w:id="36781531">
                  <w:marLeft w:val="0"/>
                  <w:marRight w:val="0"/>
                  <w:marTop w:val="0"/>
                  <w:marBottom w:val="0"/>
                  <w:divBdr>
                    <w:top w:val="none" w:sz="0" w:space="0" w:color="auto"/>
                    <w:left w:val="none" w:sz="0" w:space="0" w:color="auto"/>
                    <w:bottom w:val="none" w:sz="0" w:space="0" w:color="auto"/>
                    <w:right w:val="none" w:sz="0" w:space="0" w:color="auto"/>
                  </w:divBdr>
                </w:div>
                <w:div w:id="387456674">
                  <w:marLeft w:val="0"/>
                  <w:marRight w:val="0"/>
                  <w:marTop w:val="0"/>
                  <w:marBottom w:val="0"/>
                  <w:divBdr>
                    <w:top w:val="none" w:sz="0" w:space="0" w:color="auto"/>
                    <w:left w:val="none" w:sz="0" w:space="0" w:color="auto"/>
                    <w:bottom w:val="none" w:sz="0" w:space="0" w:color="auto"/>
                    <w:right w:val="none" w:sz="0" w:space="0" w:color="auto"/>
                  </w:divBdr>
                </w:div>
                <w:div w:id="794952207">
                  <w:marLeft w:val="0"/>
                  <w:marRight w:val="0"/>
                  <w:marTop w:val="0"/>
                  <w:marBottom w:val="0"/>
                  <w:divBdr>
                    <w:top w:val="none" w:sz="0" w:space="0" w:color="auto"/>
                    <w:left w:val="none" w:sz="0" w:space="0" w:color="auto"/>
                    <w:bottom w:val="none" w:sz="0" w:space="0" w:color="auto"/>
                    <w:right w:val="none" w:sz="0" w:space="0" w:color="auto"/>
                  </w:divBdr>
                </w:div>
                <w:div w:id="1958901874">
                  <w:marLeft w:val="0"/>
                  <w:marRight w:val="0"/>
                  <w:marTop w:val="0"/>
                  <w:marBottom w:val="0"/>
                  <w:divBdr>
                    <w:top w:val="none" w:sz="0" w:space="0" w:color="auto"/>
                    <w:left w:val="none" w:sz="0" w:space="0" w:color="auto"/>
                    <w:bottom w:val="none" w:sz="0" w:space="0" w:color="auto"/>
                    <w:right w:val="none" w:sz="0" w:space="0" w:color="auto"/>
                  </w:divBdr>
                </w:div>
                <w:div w:id="1328247273">
                  <w:marLeft w:val="0"/>
                  <w:marRight w:val="0"/>
                  <w:marTop w:val="0"/>
                  <w:marBottom w:val="0"/>
                  <w:divBdr>
                    <w:top w:val="none" w:sz="0" w:space="0" w:color="auto"/>
                    <w:left w:val="none" w:sz="0" w:space="0" w:color="auto"/>
                    <w:bottom w:val="none" w:sz="0" w:space="0" w:color="auto"/>
                    <w:right w:val="none" w:sz="0" w:space="0" w:color="auto"/>
                  </w:divBdr>
                </w:div>
                <w:div w:id="825169960">
                  <w:marLeft w:val="0"/>
                  <w:marRight w:val="0"/>
                  <w:marTop w:val="0"/>
                  <w:marBottom w:val="0"/>
                  <w:divBdr>
                    <w:top w:val="none" w:sz="0" w:space="0" w:color="auto"/>
                    <w:left w:val="none" w:sz="0" w:space="0" w:color="auto"/>
                    <w:bottom w:val="none" w:sz="0" w:space="0" w:color="auto"/>
                    <w:right w:val="none" w:sz="0" w:space="0" w:color="auto"/>
                  </w:divBdr>
                </w:div>
                <w:div w:id="1322613543">
                  <w:marLeft w:val="0"/>
                  <w:marRight w:val="0"/>
                  <w:marTop w:val="0"/>
                  <w:marBottom w:val="0"/>
                  <w:divBdr>
                    <w:top w:val="none" w:sz="0" w:space="0" w:color="auto"/>
                    <w:left w:val="none" w:sz="0" w:space="0" w:color="auto"/>
                    <w:bottom w:val="none" w:sz="0" w:space="0" w:color="auto"/>
                    <w:right w:val="none" w:sz="0" w:space="0" w:color="auto"/>
                  </w:divBdr>
                </w:div>
                <w:div w:id="867721202">
                  <w:marLeft w:val="0"/>
                  <w:marRight w:val="0"/>
                  <w:marTop w:val="0"/>
                  <w:marBottom w:val="0"/>
                  <w:divBdr>
                    <w:top w:val="none" w:sz="0" w:space="0" w:color="auto"/>
                    <w:left w:val="none" w:sz="0" w:space="0" w:color="auto"/>
                    <w:bottom w:val="none" w:sz="0" w:space="0" w:color="auto"/>
                    <w:right w:val="none" w:sz="0" w:space="0" w:color="auto"/>
                  </w:divBdr>
                </w:div>
                <w:div w:id="1702705098">
                  <w:marLeft w:val="0"/>
                  <w:marRight w:val="0"/>
                  <w:marTop w:val="0"/>
                  <w:marBottom w:val="0"/>
                  <w:divBdr>
                    <w:top w:val="none" w:sz="0" w:space="0" w:color="auto"/>
                    <w:left w:val="none" w:sz="0" w:space="0" w:color="auto"/>
                    <w:bottom w:val="none" w:sz="0" w:space="0" w:color="auto"/>
                    <w:right w:val="none" w:sz="0" w:space="0" w:color="auto"/>
                  </w:divBdr>
                </w:div>
                <w:div w:id="1672828739">
                  <w:marLeft w:val="0"/>
                  <w:marRight w:val="0"/>
                  <w:marTop w:val="0"/>
                  <w:marBottom w:val="0"/>
                  <w:divBdr>
                    <w:top w:val="none" w:sz="0" w:space="0" w:color="auto"/>
                    <w:left w:val="none" w:sz="0" w:space="0" w:color="auto"/>
                    <w:bottom w:val="none" w:sz="0" w:space="0" w:color="auto"/>
                    <w:right w:val="none" w:sz="0" w:space="0" w:color="auto"/>
                  </w:divBdr>
                </w:div>
                <w:div w:id="149503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8596">
          <w:marLeft w:val="0"/>
          <w:marRight w:val="0"/>
          <w:marTop w:val="15"/>
          <w:marBottom w:val="0"/>
          <w:divBdr>
            <w:top w:val="none" w:sz="0" w:space="0" w:color="auto"/>
            <w:left w:val="none" w:sz="0" w:space="0" w:color="auto"/>
            <w:bottom w:val="none" w:sz="0" w:space="0" w:color="auto"/>
            <w:right w:val="none" w:sz="0" w:space="0" w:color="auto"/>
          </w:divBdr>
          <w:divsChild>
            <w:div w:id="982127062">
              <w:marLeft w:val="0"/>
              <w:marRight w:val="0"/>
              <w:marTop w:val="0"/>
              <w:marBottom w:val="0"/>
              <w:divBdr>
                <w:top w:val="none" w:sz="0" w:space="0" w:color="auto"/>
                <w:left w:val="none" w:sz="0" w:space="0" w:color="auto"/>
                <w:bottom w:val="none" w:sz="0" w:space="0" w:color="auto"/>
                <w:right w:val="none" w:sz="0" w:space="0" w:color="auto"/>
              </w:divBdr>
              <w:divsChild>
                <w:div w:id="2068524794">
                  <w:marLeft w:val="0"/>
                  <w:marRight w:val="0"/>
                  <w:marTop w:val="0"/>
                  <w:marBottom w:val="0"/>
                  <w:divBdr>
                    <w:top w:val="none" w:sz="0" w:space="0" w:color="auto"/>
                    <w:left w:val="none" w:sz="0" w:space="0" w:color="auto"/>
                    <w:bottom w:val="none" w:sz="0" w:space="0" w:color="auto"/>
                    <w:right w:val="none" w:sz="0" w:space="0" w:color="auto"/>
                  </w:divBdr>
                </w:div>
                <w:div w:id="1396466678">
                  <w:marLeft w:val="0"/>
                  <w:marRight w:val="0"/>
                  <w:marTop w:val="0"/>
                  <w:marBottom w:val="0"/>
                  <w:divBdr>
                    <w:top w:val="none" w:sz="0" w:space="0" w:color="auto"/>
                    <w:left w:val="none" w:sz="0" w:space="0" w:color="auto"/>
                    <w:bottom w:val="none" w:sz="0" w:space="0" w:color="auto"/>
                    <w:right w:val="none" w:sz="0" w:space="0" w:color="auto"/>
                  </w:divBdr>
                </w:div>
                <w:div w:id="1912809931">
                  <w:marLeft w:val="0"/>
                  <w:marRight w:val="0"/>
                  <w:marTop w:val="0"/>
                  <w:marBottom w:val="0"/>
                  <w:divBdr>
                    <w:top w:val="none" w:sz="0" w:space="0" w:color="auto"/>
                    <w:left w:val="none" w:sz="0" w:space="0" w:color="auto"/>
                    <w:bottom w:val="none" w:sz="0" w:space="0" w:color="auto"/>
                    <w:right w:val="none" w:sz="0" w:space="0" w:color="auto"/>
                  </w:divBdr>
                </w:div>
                <w:div w:id="1852261215">
                  <w:marLeft w:val="0"/>
                  <w:marRight w:val="0"/>
                  <w:marTop w:val="0"/>
                  <w:marBottom w:val="0"/>
                  <w:divBdr>
                    <w:top w:val="none" w:sz="0" w:space="0" w:color="auto"/>
                    <w:left w:val="none" w:sz="0" w:space="0" w:color="auto"/>
                    <w:bottom w:val="none" w:sz="0" w:space="0" w:color="auto"/>
                    <w:right w:val="none" w:sz="0" w:space="0" w:color="auto"/>
                  </w:divBdr>
                </w:div>
                <w:div w:id="693653678">
                  <w:marLeft w:val="0"/>
                  <w:marRight w:val="0"/>
                  <w:marTop w:val="0"/>
                  <w:marBottom w:val="0"/>
                  <w:divBdr>
                    <w:top w:val="none" w:sz="0" w:space="0" w:color="auto"/>
                    <w:left w:val="none" w:sz="0" w:space="0" w:color="auto"/>
                    <w:bottom w:val="none" w:sz="0" w:space="0" w:color="auto"/>
                    <w:right w:val="none" w:sz="0" w:space="0" w:color="auto"/>
                  </w:divBdr>
                </w:div>
                <w:div w:id="1091661074">
                  <w:marLeft w:val="0"/>
                  <w:marRight w:val="0"/>
                  <w:marTop w:val="0"/>
                  <w:marBottom w:val="0"/>
                  <w:divBdr>
                    <w:top w:val="none" w:sz="0" w:space="0" w:color="auto"/>
                    <w:left w:val="none" w:sz="0" w:space="0" w:color="auto"/>
                    <w:bottom w:val="none" w:sz="0" w:space="0" w:color="auto"/>
                    <w:right w:val="none" w:sz="0" w:space="0" w:color="auto"/>
                  </w:divBdr>
                </w:div>
                <w:div w:id="1888836074">
                  <w:marLeft w:val="0"/>
                  <w:marRight w:val="0"/>
                  <w:marTop w:val="0"/>
                  <w:marBottom w:val="0"/>
                  <w:divBdr>
                    <w:top w:val="none" w:sz="0" w:space="0" w:color="auto"/>
                    <w:left w:val="none" w:sz="0" w:space="0" w:color="auto"/>
                    <w:bottom w:val="none" w:sz="0" w:space="0" w:color="auto"/>
                    <w:right w:val="none" w:sz="0" w:space="0" w:color="auto"/>
                  </w:divBdr>
                </w:div>
                <w:div w:id="258803256">
                  <w:marLeft w:val="0"/>
                  <w:marRight w:val="0"/>
                  <w:marTop w:val="0"/>
                  <w:marBottom w:val="0"/>
                  <w:divBdr>
                    <w:top w:val="none" w:sz="0" w:space="0" w:color="auto"/>
                    <w:left w:val="none" w:sz="0" w:space="0" w:color="auto"/>
                    <w:bottom w:val="none" w:sz="0" w:space="0" w:color="auto"/>
                    <w:right w:val="none" w:sz="0" w:space="0" w:color="auto"/>
                  </w:divBdr>
                </w:div>
                <w:div w:id="341205308">
                  <w:marLeft w:val="0"/>
                  <w:marRight w:val="0"/>
                  <w:marTop w:val="0"/>
                  <w:marBottom w:val="0"/>
                  <w:divBdr>
                    <w:top w:val="none" w:sz="0" w:space="0" w:color="auto"/>
                    <w:left w:val="none" w:sz="0" w:space="0" w:color="auto"/>
                    <w:bottom w:val="none" w:sz="0" w:space="0" w:color="auto"/>
                    <w:right w:val="none" w:sz="0" w:space="0" w:color="auto"/>
                  </w:divBdr>
                </w:div>
                <w:div w:id="1910460705">
                  <w:marLeft w:val="0"/>
                  <w:marRight w:val="0"/>
                  <w:marTop w:val="0"/>
                  <w:marBottom w:val="0"/>
                  <w:divBdr>
                    <w:top w:val="none" w:sz="0" w:space="0" w:color="auto"/>
                    <w:left w:val="none" w:sz="0" w:space="0" w:color="auto"/>
                    <w:bottom w:val="none" w:sz="0" w:space="0" w:color="auto"/>
                    <w:right w:val="none" w:sz="0" w:space="0" w:color="auto"/>
                  </w:divBdr>
                </w:div>
                <w:div w:id="241069300">
                  <w:marLeft w:val="0"/>
                  <w:marRight w:val="0"/>
                  <w:marTop w:val="0"/>
                  <w:marBottom w:val="0"/>
                  <w:divBdr>
                    <w:top w:val="none" w:sz="0" w:space="0" w:color="auto"/>
                    <w:left w:val="none" w:sz="0" w:space="0" w:color="auto"/>
                    <w:bottom w:val="none" w:sz="0" w:space="0" w:color="auto"/>
                    <w:right w:val="none" w:sz="0" w:space="0" w:color="auto"/>
                  </w:divBdr>
                </w:div>
                <w:div w:id="1954941450">
                  <w:marLeft w:val="0"/>
                  <w:marRight w:val="0"/>
                  <w:marTop w:val="0"/>
                  <w:marBottom w:val="0"/>
                  <w:divBdr>
                    <w:top w:val="none" w:sz="0" w:space="0" w:color="auto"/>
                    <w:left w:val="none" w:sz="0" w:space="0" w:color="auto"/>
                    <w:bottom w:val="none" w:sz="0" w:space="0" w:color="auto"/>
                    <w:right w:val="none" w:sz="0" w:space="0" w:color="auto"/>
                  </w:divBdr>
                </w:div>
                <w:div w:id="712536662">
                  <w:marLeft w:val="0"/>
                  <w:marRight w:val="0"/>
                  <w:marTop w:val="0"/>
                  <w:marBottom w:val="0"/>
                  <w:divBdr>
                    <w:top w:val="none" w:sz="0" w:space="0" w:color="auto"/>
                    <w:left w:val="none" w:sz="0" w:space="0" w:color="auto"/>
                    <w:bottom w:val="none" w:sz="0" w:space="0" w:color="auto"/>
                    <w:right w:val="none" w:sz="0" w:space="0" w:color="auto"/>
                  </w:divBdr>
                </w:div>
                <w:div w:id="1764571875">
                  <w:marLeft w:val="0"/>
                  <w:marRight w:val="0"/>
                  <w:marTop w:val="0"/>
                  <w:marBottom w:val="0"/>
                  <w:divBdr>
                    <w:top w:val="none" w:sz="0" w:space="0" w:color="auto"/>
                    <w:left w:val="none" w:sz="0" w:space="0" w:color="auto"/>
                    <w:bottom w:val="none" w:sz="0" w:space="0" w:color="auto"/>
                    <w:right w:val="none" w:sz="0" w:space="0" w:color="auto"/>
                  </w:divBdr>
                </w:div>
                <w:div w:id="712845179">
                  <w:marLeft w:val="0"/>
                  <w:marRight w:val="0"/>
                  <w:marTop w:val="0"/>
                  <w:marBottom w:val="0"/>
                  <w:divBdr>
                    <w:top w:val="none" w:sz="0" w:space="0" w:color="auto"/>
                    <w:left w:val="none" w:sz="0" w:space="0" w:color="auto"/>
                    <w:bottom w:val="none" w:sz="0" w:space="0" w:color="auto"/>
                    <w:right w:val="none" w:sz="0" w:space="0" w:color="auto"/>
                  </w:divBdr>
                </w:div>
                <w:div w:id="966860342">
                  <w:marLeft w:val="0"/>
                  <w:marRight w:val="0"/>
                  <w:marTop w:val="0"/>
                  <w:marBottom w:val="0"/>
                  <w:divBdr>
                    <w:top w:val="none" w:sz="0" w:space="0" w:color="auto"/>
                    <w:left w:val="none" w:sz="0" w:space="0" w:color="auto"/>
                    <w:bottom w:val="none" w:sz="0" w:space="0" w:color="auto"/>
                    <w:right w:val="none" w:sz="0" w:space="0" w:color="auto"/>
                  </w:divBdr>
                </w:div>
                <w:div w:id="259993751">
                  <w:marLeft w:val="0"/>
                  <w:marRight w:val="0"/>
                  <w:marTop w:val="0"/>
                  <w:marBottom w:val="0"/>
                  <w:divBdr>
                    <w:top w:val="none" w:sz="0" w:space="0" w:color="auto"/>
                    <w:left w:val="none" w:sz="0" w:space="0" w:color="auto"/>
                    <w:bottom w:val="none" w:sz="0" w:space="0" w:color="auto"/>
                    <w:right w:val="none" w:sz="0" w:space="0" w:color="auto"/>
                  </w:divBdr>
                </w:div>
                <w:div w:id="535197736">
                  <w:marLeft w:val="0"/>
                  <w:marRight w:val="0"/>
                  <w:marTop w:val="0"/>
                  <w:marBottom w:val="0"/>
                  <w:divBdr>
                    <w:top w:val="none" w:sz="0" w:space="0" w:color="auto"/>
                    <w:left w:val="none" w:sz="0" w:space="0" w:color="auto"/>
                    <w:bottom w:val="none" w:sz="0" w:space="0" w:color="auto"/>
                    <w:right w:val="none" w:sz="0" w:space="0" w:color="auto"/>
                  </w:divBdr>
                </w:div>
                <w:div w:id="923874051">
                  <w:marLeft w:val="0"/>
                  <w:marRight w:val="0"/>
                  <w:marTop w:val="0"/>
                  <w:marBottom w:val="0"/>
                  <w:divBdr>
                    <w:top w:val="none" w:sz="0" w:space="0" w:color="auto"/>
                    <w:left w:val="none" w:sz="0" w:space="0" w:color="auto"/>
                    <w:bottom w:val="none" w:sz="0" w:space="0" w:color="auto"/>
                    <w:right w:val="none" w:sz="0" w:space="0" w:color="auto"/>
                  </w:divBdr>
                </w:div>
                <w:div w:id="152528800">
                  <w:marLeft w:val="0"/>
                  <w:marRight w:val="0"/>
                  <w:marTop w:val="0"/>
                  <w:marBottom w:val="0"/>
                  <w:divBdr>
                    <w:top w:val="none" w:sz="0" w:space="0" w:color="auto"/>
                    <w:left w:val="none" w:sz="0" w:space="0" w:color="auto"/>
                    <w:bottom w:val="none" w:sz="0" w:space="0" w:color="auto"/>
                    <w:right w:val="none" w:sz="0" w:space="0" w:color="auto"/>
                  </w:divBdr>
                </w:div>
                <w:div w:id="2136679909">
                  <w:marLeft w:val="0"/>
                  <w:marRight w:val="0"/>
                  <w:marTop w:val="0"/>
                  <w:marBottom w:val="0"/>
                  <w:divBdr>
                    <w:top w:val="none" w:sz="0" w:space="0" w:color="auto"/>
                    <w:left w:val="none" w:sz="0" w:space="0" w:color="auto"/>
                    <w:bottom w:val="none" w:sz="0" w:space="0" w:color="auto"/>
                    <w:right w:val="none" w:sz="0" w:space="0" w:color="auto"/>
                  </w:divBdr>
                </w:div>
                <w:div w:id="1147435169">
                  <w:marLeft w:val="0"/>
                  <w:marRight w:val="0"/>
                  <w:marTop w:val="0"/>
                  <w:marBottom w:val="0"/>
                  <w:divBdr>
                    <w:top w:val="none" w:sz="0" w:space="0" w:color="auto"/>
                    <w:left w:val="none" w:sz="0" w:space="0" w:color="auto"/>
                    <w:bottom w:val="none" w:sz="0" w:space="0" w:color="auto"/>
                    <w:right w:val="none" w:sz="0" w:space="0" w:color="auto"/>
                  </w:divBdr>
                </w:div>
                <w:div w:id="1632638433">
                  <w:marLeft w:val="0"/>
                  <w:marRight w:val="0"/>
                  <w:marTop w:val="0"/>
                  <w:marBottom w:val="0"/>
                  <w:divBdr>
                    <w:top w:val="none" w:sz="0" w:space="0" w:color="auto"/>
                    <w:left w:val="none" w:sz="0" w:space="0" w:color="auto"/>
                    <w:bottom w:val="none" w:sz="0" w:space="0" w:color="auto"/>
                    <w:right w:val="none" w:sz="0" w:space="0" w:color="auto"/>
                  </w:divBdr>
                </w:div>
                <w:div w:id="16785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9373">
          <w:marLeft w:val="0"/>
          <w:marRight w:val="0"/>
          <w:marTop w:val="15"/>
          <w:marBottom w:val="0"/>
          <w:divBdr>
            <w:top w:val="none" w:sz="0" w:space="0" w:color="auto"/>
            <w:left w:val="none" w:sz="0" w:space="0" w:color="auto"/>
            <w:bottom w:val="none" w:sz="0" w:space="0" w:color="auto"/>
            <w:right w:val="none" w:sz="0" w:space="0" w:color="auto"/>
          </w:divBdr>
          <w:divsChild>
            <w:div w:id="312178556">
              <w:marLeft w:val="0"/>
              <w:marRight w:val="0"/>
              <w:marTop w:val="0"/>
              <w:marBottom w:val="0"/>
              <w:divBdr>
                <w:top w:val="none" w:sz="0" w:space="0" w:color="auto"/>
                <w:left w:val="none" w:sz="0" w:space="0" w:color="auto"/>
                <w:bottom w:val="none" w:sz="0" w:space="0" w:color="auto"/>
                <w:right w:val="none" w:sz="0" w:space="0" w:color="auto"/>
              </w:divBdr>
              <w:divsChild>
                <w:div w:id="1166091187">
                  <w:marLeft w:val="0"/>
                  <w:marRight w:val="0"/>
                  <w:marTop w:val="0"/>
                  <w:marBottom w:val="0"/>
                  <w:divBdr>
                    <w:top w:val="none" w:sz="0" w:space="0" w:color="auto"/>
                    <w:left w:val="none" w:sz="0" w:space="0" w:color="auto"/>
                    <w:bottom w:val="none" w:sz="0" w:space="0" w:color="auto"/>
                    <w:right w:val="none" w:sz="0" w:space="0" w:color="auto"/>
                  </w:divBdr>
                </w:div>
                <w:div w:id="397627844">
                  <w:marLeft w:val="0"/>
                  <w:marRight w:val="0"/>
                  <w:marTop w:val="0"/>
                  <w:marBottom w:val="0"/>
                  <w:divBdr>
                    <w:top w:val="none" w:sz="0" w:space="0" w:color="auto"/>
                    <w:left w:val="none" w:sz="0" w:space="0" w:color="auto"/>
                    <w:bottom w:val="none" w:sz="0" w:space="0" w:color="auto"/>
                    <w:right w:val="none" w:sz="0" w:space="0" w:color="auto"/>
                  </w:divBdr>
                </w:div>
                <w:div w:id="1977443385">
                  <w:marLeft w:val="0"/>
                  <w:marRight w:val="0"/>
                  <w:marTop w:val="0"/>
                  <w:marBottom w:val="0"/>
                  <w:divBdr>
                    <w:top w:val="none" w:sz="0" w:space="0" w:color="auto"/>
                    <w:left w:val="none" w:sz="0" w:space="0" w:color="auto"/>
                    <w:bottom w:val="none" w:sz="0" w:space="0" w:color="auto"/>
                    <w:right w:val="none" w:sz="0" w:space="0" w:color="auto"/>
                  </w:divBdr>
                </w:div>
                <w:div w:id="1966038926">
                  <w:marLeft w:val="0"/>
                  <w:marRight w:val="0"/>
                  <w:marTop w:val="0"/>
                  <w:marBottom w:val="0"/>
                  <w:divBdr>
                    <w:top w:val="none" w:sz="0" w:space="0" w:color="auto"/>
                    <w:left w:val="none" w:sz="0" w:space="0" w:color="auto"/>
                    <w:bottom w:val="none" w:sz="0" w:space="0" w:color="auto"/>
                    <w:right w:val="none" w:sz="0" w:space="0" w:color="auto"/>
                  </w:divBdr>
                </w:div>
                <w:div w:id="1843232272">
                  <w:marLeft w:val="0"/>
                  <w:marRight w:val="0"/>
                  <w:marTop w:val="0"/>
                  <w:marBottom w:val="0"/>
                  <w:divBdr>
                    <w:top w:val="none" w:sz="0" w:space="0" w:color="auto"/>
                    <w:left w:val="none" w:sz="0" w:space="0" w:color="auto"/>
                    <w:bottom w:val="none" w:sz="0" w:space="0" w:color="auto"/>
                    <w:right w:val="none" w:sz="0" w:space="0" w:color="auto"/>
                  </w:divBdr>
                </w:div>
                <w:div w:id="1317153219">
                  <w:marLeft w:val="0"/>
                  <w:marRight w:val="0"/>
                  <w:marTop w:val="0"/>
                  <w:marBottom w:val="0"/>
                  <w:divBdr>
                    <w:top w:val="none" w:sz="0" w:space="0" w:color="auto"/>
                    <w:left w:val="none" w:sz="0" w:space="0" w:color="auto"/>
                    <w:bottom w:val="none" w:sz="0" w:space="0" w:color="auto"/>
                    <w:right w:val="none" w:sz="0" w:space="0" w:color="auto"/>
                  </w:divBdr>
                </w:div>
                <w:div w:id="1002123109">
                  <w:marLeft w:val="0"/>
                  <w:marRight w:val="0"/>
                  <w:marTop w:val="0"/>
                  <w:marBottom w:val="0"/>
                  <w:divBdr>
                    <w:top w:val="none" w:sz="0" w:space="0" w:color="auto"/>
                    <w:left w:val="none" w:sz="0" w:space="0" w:color="auto"/>
                    <w:bottom w:val="none" w:sz="0" w:space="0" w:color="auto"/>
                    <w:right w:val="none" w:sz="0" w:space="0" w:color="auto"/>
                  </w:divBdr>
                </w:div>
                <w:div w:id="1049647589">
                  <w:marLeft w:val="0"/>
                  <w:marRight w:val="0"/>
                  <w:marTop w:val="0"/>
                  <w:marBottom w:val="0"/>
                  <w:divBdr>
                    <w:top w:val="none" w:sz="0" w:space="0" w:color="auto"/>
                    <w:left w:val="none" w:sz="0" w:space="0" w:color="auto"/>
                    <w:bottom w:val="none" w:sz="0" w:space="0" w:color="auto"/>
                    <w:right w:val="none" w:sz="0" w:space="0" w:color="auto"/>
                  </w:divBdr>
                </w:div>
                <w:div w:id="1497722466">
                  <w:marLeft w:val="0"/>
                  <w:marRight w:val="0"/>
                  <w:marTop w:val="0"/>
                  <w:marBottom w:val="0"/>
                  <w:divBdr>
                    <w:top w:val="none" w:sz="0" w:space="0" w:color="auto"/>
                    <w:left w:val="none" w:sz="0" w:space="0" w:color="auto"/>
                    <w:bottom w:val="none" w:sz="0" w:space="0" w:color="auto"/>
                    <w:right w:val="none" w:sz="0" w:space="0" w:color="auto"/>
                  </w:divBdr>
                </w:div>
                <w:div w:id="1003627499">
                  <w:marLeft w:val="0"/>
                  <w:marRight w:val="0"/>
                  <w:marTop w:val="0"/>
                  <w:marBottom w:val="0"/>
                  <w:divBdr>
                    <w:top w:val="none" w:sz="0" w:space="0" w:color="auto"/>
                    <w:left w:val="none" w:sz="0" w:space="0" w:color="auto"/>
                    <w:bottom w:val="none" w:sz="0" w:space="0" w:color="auto"/>
                    <w:right w:val="none" w:sz="0" w:space="0" w:color="auto"/>
                  </w:divBdr>
                </w:div>
                <w:div w:id="2005234891">
                  <w:marLeft w:val="0"/>
                  <w:marRight w:val="0"/>
                  <w:marTop w:val="0"/>
                  <w:marBottom w:val="0"/>
                  <w:divBdr>
                    <w:top w:val="none" w:sz="0" w:space="0" w:color="auto"/>
                    <w:left w:val="none" w:sz="0" w:space="0" w:color="auto"/>
                    <w:bottom w:val="none" w:sz="0" w:space="0" w:color="auto"/>
                    <w:right w:val="none" w:sz="0" w:space="0" w:color="auto"/>
                  </w:divBdr>
                </w:div>
                <w:div w:id="1230000124">
                  <w:marLeft w:val="0"/>
                  <w:marRight w:val="0"/>
                  <w:marTop w:val="0"/>
                  <w:marBottom w:val="0"/>
                  <w:divBdr>
                    <w:top w:val="none" w:sz="0" w:space="0" w:color="auto"/>
                    <w:left w:val="none" w:sz="0" w:space="0" w:color="auto"/>
                    <w:bottom w:val="none" w:sz="0" w:space="0" w:color="auto"/>
                    <w:right w:val="none" w:sz="0" w:space="0" w:color="auto"/>
                  </w:divBdr>
                </w:div>
                <w:div w:id="680669651">
                  <w:marLeft w:val="0"/>
                  <w:marRight w:val="0"/>
                  <w:marTop w:val="0"/>
                  <w:marBottom w:val="0"/>
                  <w:divBdr>
                    <w:top w:val="none" w:sz="0" w:space="0" w:color="auto"/>
                    <w:left w:val="none" w:sz="0" w:space="0" w:color="auto"/>
                    <w:bottom w:val="none" w:sz="0" w:space="0" w:color="auto"/>
                    <w:right w:val="none" w:sz="0" w:space="0" w:color="auto"/>
                  </w:divBdr>
                </w:div>
                <w:div w:id="17052832">
                  <w:marLeft w:val="0"/>
                  <w:marRight w:val="0"/>
                  <w:marTop w:val="0"/>
                  <w:marBottom w:val="0"/>
                  <w:divBdr>
                    <w:top w:val="none" w:sz="0" w:space="0" w:color="auto"/>
                    <w:left w:val="none" w:sz="0" w:space="0" w:color="auto"/>
                    <w:bottom w:val="none" w:sz="0" w:space="0" w:color="auto"/>
                    <w:right w:val="none" w:sz="0" w:space="0" w:color="auto"/>
                  </w:divBdr>
                </w:div>
                <w:div w:id="1844319728">
                  <w:marLeft w:val="0"/>
                  <w:marRight w:val="0"/>
                  <w:marTop w:val="0"/>
                  <w:marBottom w:val="0"/>
                  <w:divBdr>
                    <w:top w:val="none" w:sz="0" w:space="0" w:color="auto"/>
                    <w:left w:val="none" w:sz="0" w:space="0" w:color="auto"/>
                    <w:bottom w:val="none" w:sz="0" w:space="0" w:color="auto"/>
                    <w:right w:val="none" w:sz="0" w:space="0" w:color="auto"/>
                  </w:divBdr>
                </w:div>
                <w:div w:id="653488949">
                  <w:marLeft w:val="0"/>
                  <w:marRight w:val="0"/>
                  <w:marTop w:val="0"/>
                  <w:marBottom w:val="0"/>
                  <w:divBdr>
                    <w:top w:val="none" w:sz="0" w:space="0" w:color="auto"/>
                    <w:left w:val="none" w:sz="0" w:space="0" w:color="auto"/>
                    <w:bottom w:val="none" w:sz="0" w:space="0" w:color="auto"/>
                    <w:right w:val="none" w:sz="0" w:space="0" w:color="auto"/>
                  </w:divBdr>
                </w:div>
                <w:div w:id="1822194408">
                  <w:marLeft w:val="0"/>
                  <w:marRight w:val="0"/>
                  <w:marTop w:val="0"/>
                  <w:marBottom w:val="0"/>
                  <w:divBdr>
                    <w:top w:val="none" w:sz="0" w:space="0" w:color="auto"/>
                    <w:left w:val="none" w:sz="0" w:space="0" w:color="auto"/>
                    <w:bottom w:val="none" w:sz="0" w:space="0" w:color="auto"/>
                    <w:right w:val="none" w:sz="0" w:space="0" w:color="auto"/>
                  </w:divBdr>
                </w:div>
                <w:div w:id="1369993013">
                  <w:marLeft w:val="0"/>
                  <w:marRight w:val="0"/>
                  <w:marTop w:val="0"/>
                  <w:marBottom w:val="0"/>
                  <w:divBdr>
                    <w:top w:val="none" w:sz="0" w:space="0" w:color="auto"/>
                    <w:left w:val="none" w:sz="0" w:space="0" w:color="auto"/>
                    <w:bottom w:val="none" w:sz="0" w:space="0" w:color="auto"/>
                    <w:right w:val="none" w:sz="0" w:space="0" w:color="auto"/>
                  </w:divBdr>
                </w:div>
                <w:div w:id="2008706402">
                  <w:marLeft w:val="0"/>
                  <w:marRight w:val="0"/>
                  <w:marTop w:val="0"/>
                  <w:marBottom w:val="0"/>
                  <w:divBdr>
                    <w:top w:val="none" w:sz="0" w:space="0" w:color="auto"/>
                    <w:left w:val="none" w:sz="0" w:space="0" w:color="auto"/>
                    <w:bottom w:val="none" w:sz="0" w:space="0" w:color="auto"/>
                    <w:right w:val="none" w:sz="0" w:space="0" w:color="auto"/>
                  </w:divBdr>
                </w:div>
                <w:div w:id="2029869359">
                  <w:marLeft w:val="0"/>
                  <w:marRight w:val="0"/>
                  <w:marTop w:val="0"/>
                  <w:marBottom w:val="0"/>
                  <w:divBdr>
                    <w:top w:val="none" w:sz="0" w:space="0" w:color="auto"/>
                    <w:left w:val="none" w:sz="0" w:space="0" w:color="auto"/>
                    <w:bottom w:val="none" w:sz="0" w:space="0" w:color="auto"/>
                    <w:right w:val="none" w:sz="0" w:space="0" w:color="auto"/>
                  </w:divBdr>
                </w:div>
                <w:div w:id="251087336">
                  <w:marLeft w:val="0"/>
                  <w:marRight w:val="0"/>
                  <w:marTop w:val="0"/>
                  <w:marBottom w:val="0"/>
                  <w:divBdr>
                    <w:top w:val="none" w:sz="0" w:space="0" w:color="auto"/>
                    <w:left w:val="none" w:sz="0" w:space="0" w:color="auto"/>
                    <w:bottom w:val="none" w:sz="0" w:space="0" w:color="auto"/>
                    <w:right w:val="none" w:sz="0" w:space="0" w:color="auto"/>
                  </w:divBdr>
                </w:div>
                <w:div w:id="1897010033">
                  <w:marLeft w:val="0"/>
                  <w:marRight w:val="0"/>
                  <w:marTop w:val="0"/>
                  <w:marBottom w:val="0"/>
                  <w:divBdr>
                    <w:top w:val="none" w:sz="0" w:space="0" w:color="auto"/>
                    <w:left w:val="none" w:sz="0" w:space="0" w:color="auto"/>
                    <w:bottom w:val="none" w:sz="0" w:space="0" w:color="auto"/>
                    <w:right w:val="none" w:sz="0" w:space="0" w:color="auto"/>
                  </w:divBdr>
                </w:div>
                <w:div w:id="1469126431">
                  <w:marLeft w:val="0"/>
                  <w:marRight w:val="0"/>
                  <w:marTop w:val="0"/>
                  <w:marBottom w:val="0"/>
                  <w:divBdr>
                    <w:top w:val="none" w:sz="0" w:space="0" w:color="auto"/>
                    <w:left w:val="none" w:sz="0" w:space="0" w:color="auto"/>
                    <w:bottom w:val="none" w:sz="0" w:space="0" w:color="auto"/>
                    <w:right w:val="none" w:sz="0" w:space="0" w:color="auto"/>
                  </w:divBdr>
                </w:div>
                <w:div w:id="2101677127">
                  <w:marLeft w:val="0"/>
                  <w:marRight w:val="0"/>
                  <w:marTop w:val="0"/>
                  <w:marBottom w:val="0"/>
                  <w:divBdr>
                    <w:top w:val="none" w:sz="0" w:space="0" w:color="auto"/>
                    <w:left w:val="none" w:sz="0" w:space="0" w:color="auto"/>
                    <w:bottom w:val="none" w:sz="0" w:space="0" w:color="auto"/>
                    <w:right w:val="none" w:sz="0" w:space="0" w:color="auto"/>
                  </w:divBdr>
                </w:div>
                <w:div w:id="2135169047">
                  <w:marLeft w:val="0"/>
                  <w:marRight w:val="0"/>
                  <w:marTop w:val="0"/>
                  <w:marBottom w:val="0"/>
                  <w:divBdr>
                    <w:top w:val="none" w:sz="0" w:space="0" w:color="auto"/>
                    <w:left w:val="none" w:sz="0" w:space="0" w:color="auto"/>
                    <w:bottom w:val="none" w:sz="0" w:space="0" w:color="auto"/>
                    <w:right w:val="none" w:sz="0" w:space="0" w:color="auto"/>
                  </w:divBdr>
                </w:div>
                <w:div w:id="701131708">
                  <w:marLeft w:val="0"/>
                  <w:marRight w:val="0"/>
                  <w:marTop w:val="0"/>
                  <w:marBottom w:val="0"/>
                  <w:divBdr>
                    <w:top w:val="none" w:sz="0" w:space="0" w:color="auto"/>
                    <w:left w:val="none" w:sz="0" w:space="0" w:color="auto"/>
                    <w:bottom w:val="none" w:sz="0" w:space="0" w:color="auto"/>
                    <w:right w:val="none" w:sz="0" w:space="0" w:color="auto"/>
                  </w:divBdr>
                </w:div>
                <w:div w:id="756947762">
                  <w:marLeft w:val="0"/>
                  <w:marRight w:val="0"/>
                  <w:marTop w:val="0"/>
                  <w:marBottom w:val="0"/>
                  <w:divBdr>
                    <w:top w:val="none" w:sz="0" w:space="0" w:color="auto"/>
                    <w:left w:val="none" w:sz="0" w:space="0" w:color="auto"/>
                    <w:bottom w:val="none" w:sz="0" w:space="0" w:color="auto"/>
                    <w:right w:val="none" w:sz="0" w:space="0" w:color="auto"/>
                  </w:divBdr>
                </w:div>
                <w:div w:id="1685671536">
                  <w:marLeft w:val="0"/>
                  <w:marRight w:val="0"/>
                  <w:marTop w:val="0"/>
                  <w:marBottom w:val="0"/>
                  <w:divBdr>
                    <w:top w:val="none" w:sz="0" w:space="0" w:color="auto"/>
                    <w:left w:val="none" w:sz="0" w:space="0" w:color="auto"/>
                    <w:bottom w:val="none" w:sz="0" w:space="0" w:color="auto"/>
                    <w:right w:val="none" w:sz="0" w:space="0" w:color="auto"/>
                  </w:divBdr>
                </w:div>
                <w:div w:id="7934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1965">
          <w:marLeft w:val="0"/>
          <w:marRight w:val="0"/>
          <w:marTop w:val="15"/>
          <w:marBottom w:val="0"/>
          <w:divBdr>
            <w:top w:val="none" w:sz="0" w:space="0" w:color="auto"/>
            <w:left w:val="none" w:sz="0" w:space="0" w:color="auto"/>
            <w:bottom w:val="none" w:sz="0" w:space="0" w:color="auto"/>
            <w:right w:val="none" w:sz="0" w:space="0" w:color="auto"/>
          </w:divBdr>
          <w:divsChild>
            <w:div w:id="86315415">
              <w:marLeft w:val="0"/>
              <w:marRight w:val="0"/>
              <w:marTop w:val="0"/>
              <w:marBottom w:val="0"/>
              <w:divBdr>
                <w:top w:val="none" w:sz="0" w:space="0" w:color="auto"/>
                <w:left w:val="none" w:sz="0" w:space="0" w:color="auto"/>
                <w:bottom w:val="none" w:sz="0" w:space="0" w:color="auto"/>
                <w:right w:val="none" w:sz="0" w:space="0" w:color="auto"/>
              </w:divBdr>
              <w:divsChild>
                <w:div w:id="315762454">
                  <w:marLeft w:val="0"/>
                  <w:marRight w:val="0"/>
                  <w:marTop w:val="0"/>
                  <w:marBottom w:val="0"/>
                  <w:divBdr>
                    <w:top w:val="none" w:sz="0" w:space="0" w:color="auto"/>
                    <w:left w:val="none" w:sz="0" w:space="0" w:color="auto"/>
                    <w:bottom w:val="none" w:sz="0" w:space="0" w:color="auto"/>
                    <w:right w:val="none" w:sz="0" w:space="0" w:color="auto"/>
                  </w:divBdr>
                </w:div>
                <w:div w:id="387803027">
                  <w:marLeft w:val="0"/>
                  <w:marRight w:val="0"/>
                  <w:marTop w:val="0"/>
                  <w:marBottom w:val="0"/>
                  <w:divBdr>
                    <w:top w:val="none" w:sz="0" w:space="0" w:color="auto"/>
                    <w:left w:val="none" w:sz="0" w:space="0" w:color="auto"/>
                    <w:bottom w:val="none" w:sz="0" w:space="0" w:color="auto"/>
                    <w:right w:val="none" w:sz="0" w:space="0" w:color="auto"/>
                  </w:divBdr>
                </w:div>
                <w:div w:id="159203540">
                  <w:marLeft w:val="0"/>
                  <w:marRight w:val="0"/>
                  <w:marTop w:val="0"/>
                  <w:marBottom w:val="0"/>
                  <w:divBdr>
                    <w:top w:val="none" w:sz="0" w:space="0" w:color="auto"/>
                    <w:left w:val="none" w:sz="0" w:space="0" w:color="auto"/>
                    <w:bottom w:val="none" w:sz="0" w:space="0" w:color="auto"/>
                    <w:right w:val="none" w:sz="0" w:space="0" w:color="auto"/>
                  </w:divBdr>
                </w:div>
                <w:div w:id="741879302">
                  <w:marLeft w:val="0"/>
                  <w:marRight w:val="0"/>
                  <w:marTop w:val="0"/>
                  <w:marBottom w:val="0"/>
                  <w:divBdr>
                    <w:top w:val="none" w:sz="0" w:space="0" w:color="auto"/>
                    <w:left w:val="none" w:sz="0" w:space="0" w:color="auto"/>
                    <w:bottom w:val="none" w:sz="0" w:space="0" w:color="auto"/>
                    <w:right w:val="none" w:sz="0" w:space="0" w:color="auto"/>
                  </w:divBdr>
                </w:div>
                <w:div w:id="935361533">
                  <w:marLeft w:val="0"/>
                  <w:marRight w:val="0"/>
                  <w:marTop w:val="0"/>
                  <w:marBottom w:val="0"/>
                  <w:divBdr>
                    <w:top w:val="none" w:sz="0" w:space="0" w:color="auto"/>
                    <w:left w:val="none" w:sz="0" w:space="0" w:color="auto"/>
                    <w:bottom w:val="none" w:sz="0" w:space="0" w:color="auto"/>
                    <w:right w:val="none" w:sz="0" w:space="0" w:color="auto"/>
                  </w:divBdr>
                </w:div>
                <w:div w:id="1262566805">
                  <w:marLeft w:val="0"/>
                  <w:marRight w:val="0"/>
                  <w:marTop w:val="0"/>
                  <w:marBottom w:val="0"/>
                  <w:divBdr>
                    <w:top w:val="none" w:sz="0" w:space="0" w:color="auto"/>
                    <w:left w:val="none" w:sz="0" w:space="0" w:color="auto"/>
                    <w:bottom w:val="none" w:sz="0" w:space="0" w:color="auto"/>
                    <w:right w:val="none" w:sz="0" w:space="0" w:color="auto"/>
                  </w:divBdr>
                </w:div>
                <w:div w:id="114253285">
                  <w:marLeft w:val="0"/>
                  <w:marRight w:val="0"/>
                  <w:marTop w:val="0"/>
                  <w:marBottom w:val="0"/>
                  <w:divBdr>
                    <w:top w:val="none" w:sz="0" w:space="0" w:color="auto"/>
                    <w:left w:val="none" w:sz="0" w:space="0" w:color="auto"/>
                    <w:bottom w:val="none" w:sz="0" w:space="0" w:color="auto"/>
                    <w:right w:val="none" w:sz="0" w:space="0" w:color="auto"/>
                  </w:divBdr>
                </w:div>
                <w:div w:id="1076777806">
                  <w:marLeft w:val="0"/>
                  <w:marRight w:val="0"/>
                  <w:marTop w:val="0"/>
                  <w:marBottom w:val="0"/>
                  <w:divBdr>
                    <w:top w:val="none" w:sz="0" w:space="0" w:color="auto"/>
                    <w:left w:val="none" w:sz="0" w:space="0" w:color="auto"/>
                    <w:bottom w:val="none" w:sz="0" w:space="0" w:color="auto"/>
                    <w:right w:val="none" w:sz="0" w:space="0" w:color="auto"/>
                  </w:divBdr>
                </w:div>
                <w:div w:id="139538171">
                  <w:marLeft w:val="0"/>
                  <w:marRight w:val="0"/>
                  <w:marTop w:val="0"/>
                  <w:marBottom w:val="0"/>
                  <w:divBdr>
                    <w:top w:val="none" w:sz="0" w:space="0" w:color="auto"/>
                    <w:left w:val="none" w:sz="0" w:space="0" w:color="auto"/>
                    <w:bottom w:val="none" w:sz="0" w:space="0" w:color="auto"/>
                    <w:right w:val="none" w:sz="0" w:space="0" w:color="auto"/>
                  </w:divBdr>
                </w:div>
                <w:div w:id="1764178128">
                  <w:marLeft w:val="0"/>
                  <w:marRight w:val="0"/>
                  <w:marTop w:val="0"/>
                  <w:marBottom w:val="0"/>
                  <w:divBdr>
                    <w:top w:val="none" w:sz="0" w:space="0" w:color="auto"/>
                    <w:left w:val="none" w:sz="0" w:space="0" w:color="auto"/>
                    <w:bottom w:val="none" w:sz="0" w:space="0" w:color="auto"/>
                    <w:right w:val="none" w:sz="0" w:space="0" w:color="auto"/>
                  </w:divBdr>
                </w:div>
                <w:div w:id="379325849">
                  <w:marLeft w:val="0"/>
                  <w:marRight w:val="0"/>
                  <w:marTop w:val="0"/>
                  <w:marBottom w:val="0"/>
                  <w:divBdr>
                    <w:top w:val="none" w:sz="0" w:space="0" w:color="auto"/>
                    <w:left w:val="none" w:sz="0" w:space="0" w:color="auto"/>
                    <w:bottom w:val="none" w:sz="0" w:space="0" w:color="auto"/>
                    <w:right w:val="none" w:sz="0" w:space="0" w:color="auto"/>
                  </w:divBdr>
                </w:div>
                <w:div w:id="559294820">
                  <w:marLeft w:val="0"/>
                  <w:marRight w:val="0"/>
                  <w:marTop w:val="0"/>
                  <w:marBottom w:val="0"/>
                  <w:divBdr>
                    <w:top w:val="none" w:sz="0" w:space="0" w:color="auto"/>
                    <w:left w:val="none" w:sz="0" w:space="0" w:color="auto"/>
                    <w:bottom w:val="none" w:sz="0" w:space="0" w:color="auto"/>
                    <w:right w:val="none" w:sz="0" w:space="0" w:color="auto"/>
                  </w:divBdr>
                </w:div>
                <w:div w:id="1889221606">
                  <w:marLeft w:val="0"/>
                  <w:marRight w:val="0"/>
                  <w:marTop w:val="0"/>
                  <w:marBottom w:val="0"/>
                  <w:divBdr>
                    <w:top w:val="none" w:sz="0" w:space="0" w:color="auto"/>
                    <w:left w:val="none" w:sz="0" w:space="0" w:color="auto"/>
                    <w:bottom w:val="none" w:sz="0" w:space="0" w:color="auto"/>
                    <w:right w:val="none" w:sz="0" w:space="0" w:color="auto"/>
                  </w:divBdr>
                </w:div>
                <w:div w:id="1971010832">
                  <w:marLeft w:val="0"/>
                  <w:marRight w:val="0"/>
                  <w:marTop w:val="0"/>
                  <w:marBottom w:val="0"/>
                  <w:divBdr>
                    <w:top w:val="none" w:sz="0" w:space="0" w:color="auto"/>
                    <w:left w:val="none" w:sz="0" w:space="0" w:color="auto"/>
                    <w:bottom w:val="none" w:sz="0" w:space="0" w:color="auto"/>
                    <w:right w:val="none" w:sz="0" w:space="0" w:color="auto"/>
                  </w:divBdr>
                </w:div>
                <w:div w:id="598102228">
                  <w:marLeft w:val="0"/>
                  <w:marRight w:val="0"/>
                  <w:marTop w:val="0"/>
                  <w:marBottom w:val="0"/>
                  <w:divBdr>
                    <w:top w:val="none" w:sz="0" w:space="0" w:color="auto"/>
                    <w:left w:val="none" w:sz="0" w:space="0" w:color="auto"/>
                    <w:bottom w:val="none" w:sz="0" w:space="0" w:color="auto"/>
                    <w:right w:val="none" w:sz="0" w:space="0" w:color="auto"/>
                  </w:divBdr>
                </w:div>
                <w:div w:id="1751660016">
                  <w:marLeft w:val="0"/>
                  <w:marRight w:val="0"/>
                  <w:marTop w:val="0"/>
                  <w:marBottom w:val="0"/>
                  <w:divBdr>
                    <w:top w:val="none" w:sz="0" w:space="0" w:color="auto"/>
                    <w:left w:val="none" w:sz="0" w:space="0" w:color="auto"/>
                    <w:bottom w:val="none" w:sz="0" w:space="0" w:color="auto"/>
                    <w:right w:val="none" w:sz="0" w:space="0" w:color="auto"/>
                  </w:divBdr>
                </w:div>
                <w:div w:id="1261644021">
                  <w:marLeft w:val="0"/>
                  <w:marRight w:val="0"/>
                  <w:marTop w:val="0"/>
                  <w:marBottom w:val="0"/>
                  <w:divBdr>
                    <w:top w:val="none" w:sz="0" w:space="0" w:color="auto"/>
                    <w:left w:val="none" w:sz="0" w:space="0" w:color="auto"/>
                    <w:bottom w:val="none" w:sz="0" w:space="0" w:color="auto"/>
                    <w:right w:val="none" w:sz="0" w:space="0" w:color="auto"/>
                  </w:divBdr>
                </w:div>
                <w:div w:id="13850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443632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46035886">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6327583">
      <w:bodyDiv w:val="1"/>
      <w:marLeft w:val="0"/>
      <w:marRight w:val="0"/>
      <w:marTop w:val="0"/>
      <w:marBottom w:val="0"/>
      <w:divBdr>
        <w:top w:val="none" w:sz="0" w:space="0" w:color="auto"/>
        <w:left w:val="none" w:sz="0" w:space="0" w:color="auto"/>
        <w:bottom w:val="none" w:sz="0" w:space="0" w:color="auto"/>
        <w:right w:val="none" w:sz="0" w:space="0" w:color="auto"/>
      </w:divBdr>
      <w:divsChild>
        <w:div w:id="916594495">
          <w:marLeft w:val="0"/>
          <w:marRight w:val="0"/>
          <w:marTop w:val="0"/>
          <w:marBottom w:val="0"/>
          <w:divBdr>
            <w:top w:val="none" w:sz="0" w:space="0" w:color="auto"/>
            <w:left w:val="none" w:sz="0" w:space="0" w:color="auto"/>
            <w:bottom w:val="none" w:sz="0" w:space="0" w:color="auto"/>
            <w:right w:val="none" w:sz="0" w:space="0" w:color="auto"/>
          </w:divBdr>
        </w:div>
      </w:divsChild>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0847013">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89791511">
      <w:bodyDiv w:val="1"/>
      <w:marLeft w:val="0"/>
      <w:marRight w:val="0"/>
      <w:marTop w:val="0"/>
      <w:marBottom w:val="0"/>
      <w:divBdr>
        <w:top w:val="none" w:sz="0" w:space="0" w:color="auto"/>
        <w:left w:val="none" w:sz="0" w:space="0" w:color="auto"/>
        <w:bottom w:val="none" w:sz="0" w:space="0" w:color="auto"/>
        <w:right w:val="none" w:sz="0" w:space="0" w:color="auto"/>
      </w:divBdr>
    </w:div>
    <w:div w:id="994146794">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0183786">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525701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88648736">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098140161">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16102474">
      <w:bodyDiv w:val="1"/>
      <w:marLeft w:val="0"/>
      <w:marRight w:val="0"/>
      <w:marTop w:val="0"/>
      <w:marBottom w:val="0"/>
      <w:divBdr>
        <w:top w:val="none" w:sz="0" w:space="0" w:color="auto"/>
        <w:left w:val="none" w:sz="0" w:space="0" w:color="auto"/>
        <w:bottom w:val="none" w:sz="0" w:space="0" w:color="auto"/>
        <w:right w:val="none" w:sz="0" w:space="0" w:color="auto"/>
      </w:divBdr>
      <w:divsChild>
        <w:div w:id="815609499">
          <w:marLeft w:val="0"/>
          <w:marRight w:val="0"/>
          <w:marTop w:val="0"/>
          <w:marBottom w:val="0"/>
          <w:divBdr>
            <w:top w:val="none" w:sz="0" w:space="0" w:color="auto"/>
            <w:left w:val="none" w:sz="0" w:space="0" w:color="auto"/>
            <w:bottom w:val="none" w:sz="0" w:space="0" w:color="auto"/>
            <w:right w:val="none" w:sz="0" w:space="0" w:color="auto"/>
          </w:divBdr>
        </w:div>
        <w:div w:id="341207473">
          <w:marLeft w:val="0"/>
          <w:marRight w:val="0"/>
          <w:marTop w:val="0"/>
          <w:marBottom w:val="0"/>
          <w:divBdr>
            <w:top w:val="none" w:sz="0" w:space="0" w:color="auto"/>
            <w:left w:val="none" w:sz="0" w:space="0" w:color="auto"/>
            <w:bottom w:val="none" w:sz="0" w:space="0" w:color="auto"/>
            <w:right w:val="none" w:sz="0" w:space="0" w:color="auto"/>
          </w:divBdr>
          <w:divsChild>
            <w:div w:id="633367346">
              <w:marLeft w:val="0"/>
              <w:marRight w:val="0"/>
              <w:marTop w:val="0"/>
              <w:marBottom w:val="0"/>
              <w:divBdr>
                <w:top w:val="none" w:sz="0" w:space="0" w:color="auto"/>
                <w:left w:val="none" w:sz="0" w:space="0" w:color="auto"/>
                <w:bottom w:val="none" w:sz="0" w:space="0" w:color="auto"/>
                <w:right w:val="none" w:sz="0" w:space="0" w:color="auto"/>
              </w:divBdr>
              <w:divsChild>
                <w:div w:id="2018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32479019">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1718314423">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 w:id="657459696">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37333126">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992413654">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799735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64590524">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1531241">
      <w:bodyDiv w:val="1"/>
      <w:marLeft w:val="0"/>
      <w:marRight w:val="0"/>
      <w:marTop w:val="0"/>
      <w:marBottom w:val="0"/>
      <w:divBdr>
        <w:top w:val="none" w:sz="0" w:space="0" w:color="auto"/>
        <w:left w:val="none" w:sz="0" w:space="0" w:color="auto"/>
        <w:bottom w:val="none" w:sz="0" w:space="0" w:color="auto"/>
        <w:right w:val="none" w:sz="0" w:space="0" w:color="auto"/>
      </w:divBdr>
    </w:div>
    <w:div w:id="1192571851">
      <w:bodyDiv w:val="1"/>
      <w:marLeft w:val="0"/>
      <w:marRight w:val="0"/>
      <w:marTop w:val="0"/>
      <w:marBottom w:val="0"/>
      <w:divBdr>
        <w:top w:val="none" w:sz="0" w:space="0" w:color="auto"/>
        <w:left w:val="none" w:sz="0" w:space="0" w:color="auto"/>
        <w:bottom w:val="none" w:sz="0" w:space="0" w:color="auto"/>
        <w:right w:val="none" w:sz="0" w:space="0" w:color="auto"/>
      </w:divBdr>
      <w:divsChild>
        <w:div w:id="418252976">
          <w:marLeft w:val="0"/>
          <w:marRight w:val="0"/>
          <w:marTop w:val="0"/>
          <w:marBottom w:val="0"/>
          <w:divBdr>
            <w:top w:val="none" w:sz="0" w:space="0" w:color="auto"/>
            <w:left w:val="none" w:sz="0" w:space="0" w:color="auto"/>
            <w:bottom w:val="none" w:sz="0" w:space="0" w:color="auto"/>
            <w:right w:val="none" w:sz="0" w:space="0" w:color="auto"/>
          </w:divBdr>
        </w:div>
      </w:divsChild>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270356">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2301692">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2444340">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48467098">
      <w:bodyDiv w:val="1"/>
      <w:marLeft w:val="0"/>
      <w:marRight w:val="0"/>
      <w:marTop w:val="0"/>
      <w:marBottom w:val="0"/>
      <w:divBdr>
        <w:top w:val="none" w:sz="0" w:space="0" w:color="auto"/>
        <w:left w:val="none" w:sz="0" w:space="0" w:color="auto"/>
        <w:bottom w:val="none" w:sz="0" w:space="0" w:color="auto"/>
        <w:right w:val="none" w:sz="0" w:space="0" w:color="auto"/>
      </w:divBdr>
    </w:div>
    <w:div w:id="1252471348">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0262235">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63028404">
      <w:bodyDiv w:val="1"/>
      <w:marLeft w:val="0"/>
      <w:marRight w:val="0"/>
      <w:marTop w:val="0"/>
      <w:marBottom w:val="0"/>
      <w:divBdr>
        <w:top w:val="none" w:sz="0" w:space="0" w:color="auto"/>
        <w:left w:val="none" w:sz="0" w:space="0" w:color="auto"/>
        <w:bottom w:val="none" w:sz="0" w:space="0" w:color="auto"/>
        <w:right w:val="none" w:sz="0" w:space="0" w:color="auto"/>
      </w:divBdr>
    </w:div>
    <w:div w:id="1275283786">
      <w:bodyDiv w:val="1"/>
      <w:marLeft w:val="0"/>
      <w:marRight w:val="0"/>
      <w:marTop w:val="0"/>
      <w:marBottom w:val="0"/>
      <w:divBdr>
        <w:top w:val="none" w:sz="0" w:space="0" w:color="auto"/>
        <w:left w:val="none" w:sz="0" w:space="0" w:color="auto"/>
        <w:bottom w:val="none" w:sz="0" w:space="0" w:color="auto"/>
        <w:right w:val="none" w:sz="0" w:space="0" w:color="auto"/>
      </w:divBdr>
    </w:div>
    <w:div w:id="1278296562">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2305037">
      <w:bodyDiv w:val="1"/>
      <w:marLeft w:val="0"/>
      <w:marRight w:val="0"/>
      <w:marTop w:val="0"/>
      <w:marBottom w:val="0"/>
      <w:divBdr>
        <w:top w:val="none" w:sz="0" w:space="0" w:color="auto"/>
        <w:left w:val="none" w:sz="0" w:space="0" w:color="auto"/>
        <w:bottom w:val="none" w:sz="0" w:space="0" w:color="auto"/>
        <w:right w:val="none" w:sz="0" w:space="0" w:color="auto"/>
      </w:divBdr>
    </w:div>
    <w:div w:id="1283267117">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5408154">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26402269">
      <w:bodyDiv w:val="1"/>
      <w:marLeft w:val="0"/>
      <w:marRight w:val="0"/>
      <w:marTop w:val="0"/>
      <w:marBottom w:val="0"/>
      <w:divBdr>
        <w:top w:val="none" w:sz="0" w:space="0" w:color="auto"/>
        <w:left w:val="none" w:sz="0" w:space="0" w:color="auto"/>
        <w:bottom w:val="none" w:sz="0" w:space="0" w:color="auto"/>
        <w:right w:val="none" w:sz="0" w:space="0" w:color="auto"/>
      </w:divBdr>
    </w:div>
    <w:div w:id="1327972620">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6409462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48727737">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3174887">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05180954">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4">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197861606">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sChild>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53594521">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81121118">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1540163874">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 w:id="506988560">
          <w:marLeft w:val="0"/>
          <w:marRight w:val="0"/>
          <w:marTop w:val="0"/>
          <w:marBottom w:val="0"/>
          <w:divBdr>
            <w:top w:val="none" w:sz="0" w:space="0" w:color="auto"/>
            <w:left w:val="none" w:sz="0" w:space="0" w:color="auto"/>
            <w:bottom w:val="none" w:sz="0" w:space="0" w:color="auto"/>
            <w:right w:val="none" w:sz="0" w:space="0" w:color="auto"/>
          </w:divBdr>
        </w:div>
      </w:divsChild>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3492102">
      <w:bodyDiv w:val="1"/>
      <w:marLeft w:val="0"/>
      <w:marRight w:val="0"/>
      <w:marTop w:val="0"/>
      <w:marBottom w:val="0"/>
      <w:divBdr>
        <w:top w:val="none" w:sz="0" w:space="0" w:color="auto"/>
        <w:left w:val="none" w:sz="0" w:space="0" w:color="auto"/>
        <w:bottom w:val="none" w:sz="0" w:space="0" w:color="auto"/>
        <w:right w:val="none" w:sz="0" w:space="0" w:color="auto"/>
      </w:divBdr>
    </w:div>
    <w:div w:id="1534342966">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42087050">
      <w:bodyDiv w:val="1"/>
      <w:marLeft w:val="0"/>
      <w:marRight w:val="0"/>
      <w:marTop w:val="0"/>
      <w:marBottom w:val="0"/>
      <w:divBdr>
        <w:top w:val="none" w:sz="0" w:space="0" w:color="auto"/>
        <w:left w:val="none" w:sz="0" w:space="0" w:color="auto"/>
        <w:bottom w:val="none" w:sz="0" w:space="0" w:color="auto"/>
        <w:right w:val="none" w:sz="0" w:space="0" w:color="auto"/>
      </w:divBdr>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75190489">
          <w:marLeft w:val="0"/>
          <w:marRight w:val="0"/>
          <w:marTop w:val="0"/>
          <w:marBottom w:val="0"/>
          <w:divBdr>
            <w:top w:val="none" w:sz="0" w:space="0" w:color="auto"/>
            <w:left w:val="none" w:sz="0" w:space="0" w:color="auto"/>
            <w:bottom w:val="none" w:sz="0" w:space="0" w:color="auto"/>
            <w:right w:val="none" w:sz="0" w:space="0" w:color="auto"/>
          </w:divBdr>
        </w:div>
      </w:divsChild>
    </w:div>
    <w:div w:id="1574974611">
      <w:bodyDiv w:val="1"/>
      <w:marLeft w:val="0"/>
      <w:marRight w:val="0"/>
      <w:marTop w:val="0"/>
      <w:marBottom w:val="0"/>
      <w:divBdr>
        <w:top w:val="none" w:sz="0" w:space="0" w:color="auto"/>
        <w:left w:val="none" w:sz="0" w:space="0" w:color="auto"/>
        <w:bottom w:val="none" w:sz="0" w:space="0" w:color="auto"/>
        <w:right w:val="none" w:sz="0" w:space="0" w:color="auto"/>
      </w:divBdr>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0216797">
      <w:bodyDiv w:val="1"/>
      <w:marLeft w:val="0"/>
      <w:marRight w:val="0"/>
      <w:marTop w:val="0"/>
      <w:marBottom w:val="0"/>
      <w:divBdr>
        <w:top w:val="none" w:sz="0" w:space="0" w:color="auto"/>
        <w:left w:val="none" w:sz="0" w:space="0" w:color="auto"/>
        <w:bottom w:val="none" w:sz="0" w:space="0" w:color="auto"/>
        <w:right w:val="none" w:sz="0" w:space="0" w:color="auto"/>
      </w:divBdr>
    </w:div>
    <w:div w:id="1588885373">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7858380">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3624524">
      <w:bodyDiv w:val="1"/>
      <w:marLeft w:val="0"/>
      <w:marRight w:val="0"/>
      <w:marTop w:val="0"/>
      <w:marBottom w:val="0"/>
      <w:divBdr>
        <w:top w:val="none" w:sz="0" w:space="0" w:color="auto"/>
        <w:left w:val="none" w:sz="0" w:space="0" w:color="auto"/>
        <w:bottom w:val="none" w:sz="0" w:space="0" w:color="auto"/>
        <w:right w:val="none" w:sz="0" w:space="0" w:color="auto"/>
      </w:divBdr>
    </w:div>
    <w:div w:id="1683706961">
      <w:bodyDiv w:val="1"/>
      <w:marLeft w:val="0"/>
      <w:marRight w:val="0"/>
      <w:marTop w:val="0"/>
      <w:marBottom w:val="0"/>
      <w:divBdr>
        <w:top w:val="none" w:sz="0" w:space="0" w:color="auto"/>
        <w:left w:val="none" w:sz="0" w:space="0" w:color="auto"/>
        <w:bottom w:val="none" w:sz="0" w:space="0" w:color="auto"/>
        <w:right w:val="none" w:sz="0" w:space="0" w:color="auto"/>
      </w:divBdr>
      <w:divsChild>
        <w:div w:id="1289579915">
          <w:marLeft w:val="0"/>
          <w:marRight w:val="0"/>
          <w:marTop w:val="0"/>
          <w:marBottom w:val="0"/>
          <w:divBdr>
            <w:top w:val="none" w:sz="0" w:space="0" w:color="auto"/>
            <w:left w:val="none" w:sz="0" w:space="0" w:color="auto"/>
            <w:bottom w:val="none" w:sz="0" w:space="0" w:color="auto"/>
            <w:right w:val="none" w:sz="0" w:space="0" w:color="auto"/>
          </w:divBdr>
        </w:div>
        <w:div w:id="602882082">
          <w:marLeft w:val="0"/>
          <w:marRight w:val="0"/>
          <w:marTop w:val="0"/>
          <w:marBottom w:val="0"/>
          <w:divBdr>
            <w:top w:val="none" w:sz="0" w:space="0" w:color="auto"/>
            <w:left w:val="none" w:sz="0" w:space="0" w:color="auto"/>
            <w:bottom w:val="none" w:sz="0" w:space="0" w:color="auto"/>
            <w:right w:val="none" w:sz="0" w:space="0" w:color="auto"/>
          </w:divBdr>
        </w:div>
        <w:div w:id="1835487398">
          <w:marLeft w:val="0"/>
          <w:marRight w:val="0"/>
          <w:marTop w:val="0"/>
          <w:marBottom w:val="0"/>
          <w:divBdr>
            <w:top w:val="none" w:sz="0" w:space="0" w:color="auto"/>
            <w:left w:val="none" w:sz="0" w:space="0" w:color="auto"/>
            <w:bottom w:val="none" w:sz="0" w:space="0" w:color="auto"/>
            <w:right w:val="none" w:sz="0" w:space="0" w:color="auto"/>
          </w:divBdr>
        </w:div>
        <w:div w:id="405422539">
          <w:marLeft w:val="0"/>
          <w:marRight w:val="0"/>
          <w:marTop w:val="0"/>
          <w:marBottom w:val="0"/>
          <w:divBdr>
            <w:top w:val="none" w:sz="0" w:space="0" w:color="auto"/>
            <w:left w:val="none" w:sz="0" w:space="0" w:color="auto"/>
            <w:bottom w:val="none" w:sz="0" w:space="0" w:color="auto"/>
            <w:right w:val="none" w:sz="0" w:space="0" w:color="auto"/>
          </w:divBdr>
        </w:div>
        <w:div w:id="425350075">
          <w:marLeft w:val="0"/>
          <w:marRight w:val="0"/>
          <w:marTop w:val="0"/>
          <w:marBottom w:val="0"/>
          <w:divBdr>
            <w:top w:val="none" w:sz="0" w:space="0" w:color="auto"/>
            <w:left w:val="none" w:sz="0" w:space="0" w:color="auto"/>
            <w:bottom w:val="none" w:sz="0" w:space="0" w:color="auto"/>
            <w:right w:val="none" w:sz="0" w:space="0" w:color="auto"/>
          </w:divBdr>
        </w:div>
        <w:div w:id="1317303027">
          <w:marLeft w:val="0"/>
          <w:marRight w:val="0"/>
          <w:marTop w:val="0"/>
          <w:marBottom w:val="0"/>
          <w:divBdr>
            <w:top w:val="none" w:sz="0" w:space="0" w:color="auto"/>
            <w:left w:val="none" w:sz="0" w:space="0" w:color="auto"/>
            <w:bottom w:val="none" w:sz="0" w:space="0" w:color="auto"/>
            <w:right w:val="none" w:sz="0" w:space="0" w:color="auto"/>
          </w:divBdr>
        </w:div>
        <w:div w:id="294070984">
          <w:marLeft w:val="0"/>
          <w:marRight w:val="0"/>
          <w:marTop w:val="0"/>
          <w:marBottom w:val="0"/>
          <w:divBdr>
            <w:top w:val="none" w:sz="0" w:space="0" w:color="auto"/>
            <w:left w:val="none" w:sz="0" w:space="0" w:color="auto"/>
            <w:bottom w:val="none" w:sz="0" w:space="0" w:color="auto"/>
            <w:right w:val="none" w:sz="0" w:space="0" w:color="auto"/>
          </w:divBdr>
        </w:div>
        <w:div w:id="1591426144">
          <w:marLeft w:val="0"/>
          <w:marRight w:val="0"/>
          <w:marTop w:val="0"/>
          <w:marBottom w:val="0"/>
          <w:divBdr>
            <w:top w:val="none" w:sz="0" w:space="0" w:color="auto"/>
            <w:left w:val="none" w:sz="0" w:space="0" w:color="auto"/>
            <w:bottom w:val="none" w:sz="0" w:space="0" w:color="auto"/>
            <w:right w:val="none" w:sz="0" w:space="0" w:color="auto"/>
          </w:divBdr>
        </w:div>
        <w:div w:id="1290280282">
          <w:marLeft w:val="0"/>
          <w:marRight w:val="0"/>
          <w:marTop w:val="0"/>
          <w:marBottom w:val="0"/>
          <w:divBdr>
            <w:top w:val="none" w:sz="0" w:space="0" w:color="auto"/>
            <w:left w:val="none" w:sz="0" w:space="0" w:color="auto"/>
            <w:bottom w:val="none" w:sz="0" w:space="0" w:color="auto"/>
            <w:right w:val="none" w:sz="0" w:space="0" w:color="auto"/>
          </w:divBdr>
        </w:div>
        <w:div w:id="242372553">
          <w:marLeft w:val="0"/>
          <w:marRight w:val="0"/>
          <w:marTop w:val="0"/>
          <w:marBottom w:val="0"/>
          <w:divBdr>
            <w:top w:val="none" w:sz="0" w:space="0" w:color="auto"/>
            <w:left w:val="none" w:sz="0" w:space="0" w:color="auto"/>
            <w:bottom w:val="none" w:sz="0" w:space="0" w:color="auto"/>
            <w:right w:val="none" w:sz="0" w:space="0" w:color="auto"/>
          </w:divBdr>
        </w:div>
        <w:div w:id="72747258">
          <w:marLeft w:val="0"/>
          <w:marRight w:val="0"/>
          <w:marTop w:val="0"/>
          <w:marBottom w:val="0"/>
          <w:divBdr>
            <w:top w:val="none" w:sz="0" w:space="0" w:color="auto"/>
            <w:left w:val="none" w:sz="0" w:space="0" w:color="auto"/>
            <w:bottom w:val="none" w:sz="0" w:space="0" w:color="auto"/>
            <w:right w:val="none" w:sz="0" w:space="0" w:color="auto"/>
          </w:divBdr>
        </w:div>
      </w:divsChild>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12269582">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5619254">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1950611">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47996764">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54624720">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81412360">
      <w:bodyDiv w:val="1"/>
      <w:marLeft w:val="0"/>
      <w:marRight w:val="0"/>
      <w:marTop w:val="0"/>
      <w:marBottom w:val="0"/>
      <w:divBdr>
        <w:top w:val="none" w:sz="0" w:space="0" w:color="auto"/>
        <w:left w:val="none" w:sz="0" w:space="0" w:color="auto"/>
        <w:bottom w:val="none" w:sz="0" w:space="0" w:color="auto"/>
        <w:right w:val="none" w:sz="0" w:space="0" w:color="auto"/>
      </w:divBdr>
    </w:div>
    <w:div w:id="1785155151">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29832315">
      <w:bodyDiv w:val="1"/>
      <w:marLeft w:val="0"/>
      <w:marRight w:val="0"/>
      <w:marTop w:val="0"/>
      <w:marBottom w:val="0"/>
      <w:divBdr>
        <w:top w:val="none" w:sz="0" w:space="0" w:color="auto"/>
        <w:left w:val="none" w:sz="0" w:space="0" w:color="auto"/>
        <w:bottom w:val="none" w:sz="0" w:space="0" w:color="auto"/>
        <w:right w:val="none" w:sz="0" w:space="0" w:color="auto"/>
      </w:divBdr>
    </w:div>
    <w:div w:id="1833989116">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10996">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139437">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18713188">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36741993">
      <w:bodyDiv w:val="1"/>
      <w:marLeft w:val="0"/>
      <w:marRight w:val="0"/>
      <w:marTop w:val="0"/>
      <w:marBottom w:val="0"/>
      <w:divBdr>
        <w:top w:val="none" w:sz="0" w:space="0" w:color="auto"/>
        <w:left w:val="none" w:sz="0" w:space="0" w:color="auto"/>
        <w:bottom w:val="none" w:sz="0" w:space="0" w:color="auto"/>
        <w:right w:val="none" w:sz="0" w:space="0" w:color="auto"/>
      </w:divBdr>
      <w:divsChild>
        <w:div w:id="1704862743">
          <w:marLeft w:val="0"/>
          <w:marRight w:val="0"/>
          <w:marTop w:val="0"/>
          <w:marBottom w:val="0"/>
          <w:divBdr>
            <w:top w:val="none" w:sz="0" w:space="0" w:color="auto"/>
            <w:left w:val="none" w:sz="0" w:space="0" w:color="auto"/>
            <w:bottom w:val="none" w:sz="0" w:space="0" w:color="auto"/>
            <w:right w:val="none" w:sz="0" w:space="0" w:color="auto"/>
          </w:divBdr>
        </w:div>
        <w:div w:id="692727954">
          <w:marLeft w:val="0"/>
          <w:marRight w:val="0"/>
          <w:marTop w:val="0"/>
          <w:marBottom w:val="0"/>
          <w:divBdr>
            <w:top w:val="none" w:sz="0" w:space="0" w:color="auto"/>
            <w:left w:val="none" w:sz="0" w:space="0" w:color="auto"/>
            <w:bottom w:val="none" w:sz="0" w:space="0" w:color="auto"/>
            <w:right w:val="none" w:sz="0" w:space="0" w:color="auto"/>
          </w:divBdr>
        </w:div>
        <w:div w:id="1749615019">
          <w:marLeft w:val="0"/>
          <w:marRight w:val="0"/>
          <w:marTop w:val="0"/>
          <w:marBottom w:val="0"/>
          <w:divBdr>
            <w:top w:val="none" w:sz="0" w:space="0" w:color="auto"/>
            <w:left w:val="none" w:sz="0" w:space="0" w:color="auto"/>
            <w:bottom w:val="none" w:sz="0" w:space="0" w:color="auto"/>
            <w:right w:val="none" w:sz="0" w:space="0" w:color="auto"/>
          </w:divBdr>
        </w:div>
        <w:div w:id="346559183">
          <w:marLeft w:val="0"/>
          <w:marRight w:val="0"/>
          <w:marTop w:val="0"/>
          <w:marBottom w:val="0"/>
          <w:divBdr>
            <w:top w:val="none" w:sz="0" w:space="0" w:color="auto"/>
            <w:left w:val="none" w:sz="0" w:space="0" w:color="auto"/>
            <w:bottom w:val="none" w:sz="0" w:space="0" w:color="auto"/>
            <w:right w:val="none" w:sz="0" w:space="0" w:color="auto"/>
          </w:divBdr>
        </w:div>
        <w:div w:id="519662400">
          <w:marLeft w:val="0"/>
          <w:marRight w:val="0"/>
          <w:marTop w:val="0"/>
          <w:marBottom w:val="0"/>
          <w:divBdr>
            <w:top w:val="none" w:sz="0" w:space="0" w:color="auto"/>
            <w:left w:val="none" w:sz="0" w:space="0" w:color="auto"/>
            <w:bottom w:val="none" w:sz="0" w:space="0" w:color="auto"/>
            <w:right w:val="none" w:sz="0" w:space="0" w:color="auto"/>
          </w:divBdr>
        </w:div>
        <w:div w:id="791048584">
          <w:marLeft w:val="0"/>
          <w:marRight w:val="0"/>
          <w:marTop w:val="0"/>
          <w:marBottom w:val="0"/>
          <w:divBdr>
            <w:top w:val="none" w:sz="0" w:space="0" w:color="auto"/>
            <w:left w:val="none" w:sz="0" w:space="0" w:color="auto"/>
            <w:bottom w:val="none" w:sz="0" w:space="0" w:color="auto"/>
            <w:right w:val="none" w:sz="0" w:space="0" w:color="auto"/>
          </w:divBdr>
        </w:div>
        <w:div w:id="553153918">
          <w:marLeft w:val="0"/>
          <w:marRight w:val="0"/>
          <w:marTop w:val="0"/>
          <w:marBottom w:val="0"/>
          <w:divBdr>
            <w:top w:val="none" w:sz="0" w:space="0" w:color="auto"/>
            <w:left w:val="none" w:sz="0" w:space="0" w:color="auto"/>
            <w:bottom w:val="none" w:sz="0" w:space="0" w:color="auto"/>
            <w:right w:val="none" w:sz="0" w:space="0" w:color="auto"/>
          </w:divBdr>
        </w:div>
        <w:div w:id="437870911">
          <w:marLeft w:val="0"/>
          <w:marRight w:val="0"/>
          <w:marTop w:val="0"/>
          <w:marBottom w:val="0"/>
          <w:divBdr>
            <w:top w:val="none" w:sz="0" w:space="0" w:color="auto"/>
            <w:left w:val="none" w:sz="0" w:space="0" w:color="auto"/>
            <w:bottom w:val="none" w:sz="0" w:space="0" w:color="auto"/>
            <w:right w:val="none" w:sz="0" w:space="0" w:color="auto"/>
          </w:divBdr>
        </w:div>
        <w:div w:id="1245804051">
          <w:marLeft w:val="0"/>
          <w:marRight w:val="0"/>
          <w:marTop w:val="0"/>
          <w:marBottom w:val="0"/>
          <w:divBdr>
            <w:top w:val="none" w:sz="0" w:space="0" w:color="auto"/>
            <w:left w:val="none" w:sz="0" w:space="0" w:color="auto"/>
            <w:bottom w:val="none" w:sz="0" w:space="0" w:color="auto"/>
            <w:right w:val="none" w:sz="0" w:space="0" w:color="auto"/>
          </w:divBdr>
        </w:div>
        <w:div w:id="1956979890">
          <w:marLeft w:val="0"/>
          <w:marRight w:val="0"/>
          <w:marTop w:val="0"/>
          <w:marBottom w:val="0"/>
          <w:divBdr>
            <w:top w:val="none" w:sz="0" w:space="0" w:color="auto"/>
            <w:left w:val="none" w:sz="0" w:space="0" w:color="auto"/>
            <w:bottom w:val="none" w:sz="0" w:space="0" w:color="auto"/>
            <w:right w:val="none" w:sz="0" w:space="0" w:color="auto"/>
          </w:divBdr>
        </w:div>
        <w:div w:id="1189441998">
          <w:marLeft w:val="0"/>
          <w:marRight w:val="0"/>
          <w:marTop w:val="0"/>
          <w:marBottom w:val="0"/>
          <w:divBdr>
            <w:top w:val="none" w:sz="0" w:space="0" w:color="auto"/>
            <w:left w:val="none" w:sz="0" w:space="0" w:color="auto"/>
            <w:bottom w:val="none" w:sz="0" w:space="0" w:color="auto"/>
            <w:right w:val="none" w:sz="0" w:space="0" w:color="auto"/>
          </w:divBdr>
        </w:div>
        <w:div w:id="184908390">
          <w:marLeft w:val="0"/>
          <w:marRight w:val="0"/>
          <w:marTop w:val="0"/>
          <w:marBottom w:val="0"/>
          <w:divBdr>
            <w:top w:val="none" w:sz="0" w:space="0" w:color="auto"/>
            <w:left w:val="none" w:sz="0" w:space="0" w:color="auto"/>
            <w:bottom w:val="none" w:sz="0" w:space="0" w:color="auto"/>
            <w:right w:val="none" w:sz="0" w:space="0" w:color="auto"/>
          </w:divBdr>
        </w:div>
        <w:div w:id="1420254055">
          <w:marLeft w:val="0"/>
          <w:marRight w:val="0"/>
          <w:marTop w:val="0"/>
          <w:marBottom w:val="0"/>
          <w:divBdr>
            <w:top w:val="none" w:sz="0" w:space="0" w:color="auto"/>
            <w:left w:val="none" w:sz="0" w:space="0" w:color="auto"/>
            <w:bottom w:val="none" w:sz="0" w:space="0" w:color="auto"/>
            <w:right w:val="none" w:sz="0" w:space="0" w:color="auto"/>
          </w:divBdr>
        </w:div>
        <w:div w:id="291639181">
          <w:marLeft w:val="0"/>
          <w:marRight w:val="0"/>
          <w:marTop w:val="0"/>
          <w:marBottom w:val="0"/>
          <w:divBdr>
            <w:top w:val="none" w:sz="0" w:space="0" w:color="auto"/>
            <w:left w:val="none" w:sz="0" w:space="0" w:color="auto"/>
            <w:bottom w:val="none" w:sz="0" w:space="0" w:color="auto"/>
            <w:right w:val="none" w:sz="0" w:space="0" w:color="auto"/>
          </w:divBdr>
        </w:div>
        <w:div w:id="775711844">
          <w:marLeft w:val="0"/>
          <w:marRight w:val="0"/>
          <w:marTop w:val="0"/>
          <w:marBottom w:val="0"/>
          <w:divBdr>
            <w:top w:val="none" w:sz="0" w:space="0" w:color="auto"/>
            <w:left w:val="none" w:sz="0" w:space="0" w:color="auto"/>
            <w:bottom w:val="none" w:sz="0" w:space="0" w:color="auto"/>
            <w:right w:val="none" w:sz="0" w:space="0" w:color="auto"/>
          </w:divBdr>
        </w:div>
        <w:div w:id="1896576846">
          <w:marLeft w:val="0"/>
          <w:marRight w:val="0"/>
          <w:marTop w:val="0"/>
          <w:marBottom w:val="0"/>
          <w:divBdr>
            <w:top w:val="none" w:sz="0" w:space="0" w:color="auto"/>
            <w:left w:val="none" w:sz="0" w:space="0" w:color="auto"/>
            <w:bottom w:val="none" w:sz="0" w:space="0" w:color="auto"/>
            <w:right w:val="none" w:sz="0" w:space="0" w:color="auto"/>
          </w:divBdr>
        </w:div>
        <w:div w:id="540747059">
          <w:marLeft w:val="0"/>
          <w:marRight w:val="0"/>
          <w:marTop w:val="0"/>
          <w:marBottom w:val="0"/>
          <w:divBdr>
            <w:top w:val="none" w:sz="0" w:space="0" w:color="auto"/>
            <w:left w:val="none" w:sz="0" w:space="0" w:color="auto"/>
            <w:bottom w:val="none" w:sz="0" w:space="0" w:color="auto"/>
            <w:right w:val="none" w:sz="0" w:space="0" w:color="auto"/>
          </w:divBdr>
        </w:div>
        <w:div w:id="870385822">
          <w:marLeft w:val="0"/>
          <w:marRight w:val="0"/>
          <w:marTop w:val="0"/>
          <w:marBottom w:val="0"/>
          <w:divBdr>
            <w:top w:val="none" w:sz="0" w:space="0" w:color="auto"/>
            <w:left w:val="none" w:sz="0" w:space="0" w:color="auto"/>
            <w:bottom w:val="none" w:sz="0" w:space="0" w:color="auto"/>
            <w:right w:val="none" w:sz="0" w:space="0" w:color="auto"/>
          </w:divBdr>
        </w:div>
        <w:div w:id="597252822">
          <w:marLeft w:val="0"/>
          <w:marRight w:val="0"/>
          <w:marTop w:val="0"/>
          <w:marBottom w:val="0"/>
          <w:divBdr>
            <w:top w:val="none" w:sz="0" w:space="0" w:color="auto"/>
            <w:left w:val="none" w:sz="0" w:space="0" w:color="auto"/>
            <w:bottom w:val="none" w:sz="0" w:space="0" w:color="auto"/>
            <w:right w:val="none" w:sz="0" w:space="0" w:color="auto"/>
          </w:divBdr>
        </w:div>
        <w:div w:id="1775982087">
          <w:marLeft w:val="0"/>
          <w:marRight w:val="0"/>
          <w:marTop w:val="0"/>
          <w:marBottom w:val="0"/>
          <w:divBdr>
            <w:top w:val="none" w:sz="0" w:space="0" w:color="auto"/>
            <w:left w:val="none" w:sz="0" w:space="0" w:color="auto"/>
            <w:bottom w:val="none" w:sz="0" w:space="0" w:color="auto"/>
            <w:right w:val="none" w:sz="0" w:space="0" w:color="auto"/>
          </w:divBdr>
        </w:div>
        <w:div w:id="2116830156">
          <w:marLeft w:val="0"/>
          <w:marRight w:val="0"/>
          <w:marTop w:val="0"/>
          <w:marBottom w:val="0"/>
          <w:divBdr>
            <w:top w:val="none" w:sz="0" w:space="0" w:color="auto"/>
            <w:left w:val="none" w:sz="0" w:space="0" w:color="auto"/>
            <w:bottom w:val="none" w:sz="0" w:space="0" w:color="auto"/>
            <w:right w:val="none" w:sz="0" w:space="0" w:color="auto"/>
          </w:divBdr>
        </w:div>
        <w:div w:id="173883491">
          <w:marLeft w:val="0"/>
          <w:marRight w:val="0"/>
          <w:marTop w:val="0"/>
          <w:marBottom w:val="0"/>
          <w:divBdr>
            <w:top w:val="none" w:sz="0" w:space="0" w:color="auto"/>
            <w:left w:val="none" w:sz="0" w:space="0" w:color="auto"/>
            <w:bottom w:val="none" w:sz="0" w:space="0" w:color="auto"/>
            <w:right w:val="none" w:sz="0" w:space="0" w:color="auto"/>
          </w:divBdr>
        </w:div>
        <w:div w:id="1049299353">
          <w:marLeft w:val="0"/>
          <w:marRight w:val="0"/>
          <w:marTop w:val="0"/>
          <w:marBottom w:val="0"/>
          <w:divBdr>
            <w:top w:val="none" w:sz="0" w:space="0" w:color="auto"/>
            <w:left w:val="none" w:sz="0" w:space="0" w:color="auto"/>
            <w:bottom w:val="none" w:sz="0" w:space="0" w:color="auto"/>
            <w:right w:val="none" w:sz="0" w:space="0" w:color="auto"/>
          </w:divBdr>
        </w:div>
        <w:div w:id="1198815090">
          <w:marLeft w:val="0"/>
          <w:marRight w:val="0"/>
          <w:marTop w:val="0"/>
          <w:marBottom w:val="0"/>
          <w:divBdr>
            <w:top w:val="none" w:sz="0" w:space="0" w:color="auto"/>
            <w:left w:val="none" w:sz="0" w:space="0" w:color="auto"/>
            <w:bottom w:val="none" w:sz="0" w:space="0" w:color="auto"/>
            <w:right w:val="none" w:sz="0" w:space="0" w:color="auto"/>
          </w:divBdr>
        </w:div>
        <w:div w:id="1810315439">
          <w:marLeft w:val="0"/>
          <w:marRight w:val="0"/>
          <w:marTop w:val="0"/>
          <w:marBottom w:val="0"/>
          <w:divBdr>
            <w:top w:val="none" w:sz="0" w:space="0" w:color="auto"/>
            <w:left w:val="none" w:sz="0" w:space="0" w:color="auto"/>
            <w:bottom w:val="none" w:sz="0" w:space="0" w:color="auto"/>
            <w:right w:val="none" w:sz="0" w:space="0" w:color="auto"/>
          </w:divBdr>
        </w:div>
        <w:div w:id="478302402">
          <w:marLeft w:val="0"/>
          <w:marRight w:val="0"/>
          <w:marTop w:val="0"/>
          <w:marBottom w:val="0"/>
          <w:divBdr>
            <w:top w:val="none" w:sz="0" w:space="0" w:color="auto"/>
            <w:left w:val="none" w:sz="0" w:space="0" w:color="auto"/>
            <w:bottom w:val="none" w:sz="0" w:space="0" w:color="auto"/>
            <w:right w:val="none" w:sz="0" w:space="0" w:color="auto"/>
          </w:divBdr>
        </w:div>
        <w:div w:id="1140347680">
          <w:marLeft w:val="0"/>
          <w:marRight w:val="0"/>
          <w:marTop w:val="0"/>
          <w:marBottom w:val="0"/>
          <w:divBdr>
            <w:top w:val="none" w:sz="0" w:space="0" w:color="auto"/>
            <w:left w:val="none" w:sz="0" w:space="0" w:color="auto"/>
            <w:bottom w:val="none" w:sz="0" w:space="0" w:color="auto"/>
            <w:right w:val="none" w:sz="0" w:space="0" w:color="auto"/>
          </w:divBdr>
        </w:div>
        <w:div w:id="533808281">
          <w:marLeft w:val="0"/>
          <w:marRight w:val="0"/>
          <w:marTop w:val="0"/>
          <w:marBottom w:val="0"/>
          <w:divBdr>
            <w:top w:val="none" w:sz="0" w:space="0" w:color="auto"/>
            <w:left w:val="none" w:sz="0" w:space="0" w:color="auto"/>
            <w:bottom w:val="none" w:sz="0" w:space="0" w:color="auto"/>
            <w:right w:val="none" w:sz="0" w:space="0" w:color="auto"/>
          </w:divBdr>
        </w:div>
        <w:div w:id="1282882582">
          <w:marLeft w:val="0"/>
          <w:marRight w:val="0"/>
          <w:marTop w:val="0"/>
          <w:marBottom w:val="0"/>
          <w:divBdr>
            <w:top w:val="none" w:sz="0" w:space="0" w:color="auto"/>
            <w:left w:val="none" w:sz="0" w:space="0" w:color="auto"/>
            <w:bottom w:val="none" w:sz="0" w:space="0" w:color="auto"/>
            <w:right w:val="none" w:sz="0" w:space="0" w:color="auto"/>
          </w:divBdr>
        </w:div>
        <w:div w:id="858348083">
          <w:marLeft w:val="0"/>
          <w:marRight w:val="0"/>
          <w:marTop w:val="0"/>
          <w:marBottom w:val="0"/>
          <w:divBdr>
            <w:top w:val="none" w:sz="0" w:space="0" w:color="auto"/>
            <w:left w:val="none" w:sz="0" w:space="0" w:color="auto"/>
            <w:bottom w:val="none" w:sz="0" w:space="0" w:color="auto"/>
            <w:right w:val="none" w:sz="0" w:space="0" w:color="auto"/>
          </w:divBdr>
        </w:div>
        <w:div w:id="1723209545">
          <w:marLeft w:val="0"/>
          <w:marRight w:val="0"/>
          <w:marTop w:val="0"/>
          <w:marBottom w:val="0"/>
          <w:divBdr>
            <w:top w:val="none" w:sz="0" w:space="0" w:color="auto"/>
            <w:left w:val="none" w:sz="0" w:space="0" w:color="auto"/>
            <w:bottom w:val="none" w:sz="0" w:space="0" w:color="auto"/>
            <w:right w:val="none" w:sz="0" w:space="0" w:color="auto"/>
          </w:divBdr>
        </w:div>
        <w:div w:id="1738093977">
          <w:marLeft w:val="0"/>
          <w:marRight w:val="0"/>
          <w:marTop w:val="0"/>
          <w:marBottom w:val="0"/>
          <w:divBdr>
            <w:top w:val="none" w:sz="0" w:space="0" w:color="auto"/>
            <w:left w:val="none" w:sz="0" w:space="0" w:color="auto"/>
            <w:bottom w:val="none" w:sz="0" w:space="0" w:color="auto"/>
            <w:right w:val="none" w:sz="0" w:space="0" w:color="auto"/>
          </w:divBdr>
        </w:div>
        <w:div w:id="1208487917">
          <w:marLeft w:val="0"/>
          <w:marRight w:val="0"/>
          <w:marTop w:val="0"/>
          <w:marBottom w:val="0"/>
          <w:divBdr>
            <w:top w:val="none" w:sz="0" w:space="0" w:color="auto"/>
            <w:left w:val="none" w:sz="0" w:space="0" w:color="auto"/>
            <w:bottom w:val="none" w:sz="0" w:space="0" w:color="auto"/>
            <w:right w:val="none" w:sz="0" w:space="0" w:color="auto"/>
          </w:divBdr>
        </w:div>
        <w:div w:id="370497378">
          <w:marLeft w:val="0"/>
          <w:marRight w:val="0"/>
          <w:marTop w:val="0"/>
          <w:marBottom w:val="0"/>
          <w:divBdr>
            <w:top w:val="none" w:sz="0" w:space="0" w:color="auto"/>
            <w:left w:val="none" w:sz="0" w:space="0" w:color="auto"/>
            <w:bottom w:val="none" w:sz="0" w:space="0" w:color="auto"/>
            <w:right w:val="none" w:sz="0" w:space="0" w:color="auto"/>
          </w:divBdr>
        </w:div>
        <w:div w:id="1817454295">
          <w:marLeft w:val="0"/>
          <w:marRight w:val="0"/>
          <w:marTop w:val="0"/>
          <w:marBottom w:val="0"/>
          <w:divBdr>
            <w:top w:val="none" w:sz="0" w:space="0" w:color="auto"/>
            <w:left w:val="none" w:sz="0" w:space="0" w:color="auto"/>
            <w:bottom w:val="none" w:sz="0" w:space="0" w:color="auto"/>
            <w:right w:val="none" w:sz="0" w:space="0" w:color="auto"/>
          </w:divBdr>
        </w:div>
        <w:div w:id="434056991">
          <w:marLeft w:val="0"/>
          <w:marRight w:val="0"/>
          <w:marTop w:val="0"/>
          <w:marBottom w:val="0"/>
          <w:divBdr>
            <w:top w:val="none" w:sz="0" w:space="0" w:color="auto"/>
            <w:left w:val="none" w:sz="0" w:space="0" w:color="auto"/>
            <w:bottom w:val="none" w:sz="0" w:space="0" w:color="auto"/>
            <w:right w:val="none" w:sz="0" w:space="0" w:color="auto"/>
          </w:divBdr>
        </w:div>
        <w:div w:id="1199315245">
          <w:marLeft w:val="0"/>
          <w:marRight w:val="0"/>
          <w:marTop w:val="0"/>
          <w:marBottom w:val="0"/>
          <w:divBdr>
            <w:top w:val="none" w:sz="0" w:space="0" w:color="auto"/>
            <w:left w:val="none" w:sz="0" w:space="0" w:color="auto"/>
            <w:bottom w:val="none" w:sz="0" w:space="0" w:color="auto"/>
            <w:right w:val="none" w:sz="0" w:space="0" w:color="auto"/>
          </w:divBdr>
        </w:div>
        <w:div w:id="1416780416">
          <w:marLeft w:val="0"/>
          <w:marRight w:val="0"/>
          <w:marTop w:val="0"/>
          <w:marBottom w:val="0"/>
          <w:divBdr>
            <w:top w:val="none" w:sz="0" w:space="0" w:color="auto"/>
            <w:left w:val="none" w:sz="0" w:space="0" w:color="auto"/>
            <w:bottom w:val="none" w:sz="0" w:space="0" w:color="auto"/>
            <w:right w:val="none" w:sz="0" w:space="0" w:color="auto"/>
          </w:divBdr>
        </w:div>
        <w:div w:id="2017733492">
          <w:marLeft w:val="0"/>
          <w:marRight w:val="0"/>
          <w:marTop w:val="0"/>
          <w:marBottom w:val="0"/>
          <w:divBdr>
            <w:top w:val="none" w:sz="0" w:space="0" w:color="auto"/>
            <w:left w:val="none" w:sz="0" w:space="0" w:color="auto"/>
            <w:bottom w:val="none" w:sz="0" w:space="0" w:color="auto"/>
            <w:right w:val="none" w:sz="0" w:space="0" w:color="auto"/>
          </w:divBdr>
        </w:div>
        <w:div w:id="601107010">
          <w:marLeft w:val="0"/>
          <w:marRight w:val="0"/>
          <w:marTop w:val="0"/>
          <w:marBottom w:val="0"/>
          <w:divBdr>
            <w:top w:val="none" w:sz="0" w:space="0" w:color="auto"/>
            <w:left w:val="none" w:sz="0" w:space="0" w:color="auto"/>
            <w:bottom w:val="none" w:sz="0" w:space="0" w:color="auto"/>
            <w:right w:val="none" w:sz="0" w:space="0" w:color="auto"/>
          </w:divBdr>
        </w:div>
        <w:div w:id="723287017">
          <w:marLeft w:val="0"/>
          <w:marRight w:val="0"/>
          <w:marTop w:val="0"/>
          <w:marBottom w:val="0"/>
          <w:divBdr>
            <w:top w:val="none" w:sz="0" w:space="0" w:color="auto"/>
            <w:left w:val="none" w:sz="0" w:space="0" w:color="auto"/>
            <w:bottom w:val="none" w:sz="0" w:space="0" w:color="auto"/>
            <w:right w:val="none" w:sz="0" w:space="0" w:color="auto"/>
          </w:divBdr>
        </w:div>
        <w:div w:id="1023555527">
          <w:marLeft w:val="0"/>
          <w:marRight w:val="0"/>
          <w:marTop w:val="0"/>
          <w:marBottom w:val="0"/>
          <w:divBdr>
            <w:top w:val="none" w:sz="0" w:space="0" w:color="auto"/>
            <w:left w:val="none" w:sz="0" w:space="0" w:color="auto"/>
            <w:bottom w:val="none" w:sz="0" w:space="0" w:color="auto"/>
            <w:right w:val="none" w:sz="0" w:space="0" w:color="auto"/>
          </w:divBdr>
        </w:div>
        <w:div w:id="1390496871">
          <w:marLeft w:val="0"/>
          <w:marRight w:val="0"/>
          <w:marTop w:val="0"/>
          <w:marBottom w:val="0"/>
          <w:divBdr>
            <w:top w:val="none" w:sz="0" w:space="0" w:color="auto"/>
            <w:left w:val="none" w:sz="0" w:space="0" w:color="auto"/>
            <w:bottom w:val="none" w:sz="0" w:space="0" w:color="auto"/>
            <w:right w:val="none" w:sz="0" w:space="0" w:color="auto"/>
          </w:divBdr>
        </w:div>
        <w:div w:id="928536360">
          <w:marLeft w:val="0"/>
          <w:marRight w:val="0"/>
          <w:marTop w:val="0"/>
          <w:marBottom w:val="0"/>
          <w:divBdr>
            <w:top w:val="none" w:sz="0" w:space="0" w:color="auto"/>
            <w:left w:val="none" w:sz="0" w:space="0" w:color="auto"/>
            <w:bottom w:val="none" w:sz="0" w:space="0" w:color="auto"/>
            <w:right w:val="none" w:sz="0" w:space="0" w:color="auto"/>
          </w:divBdr>
        </w:div>
        <w:div w:id="828793736">
          <w:marLeft w:val="0"/>
          <w:marRight w:val="0"/>
          <w:marTop w:val="0"/>
          <w:marBottom w:val="0"/>
          <w:divBdr>
            <w:top w:val="none" w:sz="0" w:space="0" w:color="auto"/>
            <w:left w:val="none" w:sz="0" w:space="0" w:color="auto"/>
            <w:bottom w:val="none" w:sz="0" w:space="0" w:color="auto"/>
            <w:right w:val="none" w:sz="0" w:space="0" w:color="auto"/>
          </w:divBdr>
        </w:div>
        <w:div w:id="2036928058">
          <w:marLeft w:val="0"/>
          <w:marRight w:val="0"/>
          <w:marTop w:val="0"/>
          <w:marBottom w:val="0"/>
          <w:divBdr>
            <w:top w:val="none" w:sz="0" w:space="0" w:color="auto"/>
            <w:left w:val="none" w:sz="0" w:space="0" w:color="auto"/>
            <w:bottom w:val="none" w:sz="0" w:space="0" w:color="auto"/>
            <w:right w:val="none" w:sz="0" w:space="0" w:color="auto"/>
          </w:divBdr>
        </w:div>
        <w:div w:id="1710643211">
          <w:marLeft w:val="0"/>
          <w:marRight w:val="0"/>
          <w:marTop w:val="0"/>
          <w:marBottom w:val="0"/>
          <w:divBdr>
            <w:top w:val="none" w:sz="0" w:space="0" w:color="auto"/>
            <w:left w:val="none" w:sz="0" w:space="0" w:color="auto"/>
            <w:bottom w:val="none" w:sz="0" w:space="0" w:color="auto"/>
            <w:right w:val="none" w:sz="0" w:space="0" w:color="auto"/>
          </w:divBdr>
        </w:div>
        <w:div w:id="1189904150">
          <w:marLeft w:val="0"/>
          <w:marRight w:val="0"/>
          <w:marTop w:val="0"/>
          <w:marBottom w:val="0"/>
          <w:divBdr>
            <w:top w:val="none" w:sz="0" w:space="0" w:color="auto"/>
            <w:left w:val="none" w:sz="0" w:space="0" w:color="auto"/>
            <w:bottom w:val="none" w:sz="0" w:space="0" w:color="auto"/>
            <w:right w:val="none" w:sz="0" w:space="0" w:color="auto"/>
          </w:divBdr>
        </w:div>
        <w:div w:id="190463378">
          <w:marLeft w:val="0"/>
          <w:marRight w:val="0"/>
          <w:marTop w:val="0"/>
          <w:marBottom w:val="0"/>
          <w:divBdr>
            <w:top w:val="none" w:sz="0" w:space="0" w:color="auto"/>
            <w:left w:val="none" w:sz="0" w:space="0" w:color="auto"/>
            <w:bottom w:val="none" w:sz="0" w:space="0" w:color="auto"/>
            <w:right w:val="none" w:sz="0" w:space="0" w:color="auto"/>
          </w:divBdr>
        </w:div>
        <w:div w:id="402147296">
          <w:marLeft w:val="0"/>
          <w:marRight w:val="0"/>
          <w:marTop w:val="0"/>
          <w:marBottom w:val="0"/>
          <w:divBdr>
            <w:top w:val="none" w:sz="0" w:space="0" w:color="auto"/>
            <w:left w:val="none" w:sz="0" w:space="0" w:color="auto"/>
            <w:bottom w:val="none" w:sz="0" w:space="0" w:color="auto"/>
            <w:right w:val="none" w:sz="0" w:space="0" w:color="auto"/>
          </w:divBdr>
        </w:div>
        <w:div w:id="1725985872">
          <w:marLeft w:val="0"/>
          <w:marRight w:val="0"/>
          <w:marTop w:val="0"/>
          <w:marBottom w:val="0"/>
          <w:divBdr>
            <w:top w:val="none" w:sz="0" w:space="0" w:color="auto"/>
            <w:left w:val="none" w:sz="0" w:space="0" w:color="auto"/>
            <w:bottom w:val="none" w:sz="0" w:space="0" w:color="auto"/>
            <w:right w:val="none" w:sz="0" w:space="0" w:color="auto"/>
          </w:divBdr>
        </w:div>
        <w:div w:id="960651955">
          <w:marLeft w:val="0"/>
          <w:marRight w:val="0"/>
          <w:marTop w:val="0"/>
          <w:marBottom w:val="0"/>
          <w:divBdr>
            <w:top w:val="none" w:sz="0" w:space="0" w:color="auto"/>
            <w:left w:val="none" w:sz="0" w:space="0" w:color="auto"/>
            <w:bottom w:val="none" w:sz="0" w:space="0" w:color="auto"/>
            <w:right w:val="none" w:sz="0" w:space="0" w:color="auto"/>
          </w:divBdr>
        </w:div>
        <w:div w:id="33384815">
          <w:marLeft w:val="0"/>
          <w:marRight w:val="0"/>
          <w:marTop w:val="0"/>
          <w:marBottom w:val="0"/>
          <w:divBdr>
            <w:top w:val="none" w:sz="0" w:space="0" w:color="auto"/>
            <w:left w:val="none" w:sz="0" w:space="0" w:color="auto"/>
            <w:bottom w:val="none" w:sz="0" w:space="0" w:color="auto"/>
            <w:right w:val="none" w:sz="0" w:space="0" w:color="auto"/>
          </w:divBdr>
        </w:div>
        <w:div w:id="1797335794">
          <w:marLeft w:val="0"/>
          <w:marRight w:val="0"/>
          <w:marTop w:val="0"/>
          <w:marBottom w:val="0"/>
          <w:divBdr>
            <w:top w:val="none" w:sz="0" w:space="0" w:color="auto"/>
            <w:left w:val="none" w:sz="0" w:space="0" w:color="auto"/>
            <w:bottom w:val="none" w:sz="0" w:space="0" w:color="auto"/>
            <w:right w:val="none" w:sz="0" w:space="0" w:color="auto"/>
          </w:divBdr>
        </w:div>
        <w:div w:id="419185519">
          <w:marLeft w:val="0"/>
          <w:marRight w:val="0"/>
          <w:marTop w:val="0"/>
          <w:marBottom w:val="0"/>
          <w:divBdr>
            <w:top w:val="none" w:sz="0" w:space="0" w:color="auto"/>
            <w:left w:val="none" w:sz="0" w:space="0" w:color="auto"/>
            <w:bottom w:val="none" w:sz="0" w:space="0" w:color="auto"/>
            <w:right w:val="none" w:sz="0" w:space="0" w:color="auto"/>
          </w:divBdr>
        </w:div>
        <w:div w:id="537478105">
          <w:marLeft w:val="0"/>
          <w:marRight w:val="0"/>
          <w:marTop w:val="0"/>
          <w:marBottom w:val="0"/>
          <w:divBdr>
            <w:top w:val="none" w:sz="0" w:space="0" w:color="auto"/>
            <w:left w:val="none" w:sz="0" w:space="0" w:color="auto"/>
            <w:bottom w:val="none" w:sz="0" w:space="0" w:color="auto"/>
            <w:right w:val="none" w:sz="0" w:space="0" w:color="auto"/>
          </w:divBdr>
        </w:div>
        <w:div w:id="1755467292">
          <w:marLeft w:val="0"/>
          <w:marRight w:val="0"/>
          <w:marTop w:val="0"/>
          <w:marBottom w:val="0"/>
          <w:divBdr>
            <w:top w:val="none" w:sz="0" w:space="0" w:color="auto"/>
            <w:left w:val="none" w:sz="0" w:space="0" w:color="auto"/>
            <w:bottom w:val="none" w:sz="0" w:space="0" w:color="auto"/>
            <w:right w:val="none" w:sz="0" w:space="0" w:color="auto"/>
          </w:divBdr>
        </w:div>
        <w:div w:id="857818321">
          <w:marLeft w:val="0"/>
          <w:marRight w:val="0"/>
          <w:marTop w:val="0"/>
          <w:marBottom w:val="0"/>
          <w:divBdr>
            <w:top w:val="none" w:sz="0" w:space="0" w:color="auto"/>
            <w:left w:val="none" w:sz="0" w:space="0" w:color="auto"/>
            <w:bottom w:val="none" w:sz="0" w:space="0" w:color="auto"/>
            <w:right w:val="none" w:sz="0" w:space="0" w:color="auto"/>
          </w:divBdr>
        </w:div>
        <w:div w:id="498811434">
          <w:marLeft w:val="0"/>
          <w:marRight w:val="0"/>
          <w:marTop w:val="0"/>
          <w:marBottom w:val="0"/>
          <w:divBdr>
            <w:top w:val="none" w:sz="0" w:space="0" w:color="auto"/>
            <w:left w:val="none" w:sz="0" w:space="0" w:color="auto"/>
            <w:bottom w:val="none" w:sz="0" w:space="0" w:color="auto"/>
            <w:right w:val="none" w:sz="0" w:space="0" w:color="auto"/>
          </w:divBdr>
        </w:div>
        <w:div w:id="1826239149">
          <w:marLeft w:val="0"/>
          <w:marRight w:val="0"/>
          <w:marTop w:val="0"/>
          <w:marBottom w:val="0"/>
          <w:divBdr>
            <w:top w:val="none" w:sz="0" w:space="0" w:color="auto"/>
            <w:left w:val="none" w:sz="0" w:space="0" w:color="auto"/>
            <w:bottom w:val="none" w:sz="0" w:space="0" w:color="auto"/>
            <w:right w:val="none" w:sz="0" w:space="0" w:color="auto"/>
          </w:divBdr>
        </w:div>
        <w:div w:id="523785013">
          <w:marLeft w:val="0"/>
          <w:marRight w:val="0"/>
          <w:marTop w:val="0"/>
          <w:marBottom w:val="0"/>
          <w:divBdr>
            <w:top w:val="none" w:sz="0" w:space="0" w:color="auto"/>
            <w:left w:val="none" w:sz="0" w:space="0" w:color="auto"/>
            <w:bottom w:val="none" w:sz="0" w:space="0" w:color="auto"/>
            <w:right w:val="none" w:sz="0" w:space="0" w:color="auto"/>
          </w:divBdr>
        </w:div>
        <w:div w:id="1225019301">
          <w:marLeft w:val="0"/>
          <w:marRight w:val="0"/>
          <w:marTop w:val="0"/>
          <w:marBottom w:val="0"/>
          <w:divBdr>
            <w:top w:val="none" w:sz="0" w:space="0" w:color="auto"/>
            <w:left w:val="none" w:sz="0" w:space="0" w:color="auto"/>
            <w:bottom w:val="none" w:sz="0" w:space="0" w:color="auto"/>
            <w:right w:val="none" w:sz="0" w:space="0" w:color="auto"/>
          </w:divBdr>
        </w:div>
        <w:div w:id="317344601">
          <w:marLeft w:val="0"/>
          <w:marRight w:val="0"/>
          <w:marTop w:val="0"/>
          <w:marBottom w:val="0"/>
          <w:divBdr>
            <w:top w:val="none" w:sz="0" w:space="0" w:color="auto"/>
            <w:left w:val="none" w:sz="0" w:space="0" w:color="auto"/>
            <w:bottom w:val="none" w:sz="0" w:space="0" w:color="auto"/>
            <w:right w:val="none" w:sz="0" w:space="0" w:color="auto"/>
          </w:divBdr>
        </w:div>
        <w:div w:id="986856478">
          <w:marLeft w:val="0"/>
          <w:marRight w:val="0"/>
          <w:marTop w:val="0"/>
          <w:marBottom w:val="0"/>
          <w:divBdr>
            <w:top w:val="none" w:sz="0" w:space="0" w:color="auto"/>
            <w:left w:val="none" w:sz="0" w:space="0" w:color="auto"/>
            <w:bottom w:val="none" w:sz="0" w:space="0" w:color="auto"/>
            <w:right w:val="none" w:sz="0" w:space="0" w:color="auto"/>
          </w:divBdr>
        </w:div>
        <w:div w:id="1696614267">
          <w:marLeft w:val="0"/>
          <w:marRight w:val="0"/>
          <w:marTop w:val="0"/>
          <w:marBottom w:val="0"/>
          <w:divBdr>
            <w:top w:val="none" w:sz="0" w:space="0" w:color="auto"/>
            <w:left w:val="none" w:sz="0" w:space="0" w:color="auto"/>
            <w:bottom w:val="none" w:sz="0" w:space="0" w:color="auto"/>
            <w:right w:val="none" w:sz="0" w:space="0" w:color="auto"/>
          </w:divBdr>
        </w:div>
        <w:div w:id="1194462985">
          <w:marLeft w:val="0"/>
          <w:marRight w:val="0"/>
          <w:marTop w:val="0"/>
          <w:marBottom w:val="0"/>
          <w:divBdr>
            <w:top w:val="none" w:sz="0" w:space="0" w:color="auto"/>
            <w:left w:val="none" w:sz="0" w:space="0" w:color="auto"/>
            <w:bottom w:val="none" w:sz="0" w:space="0" w:color="auto"/>
            <w:right w:val="none" w:sz="0" w:space="0" w:color="auto"/>
          </w:divBdr>
        </w:div>
        <w:div w:id="1563560895">
          <w:marLeft w:val="0"/>
          <w:marRight w:val="0"/>
          <w:marTop w:val="0"/>
          <w:marBottom w:val="0"/>
          <w:divBdr>
            <w:top w:val="none" w:sz="0" w:space="0" w:color="auto"/>
            <w:left w:val="none" w:sz="0" w:space="0" w:color="auto"/>
            <w:bottom w:val="none" w:sz="0" w:space="0" w:color="auto"/>
            <w:right w:val="none" w:sz="0" w:space="0" w:color="auto"/>
          </w:divBdr>
        </w:div>
        <w:div w:id="979189733">
          <w:marLeft w:val="0"/>
          <w:marRight w:val="0"/>
          <w:marTop w:val="0"/>
          <w:marBottom w:val="0"/>
          <w:divBdr>
            <w:top w:val="none" w:sz="0" w:space="0" w:color="auto"/>
            <w:left w:val="none" w:sz="0" w:space="0" w:color="auto"/>
            <w:bottom w:val="none" w:sz="0" w:space="0" w:color="auto"/>
            <w:right w:val="none" w:sz="0" w:space="0" w:color="auto"/>
          </w:divBdr>
        </w:div>
        <w:div w:id="1473984815">
          <w:marLeft w:val="0"/>
          <w:marRight w:val="0"/>
          <w:marTop w:val="0"/>
          <w:marBottom w:val="0"/>
          <w:divBdr>
            <w:top w:val="none" w:sz="0" w:space="0" w:color="auto"/>
            <w:left w:val="none" w:sz="0" w:space="0" w:color="auto"/>
            <w:bottom w:val="none" w:sz="0" w:space="0" w:color="auto"/>
            <w:right w:val="none" w:sz="0" w:space="0" w:color="auto"/>
          </w:divBdr>
        </w:div>
        <w:div w:id="1247424233">
          <w:marLeft w:val="0"/>
          <w:marRight w:val="0"/>
          <w:marTop w:val="0"/>
          <w:marBottom w:val="0"/>
          <w:divBdr>
            <w:top w:val="none" w:sz="0" w:space="0" w:color="auto"/>
            <w:left w:val="none" w:sz="0" w:space="0" w:color="auto"/>
            <w:bottom w:val="none" w:sz="0" w:space="0" w:color="auto"/>
            <w:right w:val="none" w:sz="0" w:space="0" w:color="auto"/>
          </w:divBdr>
        </w:div>
        <w:div w:id="612060453">
          <w:marLeft w:val="0"/>
          <w:marRight w:val="0"/>
          <w:marTop w:val="0"/>
          <w:marBottom w:val="0"/>
          <w:divBdr>
            <w:top w:val="none" w:sz="0" w:space="0" w:color="auto"/>
            <w:left w:val="none" w:sz="0" w:space="0" w:color="auto"/>
            <w:bottom w:val="none" w:sz="0" w:space="0" w:color="auto"/>
            <w:right w:val="none" w:sz="0" w:space="0" w:color="auto"/>
          </w:divBdr>
        </w:div>
        <w:div w:id="895093888">
          <w:marLeft w:val="0"/>
          <w:marRight w:val="0"/>
          <w:marTop w:val="0"/>
          <w:marBottom w:val="0"/>
          <w:divBdr>
            <w:top w:val="none" w:sz="0" w:space="0" w:color="auto"/>
            <w:left w:val="none" w:sz="0" w:space="0" w:color="auto"/>
            <w:bottom w:val="none" w:sz="0" w:space="0" w:color="auto"/>
            <w:right w:val="none" w:sz="0" w:space="0" w:color="auto"/>
          </w:divBdr>
        </w:div>
        <w:div w:id="542835927">
          <w:marLeft w:val="0"/>
          <w:marRight w:val="0"/>
          <w:marTop w:val="0"/>
          <w:marBottom w:val="0"/>
          <w:divBdr>
            <w:top w:val="none" w:sz="0" w:space="0" w:color="auto"/>
            <w:left w:val="none" w:sz="0" w:space="0" w:color="auto"/>
            <w:bottom w:val="none" w:sz="0" w:space="0" w:color="auto"/>
            <w:right w:val="none" w:sz="0" w:space="0" w:color="auto"/>
          </w:divBdr>
        </w:div>
        <w:div w:id="836073474">
          <w:marLeft w:val="0"/>
          <w:marRight w:val="0"/>
          <w:marTop w:val="0"/>
          <w:marBottom w:val="0"/>
          <w:divBdr>
            <w:top w:val="none" w:sz="0" w:space="0" w:color="auto"/>
            <w:left w:val="none" w:sz="0" w:space="0" w:color="auto"/>
            <w:bottom w:val="none" w:sz="0" w:space="0" w:color="auto"/>
            <w:right w:val="none" w:sz="0" w:space="0" w:color="auto"/>
          </w:divBdr>
        </w:div>
        <w:div w:id="591864510">
          <w:marLeft w:val="0"/>
          <w:marRight w:val="0"/>
          <w:marTop w:val="0"/>
          <w:marBottom w:val="0"/>
          <w:divBdr>
            <w:top w:val="none" w:sz="0" w:space="0" w:color="auto"/>
            <w:left w:val="none" w:sz="0" w:space="0" w:color="auto"/>
            <w:bottom w:val="none" w:sz="0" w:space="0" w:color="auto"/>
            <w:right w:val="none" w:sz="0" w:space="0" w:color="auto"/>
          </w:divBdr>
        </w:div>
        <w:div w:id="2006086729">
          <w:marLeft w:val="0"/>
          <w:marRight w:val="0"/>
          <w:marTop w:val="0"/>
          <w:marBottom w:val="0"/>
          <w:divBdr>
            <w:top w:val="none" w:sz="0" w:space="0" w:color="auto"/>
            <w:left w:val="none" w:sz="0" w:space="0" w:color="auto"/>
            <w:bottom w:val="none" w:sz="0" w:space="0" w:color="auto"/>
            <w:right w:val="none" w:sz="0" w:space="0" w:color="auto"/>
          </w:divBdr>
        </w:div>
        <w:div w:id="1177767985">
          <w:marLeft w:val="0"/>
          <w:marRight w:val="0"/>
          <w:marTop w:val="0"/>
          <w:marBottom w:val="0"/>
          <w:divBdr>
            <w:top w:val="none" w:sz="0" w:space="0" w:color="auto"/>
            <w:left w:val="none" w:sz="0" w:space="0" w:color="auto"/>
            <w:bottom w:val="none" w:sz="0" w:space="0" w:color="auto"/>
            <w:right w:val="none" w:sz="0" w:space="0" w:color="auto"/>
          </w:divBdr>
        </w:div>
        <w:div w:id="443614711">
          <w:marLeft w:val="0"/>
          <w:marRight w:val="0"/>
          <w:marTop w:val="0"/>
          <w:marBottom w:val="0"/>
          <w:divBdr>
            <w:top w:val="none" w:sz="0" w:space="0" w:color="auto"/>
            <w:left w:val="none" w:sz="0" w:space="0" w:color="auto"/>
            <w:bottom w:val="none" w:sz="0" w:space="0" w:color="auto"/>
            <w:right w:val="none" w:sz="0" w:space="0" w:color="auto"/>
          </w:divBdr>
        </w:div>
        <w:div w:id="1398091534">
          <w:marLeft w:val="0"/>
          <w:marRight w:val="0"/>
          <w:marTop w:val="0"/>
          <w:marBottom w:val="0"/>
          <w:divBdr>
            <w:top w:val="none" w:sz="0" w:space="0" w:color="auto"/>
            <w:left w:val="none" w:sz="0" w:space="0" w:color="auto"/>
            <w:bottom w:val="none" w:sz="0" w:space="0" w:color="auto"/>
            <w:right w:val="none" w:sz="0" w:space="0" w:color="auto"/>
          </w:divBdr>
        </w:div>
        <w:div w:id="1191257006">
          <w:marLeft w:val="0"/>
          <w:marRight w:val="0"/>
          <w:marTop w:val="0"/>
          <w:marBottom w:val="0"/>
          <w:divBdr>
            <w:top w:val="none" w:sz="0" w:space="0" w:color="auto"/>
            <w:left w:val="none" w:sz="0" w:space="0" w:color="auto"/>
            <w:bottom w:val="none" w:sz="0" w:space="0" w:color="auto"/>
            <w:right w:val="none" w:sz="0" w:space="0" w:color="auto"/>
          </w:divBdr>
        </w:div>
        <w:div w:id="1779254348">
          <w:marLeft w:val="0"/>
          <w:marRight w:val="0"/>
          <w:marTop w:val="0"/>
          <w:marBottom w:val="0"/>
          <w:divBdr>
            <w:top w:val="none" w:sz="0" w:space="0" w:color="auto"/>
            <w:left w:val="none" w:sz="0" w:space="0" w:color="auto"/>
            <w:bottom w:val="none" w:sz="0" w:space="0" w:color="auto"/>
            <w:right w:val="none" w:sz="0" w:space="0" w:color="auto"/>
          </w:divBdr>
        </w:div>
        <w:div w:id="724108301">
          <w:marLeft w:val="0"/>
          <w:marRight w:val="0"/>
          <w:marTop w:val="0"/>
          <w:marBottom w:val="0"/>
          <w:divBdr>
            <w:top w:val="none" w:sz="0" w:space="0" w:color="auto"/>
            <w:left w:val="none" w:sz="0" w:space="0" w:color="auto"/>
            <w:bottom w:val="none" w:sz="0" w:space="0" w:color="auto"/>
            <w:right w:val="none" w:sz="0" w:space="0" w:color="auto"/>
          </w:divBdr>
        </w:div>
        <w:div w:id="1681349521">
          <w:marLeft w:val="0"/>
          <w:marRight w:val="0"/>
          <w:marTop w:val="0"/>
          <w:marBottom w:val="0"/>
          <w:divBdr>
            <w:top w:val="none" w:sz="0" w:space="0" w:color="auto"/>
            <w:left w:val="none" w:sz="0" w:space="0" w:color="auto"/>
            <w:bottom w:val="none" w:sz="0" w:space="0" w:color="auto"/>
            <w:right w:val="none" w:sz="0" w:space="0" w:color="auto"/>
          </w:divBdr>
        </w:div>
        <w:div w:id="1851218400">
          <w:marLeft w:val="0"/>
          <w:marRight w:val="0"/>
          <w:marTop w:val="0"/>
          <w:marBottom w:val="0"/>
          <w:divBdr>
            <w:top w:val="none" w:sz="0" w:space="0" w:color="auto"/>
            <w:left w:val="none" w:sz="0" w:space="0" w:color="auto"/>
            <w:bottom w:val="none" w:sz="0" w:space="0" w:color="auto"/>
            <w:right w:val="none" w:sz="0" w:space="0" w:color="auto"/>
          </w:divBdr>
        </w:div>
        <w:div w:id="4090788">
          <w:marLeft w:val="0"/>
          <w:marRight w:val="0"/>
          <w:marTop w:val="0"/>
          <w:marBottom w:val="0"/>
          <w:divBdr>
            <w:top w:val="none" w:sz="0" w:space="0" w:color="auto"/>
            <w:left w:val="none" w:sz="0" w:space="0" w:color="auto"/>
            <w:bottom w:val="none" w:sz="0" w:space="0" w:color="auto"/>
            <w:right w:val="none" w:sz="0" w:space="0" w:color="auto"/>
          </w:divBdr>
        </w:div>
        <w:div w:id="754088930">
          <w:marLeft w:val="0"/>
          <w:marRight w:val="0"/>
          <w:marTop w:val="0"/>
          <w:marBottom w:val="0"/>
          <w:divBdr>
            <w:top w:val="none" w:sz="0" w:space="0" w:color="auto"/>
            <w:left w:val="none" w:sz="0" w:space="0" w:color="auto"/>
            <w:bottom w:val="none" w:sz="0" w:space="0" w:color="auto"/>
            <w:right w:val="none" w:sz="0" w:space="0" w:color="auto"/>
          </w:divBdr>
        </w:div>
        <w:div w:id="759763309">
          <w:marLeft w:val="0"/>
          <w:marRight w:val="0"/>
          <w:marTop w:val="0"/>
          <w:marBottom w:val="0"/>
          <w:divBdr>
            <w:top w:val="none" w:sz="0" w:space="0" w:color="auto"/>
            <w:left w:val="none" w:sz="0" w:space="0" w:color="auto"/>
            <w:bottom w:val="none" w:sz="0" w:space="0" w:color="auto"/>
            <w:right w:val="none" w:sz="0" w:space="0" w:color="auto"/>
          </w:divBdr>
        </w:div>
        <w:div w:id="505094037">
          <w:marLeft w:val="0"/>
          <w:marRight w:val="0"/>
          <w:marTop w:val="0"/>
          <w:marBottom w:val="0"/>
          <w:divBdr>
            <w:top w:val="none" w:sz="0" w:space="0" w:color="auto"/>
            <w:left w:val="none" w:sz="0" w:space="0" w:color="auto"/>
            <w:bottom w:val="none" w:sz="0" w:space="0" w:color="auto"/>
            <w:right w:val="none" w:sz="0" w:space="0" w:color="auto"/>
          </w:divBdr>
        </w:div>
        <w:div w:id="812260706">
          <w:marLeft w:val="0"/>
          <w:marRight w:val="0"/>
          <w:marTop w:val="0"/>
          <w:marBottom w:val="0"/>
          <w:divBdr>
            <w:top w:val="none" w:sz="0" w:space="0" w:color="auto"/>
            <w:left w:val="none" w:sz="0" w:space="0" w:color="auto"/>
            <w:bottom w:val="none" w:sz="0" w:space="0" w:color="auto"/>
            <w:right w:val="none" w:sz="0" w:space="0" w:color="auto"/>
          </w:divBdr>
        </w:div>
        <w:div w:id="1072701680">
          <w:marLeft w:val="0"/>
          <w:marRight w:val="0"/>
          <w:marTop w:val="0"/>
          <w:marBottom w:val="0"/>
          <w:divBdr>
            <w:top w:val="none" w:sz="0" w:space="0" w:color="auto"/>
            <w:left w:val="none" w:sz="0" w:space="0" w:color="auto"/>
            <w:bottom w:val="none" w:sz="0" w:space="0" w:color="auto"/>
            <w:right w:val="none" w:sz="0" w:space="0" w:color="auto"/>
          </w:divBdr>
        </w:div>
        <w:div w:id="437528758">
          <w:marLeft w:val="0"/>
          <w:marRight w:val="0"/>
          <w:marTop w:val="0"/>
          <w:marBottom w:val="0"/>
          <w:divBdr>
            <w:top w:val="none" w:sz="0" w:space="0" w:color="auto"/>
            <w:left w:val="none" w:sz="0" w:space="0" w:color="auto"/>
            <w:bottom w:val="none" w:sz="0" w:space="0" w:color="auto"/>
            <w:right w:val="none" w:sz="0" w:space="0" w:color="auto"/>
          </w:divBdr>
        </w:div>
        <w:div w:id="1758860821">
          <w:marLeft w:val="0"/>
          <w:marRight w:val="0"/>
          <w:marTop w:val="0"/>
          <w:marBottom w:val="0"/>
          <w:divBdr>
            <w:top w:val="none" w:sz="0" w:space="0" w:color="auto"/>
            <w:left w:val="none" w:sz="0" w:space="0" w:color="auto"/>
            <w:bottom w:val="none" w:sz="0" w:space="0" w:color="auto"/>
            <w:right w:val="none" w:sz="0" w:space="0" w:color="auto"/>
          </w:divBdr>
        </w:div>
        <w:div w:id="1019237333">
          <w:marLeft w:val="0"/>
          <w:marRight w:val="0"/>
          <w:marTop w:val="0"/>
          <w:marBottom w:val="0"/>
          <w:divBdr>
            <w:top w:val="none" w:sz="0" w:space="0" w:color="auto"/>
            <w:left w:val="none" w:sz="0" w:space="0" w:color="auto"/>
            <w:bottom w:val="none" w:sz="0" w:space="0" w:color="auto"/>
            <w:right w:val="none" w:sz="0" w:space="0" w:color="auto"/>
          </w:divBdr>
        </w:div>
        <w:div w:id="1002509758">
          <w:marLeft w:val="0"/>
          <w:marRight w:val="0"/>
          <w:marTop w:val="0"/>
          <w:marBottom w:val="0"/>
          <w:divBdr>
            <w:top w:val="none" w:sz="0" w:space="0" w:color="auto"/>
            <w:left w:val="none" w:sz="0" w:space="0" w:color="auto"/>
            <w:bottom w:val="none" w:sz="0" w:space="0" w:color="auto"/>
            <w:right w:val="none" w:sz="0" w:space="0" w:color="auto"/>
          </w:divBdr>
        </w:div>
        <w:div w:id="628054362">
          <w:marLeft w:val="0"/>
          <w:marRight w:val="0"/>
          <w:marTop w:val="0"/>
          <w:marBottom w:val="0"/>
          <w:divBdr>
            <w:top w:val="none" w:sz="0" w:space="0" w:color="auto"/>
            <w:left w:val="none" w:sz="0" w:space="0" w:color="auto"/>
            <w:bottom w:val="none" w:sz="0" w:space="0" w:color="auto"/>
            <w:right w:val="none" w:sz="0" w:space="0" w:color="auto"/>
          </w:divBdr>
        </w:div>
        <w:div w:id="1785467387">
          <w:marLeft w:val="0"/>
          <w:marRight w:val="0"/>
          <w:marTop w:val="0"/>
          <w:marBottom w:val="0"/>
          <w:divBdr>
            <w:top w:val="none" w:sz="0" w:space="0" w:color="auto"/>
            <w:left w:val="none" w:sz="0" w:space="0" w:color="auto"/>
            <w:bottom w:val="none" w:sz="0" w:space="0" w:color="auto"/>
            <w:right w:val="none" w:sz="0" w:space="0" w:color="auto"/>
          </w:divBdr>
        </w:div>
        <w:div w:id="1421295908">
          <w:marLeft w:val="0"/>
          <w:marRight w:val="0"/>
          <w:marTop w:val="0"/>
          <w:marBottom w:val="0"/>
          <w:divBdr>
            <w:top w:val="none" w:sz="0" w:space="0" w:color="auto"/>
            <w:left w:val="none" w:sz="0" w:space="0" w:color="auto"/>
            <w:bottom w:val="none" w:sz="0" w:space="0" w:color="auto"/>
            <w:right w:val="none" w:sz="0" w:space="0" w:color="auto"/>
          </w:divBdr>
        </w:div>
        <w:div w:id="688290329">
          <w:marLeft w:val="0"/>
          <w:marRight w:val="0"/>
          <w:marTop w:val="0"/>
          <w:marBottom w:val="0"/>
          <w:divBdr>
            <w:top w:val="none" w:sz="0" w:space="0" w:color="auto"/>
            <w:left w:val="none" w:sz="0" w:space="0" w:color="auto"/>
            <w:bottom w:val="none" w:sz="0" w:space="0" w:color="auto"/>
            <w:right w:val="none" w:sz="0" w:space="0" w:color="auto"/>
          </w:divBdr>
        </w:div>
        <w:div w:id="1183319994">
          <w:marLeft w:val="0"/>
          <w:marRight w:val="0"/>
          <w:marTop w:val="0"/>
          <w:marBottom w:val="0"/>
          <w:divBdr>
            <w:top w:val="none" w:sz="0" w:space="0" w:color="auto"/>
            <w:left w:val="none" w:sz="0" w:space="0" w:color="auto"/>
            <w:bottom w:val="none" w:sz="0" w:space="0" w:color="auto"/>
            <w:right w:val="none" w:sz="0" w:space="0" w:color="auto"/>
          </w:divBdr>
        </w:div>
        <w:div w:id="1852181249">
          <w:marLeft w:val="0"/>
          <w:marRight w:val="0"/>
          <w:marTop w:val="0"/>
          <w:marBottom w:val="0"/>
          <w:divBdr>
            <w:top w:val="none" w:sz="0" w:space="0" w:color="auto"/>
            <w:left w:val="none" w:sz="0" w:space="0" w:color="auto"/>
            <w:bottom w:val="none" w:sz="0" w:space="0" w:color="auto"/>
            <w:right w:val="none" w:sz="0" w:space="0" w:color="auto"/>
          </w:divBdr>
        </w:div>
        <w:div w:id="810439060">
          <w:marLeft w:val="0"/>
          <w:marRight w:val="0"/>
          <w:marTop w:val="0"/>
          <w:marBottom w:val="0"/>
          <w:divBdr>
            <w:top w:val="none" w:sz="0" w:space="0" w:color="auto"/>
            <w:left w:val="none" w:sz="0" w:space="0" w:color="auto"/>
            <w:bottom w:val="none" w:sz="0" w:space="0" w:color="auto"/>
            <w:right w:val="none" w:sz="0" w:space="0" w:color="auto"/>
          </w:divBdr>
        </w:div>
        <w:div w:id="1140418502">
          <w:marLeft w:val="0"/>
          <w:marRight w:val="0"/>
          <w:marTop w:val="0"/>
          <w:marBottom w:val="0"/>
          <w:divBdr>
            <w:top w:val="none" w:sz="0" w:space="0" w:color="auto"/>
            <w:left w:val="none" w:sz="0" w:space="0" w:color="auto"/>
            <w:bottom w:val="none" w:sz="0" w:space="0" w:color="auto"/>
            <w:right w:val="none" w:sz="0" w:space="0" w:color="auto"/>
          </w:divBdr>
        </w:div>
        <w:div w:id="1114712713">
          <w:marLeft w:val="0"/>
          <w:marRight w:val="0"/>
          <w:marTop w:val="0"/>
          <w:marBottom w:val="0"/>
          <w:divBdr>
            <w:top w:val="none" w:sz="0" w:space="0" w:color="auto"/>
            <w:left w:val="none" w:sz="0" w:space="0" w:color="auto"/>
            <w:bottom w:val="none" w:sz="0" w:space="0" w:color="auto"/>
            <w:right w:val="none" w:sz="0" w:space="0" w:color="auto"/>
          </w:divBdr>
        </w:div>
        <w:div w:id="1555963424">
          <w:marLeft w:val="0"/>
          <w:marRight w:val="0"/>
          <w:marTop w:val="0"/>
          <w:marBottom w:val="0"/>
          <w:divBdr>
            <w:top w:val="none" w:sz="0" w:space="0" w:color="auto"/>
            <w:left w:val="none" w:sz="0" w:space="0" w:color="auto"/>
            <w:bottom w:val="none" w:sz="0" w:space="0" w:color="auto"/>
            <w:right w:val="none" w:sz="0" w:space="0" w:color="auto"/>
          </w:divBdr>
        </w:div>
        <w:div w:id="1041321067">
          <w:marLeft w:val="0"/>
          <w:marRight w:val="0"/>
          <w:marTop w:val="0"/>
          <w:marBottom w:val="0"/>
          <w:divBdr>
            <w:top w:val="none" w:sz="0" w:space="0" w:color="auto"/>
            <w:left w:val="none" w:sz="0" w:space="0" w:color="auto"/>
            <w:bottom w:val="none" w:sz="0" w:space="0" w:color="auto"/>
            <w:right w:val="none" w:sz="0" w:space="0" w:color="auto"/>
          </w:divBdr>
        </w:div>
        <w:div w:id="1189559816">
          <w:marLeft w:val="0"/>
          <w:marRight w:val="0"/>
          <w:marTop w:val="0"/>
          <w:marBottom w:val="0"/>
          <w:divBdr>
            <w:top w:val="none" w:sz="0" w:space="0" w:color="auto"/>
            <w:left w:val="none" w:sz="0" w:space="0" w:color="auto"/>
            <w:bottom w:val="none" w:sz="0" w:space="0" w:color="auto"/>
            <w:right w:val="none" w:sz="0" w:space="0" w:color="auto"/>
          </w:divBdr>
        </w:div>
        <w:div w:id="1229416442">
          <w:marLeft w:val="0"/>
          <w:marRight w:val="0"/>
          <w:marTop w:val="0"/>
          <w:marBottom w:val="0"/>
          <w:divBdr>
            <w:top w:val="none" w:sz="0" w:space="0" w:color="auto"/>
            <w:left w:val="none" w:sz="0" w:space="0" w:color="auto"/>
            <w:bottom w:val="none" w:sz="0" w:space="0" w:color="auto"/>
            <w:right w:val="none" w:sz="0" w:space="0" w:color="auto"/>
          </w:divBdr>
        </w:div>
        <w:div w:id="17245434">
          <w:marLeft w:val="0"/>
          <w:marRight w:val="0"/>
          <w:marTop w:val="0"/>
          <w:marBottom w:val="0"/>
          <w:divBdr>
            <w:top w:val="none" w:sz="0" w:space="0" w:color="auto"/>
            <w:left w:val="none" w:sz="0" w:space="0" w:color="auto"/>
            <w:bottom w:val="none" w:sz="0" w:space="0" w:color="auto"/>
            <w:right w:val="none" w:sz="0" w:space="0" w:color="auto"/>
          </w:divBdr>
        </w:div>
        <w:div w:id="440338407">
          <w:marLeft w:val="0"/>
          <w:marRight w:val="0"/>
          <w:marTop w:val="0"/>
          <w:marBottom w:val="0"/>
          <w:divBdr>
            <w:top w:val="none" w:sz="0" w:space="0" w:color="auto"/>
            <w:left w:val="none" w:sz="0" w:space="0" w:color="auto"/>
            <w:bottom w:val="none" w:sz="0" w:space="0" w:color="auto"/>
            <w:right w:val="none" w:sz="0" w:space="0" w:color="auto"/>
          </w:divBdr>
        </w:div>
        <w:div w:id="832379327">
          <w:marLeft w:val="0"/>
          <w:marRight w:val="0"/>
          <w:marTop w:val="0"/>
          <w:marBottom w:val="0"/>
          <w:divBdr>
            <w:top w:val="none" w:sz="0" w:space="0" w:color="auto"/>
            <w:left w:val="none" w:sz="0" w:space="0" w:color="auto"/>
            <w:bottom w:val="none" w:sz="0" w:space="0" w:color="auto"/>
            <w:right w:val="none" w:sz="0" w:space="0" w:color="auto"/>
          </w:divBdr>
        </w:div>
        <w:div w:id="1144784086">
          <w:marLeft w:val="0"/>
          <w:marRight w:val="0"/>
          <w:marTop w:val="0"/>
          <w:marBottom w:val="0"/>
          <w:divBdr>
            <w:top w:val="none" w:sz="0" w:space="0" w:color="auto"/>
            <w:left w:val="none" w:sz="0" w:space="0" w:color="auto"/>
            <w:bottom w:val="none" w:sz="0" w:space="0" w:color="auto"/>
            <w:right w:val="none" w:sz="0" w:space="0" w:color="auto"/>
          </w:divBdr>
        </w:div>
        <w:div w:id="2093313786">
          <w:marLeft w:val="0"/>
          <w:marRight w:val="0"/>
          <w:marTop w:val="0"/>
          <w:marBottom w:val="0"/>
          <w:divBdr>
            <w:top w:val="none" w:sz="0" w:space="0" w:color="auto"/>
            <w:left w:val="none" w:sz="0" w:space="0" w:color="auto"/>
            <w:bottom w:val="none" w:sz="0" w:space="0" w:color="auto"/>
            <w:right w:val="none" w:sz="0" w:space="0" w:color="auto"/>
          </w:divBdr>
        </w:div>
        <w:div w:id="377317255">
          <w:marLeft w:val="0"/>
          <w:marRight w:val="0"/>
          <w:marTop w:val="0"/>
          <w:marBottom w:val="0"/>
          <w:divBdr>
            <w:top w:val="none" w:sz="0" w:space="0" w:color="auto"/>
            <w:left w:val="none" w:sz="0" w:space="0" w:color="auto"/>
            <w:bottom w:val="none" w:sz="0" w:space="0" w:color="auto"/>
            <w:right w:val="none" w:sz="0" w:space="0" w:color="auto"/>
          </w:divBdr>
        </w:div>
        <w:div w:id="1304967956">
          <w:marLeft w:val="0"/>
          <w:marRight w:val="0"/>
          <w:marTop w:val="0"/>
          <w:marBottom w:val="0"/>
          <w:divBdr>
            <w:top w:val="none" w:sz="0" w:space="0" w:color="auto"/>
            <w:left w:val="none" w:sz="0" w:space="0" w:color="auto"/>
            <w:bottom w:val="none" w:sz="0" w:space="0" w:color="auto"/>
            <w:right w:val="none" w:sz="0" w:space="0" w:color="auto"/>
          </w:divBdr>
        </w:div>
        <w:div w:id="71893362">
          <w:marLeft w:val="0"/>
          <w:marRight w:val="0"/>
          <w:marTop w:val="0"/>
          <w:marBottom w:val="0"/>
          <w:divBdr>
            <w:top w:val="none" w:sz="0" w:space="0" w:color="auto"/>
            <w:left w:val="none" w:sz="0" w:space="0" w:color="auto"/>
            <w:bottom w:val="none" w:sz="0" w:space="0" w:color="auto"/>
            <w:right w:val="none" w:sz="0" w:space="0" w:color="auto"/>
          </w:divBdr>
        </w:div>
        <w:div w:id="55670211">
          <w:marLeft w:val="0"/>
          <w:marRight w:val="0"/>
          <w:marTop w:val="0"/>
          <w:marBottom w:val="0"/>
          <w:divBdr>
            <w:top w:val="none" w:sz="0" w:space="0" w:color="auto"/>
            <w:left w:val="none" w:sz="0" w:space="0" w:color="auto"/>
            <w:bottom w:val="none" w:sz="0" w:space="0" w:color="auto"/>
            <w:right w:val="none" w:sz="0" w:space="0" w:color="auto"/>
          </w:divBdr>
        </w:div>
        <w:div w:id="1534341883">
          <w:marLeft w:val="0"/>
          <w:marRight w:val="0"/>
          <w:marTop w:val="0"/>
          <w:marBottom w:val="0"/>
          <w:divBdr>
            <w:top w:val="none" w:sz="0" w:space="0" w:color="auto"/>
            <w:left w:val="none" w:sz="0" w:space="0" w:color="auto"/>
            <w:bottom w:val="none" w:sz="0" w:space="0" w:color="auto"/>
            <w:right w:val="none" w:sz="0" w:space="0" w:color="auto"/>
          </w:divBdr>
        </w:div>
        <w:div w:id="1676179715">
          <w:marLeft w:val="0"/>
          <w:marRight w:val="0"/>
          <w:marTop w:val="0"/>
          <w:marBottom w:val="0"/>
          <w:divBdr>
            <w:top w:val="none" w:sz="0" w:space="0" w:color="auto"/>
            <w:left w:val="none" w:sz="0" w:space="0" w:color="auto"/>
            <w:bottom w:val="none" w:sz="0" w:space="0" w:color="auto"/>
            <w:right w:val="none" w:sz="0" w:space="0" w:color="auto"/>
          </w:divBdr>
        </w:div>
        <w:div w:id="343287977">
          <w:marLeft w:val="0"/>
          <w:marRight w:val="0"/>
          <w:marTop w:val="0"/>
          <w:marBottom w:val="0"/>
          <w:divBdr>
            <w:top w:val="none" w:sz="0" w:space="0" w:color="auto"/>
            <w:left w:val="none" w:sz="0" w:space="0" w:color="auto"/>
            <w:bottom w:val="none" w:sz="0" w:space="0" w:color="auto"/>
            <w:right w:val="none" w:sz="0" w:space="0" w:color="auto"/>
          </w:divBdr>
        </w:div>
        <w:div w:id="2129658154">
          <w:marLeft w:val="0"/>
          <w:marRight w:val="0"/>
          <w:marTop w:val="0"/>
          <w:marBottom w:val="0"/>
          <w:divBdr>
            <w:top w:val="none" w:sz="0" w:space="0" w:color="auto"/>
            <w:left w:val="none" w:sz="0" w:space="0" w:color="auto"/>
            <w:bottom w:val="none" w:sz="0" w:space="0" w:color="auto"/>
            <w:right w:val="none" w:sz="0" w:space="0" w:color="auto"/>
          </w:divBdr>
        </w:div>
        <w:div w:id="538976580">
          <w:marLeft w:val="0"/>
          <w:marRight w:val="0"/>
          <w:marTop w:val="0"/>
          <w:marBottom w:val="0"/>
          <w:divBdr>
            <w:top w:val="none" w:sz="0" w:space="0" w:color="auto"/>
            <w:left w:val="none" w:sz="0" w:space="0" w:color="auto"/>
            <w:bottom w:val="none" w:sz="0" w:space="0" w:color="auto"/>
            <w:right w:val="none" w:sz="0" w:space="0" w:color="auto"/>
          </w:divBdr>
        </w:div>
        <w:div w:id="1031613719">
          <w:marLeft w:val="0"/>
          <w:marRight w:val="0"/>
          <w:marTop w:val="0"/>
          <w:marBottom w:val="0"/>
          <w:divBdr>
            <w:top w:val="none" w:sz="0" w:space="0" w:color="auto"/>
            <w:left w:val="none" w:sz="0" w:space="0" w:color="auto"/>
            <w:bottom w:val="none" w:sz="0" w:space="0" w:color="auto"/>
            <w:right w:val="none" w:sz="0" w:space="0" w:color="auto"/>
          </w:divBdr>
        </w:div>
        <w:div w:id="1488285400">
          <w:marLeft w:val="0"/>
          <w:marRight w:val="0"/>
          <w:marTop w:val="0"/>
          <w:marBottom w:val="0"/>
          <w:divBdr>
            <w:top w:val="none" w:sz="0" w:space="0" w:color="auto"/>
            <w:left w:val="none" w:sz="0" w:space="0" w:color="auto"/>
            <w:bottom w:val="none" w:sz="0" w:space="0" w:color="auto"/>
            <w:right w:val="none" w:sz="0" w:space="0" w:color="auto"/>
          </w:divBdr>
        </w:div>
      </w:divsChild>
    </w:div>
    <w:div w:id="1940062997">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5940840">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2977794">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14918621">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0518875">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8576114">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settings" Target="settings.xml"/><Relationship Id="rId18" Type="http://schemas.openxmlformats.org/officeDocument/2006/relationships/hyperlink" Target="mailto:bulletin@sebi.gov.in" TargetMode="External"/><Relationship Id="rId26" Type="http://schemas.openxmlformats.org/officeDocument/2006/relationships/chart" Target="charts/chart8.xml"/><Relationship Id="rId39" Type="http://schemas.openxmlformats.org/officeDocument/2006/relationships/hyperlink" Target="https://www.sec.gov/news/press-release/2021-167" TargetMode="External"/><Relationship Id="rId21" Type="http://schemas.openxmlformats.org/officeDocument/2006/relationships/chart" Target="charts/chart3.xml"/><Relationship Id="rId34" Type="http://schemas.openxmlformats.org/officeDocument/2006/relationships/chart" Target="charts/chart16.xm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endnotes" Target="endnotes.xml"/><Relationship Id="rId29" Type="http://schemas.openxmlformats.org/officeDocument/2006/relationships/chart" Target="charts/chart1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24" Type="http://schemas.openxmlformats.org/officeDocument/2006/relationships/chart" Target="charts/chart6.xml"/><Relationship Id="rId32" Type="http://schemas.openxmlformats.org/officeDocument/2006/relationships/chart" Target="charts/chart14.xml"/><Relationship Id="rId37" Type="http://schemas.openxmlformats.org/officeDocument/2006/relationships/chart" Target="charts/chart18.xml"/><Relationship Id="rId40" Type="http://schemas.openxmlformats.org/officeDocument/2006/relationships/hyperlink" Target="https://www.esma.europa.eu/sites/default/files/library/esma70-156-4576_report_to_ec_on_use_of_fintech_by_csds.pdf" TargetMode="External"/><Relationship Id="rId45"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footnotes" Target="footnotes.xml"/><Relationship Id="rId23" Type="http://schemas.openxmlformats.org/officeDocument/2006/relationships/chart" Target="charts/chart5.xml"/><Relationship Id="rId28" Type="http://schemas.openxmlformats.org/officeDocument/2006/relationships/chart" Target="charts/chart10.xml"/><Relationship Id="rId36" Type="http://schemas.openxmlformats.org/officeDocument/2006/relationships/image" Target="media/image1.png"/><Relationship Id="rId10" Type="http://schemas.openxmlformats.org/officeDocument/2006/relationships/customXml" Target="../customXml/item10.xml"/><Relationship Id="rId19" Type="http://schemas.openxmlformats.org/officeDocument/2006/relationships/chart" Target="charts/chart1.xml"/><Relationship Id="rId31" Type="http://schemas.openxmlformats.org/officeDocument/2006/relationships/chart" Target="charts/chart13.xm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chart" Target="charts/chart4.xml"/><Relationship Id="rId27" Type="http://schemas.openxmlformats.org/officeDocument/2006/relationships/chart" Target="charts/chart9.xml"/><Relationship Id="rId30" Type="http://schemas.openxmlformats.org/officeDocument/2006/relationships/chart" Target="charts/chart12.xml"/><Relationship Id="rId35" Type="http://schemas.openxmlformats.org/officeDocument/2006/relationships/chart" Target="charts/chart17.xml"/><Relationship Id="rId43" Type="http://schemas.openxmlformats.org/officeDocument/2006/relationships/header" Target="header2.xml"/><Relationship Id="rId8" Type="http://schemas.openxmlformats.org/officeDocument/2006/relationships/customXml" Target="../customXml/item8.xml"/><Relationship Id="rId3" Type="http://schemas.openxmlformats.org/officeDocument/2006/relationships/customXml" Target="../customXml/item3.xml"/><Relationship Id="rId12" Type="http://schemas.openxmlformats.org/officeDocument/2006/relationships/styles" Target="styles.xml"/><Relationship Id="rId17" Type="http://schemas.openxmlformats.org/officeDocument/2006/relationships/hyperlink" Target="http://www.sebi.gov.in" TargetMode="External"/><Relationship Id="rId25" Type="http://schemas.openxmlformats.org/officeDocument/2006/relationships/chart" Target="charts/chart7.xml"/><Relationship Id="rId33" Type="http://schemas.openxmlformats.org/officeDocument/2006/relationships/chart" Target="charts/chart15.xml"/><Relationship Id="rId38" Type="http://schemas.openxmlformats.org/officeDocument/2006/relationships/hyperlink" Target="https://www.sec.gov/news/press-release/2021-159" TargetMode="External"/><Relationship Id="rId46" Type="http://schemas.openxmlformats.org/officeDocument/2006/relationships/fontTable" Target="fontTable.xml"/><Relationship Id="rId20" Type="http://schemas.openxmlformats.org/officeDocument/2006/relationships/chart" Target="charts/chart2.xml"/><Relationship Id="rId41" Type="http://schemas.openxmlformats.org/officeDocument/2006/relationships/hyperlink" Target="https://www.esma.europa.eu/press-news/esma-news/esma-publishes-its-report-use-fintech-csds"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E:\C%20DRIVE%20DATA%20BACKUP%2019-12-2019\Downloads\data%20(12).csv"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E:\C%20DRIVE%20DATA%20BACKUP%2019-12-2019\Desktop\CMR%20Aug%202021.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E:\C%20DRIVE%20DATA%20BACKUP%2019-12-2019\Desktop\CMR%20Aug%202021.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E:\C%20DRIVE%20DATA%20BACKUP%2019-12-2019\Desktop\CMR%20Aug%202021.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E:\C%20DRIVE%20DATA%20BACKUP%2019-12-2019\Desktop\Data%20Repository\Demat%20Accounts.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C:\Users\2295\AppData\Local\Microsoft\Windows\INetCache\Content.Outlook\JL09ZQ0I\CMR%20Aug%202021.xlsx" TargetMode="Externa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E:\C%20DRIVE%20DATA%20BACKUP%2019-12-2019\Desktop\CMR%20Aug%202021.xlsx" TargetMode="Externa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E:\C%20DRIVE%20DATA%20BACKUP%2019-12-2019\Desktop\CMR%20Aug%202021.xlsx" TargetMode="Externa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1649\AppData\Local\Microsoft\Windows\INetCache\Content.Outlook\5S08GJPM\CMR%20Aug%202021.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file:///C:\Users\1295\Desktop\Share%20-%20Self\periodic%20work%20-%20DEPA-II-Div-II\Monthly%202020-21\8%20Aug%202021\Monthly%20excel%20worksheet%20Aug%202021%206-9-21.xlsx" TargetMode="Externa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oleObject" Target="file:///C:\Users\2002\Desktop\CRD%20Bulletin\Commodities_Master_File.xlsm"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oleObject" Target="file:///C:\Users\2002\Desktop\CRD%20Bulletin\Commodities_Master_File.xlsm"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oleObject" Target="file:///C:\Users\2002\Desktop\CRD%20Bulletin\Commodities_Master_File.xlsm" TargetMode="External"/></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oleObject" Target="file:///D:\vimal%20backup\SEBI%20WORK%203-%20DEPA1\2021-22%20DEPA1\Bulletin%20-GMR\2021%2009%20GMR\2021%2009%20GMR%20NEW.XLSX" TargetMode="External"/></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oleObject" Target="file:///D:\vimal%20backup\SEBI%20WORK%203-%20DEPA1\2021-22%20DEPA1\Bulletin%20-GMR\2021%2009%20GMR\2021%2009%20GMR%20NEW.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2467352623866804E-2"/>
          <c:y val="4.8885313617115511E-2"/>
          <c:w val="0.88414279503405635"/>
          <c:h val="0.77278774024214714"/>
        </c:manualLayout>
      </c:layout>
      <c:lineChart>
        <c:grouping val="standard"/>
        <c:varyColors val="0"/>
        <c:ser>
          <c:idx val="0"/>
          <c:order val="0"/>
          <c:tx>
            <c:strRef>
              <c:f>'data (12)'!$O$1</c:f>
              <c:strCache>
                <c:ptCount val="1"/>
                <c:pt idx="0">
                  <c:v>BSE Sensex </c:v>
                </c:pt>
              </c:strCache>
            </c:strRef>
          </c:tx>
          <c:spPr>
            <a:ln w="28575" cap="rnd">
              <a:solidFill>
                <a:schemeClr val="accent1"/>
              </a:solidFill>
              <a:round/>
            </a:ln>
            <a:effectLst/>
          </c:spPr>
          <c:marker>
            <c:symbol val="none"/>
          </c:marker>
          <c:cat>
            <c:numRef>
              <c:f>'data (12)'!$N$2:$N$250</c:f>
              <c:numCache>
                <c:formatCode>d\-mmm\-yy</c:formatCode>
                <c:ptCount val="249"/>
                <c:pt idx="0">
                  <c:v>44075</c:v>
                </c:pt>
                <c:pt idx="1">
                  <c:v>44076</c:v>
                </c:pt>
                <c:pt idx="2">
                  <c:v>44077</c:v>
                </c:pt>
                <c:pt idx="3">
                  <c:v>44078</c:v>
                </c:pt>
                <c:pt idx="4">
                  <c:v>44081</c:v>
                </c:pt>
                <c:pt idx="5">
                  <c:v>44082</c:v>
                </c:pt>
                <c:pt idx="6">
                  <c:v>44083</c:v>
                </c:pt>
                <c:pt idx="7">
                  <c:v>44084</c:v>
                </c:pt>
                <c:pt idx="8">
                  <c:v>44085</c:v>
                </c:pt>
                <c:pt idx="9">
                  <c:v>44088</c:v>
                </c:pt>
                <c:pt idx="10">
                  <c:v>44089</c:v>
                </c:pt>
                <c:pt idx="11">
                  <c:v>44090</c:v>
                </c:pt>
                <c:pt idx="12">
                  <c:v>44091</c:v>
                </c:pt>
                <c:pt idx="13">
                  <c:v>44092</c:v>
                </c:pt>
                <c:pt idx="14">
                  <c:v>44095</c:v>
                </c:pt>
                <c:pt idx="15">
                  <c:v>44096</c:v>
                </c:pt>
                <c:pt idx="16">
                  <c:v>44097</c:v>
                </c:pt>
                <c:pt idx="17">
                  <c:v>44098</c:v>
                </c:pt>
                <c:pt idx="18">
                  <c:v>44099</c:v>
                </c:pt>
                <c:pt idx="19">
                  <c:v>44102</c:v>
                </c:pt>
                <c:pt idx="20">
                  <c:v>44103</c:v>
                </c:pt>
                <c:pt idx="21">
                  <c:v>44104</c:v>
                </c:pt>
                <c:pt idx="22">
                  <c:v>44105</c:v>
                </c:pt>
                <c:pt idx="23">
                  <c:v>44109</c:v>
                </c:pt>
                <c:pt idx="24">
                  <c:v>44110</c:v>
                </c:pt>
                <c:pt idx="25">
                  <c:v>44111</c:v>
                </c:pt>
                <c:pt idx="26">
                  <c:v>44112</c:v>
                </c:pt>
                <c:pt idx="27">
                  <c:v>44113</c:v>
                </c:pt>
                <c:pt idx="28">
                  <c:v>44116</c:v>
                </c:pt>
                <c:pt idx="29">
                  <c:v>44117</c:v>
                </c:pt>
                <c:pt idx="30">
                  <c:v>44118</c:v>
                </c:pt>
                <c:pt idx="31">
                  <c:v>44119</c:v>
                </c:pt>
                <c:pt idx="32">
                  <c:v>44120</c:v>
                </c:pt>
                <c:pt idx="33">
                  <c:v>44123</c:v>
                </c:pt>
                <c:pt idx="34">
                  <c:v>44124</c:v>
                </c:pt>
                <c:pt idx="35">
                  <c:v>44125</c:v>
                </c:pt>
                <c:pt idx="36">
                  <c:v>44126</c:v>
                </c:pt>
                <c:pt idx="37">
                  <c:v>44127</c:v>
                </c:pt>
                <c:pt idx="38">
                  <c:v>44130</c:v>
                </c:pt>
                <c:pt idx="39">
                  <c:v>44131</c:v>
                </c:pt>
                <c:pt idx="40">
                  <c:v>44132</c:v>
                </c:pt>
                <c:pt idx="41">
                  <c:v>44133</c:v>
                </c:pt>
                <c:pt idx="42">
                  <c:v>44134</c:v>
                </c:pt>
                <c:pt idx="43">
                  <c:v>44137</c:v>
                </c:pt>
                <c:pt idx="44">
                  <c:v>44138</c:v>
                </c:pt>
                <c:pt idx="45">
                  <c:v>44139</c:v>
                </c:pt>
                <c:pt idx="46">
                  <c:v>44140</c:v>
                </c:pt>
                <c:pt idx="47">
                  <c:v>44141</c:v>
                </c:pt>
                <c:pt idx="48">
                  <c:v>44144</c:v>
                </c:pt>
                <c:pt idx="49">
                  <c:v>44145</c:v>
                </c:pt>
                <c:pt idx="50">
                  <c:v>44146</c:v>
                </c:pt>
                <c:pt idx="51">
                  <c:v>44147</c:v>
                </c:pt>
                <c:pt idx="52">
                  <c:v>44148</c:v>
                </c:pt>
                <c:pt idx="53">
                  <c:v>44149</c:v>
                </c:pt>
                <c:pt idx="54">
                  <c:v>44152</c:v>
                </c:pt>
                <c:pt idx="55">
                  <c:v>44153</c:v>
                </c:pt>
                <c:pt idx="56">
                  <c:v>44154</c:v>
                </c:pt>
                <c:pt idx="57">
                  <c:v>44155</c:v>
                </c:pt>
                <c:pt idx="58">
                  <c:v>44158</c:v>
                </c:pt>
                <c:pt idx="59">
                  <c:v>44159</c:v>
                </c:pt>
                <c:pt idx="60">
                  <c:v>44160</c:v>
                </c:pt>
                <c:pt idx="61">
                  <c:v>44161</c:v>
                </c:pt>
                <c:pt idx="62">
                  <c:v>44162</c:v>
                </c:pt>
                <c:pt idx="63">
                  <c:v>44166</c:v>
                </c:pt>
                <c:pt idx="64">
                  <c:v>44167</c:v>
                </c:pt>
                <c:pt idx="65">
                  <c:v>44168</c:v>
                </c:pt>
                <c:pt idx="66">
                  <c:v>44169</c:v>
                </c:pt>
                <c:pt idx="67">
                  <c:v>44172</c:v>
                </c:pt>
                <c:pt idx="68">
                  <c:v>44173</c:v>
                </c:pt>
                <c:pt idx="69">
                  <c:v>44174</c:v>
                </c:pt>
                <c:pt idx="70">
                  <c:v>44175</c:v>
                </c:pt>
                <c:pt idx="71">
                  <c:v>44176</c:v>
                </c:pt>
                <c:pt idx="72">
                  <c:v>44179</c:v>
                </c:pt>
                <c:pt idx="73">
                  <c:v>44180</c:v>
                </c:pt>
                <c:pt idx="74">
                  <c:v>44181</c:v>
                </c:pt>
                <c:pt idx="75">
                  <c:v>44182</c:v>
                </c:pt>
                <c:pt idx="76">
                  <c:v>44183</c:v>
                </c:pt>
                <c:pt idx="77">
                  <c:v>44186</c:v>
                </c:pt>
                <c:pt idx="78">
                  <c:v>44187</c:v>
                </c:pt>
                <c:pt idx="79">
                  <c:v>44188</c:v>
                </c:pt>
                <c:pt idx="80">
                  <c:v>44189</c:v>
                </c:pt>
                <c:pt idx="81">
                  <c:v>44193</c:v>
                </c:pt>
                <c:pt idx="82">
                  <c:v>44194</c:v>
                </c:pt>
                <c:pt idx="83">
                  <c:v>44195</c:v>
                </c:pt>
                <c:pt idx="84">
                  <c:v>44196</c:v>
                </c:pt>
                <c:pt idx="85">
                  <c:v>44197</c:v>
                </c:pt>
                <c:pt idx="86">
                  <c:v>44200</c:v>
                </c:pt>
                <c:pt idx="87">
                  <c:v>44201</c:v>
                </c:pt>
                <c:pt idx="88">
                  <c:v>44202</c:v>
                </c:pt>
                <c:pt idx="89">
                  <c:v>44203</c:v>
                </c:pt>
                <c:pt idx="90">
                  <c:v>44204</c:v>
                </c:pt>
                <c:pt idx="91">
                  <c:v>44207</c:v>
                </c:pt>
                <c:pt idx="92">
                  <c:v>44208</c:v>
                </c:pt>
                <c:pt idx="93">
                  <c:v>44209</c:v>
                </c:pt>
                <c:pt idx="94">
                  <c:v>44210</c:v>
                </c:pt>
                <c:pt idx="95">
                  <c:v>44211</c:v>
                </c:pt>
                <c:pt idx="96">
                  <c:v>44214</c:v>
                </c:pt>
                <c:pt idx="97">
                  <c:v>44215</c:v>
                </c:pt>
                <c:pt idx="98">
                  <c:v>44216</c:v>
                </c:pt>
                <c:pt idx="99">
                  <c:v>44217</c:v>
                </c:pt>
                <c:pt idx="100">
                  <c:v>44218</c:v>
                </c:pt>
                <c:pt idx="101">
                  <c:v>44221</c:v>
                </c:pt>
                <c:pt idx="102">
                  <c:v>44223</c:v>
                </c:pt>
                <c:pt idx="103">
                  <c:v>44224</c:v>
                </c:pt>
                <c:pt idx="104">
                  <c:v>44225</c:v>
                </c:pt>
                <c:pt idx="105">
                  <c:v>44228</c:v>
                </c:pt>
                <c:pt idx="106">
                  <c:v>44229</c:v>
                </c:pt>
                <c:pt idx="107">
                  <c:v>44230</c:v>
                </c:pt>
                <c:pt idx="108">
                  <c:v>44231</c:v>
                </c:pt>
                <c:pt idx="109">
                  <c:v>44232</c:v>
                </c:pt>
                <c:pt idx="110">
                  <c:v>44235</c:v>
                </c:pt>
                <c:pt idx="111">
                  <c:v>44236</c:v>
                </c:pt>
                <c:pt idx="112">
                  <c:v>44237</c:v>
                </c:pt>
                <c:pt idx="113">
                  <c:v>44238</c:v>
                </c:pt>
                <c:pt idx="114">
                  <c:v>44239</c:v>
                </c:pt>
                <c:pt idx="115">
                  <c:v>44242</c:v>
                </c:pt>
                <c:pt idx="116">
                  <c:v>44243</c:v>
                </c:pt>
                <c:pt idx="117">
                  <c:v>44244</c:v>
                </c:pt>
                <c:pt idx="118">
                  <c:v>44245</c:v>
                </c:pt>
                <c:pt idx="119">
                  <c:v>44246</c:v>
                </c:pt>
                <c:pt idx="120">
                  <c:v>44249</c:v>
                </c:pt>
                <c:pt idx="121">
                  <c:v>44250</c:v>
                </c:pt>
                <c:pt idx="122">
                  <c:v>44251</c:v>
                </c:pt>
                <c:pt idx="123">
                  <c:v>44252</c:v>
                </c:pt>
                <c:pt idx="124">
                  <c:v>44253</c:v>
                </c:pt>
                <c:pt idx="125">
                  <c:v>44256</c:v>
                </c:pt>
                <c:pt idx="126">
                  <c:v>44257</c:v>
                </c:pt>
                <c:pt idx="127">
                  <c:v>44258</c:v>
                </c:pt>
                <c:pt idx="128">
                  <c:v>44259</c:v>
                </c:pt>
                <c:pt idx="129">
                  <c:v>44260</c:v>
                </c:pt>
                <c:pt idx="130">
                  <c:v>44263</c:v>
                </c:pt>
                <c:pt idx="131">
                  <c:v>44264</c:v>
                </c:pt>
                <c:pt idx="132">
                  <c:v>44265</c:v>
                </c:pt>
                <c:pt idx="133">
                  <c:v>44267</c:v>
                </c:pt>
                <c:pt idx="134">
                  <c:v>44270</c:v>
                </c:pt>
                <c:pt idx="135">
                  <c:v>44271</c:v>
                </c:pt>
                <c:pt idx="136">
                  <c:v>44272</c:v>
                </c:pt>
                <c:pt idx="137">
                  <c:v>44273</c:v>
                </c:pt>
                <c:pt idx="138">
                  <c:v>44274</c:v>
                </c:pt>
                <c:pt idx="139">
                  <c:v>44277</c:v>
                </c:pt>
                <c:pt idx="140">
                  <c:v>44278</c:v>
                </c:pt>
                <c:pt idx="141">
                  <c:v>44279</c:v>
                </c:pt>
                <c:pt idx="142">
                  <c:v>44280</c:v>
                </c:pt>
                <c:pt idx="143">
                  <c:v>44281</c:v>
                </c:pt>
                <c:pt idx="144">
                  <c:v>44285</c:v>
                </c:pt>
                <c:pt idx="145">
                  <c:v>44286</c:v>
                </c:pt>
                <c:pt idx="146">
                  <c:v>44287</c:v>
                </c:pt>
                <c:pt idx="147">
                  <c:v>44291</c:v>
                </c:pt>
                <c:pt idx="148">
                  <c:v>44292</c:v>
                </c:pt>
                <c:pt idx="149">
                  <c:v>44293</c:v>
                </c:pt>
                <c:pt idx="150">
                  <c:v>44294</c:v>
                </c:pt>
                <c:pt idx="151">
                  <c:v>44295</c:v>
                </c:pt>
                <c:pt idx="152">
                  <c:v>44298</c:v>
                </c:pt>
                <c:pt idx="153">
                  <c:v>44299</c:v>
                </c:pt>
                <c:pt idx="154">
                  <c:v>44301</c:v>
                </c:pt>
                <c:pt idx="155">
                  <c:v>44302</c:v>
                </c:pt>
                <c:pt idx="156">
                  <c:v>44305</c:v>
                </c:pt>
                <c:pt idx="157">
                  <c:v>44306</c:v>
                </c:pt>
                <c:pt idx="158">
                  <c:v>44308</c:v>
                </c:pt>
                <c:pt idx="159">
                  <c:v>44309</c:v>
                </c:pt>
                <c:pt idx="160">
                  <c:v>44312</c:v>
                </c:pt>
                <c:pt idx="161">
                  <c:v>44313</c:v>
                </c:pt>
                <c:pt idx="162">
                  <c:v>44314</c:v>
                </c:pt>
                <c:pt idx="163">
                  <c:v>44315</c:v>
                </c:pt>
                <c:pt idx="164">
                  <c:v>44316</c:v>
                </c:pt>
                <c:pt idx="165">
                  <c:v>44319</c:v>
                </c:pt>
                <c:pt idx="166">
                  <c:v>44320</c:v>
                </c:pt>
                <c:pt idx="167">
                  <c:v>44321</c:v>
                </c:pt>
                <c:pt idx="168">
                  <c:v>44322</c:v>
                </c:pt>
                <c:pt idx="169">
                  <c:v>44323</c:v>
                </c:pt>
                <c:pt idx="170">
                  <c:v>44326</c:v>
                </c:pt>
                <c:pt idx="171">
                  <c:v>44327</c:v>
                </c:pt>
                <c:pt idx="172">
                  <c:v>44328</c:v>
                </c:pt>
                <c:pt idx="173">
                  <c:v>44330</c:v>
                </c:pt>
                <c:pt idx="174">
                  <c:v>44333</c:v>
                </c:pt>
                <c:pt idx="175">
                  <c:v>44334</c:v>
                </c:pt>
                <c:pt idx="176">
                  <c:v>44335</c:v>
                </c:pt>
                <c:pt idx="177">
                  <c:v>44336</c:v>
                </c:pt>
                <c:pt idx="178">
                  <c:v>44337</c:v>
                </c:pt>
                <c:pt idx="179">
                  <c:v>44340</c:v>
                </c:pt>
                <c:pt idx="180">
                  <c:v>44341</c:v>
                </c:pt>
                <c:pt idx="181">
                  <c:v>44342</c:v>
                </c:pt>
                <c:pt idx="182">
                  <c:v>44343</c:v>
                </c:pt>
                <c:pt idx="183">
                  <c:v>44344</c:v>
                </c:pt>
                <c:pt idx="184">
                  <c:v>44347</c:v>
                </c:pt>
                <c:pt idx="185">
                  <c:v>44348</c:v>
                </c:pt>
                <c:pt idx="186">
                  <c:v>44349</c:v>
                </c:pt>
                <c:pt idx="187">
                  <c:v>44350</c:v>
                </c:pt>
                <c:pt idx="188">
                  <c:v>44351</c:v>
                </c:pt>
                <c:pt idx="189">
                  <c:v>44354</c:v>
                </c:pt>
                <c:pt idx="190">
                  <c:v>44355</c:v>
                </c:pt>
                <c:pt idx="191">
                  <c:v>44356</c:v>
                </c:pt>
                <c:pt idx="192">
                  <c:v>44357</c:v>
                </c:pt>
                <c:pt idx="193">
                  <c:v>44358</c:v>
                </c:pt>
                <c:pt idx="194">
                  <c:v>44361</c:v>
                </c:pt>
                <c:pt idx="195">
                  <c:v>44362</c:v>
                </c:pt>
                <c:pt idx="196">
                  <c:v>44363</c:v>
                </c:pt>
                <c:pt idx="197">
                  <c:v>44364</c:v>
                </c:pt>
                <c:pt idx="198">
                  <c:v>44365</c:v>
                </c:pt>
                <c:pt idx="199">
                  <c:v>44368</c:v>
                </c:pt>
                <c:pt idx="200">
                  <c:v>44369</c:v>
                </c:pt>
                <c:pt idx="201">
                  <c:v>44370</c:v>
                </c:pt>
                <c:pt idx="202">
                  <c:v>44371</c:v>
                </c:pt>
                <c:pt idx="203">
                  <c:v>44372</c:v>
                </c:pt>
                <c:pt idx="204">
                  <c:v>44375</c:v>
                </c:pt>
                <c:pt idx="205">
                  <c:v>44376</c:v>
                </c:pt>
                <c:pt idx="206">
                  <c:v>44377</c:v>
                </c:pt>
                <c:pt idx="207">
                  <c:v>44378</c:v>
                </c:pt>
                <c:pt idx="208">
                  <c:v>44379</c:v>
                </c:pt>
                <c:pt idx="209">
                  <c:v>44382</c:v>
                </c:pt>
                <c:pt idx="210">
                  <c:v>44383</c:v>
                </c:pt>
                <c:pt idx="211">
                  <c:v>44384</c:v>
                </c:pt>
                <c:pt idx="212">
                  <c:v>44385</c:v>
                </c:pt>
                <c:pt idx="213">
                  <c:v>44386</c:v>
                </c:pt>
                <c:pt idx="214">
                  <c:v>44389</c:v>
                </c:pt>
                <c:pt idx="215">
                  <c:v>44390</c:v>
                </c:pt>
                <c:pt idx="216">
                  <c:v>44391</c:v>
                </c:pt>
                <c:pt idx="217">
                  <c:v>44392</c:v>
                </c:pt>
                <c:pt idx="218">
                  <c:v>44393</c:v>
                </c:pt>
                <c:pt idx="219">
                  <c:v>44396</c:v>
                </c:pt>
                <c:pt idx="220">
                  <c:v>44397</c:v>
                </c:pt>
                <c:pt idx="221">
                  <c:v>44399</c:v>
                </c:pt>
                <c:pt idx="222">
                  <c:v>44400</c:v>
                </c:pt>
                <c:pt idx="223">
                  <c:v>44403</c:v>
                </c:pt>
                <c:pt idx="224">
                  <c:v>44404</c:v>
                </c:pt>
                <c:pt idx="225">
                  <c:v>44405</c:v>
                </c:pt>
                <c:pt idx="226">
                  <c:v>44406</c:v>
                </c:pt>
                <c:pt idx="227">
                  <c:v>44407</c:v>
                </c:pt>
                <c:pt idx="228">
                  <c:v>44410</c:v>
                </c:pt>
                <c:pt idx="229">
                  <c:v>44411</c:v>
                </c:pt>
                <c:pt idx="230">
                  <c:v>44412</c:v>
                </c:pt>
                <c:pt idx="231">
                  <c:v>44413</c:v>
                </c:pt>
                <c:pt idx="232">
                  <c:v>44414</c:v>
                </c:pt>
                <c:pt idx="233">
                  <c:v>44417</c:v>
                </c:pt>
                <c:pt idx="234">
                  <c:v>44418</c:v>
                </c:pt>
                <c:pt idx="235">
                  <c:v>44419</c:v>
                </c:pt>
                <c:pt idx="236">
                  <c:v>44420</c:v>
                </c:pt>
                <c:pt idx="237">
                  <c:v>44421</c:v>
                </c:pt>
                <c:pt idx="238">
                  <c:v>44424</c:v>
                </c:pt>
                <c:pt idx="239">
                  <c:v>44425</c:v>
                </c:pt>
                <c:pt idx="240">
                  <c:v>44426</c:v>
                </c:pt>
                <c:pt idx="241">
                  <c:v>44428</c:v>
                </c:pt>
                <c:pt idx="242">
                  <c:v>44431</c:v>
                </c:pt>
                <c:pt idx="243">
                  <c:v>44432</c:v>
                </c:pt>
                <c:pt idx="244">
                  <c:v>44433</c:v>
                </c:pt>
                <c:pt idx="245">
                  <c:v>44434</c:v>
                </c:pt>
                <c:pt idx="246">
                  <c:v>44435</c:v>
                </c:pt>
                <c:pt idx="247">
                  <c:v>44438</c:v>
                </c:pt>
                <c:pt idx="248">
                  <c:v>44439</c:v>
                </c:pt>
              </c:numCache>
            </c:numRef>
          </c:cat>
          <c:val>
            <c:numRef>
              <c:f>'data (12)'!$O$2:$O$250</c:f>
              <c:numCache>
                <c:formatCode>General</c:formatCode>
                <c:ptCount val="249"/>
                <c:pt idx="0">
                  <c:v>100</c:v>
                </c:pt>
                <c:pt idx="1">
                  <c:v>100.47615987331879</c:v>
                </c:pt>
                <c:pt idx="2">
                  <c:v>100.23171759963806</c:v>
                </c:pt>
                <c:pt idx="3">
                  <c:v>98.602548019577995</c:v>
                </c:pt>
                <c:pt idx="4">
                  <c:v>98.75691502488381</c:v>
                </c:pt>
                <c:pt idx="5">
                  <c:v>98.623550158351492</c:v>
                </c:pt>
                <c:pt idx="6">
                  <c:v>98.182865133878991</c:v>
                </c:pt>
                <c:pt idx="7">
                  <c:v>99.844527618969281</c:v>
                </c:pt>
                <c:pt idx="8">
                  <c:v>99.881107843540505</c:v>
                </c:pt>
                <c:pt idx="9">
                  <c:v>99.629390655205029</c:v>
                </c:pt>
                <c:pt idx="10">
                  <c:v>100.36901554723809</c:v>
                </c:pt>
                <c:pt idx="11">
                  <c:v>101.03352630280095</c:v>
                </c:pt>
                <c:pt idx="12">
                  <c:v>100.20320918849997</c:v>
                </c:pt>
                <c:pt idx="13">
                  <c:v>99.858666145683372</c:v>
                </c:pt>
                <c:pt idx="14">
                  <c:v>97.772128079628175</c:v>
                </c:pt>
                <c:pt idx="15">
                  <c:v>97.000781474931102</c:v>
                </c:pt>
                <c:pt idx="16">
                  <c:v>96.831993172376912</c:v>
                </c:pt>
                <c:pt idx="17">
                  <c:v>93.966190926664737</c:v>
                </c:pt>
                <c:pt idx="18">
                  <c:v>96.112830584460994</c:v>
                </c:pt>
                <c:pt idx="19">
                  <c:v>97.637143709126804</c:v>
                </c:pt>
                <c:pt idx="20">
                  <c:v>97.615524616460334</c:v>
                </c:pt>
                <c:pt idx="21">
                  <c:v>97.858990046477203</c:v>
                </c:pt>
                <c:pt idx="22">
                  <c:v>99.476231851272999</c:v>
                </c:pt>
                <c:pt idx="23">
                  <c:v>100.18739974499239</c:v>
                </c:pt>
                <c:pt idx="24">
                  <c:v>101.7320209353021</c:v>
                </c:pt>
                <c:pt idx="25">
                  <c:v>102.51447271007279</c:v>
                </c:pt>
                <c:pt idx="26">
                  <c:v>103.2952278616378</c:v>
                </c:pt>
                <c:pt idx="27">
                  <c:v>104.13536482540205</c:v>
                </c:pt>
                <c:pt idx="28">
                  <c:v>104.35209558672315</c:v>
                </c:pt>
                <c:pt idx="29">
                  <c:v>104.433610619833</c:v>
                </c:pt>
                <c:pt idx="30">
                  <c:v>104.86864023361986</c:v>
                </c:pt>
                <c:pt idx="31">
                  <c:v>102.12748838070168</c:v>
                </c:pt>
                <c:pt idx="32">
                  <c:v>102.781896516267</c:v>
                </c:pt>
                <c:pt idx="33">
                  <c:v>103.93513758071811</c:v>
                </c:pt>
                <c:pt idx="34">
                  <c:v>104.22502879118164</c:v>
                </c:pt>
                <c:pt idx="35">
                  <c:v>104.64388907169</c:v>
                </c:pt>
                <c:pt idx="36">
                  <c:v>104.26132624521857</c:v>
                </c:pt>
                <c:pt idx="37">
                  <c:v>104.58782338666553</c:v>
                </c:pt>
                <c:pt idx="38">
                  <c:v>103.19967712746264</c:v>
                </c:pt>
                <c:pt idx="39">
                  <c:v>104.16778061119561</c:v>
                </c:pt>
                <c:pt idx="40">
                  <c:v>102.62632130958742</c:v>
                </c:pt>
                <c:pt idx="41">
                  <c:v>102.18260292847444</c:v>
                </c:pt>
                <c:pt idx="42">
                  <c:v>101.83356126352155</c:v>
                </c:pt>
                <c:pt idx="43">
                  <c:v>102.20247398511083</c:v>
                </c:pt>
                <c:pt idx="44">
                  <c:v>103.49692037181752</c:v>
                </c:pt>
                <c:pt idx="45">
                  <c:v>104.4095237115946</c:v>
                </c:pt>
                <c:pt idx="46">
                  <c:v>106.27071936823921</c:v>
                </c:pt>
                <c:pt idx="47">
                  <c:v>107.69202689918973</c:v>
                </c:pt>
                <c:pt idx="48">
                  <c:v>109.50270945584666</c:v>
                </c:pt>
                <c:pt idx="49">
                  <c:v>111.25131102702257</c:v>
                </c:pt>
                <c:pt idx="50">
                  <c:v>112.06368506560274</c:v>
                </c:pt>
                <c:pt idx="51">
                  <c:v>111.45577982972071</c:v>
                </c:pt>
                <c:pt idx="52">
                  <c:v>111.67636655287292</c:v>
                </c:pt>
                <c:pt idx="53">
                  <c:v>112.17759017809401</c:v>
                </c:pt>
                <c:pt idx="54">
                  <c:v>112.98664808949943</c:v>
                </c:pt>
                <c:pt idx="55">
                  <c:v>113.57105766462386</c:v>
                </c:pt>
                <c:pt idx="56">
                  <c:v>112.07985439888125</c:v>
                </c:pt>
                <c:pt idx="57">
                  <c:v>112.80552070908567</c:v>
                </c:pt>
                <c:pt idx="58">
                  <c:v>113.30653868300909</c:v>
                </c:pt>
                <c:pt idx="59">
                  <c:v>114.45271048410316</c:v>
                </c:pt>
                <c:pt idx="60">
                  <c:v>112.66632048698229</c:v>
                </c:pt>
                <c:pt idx="61">
                  <c:v>113.77591206350512</c:v>
                </c:pt>
                <c:pt idx="62">
                  <c:v>113.49309011639863</c:v>
                </c:pt>
                <c:pt idx="63">
                  <c:v>114.79311479455436</c:v>
                </c:pt>
                <c:pt idx="64">
                  <c:v>114.69697281289845</c:v>
                </c:pt>
                <c:pt idx="65">
                  <c:v>114.73452988113357</c:v>
                </c:pt>
                <c:pt idx="66">
                  <c:v>115.883349442685</c:v>
                </c:pt>
                <c:pt idx="67">
                  <c:v>116.7764416155966</c:v>
                </c:pt>
                <c:pt idx="68">
                  <c:v>117.24311582281086</c:v>
                </c:pt>
                <c:pt idx="69">
                  <c:v>118.51555752066797</c:v>
                </c:pt>
                <c:pt idx="70">
                  <c:v>118.1463620285444</c:v>
                </c:pt>
                <c:pt idx="71">
                  <c:v>118.50401534158684</c:v>
                </c:pt>
                <c:pt idx="72">
                  <c:v>118.90105087813107</c:v>
                </c:pt>
                <c:pt idx="73">
                  <c:v>118.92601180438452</c:v>
                </c:pt>
                <c:pt idx="74">
                  <c:v>119.96272570229922</c:v>
                </c:pt>
                <c:pt idx="75">
                  <c:v>120.53824085879987</c:v>
                </c:pt>
                <c:pt idx="76">
                  <c:v>120.71908546867938</c:v>
                </c:pt>
                <c:pt idx="77">
                  <c:v>117.10288734421921</c:v>
                </c:pt>
                <c:pt idx="78">
                  <c:v>118.2666937440876</c:v>
                </c:pt>
                <c:pt idx="79">
                  <c:v>119.39132357175181</c:v>
                </c:pt>
                <c:pt idx="80">
                  <c:v>120.75211820836597</c:v>
                </c:pt>
                <c:pt idx="81">
                  <c:v>121.72950170690585</c:v>
                </c:pt>
                <c:pt idx="82">
                  <c:v>122.39614609468194</c:v>
                </c:pt>
                <c:pt idx="83">
                  <c:v>122.73840126681206</c:v>
                </c:pt>
                <c:pt idx="84">
                  <c:v>122.75153724345007</c:v>
                </c:pt>
                <c:pt idx="85">
                  <c:v>123.05397318307085</c:v>
                </c:pt>
                <c:pt idx="86">
                  <c:v>123.84526796364094</c:v>
                </c:pt>
                <c:pt idx="87">
                  <c:v>124.51615390943125</c:v>
                </c:pt>
                <c:pt idx="88">
                  <c:v>123.8382244066961</c:v>
                </c:pt>
                <c:pt idx="89">
                  <c:v>123.63067083453306</c:v>
                </c:pt>
                <c:pt idx="90">
                  <c:v>125.40233105745909</c:v>
                </c:pt>
                <c:pt idx="91">
                  <c:v>126.65374491013051</c:v>
                </c:pt>
                <c:pt idx="92">
                  <c:v>127.2907240982192</c:v>
                </c:pt>
                <c:pt idx="93">
                  <c:v>127.22699790235691</c:v>
                </c:pt>
                <c:pt idx="94">
                  <c:v>127.46308559207024</c:v>
                </c:pt>
                <c:pt idx="95">
                  <c:v>126.05054394768244</c:v>
                </c:pt>
                <c:pt idx="96">
                  <c:v>124.84131431744348</c:v>
                </c:pt>
                <c:pt idx="97">
                  <c:v>126.98528050837014</c:v>
                </c:pt>
                <c:pt idx="98">
                  <c:v>127.99767614033658</c:v>
                </c:pt>
                <c:pt idx="99">
                  <c:v>127.56745362563251</c:v>
                </c:pt>
                <c:pt idx="100">
                  <c:v>125.64918973388735</c:v>
                </c:pt>
                <c:pt idx="101">
                  <c:v>124.28430777773221</c:v>
                </c:pt>
                <c:pt idx="102">
                  <c:v>121.87392033068743</c:v>
                </c:pt>
                <c:pt idx="103">
                  <c:v>120.49716201209243</c:v>
                </c:pt>
                <c:pt idx="104">
                  <c:v>118.98410829597347</c:v>
                </c:pt>
                <c:pt idx="105">
                  <c:v>124.93473141940538</c:v>
                </c:pt>
                <c:pt idx="106">
                  <c:v>128.01207173117274</c:v>
                </c:pt>
                <c:pt idx="107">
                  <c:v>129.18950252951106</c:v>
                </c:pt>
                <c:pt idx="108">
                  <c:v>130.11118023279738</c:v>
                </c:pt>
                <c:pt idx="109">
                  <c:v>130.41281927363971</c:v>
                </c:pt>
                <c:pt idx="110">
                  <c:v>131.99926479661099</c:v>
                </c:pt>
                <c:pt idx="111">
                  <c:v>131.94864887097452</c:v>
                </c:pt>
                <c:pt idx="112">
                  <c:v>131.89803294533803</c:v>
                </c:pt>
                <c:pt idx="113">
                  <c:v>132.46904947970236</c:v>
                </c:pt>
                <c:pt idx="114">
                  <c:v>132.50190227450352</c:v>
                </c:pt>
                <c:pt idx="115">
                  <c:v>134.06955641015111</c:v>
                </c:pt>
                <c:pt idx="116">
                  <c:v>133.94112717476264</c:v>
                </c:pt>
                <c:pt idx="117">
                  <c:v>132.91199666844915</c:v>
                </c:pt>
                <c:pt idx="118">
                  <c:v>131.93736375601546</c:v>
                </c:pt>
                <c:pt idx="119">
                  <c:v>130.81931476987637</c:v>
                </c:pt>
                <c:pt idx="120">
                  <c:v>127.87479948998495</c:v>
                </c:pt>
                <c:pt idx="121">
                  <c:v>127.89302533624006</c:v>
                </c:pt>
                <c:pt idx="122">
                  <c:v>130.54150557315035</c:v>
                </c:pt>
                <c:pt idx="123">
                  <c:v>131.20375416443895</c:v>
                </c:pt>
                <c:pt idx="124">
                  <c:v>126.21845823222162</c:v>
                </c:pt>
                <c:pt idx="125">
                  <c:v>128.1460535515981</c:v>
                </c:pt>
                <c:pt idx="126">
                  <c:v>129.29525870933264</c:v>
                </c:pt>
                <c:pt idx="127">
                  <c:v>132.2457378768562</c:v>
                </c:pt>
                <c:pt idx="128">
                  <c:v>130.7070291613542</c:v>
                </c:pt>
                <c:pt idx="129">
                  <c:v>129.57399333689816</c:v>
                </c:pt>
                <c:pt idx="130">
                  <c:v>129.66589376053983</c:v>
                </c:pt>
                <c:pt idx="131">
                  <c:v>131.16820219635608</c:v>
                </c:pt>
                <c:pt idx="132">
                  <c:v>131.82122218566221</c:v>
                </c:pt>
                <c:pt idx="133">
                  <c:v>130.56821453543392</c:v>
                </c:pt>
                <c:pt idx="134">
                  <c:v>129.54766997079773</c:v>
                </c:pt>
                <c:pt idx="135">
                  <c:v>129.46767161600809</c:v>
                </c:pt>
                <c:pt idx="136">
                  <c:v>128.02209723193374</c:v>
                </c:pt>
                <c:pt idx="137">
                  <c:v>126.51801505367517</c:v>
                </c:pt>
                <c:pt idx="138">
                  <c:v>128.16764693785237</c:v>
                </c:pt>
                <c:pt idx="139">
                  <c:v>127.9441296837085</c:v>
                </c:pt>
                <c:pt idx="140">
                  <c:v>128.66429482170051</c:v>
                </c:pt>
                <c:pt idx="141">
                  <c:v>126.42493213507194</c:v>
                </c:pt>
                <c:pt idx="142">
                  <c:v>124.52216920988789</c:v>
                </c:pt>
                <c:pt idx="143">
                  <c:v>125.98327026693558</c:v>
                </c:pt>
                <c:pt idx="144">
                  <c:v>128.88315921523485</c:v>
                </c:pt>
                <c:pt idx="145">
                  <c:v>127.27026179410213</c:v>
                </c:pt>
                <c:pt idx="146">
                  <c:v>128.60874326492021</c:v>
                </c:pt>
                <c:pt idx="147">
                  <c:v>126.3709743758485</c:v>
                </c:pt>
                <c:pt idx="148">
                  <c:v>126.4791212520053</c:v>
                </c:pt>
                <c:pt idx="149">
                  <c:v>127.66256735080019</c:v>
                </c:pt>
                <c:pt idx="150">
                  <c:v>127.87965800189218</c:v>
                </c:pt>
                <c:pt idx="151">
                  <c:v>127.48149138321081</c:v>
                </c:pt>
                <c:pt idx="152">
                  <c:v>123.0909904166497</c:v>
                </c:pt>
                <c:pt idx="153">
                  <c:v>124.78936165837223</c:v>
                </c:pt>
                <c:pt idx="154">
                  <c:v>125.45675153210234</c:v>
                </c:pt>
                <c:pt idx="155">
                  <c:v>125.5296292107105</c:v>
                </c:pt>
                <c:pt idx="156">
                  <c:v>123.26075556286777</c:v>
                </c:pt>
                <c:pt idx="157">
                  <c:v>122.63449594866961</c:v>
                </c:pt>
                <c:pt idx="158">
                  <c:v>123.59815222309069</c:v>
                </c:pt>
                <c:pt idx="159">
                  <c:v>123.07831715543141</c:v>
                </c:pt>
                <c:pt idx="160">
                  <c:v>124.3843571340437</c:v>
                </c:pt>
                <c:pt idx="161">
                  <c:v>125.81782379796834</c:v>
                </c:pt>
                <c:pt idx="162">
                  <c:v>127.84785916999154</c:v>
                </c:pt>
                <c:pt idx="163">
                  <c:v>127.9303767531775</c:v>
                </c:pt>
                <c:pt idx="164">
                  <c:v>125.40194546127604</c:v>
                </c:pt>
                <c:pt idx="165">
                  <c:v>125.23783572574361</c:v>
                </c:pt>
                <c:pt idx="166">
                  <c:v>124.04246185168448</c:v>
                </c:pt>
                <c:pt idx="167">
                  <c:v>125.13251655492965</c:v>
                </c:pt>
                <c:pt idx="168">
                  <c:v>125.83227080162895</c:v>
                </c:pt>
                <c:pt idx="169">
                  <c:v>126.49218010940669</c:v>
                </c:pt>
                <c:pt idx="170">
                  <c:v>127.2529356722743</c:v>
                </c:pt>
                <c:pt idx="171">
                  <c:v>126.37737527248817</c:v>
                </c:pt>
                <c:pt idx="172">
                  <c:v>125.16657755110455</c:v>
                </c:pt>
                <c:pt idx="173">
                  <c:v>125.27390182207071</c:v>
                </c:pt>
                <c:pt idx="174">
                  <c:v>127.45426829268315</c:v>
                </c:pt>
                <c:pt idx="175">
                  <c:v>129.0290431045122</c:v>
                </c:pt>
                <c:pt idx="176">
                  <c:v>128.28178340805351</c:v>
                </c:pt>
                <c:pt idx="177">
                  <c:v>127.41347221650989</c:v>
                </c:pt>
                <c:pt idx="178">
                  <c:v>129.92144120429421</c:v>
                </c:pt>
                <c:pt idx="179">
                  <c:v>130.20786204910974</c:v>
                </c:pt>
                <c:pt idx="180">
                  <c:v>130.17092193476759</c:v>
                </c:pt>
                <c:pt idx="181">
                  <c:v>131.14773989223892</c:v>
                </c:pt>
                <c:pt idx="182">
                  <c:v>131.39889153950583</c:v>
                </c:pt>
                <c:pt idx="183">
                  <c:v>132.18977501748057</c:v>
                </c:pt>
                <c:pt idx="184">
                  <c:v>133.5125241640277</c:v>
                </c:pt>
                <c:pt idx="185">
                  <c:v>133.50594332250259</c:v>
                </c:pt>
                <c:pt idx="186">
                  <c:v>133.28641056225089</c:v>
                </c:pt>
                <c:pt idx="187">
                  <c:v>134.27083761773562</c:v>
                </c:pt>
                <c:pt idx="188">
                  <c:v>133.93053613293327</c:v>
                </c:pt>
                <c:pt idx="189">
                  <c:v>134.51782482622491</c:v>
                </c:pt>
                <c:pt idx="190">
                  <c:v>134.38173507999861</c:v>
                </c:pt>
                <c:pt idx="191">
                  <c:v>133.52332085715486</c:v>
                </c:pt>
                <c:pt idx="192">
                  <c:v>134.44574404639519</c:v>
                </c:pt>
                <c:pt idx="193">
                  <c:v>134.89378110475903</c:v>
                </c:pt>
                <c:pt idx="194">
                  <c:v>135.09112923127569</c:v>
                </c:pt>
                <c:pt idx="195">
                  <c:v>135.66057767449539</c:v>
                </c:pt>
                <c:pt idx="196">
                  <c:v>134.96375395878775</c:v>
                </c:pt>
                <c:pt idx="197">
                  <c:v>134.50450890470145</c:v>
                </c:pt>
                <c:pt idx="198">
                  <c:v>134.55880084728361</c:v>
                </c:pt>
                <c:pt idx="199">
                  <c:v>135.15007403446742</c:v>
                </c:pt>
                <c:pt idx="200">
                  <c:v>135.18670567186305</c:v>
                </c:pt>
                <c:pt idx="201">
                  <c:v>134.46016534364358</c:v>
                </c:pt>
                <c:pt idx="202">
                  <c:v>135.47022169209913</c:v>
                </c:pt>
                <c:pt idx="203">
                  <c:v>136.05128943363658</c:v>
                </c:pt>
                <c:pt idx="204">
                  <c:v>135.56428145436621</c:v>
                </c:pt>
                <c:pt idx="205">
                  <c:v>135.08632213219292</c:v>
                </c:pt>
                <c:pt idx="206">
                  <c:v>134.91421770246396</c:v>
                </c:pt>
                <c:pt idx="207">
                  <c:v>134.49234977172733</c:v>
                </c:pt>
                <c:pt idx="208">
                  <c:v>134.91925615925663</c:v>
                </c:pt>
                <c:pt idx="209">
                  <c:v>135.9355077530542</c:v>
                </c:pt>
                <c:pt idx="210">
                  <c:v>135.88712828527974</c:v>
                </c:pt>
                <c:pt idx="211">
                  <c:v>136.38475301279178</c:v>
                </c:pt>
                <c:pt idx="212">
                  <c:v>135.13588409492888</c:v>
                </c:pt>
                <c:pt idx="213">
                  <c:v>134.66609941183754</c:v>
                </c:pt>
                <c:pt idx="214">
                  <c:v>134.63139575535746</c:v>
                </c:pt>
                <c:pt idx="215">
                  <c:v>135.65204314564249</c:v>
                </c:pt>
                <c:pt idx="216">
                  <c:v>135.99733167441312</c:v>
                </c:pt>
                <c:pt idx="217">
                  <c:v>136.65233105745921</c:v>
                </c:pt>
                <c:pt idx="218">
                  <c:v>136.60402870892139</c:v>
                </c:pt>
                <c:pt idx="219">
                  <c:v>135.09593633035848</c:v>
                </c:pt>
                <c:pt idx="220">
                  <c:v>134.18364146752791</c:v>
                </c:pt>
                <c:pt idx="221">
                  <c:v>135.82551001521841</c:v>
                </c:pt>
                <c:pt idx="222">
                  <c:v>136.18177518200162</c:v>
                </c:pt>
                <c:pt idx="223">
                  <c:v>135.86422387200284</c:v>
                </c:pt>
                <c:pt idx="224">
                  <c:v>135.16112779171658</c:v>
                </c:pt>
                <c:pt idx="225">
                  <c:v>134.81396269485481</c:v>
                </c:pt>
                <c:pt idx="226">
                  <c:v>135.35215214083021</c:v>
                </c:pt>
                <c:pt idx="227">
                  <c:v>135.1818985727802</c:v>
                </c:pt>
                <c:pt idx="228">
                  <c:v>136.11707214247542</c:v>
                </c:pt>
                <c:pt idx="229">
                  <c:v>138.36054785505718</c:v>
                </c:pt>
                <c:pt idx="230">
                  <c:v>139.76517192448503</c:v>
                </c:pt>
                <c:pt idx="231">
                  <c:v>140.08154073952224</c:v>
                </c:pt>
                <c:pt idx="232">
                  <c:v>139.52854440011535</c:v>
                </c:pt>
                <c:pt idx="233">
                  <c:v>139.85020873606729</c:v>
                </c:pt>
                <c:pt idx="234">
                  <c:v>140.24045777978876</c:v>
                </c:pt>
                <c:pt idx="235">
                  <c:v>140.16660325751673</c:v>
                </c:pt>
                <c:pt idx="236">
                  <c:v>140.98419569777505</c:v>
                </c:pt>
                <c:pt idx="237">
                  <c:v>142.50938284045591</c:v>
                </c:pt>
                <c:pt idx="238">
                  <c:v>142.88287130341814</c:v>
                </c:pt>
                <c:pt idx="239">
                  <c:v>143.4219090609964</c:v>
                </c:pt>
                <c:pt idx="240">
                  <c:v>143.00346008308335</c:v>
                </c:pt>
                <c:pt idx="241">
                  <c:v>142.231830707852</c:v>
                </c:pt>
                <c:pt idx="242">
                  <c:v>142.81400382511436</c:v>
                </c:pt>
                <c:pt idx="243">
                  <c:v>143.85046065890697</c:v>
                </c:pt>
                <c:pt idx="244">
                  <c:v>143.81249228807653</c:v>
                </c:pt>
                <c:pt idx="245">
                  <c:v>143.82506272364597</c:v>
                </c:pt>
                <c:pt idx="246">
                  <c:v>144.27651873483342</c:v>
                </c:pt>
                <c:pt idx="247">
                  <c:v>146.24316209435301</c:v>
                </c:pt>
                <c:pt idx="248">
                  <c:v>147.94654608645598</c:v>
                </c:pt>
              </c:numCache>
            </c:numRef>
          </c:val>
          <c:smooth val="0"/>
          <c:extLst>
            <c:ext xmlns:c16="http://schemas.microsoft.com/office/drawing/2014/chart" uri="{C3380CC4-5D6E-409C-BE32-E72D297353CC}">
              <c16:uniqueId val="{00000000-EB3C-4DE1-A83B-F52F3C0B621C}"/>
            </c:ext>
          </c:extLst>
        </c:ser>
        <c:ser>
          <c:idx val="1"/>
          <c:order val="1"/>
          <c:tx>
            <c:strRef>
              <c:f>'data (12)'!$P$1</c:f>
              <c:strCache>
                <c:ptCount val="1"/>
                <c:pt idx="0">
                  <c:v>NIFTY 50</c:v>
                </c:pt>
              </c:strCache>
            </c:strRef>
          </c:tx>
          <c:spPr>
            <a:ln w="28575" cap="rnd">
              <a:solidFill>
                <a:schemeClr val="accent2"/>
              </a:solidFill>
              <a:round/>
            </a:ln>
            <a:effectLst/>
          </c:spPr>
          <c:marker>
            <c:symbol val="none"/>
          </c:marker>
          <c:cat>
            <c:numRef>
              <c:f>'data (12)'!$N$2:$N$250</c:f>
              <c:numCache>
                <c:formatCode>d\-mmm\-yy</c:formatCode>
                <c:ptCount val="249"/>
                <c:pt idx="0">
                  <c:v>44075</c:v>
                </c:pt>
                <c:pt idx="1">
                  <c:v>44076</c:v>
                </c:pt>
                <c:pt idx="2">
                  <c:v>44077</c:v>
                </c:pt>
                <c:pt idx="3">
                  <c:v>44078</c:v>
                </c:pt>
                <c:pt idx="4">
                  <c:v>44081</c:v>
                </c:pt>
                <c:pt idx="5">
                  <c:v>44082</c:v>
                </c:pt>
                <c:pt idx="6">
                  <c:v>44083</c:v>
                </c:pt>
                <c:pt idx="7">
                  <c:v>44084</c:v>
                </c:pt>
                <c:pt idx="8">
                  <c:v>44085</c:v>
                </c:pt>
                <c:pt idx="9">
                  <c:v>44088</c:v>
                </c:pt>
                <c:pt idx="10">
                  <c:v>44089</c:v>
                </c:pt>
                <c:pt idx="11">
                  <c:v>44090</c:v>
                </c:pt>
                <c:pt idx="12">
                  <c:v>44091</c:v>
                </c:pt>
                <c:pt idx="13">
                  <c:v>44092</c:v>
                </c:pt>
                <c:pt idx="14">
                  <c:v>44095</c:v>
                </c:pt>
                <c:pt idx="15">
                  <c:v>44096</c:v>
                </c:pt>
                <c:pt idx="16">
                  <c:v>44097</c:v>
                </c:pt>
                <c:pt idx="17">
                  <c:v>44098</c:v>
                </c:pt>
                <c:pt idx="18">
                  <c:v>44099</c:v>
                </c:pt>
                <c:pt idx="19">
                  <c:v>44102</c:v>
                </c:pt>
                <c:pt idx="20">
                  <c:v>44103</c:v>
                </c:pt>
                <c:pt idx="21">
                  <c:v>44104</c:v>
                </c:pt>
                <c:pt idx="22">
                  <c:v>44105</c:v>
                </c:pt>
                <c:pt idx="23">
                  <c:v>44109</c:v>
                </c:pt>
                <c:pt idx="24">
                  <c:v>44110</c:v>
                </c:pt>
                <c:pt idx="25">
                  <c:v>44111</c:v>
                </c:pt>
                <c:pt idx="26">
                  <c:v>44112</c:v>
                </c:pt>
                <c:pt idx="27">
                  <c:v>44113</c:v>
                </c:pt>
                <c:pt idx="28">
                  <c:v>44116</c:v>
                </c:pt>
                <c:pt idx="29">
                  <c:v>44117</c:v>
                </c:pt>
                <c:pt idx="30">
                  <c:v>44118</c:v>
                </c:pt>
                <c:pt idx="31">
                  <c:v>44119</c:v>
                </c:pt>
                <c:pt idx="32">
                  <c:v>44120</c:v>
                </c:pt>
                <c:pt idx="33">
                  <c:v>44123</c:v>
                </c:pt>
                <c:pt idx="34">
                  <c:v>44124</c:v>
                </c:pt>
                <c:pt idx="35">
                  <c:v>44125</c:v>
                </c:pt>
                <c:pt idx="36">
                  <c:v>44126</c:v>
                </c:pt>
                <c:pt idx="37">
                  <c:v>44127</c:v>
                </c:pt>
                <c:pt idx="38">
                  <c:v>44130</c:v>
                </c:pt>
                <c:pt idx="39">
                  <c:v>44131</c:v>
                </c:pt>
                <c:pt idx="40">
                  <c:v>44132</c:v>
                </c:pt>
                <c:pt idx="41">
                  <c:v>44133</c:v>
                </c:pt>
                <c:pt idx="42">
                  <c:v>44134</c:v>
                </c:pt>
                <c:pt idx="43">
                  <c:v>44137</c:v>
                </c:pt>
                <c:pt idx="44">
                  <c:v>44138</c:v>
                </c:pt>
                <c:pt idx="45">
                  <c:v>44139</c:v>
                </c:pt>
                <c:pt idx="46">
                  <c:v>44140</c:v>
                </c:pt>
                <c:pt idx="47">
                  <c:v>44141</c:v>
                </c:pt>
                <c:pt idx="48">
                  <c:v>44144</c:v>
                </c:pt>
                <c:pt idx="49">
                  <c:v>44145</c:v>
                </c:pt>
                <c:pt idx="50">
                  <c:v>44146</c:v>
                </c:pt>
                <c:pt idx="51">
                  <c:v>44147</c:v>
                </c:pt>
                <c:pt idx="52">
                  <c:v>44148</c:v>
                </c:pt>
                <c:pt idx="53">
                  <c:v>44149</c:v>
                </c:pt>
                <c:pt idx="54">
                  <c:v>44152</c:v>
                </c:pt>
                <c:pt idx="55">
                  <c:v>44153</c:v>
                </c:pt>
                <c:pt idx="56">
                  <c:v>44154</c:v>
                </c:pt>
                <c:pt idx="57">
                  <c:v>44155</c:v>
                </c:pt>
                <c:pt idx="58">
                  <c:v>44158</c:v>
                </c:pt>
                <c:pt idx="59">
                  <c:v>44159</c:v>
                </c:pt>
                <c:pt idx="60">
                  <c:v>44160</c:v>
                </c:pt>
                <c:pt idx="61">
                  <c:v>44161</c:v>
                </c:pt>
                <c:pt idx="62">
                  <c:v>44162</c:v>
                </c:pt>
                <c:pt idx="63">
                  <c:v>44166</c:v>
                </c:pt>
                <c:pt idx="64">
                  <c:v>44167</c:v>
                </c:pt>
                <c:pt idx="65">
                  <c:v>44168</c:v>
                </c:pt>
                <c:pt idx="66">
                  <c:v>44169</c:v>
                </c:pt>
                <c:pt idx="67">
                  <c:v>44172</c:v>
                </c:pt>
                <c:pt idx="68">
                  <c:v>44173</c:v>
                </c:pt>
                <c:pt idx="69">
                  <c:v>44174</c:v>
                </c:pt>
                <c:pt idx="70">
                  <c:v>44175</c:v>
                </c:pt>
                <c:pt idx="71">
                  <c:v>44176</c:v>
                </c:pt>
                <c:pt idx="72">
                  <c:v>44179</c:v>
                </c:pt>
                <c:pt idx="73">
                  <c:v>44180</c:v>
                </c:pt>
                <c:pt idx="74">
                  <c:v>44181</c:v>
                </c:pt>
                <c:pt idx="75">
                  <c:v>44182</c:v>
                </c:pt>
                <c:pt idx="76">
                  <c:v>44183</c:v>
                </c:pt>
                <c:pt idx="77">
                  <c:v>44186</c:v>
                </c:pt>
                <c:pt idx="78">
                  <c:v>44187</c:v>
                </c:pt>
                <c:pt idx="79">
                  <c:v>44188</c:v>
                </c:pt>
                <c:pt idx="80">
                  <c:v>44189</c:v>
                </c:pt>
                <c:pt idx="81">
                  <c:v>44193</c:v>
                </c:pt>
                <c:pt idx="82">
                  <c:v>44194</c:v>
                </c:pt>
                <c:pt idx="83">
                  <c:v>44195</c:v>
                </c:pt>
                <c:pt idx="84">
                  <c:v>44196</c:v>
                </c:pt>
                <c:pt idx="85">
                  <c:v>44197</c:v>
                </c:pt>
                <c:pt idx="86">
                  <c:v>44200</c:v>
                </c:pt>
                <c:pt idx="87">
                  <c:v>44201</c:v>
                </c:pt>
                <c:pt idx="88">
                  <c:v>44202</c:v>
                </c:pt>
                <c:pt idx="89">
                  <c:v>44203</c:v>
                </c:pt>
                <c:pt idx="90">
                  <c:v>44204</c:v>
                </c:pt>
                <c:pt idx="91">
                  <c:v>44207</c:v>
                </c:pt>
                <c:pt idx="92">
                  <c:v>44208</c:v>
                </c:pt>
                <c:pt idx="93">
                  <c:v>44209</c:v>
                </c:pt>
                <c:pt idx="94">
                  <c:v>44210</c:v>
                </c:pt>
                <c:pt idx="95">
                  <c:v>44211</c:v>
                </c:pt>
                <c:pt idx="96">
                  <c:v>44214</c:v>
                </c:pt>
                <c:pt idx="97">
                  <c:v>44215</c:v>
                </c:pt>
                <c:pt idx="98">
                  <c:v>44216</c:v>
                </c:pt>
                <c:pt idx="99">
                  <c:v>44217</c:v>
                </c:pt>
                <c:pt idx="100">
                  <c:v>44218</c:v>
                </c:pt>
                <c:pt idx="101">
                  <c:v>44221</c:v>
                </c:pt>
                <c:pt idx="102">
                  <c:v>44223</c:v>
                </c:pt>
                <c:pt idx="103">
                  <c:v>44224</c:v>
                </c:pt>
                <c:pt idx="104">
                  <c:v>44225</c:v>
                </c:pt>
                <c:pt idx="105">
                  <c:v>44228</c:v>
                </c:pt>
                <c:pt idx="106">
                  <c:v>44229</c:v>
                </c:pt>
                <c:pt idx="107">
                  <c:v>44230</c:v>
                </c:pt>
                <c:pt idx="108">
                  <c:v>44231</c:v>
                </c:pt>
                <c:pt idx="109">
                  <c:v>44232</c:v>
                </c:pt>
                <c:pt idx="110">
                  <c:v>44235</c:v>
                </c:pt>
                <c:pt idx="111">
                  <c:v>44236</c:v>
                </c:pt>
                <c:pt idx="112">
                  <c:v>44237</c:v>
                </c:pt>
                <c:pt idx="113">
                  <c:v>44238</c:v>
                </c:pt>
                <c:pt idx="114">
                  <c:v>44239</c:v>
                </c:pt>
                <c:pt idx="115">
                  <c:v>44242</c:v>
                </c:pt>
                <c:pt idx="116">
                  <c:v>44243</c:v>
                </c:pt>
                <c:pt idx="117">
                  <c:v>44244</c:v>
                </c:pt>
                <c:pt idx="118">
                  <c:v>44245</c:v>
                </c:pt>
                <c:pt idx="119">
                  <c:v>44246</c:v>
                </c:pt>
                <c:pt idx="120">
                  <c:v>44249</c:v>
                </c:pt>
                <c:pt idx="121">
                  <c:v>44250</c:v>
                </c:pt>
                <c:pt idx="122">
                  <c:v>44251</c:v>
                </c:pt>
                <c:pt idx="123">
                  <c:v>44252</c:v>
                </c:pt>
                <c:pt idx="124">
                  <c:v>44253</c:v>
                </c:pt>
                <c:pt idx="125">
                  <c:v>44256</c:v>
                </c:pt>
                <c:pt idx="126">
                  <c:v>44257</c:v>
                </c:pt>
                <c:pt idx="127">
                  <c:v>44258</c:v>
                </c:pt>
                <c:pt idx="128">
                  <c:v>44259</c:v>
                </c:pt>
                <c:pt idx="129">
                  <c:v>44260</c:v>
                </c:pt>
                <c:pt idx="130">
                  <c:v>44263</c:v>
                </c:pt>
                <c:pt idx="131">
                  <c:v>44264</c:v>
                </c:pt>
                <c:pt idx="132">
                  <c:v>44265</c:v>
                </c:pt>
                <c:pt idx="133">
                  <c:v>44267</c:v>
                </c:pt>
                <c:pt idx="134">
                  <c:v>44270</c:v>
                </c:pt>
                <c:pt idx="135">
                  <c:v>44271</c:v>
                </c:pt>
                <c:pt idx="136">
                  <c:v>44272</c:v>
                </c:pt>
                <c:pt idx="137">
                  <c:v>44273</c:v>
                </c:pt>
                <c:pt idx="138">
                  <c:v>44274</c:v>
                </c:pt>
                <c:pt idx="139">
                  <c:v>44277</c:v>
                </c:pt>
                <c:pt idx="140">
                  <c:v>44278</c:v>
                </c:pt>
                <c:pt idx="141">
                  <c:v>44279</c:v>
                </c:pt>
                <c:pt idx="142">
                  <c:v>44280</c:v>
                </c:pt>
                <c:pt idx="143">
                  <c:v>44281</c:v>
                </c:pt>
                <c:pt idx="144">
                  <c:v>44285</c:v>
                </c:pt>
                <c:pt idx="145">
                  <c:v>44286</c:v>
                </c:pt>
                <c:pt idx="146">
                  <c:v>44287</c:v>
                </c:pt>
                <c:pt idx="147">
                  <c:v>44291</c:v>
                </c:pt>
                <c:pt idx="148">
                  <c:v>44292</c:v>
                </c:pt>
                <c:pt idx="149">
                  <c:v>44293</c:v>
                </c:pt>
                <c:pt idx="150">
                  <c:v>44294</c:v>
                </c:pt>
                <c:pt idx="151">
                  <c:v>44295</c:v>
                </c:pt>
                <c:pt idx="152">
                  <c:v>44298</c:v>
                </c:pt>
                <c:pt idx="153">
                  <c:v>44299</c:v>
                </c:pt>
                <c:pt idx="154">
                  <c:v>44301</c:v>
                </c:pt>
                <c:pt idx="155">
                  <c:v>44302</c:v>
                </c:pt>
                <c:pt idx="156">
                  <c:v>44305</c:v>
                </c:pt>
                <c:pt idx="157">
                  <c:v>44306</c:v>
                </c:pt>
                <c:pt idx="158">
                  <c:v>44308</c:v>
                </c:pt>
                <c:pt idx="159">
                  <c:v>44309</c:v>
                </c:pt>
                <c:pt idx="160">
                  <c:v>44312</c:v>
                </c:pt>
                <c:pt idx="161">
                  <c:v>44313</c:v>
                </c:pt>
                <c:pt idx="162">
                  <c:v>44314</c:v>
                </c:pt>
                <c:pt idx="163">
                  <c:v>44315</c:v>
                </c:pt>
                <c:pt idx="164">
                  <c:v>44316</c:v>
                </c:pt>
                <c:pt idx="165">
                  <c:v>44319</c:v>
                </c:pt>
                <c:pt idx="166">
                  <c:v>44320</c:v>
                </c:pt>
                <c:pt idx="167">
                  <c:v>44321</c:v>
                </c:pt>
                <c:pt idx="168">
                  <c:v>44322</c:v>
                </c:pt>
                <c:pt idx="169">
                  <c:v>44323</c:v>
                </c:pt>
                <c:pt idx="170">
                  <c:v>44326</c:v>
                </c:pt>
                <c:pt idx="171">
                  <c:v>44327</c:v>
                </c:pt>
                <c:pt idx="172">
                  <c:v>44328</c:v>
                </c:pt>
                <c:pt idx="173">
                  <c:v>44330</c:v>
                </c:pt>
                <c:pt idx="174">
                  <c:v>44333</c:v>
                </c:pt>
                <c:pt idx="175">
                  <c:v>44334</c:v>
                </c:pt>
                <c:pt idx="176">
                  <c:v>44335</c:v>
                </c:pt>
                <c:pt idx="177">
                  <c:v>44336</c:v>
                </c:pt>
                <c:pt idx="178">
                  <c:v>44337</c:v>
                </c:pt>
                <c:pt idx="179">
                  <c:v>44340</c:v>
                </c:pt>
                <c:pt idx="180">
                  <c:v>44341</c:v>
                </c:pt>
                <c:pt idx="181">
                  <c:v>44342</c:v>
                </c:pt>
                <c:pt idx="182">
                  <c:v>44343</c:v>
                </c:pt>
                <c:pt idx="183">
                  <c:v>44344</c:v>
                </c:pt>
                <c:pt idx="184">
                  <c:v>44347</c:v>
                </c:pt>
                <c:pt idx="185">
                  <c:v>44348</c:v>
                </c:pt>
                <c:pt idx="186">
                  <c:v>44349</c:v>
                </c:pt>
                <c:pt idx="187">
                  <c:v>44350</c:v>
                </c:pt>
                <c:pt idx="188">
                  <c:v>44351</c:v>
                </c:pt>
                <c:pt idx="189">
                  <c:v>44354</c:v>
                </c:pt>
                <c:pt idx="190">
                  <c:v>44355</c:v>
                </c:pt>
                <c:pt idx="191">
                  <c:v>44356</c:v>
                </c:pt>
                <c:pt idx="192">
                  <c:v>44357</c:v>
                </c:pt>
                <c:pt idx="193">
                  <c:v>44358</c:v>
                </c:pt>
                <c:pt idx="194">
                  <c:v>44361</c:v>
                </c:pt>
                <c:pt idx="195">
                  <c:v>44362</c:v>
                </c:pt>
                <c:pt idx="196">
                  <c:v>44363</c:v>
                </c:pt>
                <c:pt idx="197">
                  <c:v>44364</c:v>
                </c:pt>
                <c:pt idx="198">
                  <c:v>44365</c:v>
                </c:pt>
                <c:pt idx="199">
                  <c:v>44368</c:v>
                </c:pt>
                <c:pt idx="200">
                  <c:v>44369</c:v>
                </c:pt>
                <c:pt idx="201">
                  <c:v>44370</c:v>
                </c:pt>
                <c:pt idx="202">
                  <c:v>44371</c:v>
                </c:pt>
                <c:pt idx="203">
                  <c:v>44372</c:v>
                </c:pt>
                <c:pt idx="204">
                  <c:v>44375</c:v>
                </c:pt>
                <c:pt idx="205">
                  <c:v>44376</c:v>
                </c:pt>
                <c:pt idx="206">
                  <c:v>44377</c:v>
                </c:pt>
                <c:pt idx="207">
                  <c:v>44378</c:v>
                </c:pt>
                <c:pt idx="208">
                  <c:v>44379</c:v>
                </c:pt>
                <c:pt idx="209">
                  <c:v>44382</c:v>
                </c:pt>
                <c:pt idx="210">
                  <c:v>44383</c:v>
                </c:pt>
                <c:pt idx="211">
                  <c:v>44384</c:v>
                </c:pt>
                <c:pt idx="212">
                  <c:v>44385</c:v>
                </c:pt>
                <c:pt idx="213">
                  <c:v>44386</c:v>
                </c:pt>
                <c:pt idx="214">
                  <c:v>44389</c:v>
                </c:pt>
                <c:pt idx="215">
                  <c:v>44390</c:v>
                </c:pt>
                <c:pt idx="216">
                  <c:v>44391</c:v>
                </c:pt>
                <c:pt idx="217">
                  <c:v>44392</c:v>
                </c:pt>
                <c:pt idx="218">
                  <c:v>44393</c:v>
                </c:pt>
                <c:pt idx="219">
                  <c:v>44396</c:v>
                </c:pt>
                <c:pt idx="220">
                  <c:v>44397</c:v>
                </c:pt>
                <c:pt idx="221">
                  <c:v>44399</c:v>
                </c:pt>
                <c:pt idx="222">
                  <c:v>44400</c:v>
                </c:pt>
                <c:pt idx="223">
                  <c:v>44403</c:v>
                </c:pt>
                <c:pt idx="224">
                  <c:v>44404</c:v>
                </c:pt>
                <c:pt idx="225">
                  <c:v>44405</c:v>
                </c:pt>
                <c:pt idx="226">
                  <c:v>44406</c:v>
                </c:pt>
                <c:pt idx="227">
                  <c:v>44407</c:v>
                </c:pt>
                <c:pt idx="228">
                  <c:v>44410</c:v>
                </c:pt>
                <c:pt idx="229">
                  <c:v>44411</c:v>
                </c:pt>
                <c:pt idx="230">
                  <c:v>44412</c:v>
                </c:pt>
                <c:pt idx="231">
                  <c:v>44413</c:v>
                </c:pt>
                <c:pt idx="232">
                  <c:v>44414</c:v>
                </c:pt>
                <c:pt idx="233">
                  <c:v>44417</c:v>
                </c:pt>
                <c:pt idx="234">
                  <c:v>44418</c:v>
                </c:pt>
                <c:pt idx="235">
                  <c:v>44419</c:v>
                </c:pt>
                <c:pt idx="236">
                  <c:v>44420</c:v>
                </c:pt>
                <c:pt idx="237">
                  <c:v>44421</c:v>
                </c:pt>
                <c:pt idx="238">
                  <c:v>44424</c:v>
                </c:pt>
                <c:pt idx="239">
                  <c:v>44425</c:v>
                </c:pt>
                <c:pt idx="240">
                  <c:v>44426</c:v>
                </c:pt>
                <c:pt idx="241">
                  <c:v>44428</c:v>
                </c:pt>
                <c:pt idx="242">
                  <c:v>44431</c:v>
                </c:pt>
                <c:pt idx="243">
                  <c:v>44432</c:v>
                </c:pt>
                <c:pt idx="244">
                  <c:v>44433</c:v>
                </c:pt>
                <c:pt idx="245">
                  <c:v>44434</c:v>
                </c:pt>
                <c:pt idx="246">
                  <c:v>44435</c:v>
                </c:pt>
                <c:pt idx="247">
                  <c:v>44438</c:v>
                </c:pt>
                <c:pt idx="248">
                  <c:v>44439</c:v>
                </c:pt>
              </c:numCache>
            </c:numRef>
          </c:cat>
          <c:val>
            <c:numRef>
              <c:f>'data (12)'!$P$2:$P$250</c:f>
              <c:numCache>
                <c:formatCode>General</c:formatCode>
                <c:ptCount val="249"/>
                <c:pt idx="0">
                  <c:v>100</c:v>
                </c:pt>
                <c:pt idx="1">
                  <c:v>100.56450382511279</c:v>
                </c:pt>
                <c:pt idx="2">
                  <c:v>100.49868137137379</c:v>
                </c:pt>
                <c:pt idx="3">
                  <c:v>98.810836729801025</c:v>
                </c:pt>
                <c:pt idx="4">
                  <c:v>98.99566269261787</c:v>
                </c:pt>
                <c:pt idx="5">
                  <c:v>98.666986334212439</c:v>
                </c:pt>
                <c:pt idx="6">
                  <c:v>98.323924936248147</c:v>
                </c:pt>
                <c:pt idx="7">
                  <c:v>99.816917678341824</c:v>
                </c:pt>
                <c:pt idx="8">
                  <c:v>99.949434406399206</c:v>
                </c:pt>
                <c:pt idx="9">
                  <c:v>99.736710185043947</c:v>
                </c:pt>
                <c:pt idx="10">
                  <c:v>100.44942350864194</c:v>
                </c:pt>
                <c:pt idx="11">
                  <c:v>101.17085503803318</c:v>
                </c:pt>
                <c:pt idx="12">
                  <c:v>100.39972973562043</c:v>
                </c:pt>
                <c:pt idx="13">
                  <c:v>100.30252174102571</c:v>
                </c:pt>
                <c:pt idx="14">
                  <c:v>98.084610187223475</c:v>
                </c:pt>
                <c:pt idx="15">
                  <c:v>97.239816045857765</c:v>
                </c:pt>
                <c:pt idx="16">
                  <c:v>97.049759159564971</c:v>
                </c:pt>
                <c:pt idx="17">
                  <c:v>94.205008609228216</c:v>
                </c:pt>
                <c:pt idx="18">
                  <c:v>96.338353566835949</c:v>
                </c:pt>
                <c:pt idx="19">
                  <c:v>97.884091453978769</c:v>
                </c:pt>
                <c:pt idx="20">
                  <c:v>97.839192694143549</c:v>
                </c:pt>
                <c:pt idx="21">
                  <c:v>98.05845556984373</c:v>
                </c:pt>
                <c:pt idx="22">
                  <c:v>99.535319631219906</c:v>
                </c:pt>
                <c:pt idx="23">
                  <c:v>100.28857261175651</c:v>
                </c:pt>
                <c:pt idx="24">
                  <c:v>101.67520324317255</c:v>
                </c:pt>
                <c:pt idx="25">
                  <c:v>102.34171007606635</c:v>
                </c:pt>
                <c:pt idx="26">
                  <c:v>103.17647828076983</c:v>
                </c:pt>
                <c:pt idx="27">
                  <c:v>103.87044746191235</c:v>
                </c:pt>
                <c:pt idx="28">
                  <c:v>104.01647740894924</c:v>
                </c:pt>
                <c:pt idx="29">
                  <c:v>104.04742703951527</c:v>
                </c:pt>
                <c:pt idx="30">
                  <c:v>104.36607746125847</c:v>
                </c:pt>
                <c:pt idx="31">
                  <c:v>101.83169503716137</c:v>
                </c:pt>
                <c:pt idx="32">
                  <c:v>102.54745973278702</c:v>
                </c:pt>
                <c:pt idx="33">
                  <c:v>103.5116932935202</c:v>
                </c:pt>
                <c:pt idx="34">
                  <c:v>103.71875068110982</c:v>
                </c:pt>
                <c:pt idx="35">
                  <c:v>104.07488938776399</c:v>
                </c:pt>
                <c:pt idx="36">
                  <c:v>103.7156993090822</c:v>
                </c:pt>
                <c:pt idx="37">
                  <c:v>104.01124648547328</c:v>
                </c:pt>
                <c:pt idx="38">
                  <c:v>102.59366622349118</c:v>
                </c:pt>
                <c:pt idx="39">
                  <c:v>103.65423595823977</c:v>
                </c:pt>
                <c:pt idx="40">
                  <c:v>102.26106667247879</c:v>
                </c:pt>
                <c:pt idx="41">
                  <c:v>101.74843617183582</c:v>
                </c:pt>
                <c:pt idx="42">
                  <c:v>101.50083912730759</c:v>
                </c:pt>
                <c:pt idx="43">
                  <c:v>101.73405113227697</c:v>
                </c:pt>
                <c:pt idx="44">
                  <c:v>102.99252413853229</c:v>
                </c:pt>
                <c:pt idx="45">
                  <c:v>103.82075368889082</c:v>
                </c:pt>
                <c:pt idx="46">
                  <c:v>105.6672696759007</c:v>
                </c:pt>
                <c:pt idx="47">
                  <c:v>106.91615265578343</c:v>
                </c:pt>
                <c:pt idx="48">
                  <c:v>108.63799829994986</c:v>
                </c:pt>
                <c:pt idx="49">
                  <c:v>110.12052919509165</c:v>
                </c:pt>
                <c:pt idx="50">
                  <c:v>111.14971338898454</c:v>
                </c:pt>
                <c:pt idx="51">
                  <c:v>110.64100608094853</c:v>
                </c:pt>
                <c:pt idx="52">
                  <c:v>110.89514177982171</c:v>
                </c:pt>
                <c:pt idx="53">
                  <c:v>111.42084958915456</c:v>
                </c:pt>
                <c:pt idx="54">
                  <c:v>112.2399250234302</c:v>
                </c:pt>
                <c:pt idx="55">
                  <c:v>112.79832610448771</c:v>
                </c:pt>
                <c:pt idx="56">
                  <c:v>111.3463089296223</c:v>
                </c:pt>
                <c:pt idx="57">
                  <c:v>112.10784420566249</c:v>
                </c:pt>
                <c:pt idx="58">
                  <c:v>112.69545127612739</c:v>
                </c:pt>
                <c:pt idx="59">
                  <c:v>113.81748436171836</c:v>
                </c:pt>
                <c:pt idx="60">
                  <c:v>112.10217737189686</c:v>
                </c:pt>
                <c:pt idx="61">
                  <c:v>113.22333863690851</c:v>
                </c:pt>
                <c:pt idx="62">
                  <c:v>113.06597502234038</c:v>
                </c:pt>
                <c:pt idx="63">
                  <c:v>114.28739565397437</c:v>
                </c:pt>
                <c:pt idx="64">
                  <c:v>114.32837122120263</c:v>
                </c:pt>
                <c:pt idx="65">
                  <c:v>114.50404306793656</c:v>
                </c:pt>
                <c:pt idx="66">
                  <c:v>115.59076742006491</c:v>
                </c:pt>
                <c:pt idx="67">
                  <c:v>116.43817702316861</c:v>
                </c:pt>
                <c:pt idx="68">
                  <c:v>116.76249427867742</c:v>
                </c:pt>
                <c:pt idx="69">
                  <c:v>117.9494779974281</c:v>
                </c:pt>
                <c:pt idx="70">
                  <c:v>117.50659314313111</c:v>
                </c:pt>
                <c:pt idx="71">
                  <c:v>117.8165253590811</c:v>
                </c:pt>
                <c:pt idx="72">
                  <c:v>118.20274187572197</c:v>
                </c:pt>
                <c:pt idx="73">
                  <c:v>118.28730847191648</c:v>
                </c:pt>
                <c:pt idx="74">
                  <c:v>119.28859440727098</c:v>
                </c:pt>
                <c:pt idx="75">
                  <c:v>119.79425034327933</c:v>
                </c:pt>
                <c:pt idx="76">
                  <c:v>119.96730672827529</c:v>
                </c:pt>
                <c:pt idx="77">
                  <c:v>116.19973409472327</c:v>
                </c:pt>
                <c:pt idx="78">
                  <c:v>117.40197467361212</c:v>
                </c:pt>
                <c:pt idx="79">
                  <c:v>118.57718881454191</c:v>
                </c:pt>
                <c:pt idx="80">
                  <c:v>119.86879100281158</c:v>
                </c:pt>
                <c:pt idx="81">
                  <c:v>120.94941261088464</c:v>
                </c:pt>
                <c:pt idx="82">
                  <c:v>121.46727403500356</c:v>
                </c:pt>
                <c:pt idx="83">
                  <c:v>121.89751749090033</c:v>
                </c:pt>
                <c:pt idx="84">
                  <c:v>121.89577384974167</c:v>
                </c:pt>
                <c:pt idx="85">
                  <c:v>122.21616791264353</c:v>
                </c:pt>
                <c:pt idx="86">
                  <c:v>123.21353065539108</c:v>
                </c:pt>
                <c:pt idx="87">
                  <c:v>123.79416316122138</c:v>
                </c:pt>
                <c:pt idx="88">
                  <c:v>123.32991870273092</c:v>
                </c:pt>
                <c:pt idx="89">
                  <c:v>123.25232667117102</c:v>
                </c:pt>
                <c:pt idx="90">
                  <c:v>125.08227806717372</c:v>
                </c:pt>
                <c:pt idx="91">
                  <c:v>126.28103136374527</c:v>
                </c:pt>
                <c:pt idx="92">
                  <c:v>126.96715415967388</c:v>
                </c:pt>
                <c:pt idx="93">
                  <c:v>126.97935964778442</c:v>
                </c:pt>
                <c:pt idx="94">
                  <c:v>127.24744447592678</c:v>
                </c:pt>
                <c:pt idx="95">
                  <c:v>125.83596695799999</c:v>
                </c:pt>
                <c:pt idx="96">
                  <c:v>124.50731239510903</c:v>
                </c:pt>
                <c:pt idx="97">
                  <c:v>126.5983740546195</c:v>
                </c:pt>
                <c:pt idx="98">
                  <c:v>127.67550838037526</c:v>
                </c:pt>
                <c:pt idx="99">
                  <c:v>127.20167389551224</c:v>
                </c:pt>
                <c:pt idx="100">
                  <c:v>125.29718183997727</c:v>
                </c:pt>
                <c:pt idx="101">
                  <c:v>124.13766046947532</c:v>
                </c:pt>
                <c:pt idx="102">
                  <c:v>121.77153941718788</c:v>
                </c:pt>
                <c:pt idx="103">
                  <c:v>120.46424445849038</c:v>
                </c:pt>
                <c:pt idx="104">
                  <c:v>118.86924870861571</c:v>
                </c:pt>
                <c:pt idx="105">
                  <c:v>124.50644057452972</c:v>
                </c:pt>
                <c:pt idx="106">
                  <c:v>127.70297072862401</c:v>
                </c:pt>
                <c:pt idx="107">
                  <c:v>128.94182777184452</c:v>
                </c:pt>
                <c:pt idx="108">
                  <c:v>129.86334212419078</c:v>
                </c:pt>
                <c:pt idx="109">
                  <c:v>130.11268280987767</c:v>
                </c:pt>
                <c:pt idx="110">
                  <c:v>131.78265512957427</c:v>
                </c:pt>
                <c:pt idx="111">
                  <c:v>131.72598679191816</c:v>
                </c:pt>
                <c:pt idx="112">
                  <c:v>131.70157581569705</c:v>
                </c:pt>
                <c:pt idx="113">
                  <c:v>132.28395196268599</c:v>
                </c:pt>
                <c:pt idx="114">
                  <c:v>132.19676990475352</c:v>
                </c:pt>
                <c:pt idx="115">
                  <c:v>133.51670626185125</c:v>
                </c:pt>
                <c:pt idx="116">
                  <c:v>133.50580850460969</c:v>
                </c:pt>
                <c:pt idx="117">
                  <c:v>132.59432008892563</c:v>
                </c:pt>
                <c:pt idx="118">
                  <c:v>131.81011747782298</c:v>
                </c:pt>
                <c:pt idx="119">
                  <c:v>130.61397964298939</c:v>
                </c:pt>
                <c:pt idx="120">
                  <c:v>127.94577275996593</c:v>
                </c:pt>
                <c:pt idx="121">
                  <c:v>128.22562716592918</c:v>
                </c:pt>
                <c:pt idx="122">
                  <c:v>130.61615919443773</c:v>
                </c:pt>
                <c:pt idx="123">
                  <c:v>131.62180423268887</c:v>
                </c:pt>
                <c:pt idx="124">
                  <c:v>126.66811970096551</c:v>
                </c:pt>
                <c:pt idx="125">
                  <c:v>128.69423072731627</c:v>
                </c:pt>
                <c:pt idx="126">
                  <c:v>130.06778405004246</c:v>
                </c:pt>
                <c:pt idx="127">
                  <c:v>132.91427824153783</c:v>
                </c:pt>
                <c:pt idx="128">
                  <c:v>131.47708201652094</c:v>
                </c:pt>
                <c:pt idx="129">
                  <c:v>130.23342996011414</c:v>
                </c:pt>
                <c:pt idx="130">
                  <c:v>130.39122948497192</c:v>
                </c:pt>
                <c:pt idx="131">
                  <c:v>131.63095834877174</c:v>
                </c:pt>
                <c:pt idx="132">
                  <c:v>132.29702927137589</c:v>
                </c:pt>
                <c:pt idx="133">
                  <c:v>131.04291536801722</c:v>
                </c:pt>
                <c:pt idx="134">
                  <c:v>130.15845339029221</c:v>
                </c:pt>
                <c:pt idx="135">
                  <c:v>129.99237156993084</c:v>
                </c:pt>
                <c:pt idx="136">
                  <c:v>128.34332294413801</c:v>
                </c:pt>
                <c:pt idx="137">
                  <c:v>126.91833220723167</c:v>
                </c:pt>
                <c:pt idx="138">
                  <c:v>128.54122621564474</c:v>
                </c:pt>
                <c:pt idx="139">
                  <c:v>128.47496785161607</c:v>
                </c:pt>
                <c:pt idx="140">
                  <c:v>129.15803927551701</c:v>
                </c:pt>
                <c:pt idx="141">
                  <c:v>126.84466336827872</c:v>
                </c:pt>
                <c:pt idx="142">
                  <c:v>124.8874261676946</c:v>
                </c:pt>
                <c:pt idx="143">
                  <c:v>126.47762690438297</c:v>
                </c:pt>
                <c:pt idx="144">
                  <c:v>129.42263682134208</c:v>
                </c:pt>
                <c:pt idx="145">
                  <c:v>128.07654584686463</c:v>
                </c:pt>
                <c:pt idx="146">
                  <c:v>129.61661690024184</c:v>
                </c:pt>
                <c:pt idx="147">
                  <c:v>127.61535276040182</c:v>
                </c:pt>
                <c:pt idx="148">
                  <c:v>128.01377476515327</c:v>
                </c:pt>
                <c:pt idx="149">
                  <c:v>129.19552756042799</c:v>
                </c:pt>
                <c:pt idx="150">
                  <c:v>129.6728493276083</c:v>
                </c:pt>
                <c:pt idx="151">
                  <c:v>129.33327521196131</c:v>
                </c:pt>
                <c:pt idx="152">
                  <c:v>124.76449946600981</c:v>
                </c:pt>
                <c:pt idx="153">
                  <c:v>126.45583138989988</c:v>
                </c:pt>
                <c:pt idx="154">
                  <c:v>127.12408186395233</c:v>
                </c:pt>
                <c:pt idx="155">
                  <c:v>127.44142455482654</c:v>
                </c:pt>
                <c:pt idx="156">
                  <c:v>125.18864017785133</c:v>
                </c:pt>
                <c:pt idx="157">
                  <c:v>124.63895730258704</c:v>
                </c:pt>
                <c:pt idx="158">
                  <c:v>125.59578038839598</c:v>
                </c:pt>
                <c:pt idx="159">
                  <c:v>125.03084065299353</c:v>
                </c:pt>
                <c:pt idx="160">
                  <c:v>126.28321091519356</c:v>
                </c:pt>
                <c:pt idx="161">
                  <c:v>127.74830539874883</c:v>
                </c:pt>
                <c:pt idx="162">
                  <c:v>129.59220592402073</c:v>
                </c:pt>
                <c:pt idx="163">
                  <c:v>129.8568034698458</c:v>
                </c:pt>
                <c:pt idx="164">
                  <c:v>127.55694078158706</c:v>
                </c:pt>
                <c:pt idx="165">
                  <c:v>127.58353130925647</c:v>
                </c:pt>
                <c:pt idx="166">
                  <c:v>126.38347028181592</c:v>
                </c:pt>
                <c:pt idx="167">
                  <c:v>127.44142455482653</c:v>
                </c:pt>
                <c:pt idx="168">
                  <c:v>128.37383666441437</c:v>
                </c:pt>
                <c:pt idx="169">
                  <c:v>129.2312722041803</c:v>
                </c:pt>
                <c:pt idx="170">
                  <c:v>130.27048233473545</c:v>
                </c:pt>
                <c:pt idx="171">
                  <c:v>129.47189468407396</c:v>
                </c:pt>
                <c:pt idx="172">
                  <c:v>128.12711144046551</c:v>
                </c:pt>
                <c:pt idx="173">
                  <c:v>127.96408099213177</c:v>
                </c:pt>
                <c:pt idx="174">
                  <c:v>130.1030927835051</c:v>
                </c:pt>
                <c:pt idx="175">
                  <c:v>131.71552494496626</c:v>
                </c:pt>
                <c:pt idx="176">
                  <c:v>131.0359408033826</c:v>
                </c:pt>
                <c:pt idx="177">
                  <c:v>129.95401146444055</c:v>
                </c:pt>
                <c:pt idx="178">
                  <c:v>132.30138837427251</c:v>
                </c:pt>
                <c:pt idx="179">
                  <c:v>132.49667618404129</c:v>
                </c:pt>
                <c:pt idx="180">
                  <c:v>132.59039689631871</c:v>
                </c:pt>
                <c:pt idx="181">
                  <c:v>133.40119003509074</c:v>
                </c:pt>
                <c:pt idx="182">
                  <c:v>133.71853272596496</c:v>
                </c:pt>
                <c:pt idx="183">
                  <c:v>134.57117325254458</c:v>
                </c:pt>
                <c:pt idx="184">
                  <c:v>135.854057235021</c:v>
                </c:pt>
                <c:pt idx="185">
                  <c:v>135.78474749896469</c:v>
                </c:pt>
                <c:pt idx="186">
                  <c:v>135.79651707678559</c:v>
                </c:pt>
                <c:pt idx="187">
                  <c:v>136.79170026808481</c:v>
                </c:pt>
                <c:pt idx="188">
                  <c:v>136.61646433164051</c:v>
                </c:pt>
                <c:pt idx="189">
                  <c:v>137.32612628321087</c:v>
                </c:pt>
                <c:pt idx="190">
                  <c:v>137.22543100629886</c:v>
                </c:pt>
                <c:pt idx="191">
                  <c:v>136.31219894945616</c:v>
                </c:pt>
                <c:pt idx="192">
                  <c:v>137.20494322268473</c:v>
                </c:pt>
                <c:pt idx="193">
                  <c:v>137.74198469954879</c:v>
                </c:pt>
                <c:pt idx="194">
                  <c:v>137.85096227196439</c:v>
                </c:pt>
                <c:pt idx="195">
                  <c:v>138.35138728449681</c:v>
                </c:pt>
                <c:pt idx="196">
                  <c:v>137.46474575532352</c:v>
                </c:pt>
                <c:pt idx="197">
                  <c:v>136.80085438416771</c:v>
                </c:pt>
                <c:pt idx="198">
                  <c:v>136.73067282753209</c:v>
                </c:pt>
                <c:pt idx="199">
                  <c:v>137.28122752337569</c:v>
                </c:pt>
                <c:pt idx="200">
                  <c:v>137.51008042544845</c:v>
                </c:pt>
                <c:pt idx="201">
                  <c:v>136.76205836838781</c:v>
                </c:pt>
                <c:pt idx="202">
                  <c:v>137.66439266798895</c:v>
                </c:pt>
                <c:pt idx="203">
                  <c:v>138.27379525293696</c:v>
                </c:pt>
                <c:pt idx="204">
                  <c:v>137.87580915847522</c:v>
                </c:pt>
                <c:pt idx="205">
                  <c:v>137.29822802467257</c:v>
                </c:pt>
                <c:pt idx="206">
                  <c:v>137.06327237854453</c:v>
                </c:pt>
                <c:pt idx="207">
                  <c:v>136.70146683812473</c:v>
                </c:pt>
                <c:pt idx="208">
                  <c:v>137.06937512259981</c:v>
                </c:pt>
                <c:pt idx="209">
                  <c:v>138.04712190231254</c:v>
                </c:pt>
                <c:pt idx="210">
                  <c:v>137.90675878904125</c:v>
                </c:pt>
                <c:pt idx="211">
                  <c:v>138.44205662474664</c:v>
                </c:pt>
                <c:pt idx="212">
                  <c:v>137.1190688956213</c:v>
                </c:pt>
                <c:pt idx="213">
                  <c:v>136.78690525489856</c:v>
                </c:pt>
                <c:pt idx="214">
                  <c:v>136.81131623111966</c:v>
                </c:pt>
                <c:pt idx="215">
                  <c:v>137.85532137486109</c:v>
                </c:pt>
                <c:pt idx="216">
                  <c:v>138.21799873586022</c:v>
                </c:pt>
                <c:pt idx="217">
                  <c:v>138.83045269283588</c:v>
                </c:pt>
                <c:pt idx="218">
                  <c:v>138.82347812820126</c:v>
                </c:pt>
                <c:pt idx="219">
                  <c:v>137.3326649375559</c:v>
                </c:pt>
                <c:pt idx="220">
                  <c:v>136.28386478062822</c:v>
                </c:pt>
                <c:pt idx="221">
                  <c:v>137.95732438264213</c:v>
                </c:pt>
                <c:pt idx="222">
                  <c:v>138.23630696802604</c:v>
                </c:pt>
                <c:pt idx="223">
                  <c:v>137.96081166495944</c:v>
                </c:pt>
                <c:pt idx="224">
                  <c:v>137.28079161308611</c:v>
                </c:pt>
                <c:pt idx="225">
                  <c:v>136.95778208844627</c:v>
                </c:pt>
                <c:pt idx="226">
                  <c:v>137.55977419847005</c:v>
                </c:pt>
                <c:pt idx="227">
                  <c:v>137.42551382925402</c:v>
                </c:pt>
                <c:pt idx="228">
                  <c:v>138.49000675660955</c:v>
                </c:pt>
                <c:pt idx="229">
                  <c:v>140.63119809943117</c:v>
                </c:pt>
                <c:pt idx="230">
                  <c:v>141.74756435125656</c:v>
                </c:pt>
                <c:pt idx="231">
                  <c:v>142.05967611865483</c:v>
                </c:pt>
                <c:pt idx="232">
                  <c:v>141.56796931191568</c:v>
                </c:pt>
                <c:pt idx="233">
                  <c:v>141.74276933807027</c:v>
                </c:pt>
                <c:pt idx="234">
                  <c:v>141.93326213465275</c:v>
                </c:pt>
                <c:pt idx="235">
                  <c:v>141.95200627710824</c:v>
                </c:pt>
                <c:pt idx="236">
                  <c:v>142.66820688302354</c:v>
                </c:pt>
                <c:pt idx="237">
                  <c:v>144.10409537717143</c:v>
                </c:pt>
                <c:pt idx="238">
                  <c:v>144.4000784638522</c:v>
                </c:pt>
                <c:pt idx="239">
                  <c:v>144.8495019724941</c:v>
                </c:pt>
                <c:pt idx="240">
                  <c:v>144.45064405745302</c:v>
                </c:pt>
                <c:pt idx="241">
                  <c:v>143.41884440182216</c:v>
                </c:pt>
                <c:pt idx="242">
                  <c:v>143.8194459580219</c:v>
                </c:pt>
                <c:pt idx="243">
                  <c:v>144.93668403042659</c:v>
                </c:pt>
                <c:pt idx="244">
                  <c:v>145.02430199864875</c:v>
                </c:pt>
                <c:pt idx="245">
                  <c:v>145.04391796168355</c:v>
                </c:pt>
                <c:pt idx="246">
                  <c:v>145.63937141736236</c:v>
                </c:pt>
                <c:pt idx="247">
                  <c:v>147.60837819576736</c:v>
                </c:pt>
                <c:pt idx="248">
                  <c:v>149.36204529107917</c:v>
                </c:pt>
              </c:numCache>
            </c:numRef>
          </c:val>
          <c:smooth val="0"/>
          <c:extLst>
            <c:ext xmlns:c16="http://schemas.microsoft.com/office/drawing/2014/chart" uri="{C3380CC4-5D6E-409C-BE32-E72D297353CC}">
              <c16:uniqueId val="{00000001-EB3C-4DE1-A83B-F52F3C0B621C}"/>
            </c:ext>
          </c:extLst>
        </c:ser>
        <c:dLbls>
          <c:showLegendKey val="0"/>
          <c:showVal val="0"/>
          <c:showCatName val="0"/>
          <c:showSerName val="0"/>
          <c:showPercent val="0"/>
          <c:showBubbleSize val="0"/>
        </c:dLbls>
        <c:smooth val="0"/>
        <c:axId val="646290904"/>
        <c:axId val="646290120"/>
      </c:lineChart>
      <c:dateAx>
        <c:axId val="646290904"/>
        <c:scaling>
          <c:orientation val="minMax"/>
          <c:max val="44439"/>
        </c:scaling>
        <c:delete val="0"/>
        <c:axPos val="b"/>
        <c:numFmt formatCode="mmm\-yy" sourceLinked="0"/>
        <c:majorTickMark val="out"/>
        <c:minorTickMark val="none"/>
        <c:tickLblPos val="nextTo"/>
        <c:spPr>
          <a:noFill/>
          <a:ln w="9525" cap="flat" cmpd="sng" algn="ctr">
            <a:solidFill>
              <a:sysClr val="window" lastClr="FFFFFF">
                <a:lumMod val="65000"/>
              </a:sys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Palatino Linotype" panose="02040502050505030304" pitchFamily="18" charset="0"/>
                <a:ea typeface="+mn-ea"/>
                <a:cs typeface="+mn-cs"/>
              </a:defRPr>
            </a:pPr>
            <a:endParaRPr lang="en-US"/>
          </a:p>
        </c:txPr>
        <c:crossAx val="646290120"/>
        <c:crosses val="autoZero"/>
        <c:auto val="0"/>
        <c:lblOffset val="100"/>
        <c:baseTimeUnit val="days"/>
      </c:dateAx>
      <c:valAx>
        <c:axId val="646290120"/>
        <c:scaling>
          <c:orientation val="minMax"/>
          <c:min val="7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46290904"/>
        <c:crossesAt val="44075"/>
        <c:crossBetween val="midCat"/>
        <c:majorUnit val="20"/>
      </c:valAx>
      <c:spPr>
        <a:noFill/>
        <a:ln>
          <a:solidFill>
            <a:sysClr val="window" lastClr="FFFFFF">
              <a:lumMod val="75000"/>
            </a:sysClr>
          </a:solidFill>
        </a:ln>
        <a:effectLst/>
      </c:spPr>
    </c:plotArea>
    <c:legend>
      <c:legendPos val="b"/>
      <c:layout>
        <c:manualLayout>
          <c:xMode val="edge"/>
          <c:yMode val="edge"/>
          <c:x val="0.24632381466721778"/>
          <c:y val="0.92042617733958298"/>
          <c:w val="0.45659924548517072"/>
          <c:h val="7.931117521200938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Palatino Linotype" panose="0204050205050503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0"/>
          <c:tx>
            <c:strRef>
              <c:f>'F2&amp;F3'!$B$4</c:f>
              <c:strCache>
                <c:ptCount val="1"/>
                <c:pt idx="0">
                  <c:v>ADT at BSE (RHS)</c:v>
                </c:pt>
              </c:strCache>
            </c:strRef>
          </c:tx>
          <c:spPr>
            <a:solidFill>
              <a:srgbClr val="00B050"/>
            </a:solidFill>
            <a:ln>
              <a:noFill/>
            </a:ln>
            <a:effectLst/>
          </c:spPr>
          <c:invertIfNegative val="0"/>
          <c:cat>
            <c:numRef>
              <c:f>'F2&amp;F3'!$A$6:$A$17</c:f>
              <c:numCache>
                <c:formatCode>[$-409]mmm\-yy</c:formatCode>
                <c:ptCount val="12"/>
                <c:pt idx="0">
                  <c:v>44084</c:v>
                </c:pt>
                <c:pt idx="1">
                  <c:v>44114</c:v>
                </c:pt>
                <c:pt idx="2">
                  <c:v>44145</c:v>
                </c:pt>
                <c:pt idx="3">
                  <c:v>44175</c:v>
                </c:pt>
                <c:pt idx="4">
                  <c:v>44206</c:v>
                </c:pt>
                <c:pt idx="5">
                  <c:v>44237</c:v>
                </c:pt>
                <c:pt idx="6">
                  <c:v>44265</c:v>
                </c:pt>
                <c:pt idx="7">
                  <c:v>44296</c:v>
                </c:pt>
                <c:pt idx="8">
                  <c:v>44317</c:v>
                </c:pt>
                <c:pt idx="9">
                  <c:v>44348</c:v>
                </c:pt>
                <c:pt idx="10">
                  <c:v>44378</c:v>
                </c:pt>
                <c:pt idx="11">
                  <c:v>44409</c:v>
                </c:pt>
              </c:numCache>
            </c:numRef>
          </c:cat>
          <c:val>
            <c:numRef>
              <c:f>'F2&amp;F3'!$B$6:$B$17</c:f>
              <c:numCache>
                <c:formatCode>[&gt;=10000000]#\,##\,##\,##0;[&gt;=100000]#\,##\,##0;##,##0</c:formatCode>
                <c:ptCount val="12"/>
                <c:pt idx="0">
                  <c:v>3182.9668181818183</c:v>
                </c:pt>
                <c:pt idx="1">
                  <c:v>2755.5385714285712</c:v>
                </c:pt>
                <c:pt idx="2">
                  <c:v>3533.7944999999991</c:v>
                </c:pt>
                <c:pt idx="3">
                  <c:v>4518.8545454545456</c:v>
                </c:pt>
                <c:pt idx="4">
                  <c:v>5203.16</c:v>
                </c:pt>
                <c:pt idx="5" formatCode="#,##0;\-#,##0;0">
                  <c:v>7247.7254999999996</c:v>
                </c:pt>
                <c:pt idx="6" formatCode="#,##0;\-#,##0;0">
                  <c:v>5010.8952380950004</c:v>
                </c:pt>
                <c:pt idx="7" formatCode="#,##0;\-#,##0;0">
                  <c:v>4362.0763157900001</c:v>
                </c:pt>
                <c:pt idx="8" formatCode="#,##0;\-#,##0;0">
                  <c:v>5625.0295000000006</c:v>
                </c:pt>
                <c:pt idx="9" formatCode="#,##0;\-#,##0;0">
                  <c:v>6815.7186363636347</c:v>
                </c:pt>
                <c:pt idx="10" formatCode="#,##0;\-#,##0;0">
                  <c:v>5525.4642857142853</c:v>
                </c:pt>
                <c:pt idx="11" formatCode="#,##0;\-#,##0;0">
                  <c:v>5199.1000000000004</c:v>
                </c:pt>
              </c:numCache>
            </c:numRef>
          </c:val>
          <c:extLst>
            <c:ext xmlns:c16="http://schemas.microsoft.com/office/drawing/2014/chart" uri="{C3380CC4-5D6E-409C-BE32-E72D297353CC}">
              <c16:uniqueId val="{00000000-3708-4A24-AECE-21D5953B963A}"/>
            </c:ext>
          </c:extLst>
        </c:ser>
        <c:dLbls>
          <c:showLegendKey val="0"/>
          <c:showVal val="0"/>
          <c:showCatName val="0"/>
          <c:showSerName val="0"/>
          <c:showPercent val="0"/>
          <c:showBubbleSize val="0"/>
        </c:dLbls>
        <c:gapWidth val="219"/>
        <c:overlap val="-27"/>
        <c:axId val="479249320"/>
        <c:axId val="479252456"/>
      </c:barChart>
      <c:lineChart>
        <c:grouping val="standard"/>
        <c:varyColors val="0"/>
        <c:ser>
          <c:idx val="0"/>
          <c:order val="2"/>
          <c:tx>
            <c:strRef>
              <c:f>'F2&amp;F3'!$D$4</c:f>
              <c:strCache>
                <c:ptCount val="1"/>
                <c:pt idx="0">
                  <c:v>ADT at NSE (LHS)</c:v>
                </c:pt>
              </c:strCache>
            </c:strRef>
          </c:tx>
          <c:spPr>
            <a:ln w="28575" cap="rnd">
              <a:solidFill>
                <a:srgbClr val="FF0000"/>
              </a:solidFill>
              <a:round/>
            </a:ln>
            <a:effectLst/>
          </c:spPr>
          <c:marker>
            <c:symbol val="none"/>
          </c:marker>
          <c:cat>
            <c:numRef>
              <c:f>'F2&amp;F3'!$A$6:$A$17</c:f>
              <c:numCache>
                <c:formatCode>[$-409]mmm\-yy</c:formatCode>
                <c:ptCount val="12"/>
                <c:pt idx="0">
                  <c:v>44084</c:v>
                </c:pt>
                <c:pt idx="1">
                  <c:v>44114</c:v>
                </c:pt>
                <c:pt idx="2">
                  <c:v>44145</c:v>
                </c:pt>
                <c:pt idx="3">
                  <c:v>44175</c:v>
                </c:pt>
                <c:pt idx="4">
                  <c:v>44206</c:v>
                </c:pt>
                <c:pt idx="5">
                  <c:v>44237</c:v>
                </c:pt>
                <c:pt idx="6">
                  <c:v>44265</c:v>
                </c:pt>
                <c:pt idx="7">
                  <c:v>44296</c:v>
                </c:pt>
                <c:pt idx="8">
                  <c:v>44317</c:v>
                </c:pt>
                <c:pt idx="9">
                  <c:v>44348</c:v>
                </c:pt>
                <c:pt idx="10">
                  <c:v>44378</c:v>
                </c:pt>
                <c:pt idx="11">
                  <c:v>44409</c:v>
                </c:pt>
              </c:numCache>
            </c:numRef>
          </c:cat>
          <c:val>
            <c:numRef>
              <c:f>'F2&amp;F3'!$D$6:$D$17</c:f>
              <c:numCache>
                <c:formatCode>[&gt;=10000000]#\,##\,##\,##0;[&gt;=100000]#\,##\,##0;##,##0</c:formatCode>
                <c:ptCount val="12"/>
                <c:pt idx="0">
                  <c:v>55605.851524328958</c:v>
                </c:pt>
                <c:pt idx="1">
                  <c:v>52327.798311617102</c:v>
                </c:pt>
                <c:pt idx="2">
                  <c:v>66863.595756470837</c:v>
                </c:pt>
                <c:pt idx="3">
                  <c:v>62479.615040464567</c:v>
                </c:pt>
                <c:pt idx="4">
                  <c:v>72472.244728850172</c:v>
                </c:pt>
                <c:pt idx="5" formatCode="#,##0;\-#,##0;0">
                  <c:v>81373.180989999993</c:v>
                </c:pt>
                <c:pt idx="6" formatCode="#,##0;\-#,##0;0">
                  <c:v>66616.515109999993</c:v>
                </c:pt>
                <c:pt idx="7" formatCode="#,##0;\-#,##0;0">
                  <c:v>70036.149999999994</c:v>
                </c:pt>
                <c:pt idx="8" formatCode="#,##0;\-#,##0;0">
                  <c:v>78395.767018697938</c:v>
                </c:pt>
                <c:pt idx="9" formatCode="#,##0;\-#,##0;0">
                  <c:v>70667.895154310216</c:v>
                </c:pt>
                <c:pt idx="10" formatCode="#,##0;\-#,##0;0">
                  <c:v>62653.139047681041</c:v>
                </c:pt>
                <c:pt idx="11" formatCode="#,##0;\-#,##0;0">
                  <c:v>62923</c:v>
                </c:pt>
              </c:numCache>
            </c:numRef>
          </c:val>
          <c:smooth val="0"/>
          <c:extLst>
            <c:ext xmlns:c16="http://schemas.microsoft.com/office/drawing/2014/chart" uri="{C3380CC4-5D6E-409C-BE32-E72D297353CC}">
              <c16:uniqueId val="{00000001-3708-4A24-AECE-21D5953B963A}"/>
            </c:ext>
          </c:extLst>
        </c:ser>
        <c:dLbls>
          <c:showLegendKey val="0"/>
          <c:showVal val="0"/>
          <c:showCatName val="0"/>
          <c:showSerName val="0"/>
          <c:showPercent val="0"/>
          <c:showBubbleSize val="0"/>
        </c:dLbls>
        <c:marker val="1"/>
        <c:smooth val="0"/>
        <c:axId val="479250888"/>
        <c:axId val="479250104"/>
        <c:extLst>
          <c:ext xmlns:c15="http://schemas.microsoft.com/office/drawing/2012/chart" uri="{02D57815-91ED-43cb-92C2-25804820EDAC}">
            <c15:filteredLineSeries>
              <c15:ser>
                <c:idx val="3"/>
                <c:order val="1"/>
                <c:tx>
                  <c:strRef>
                    <c:extLst>
                      <c:ext uri="{02D57815-91ED-43cb-92C2-25804820EDAC}">
                        <c15:formulaRef>
                          <c15:sqref>'F2&amp;F3'!$C$4</c15:sqref>
                        </c15:formulaRef>
                      </c:ext>
                    </c:extLst>
                    <c:strCache>
                      <c:ptCount val="1"/>
                      <c:pt idx="0">
                        <c:v>ADV of Sensex (RHS)</c:v>
                      </c:pt>
                    </c:strCache>
                  </c:strRef>
                </c:tx>
                <c:spPr>
                  <a:ln w="28575" cap="rnd">
                    <a:solidFill>
                      <a:srgbClr val="FF0000"/>
                    </a:solidFill>
                    <a:round/>
                  </a:ln>
                  <a:effectLst/>
                </c:spPr>
                <c:marker>
                  <c:symbol val="circle"/>
                  <c:size val="5"/>
                  <c:spPr>
                    <a:solidFill>
                      <a:schemeClr val="accent4"/>
                    </a:solidFill>
                    <a:ln w="9525">
                      <a:solidFill>
                        <a:schemeClr val="accent4"/>
                      </a:solidFill>
                    </a:ln>
                    <a:effectLst/>
                  </c:spPr>
                </c:marker>
                <c:cat>
                  <c:numRef>
                    <c:extLst>
                      <c:ext uri="{02D57815-91ED-43cb-92C2-25804820EDAC}">
                        <c15:formulaRef>
                          <c15:sqref>'F2&amp;F3'!$A$6:$A$17</c15:sqref>
                        </c15:formulaRef>
                      </c:ext>
                    </c:extLst>
                    <c:numCache>
                      <c:formatCode>[$-409]mmm\-yy</c:formatCode>
                      <c:ptCount val="12"/>
                      <c:pt idx="0">
                        <c:v>44084</c:v>
                      </c:pt>
                      <c:pt idx="1">
                        <c:v>44114</c:v>
                      </c:pt>
                      <c:pt idx="2">
                        <c:v>44145</c:v>
                      </c:pt>
                      <c:pt idx="3">
                        <c:v>44175</c:v>
                      </c:pt>
                      <c:pt idx="4">
                        <c:v>44206</c:v>
                      </c:pt>
                      <c:pt idx="5">
                        <c:v>44237</c:v>
                      </c:pt>
                      <c:pt idx="6">
                        <c:v>44265</c:v>
                      </c:pt>
                      <c:pt idx="7">
                        <c:v>44296</c:v>
                      </c:pt>
                      <c:pt idx="8">
                        <c:v>44317</c:v>
                      </c:pt>
                      <c:pt idx="9">
                        <c:v>44348</c:v>
                      </c:pt>
                      <c:pt idx="10">
                        <c:v>44378</c:v>
                      </c:pt>
                      <c:pt idx="11">
                        <c:v>44409</c:v>
                      </c:pt>
                    </c:numCache>
                  </c:numRef>
                </c:cat>
                <c:val>
                  <c:numRef>
                    <c:extLst>
                      <c:ext uri="{02D57815-91ED-43cb-92C2-25804820EDAC}">
                        <c15:formulaRef>
                          <c15:sqref>'F2&amp;F3'!$C$6:$C$17</c15:sqref>
                        </c15:formulaRef>
                      </c:ext>
                    </c:extLst>
                    <c:numCache>
                      <c:formatCode>[&gt;=10000000]#\,##\,##\,##0;[&gt;=100000]#\,##\,##0;##,##0</c:formatCode>
                      <c:ptCount val="12"/>
                      <c:pt idx="0">
                        <c:v>38378.977272727272</c:v>
                      </c:pt>
                      <c:pt idx="1">
                        <c:v>40115.386666666658</c:v>
                      </c:pt>
                      <c:pt idx="2">
                        <c:v>43011.3845</c:v>
                      </c:pt>
                      <c:pt idx="3">
                        <c:v>46211.837272727265</c:v>
                      </c:pt>
                      <c:pt idx="4">
                        <c:v>48580.33</c:v>
                      </c:pt>
                      <c:pt idx="5" formatCode="#,##0;\-#,##0;0">
                        <c:v>50782.818000000007</c:v>
                      </c:pt>
                      <c:pt idx="6" formatCode="#,##0;\-#,##0;0">
                        <c:v>50782.818000000007</c:v>
                      </c:pt>
                      <c:pt idx="7" formatCode="#,##0;\-#,##0;0">
                        <c:v>48877.900526315789</c:v>
                      </c:pt>
                      <c:pt idx="8" formatCode="#,##0;\-#,##0;0">
                        <c:v>49822.895499999999</c:v>
                      </c:pt>
                      <c:pt idx="9" formatCode="#,##0;\-#,##0;0">
                        <c:v>52399.699090909089</c:v>
                      </c:pt>
                      <c:pt idx="10" formatCode="#,##0;\-#,##0;0">
                        <c:v>52694.251904761906</c:v>
                      </c:pt>
                    </c:numCache>
                  </c:numRef>
                </c:val>
                <c:smooth val="0"/>
                <c:extLst>
                  <c:ext xmlns:c16="http://schemas.microsoft.com/office/drawing/2014/chart" uri="{C3380CC4-5D6E-409C-BE32-E72D297353CC}">
                    <c16:uniqueId val="{00000002-3708-4A24-AECE-21D5953B963A}"/>
                  </c:ext>
                </c:extLst>
              </c15:ser>
            </c15:filteredLineSeries>
            <c15:filteredLineSeries>
              <c15:ser>
                <c:idx val="1"/>
                <c:order val="3"/>
                <c:tx>
                  <c:strRef>
                    <c:extLst xmlns:c15="http://schemas.microsoft.com/office/drawing/2012/chart">
                      <c:ext xmlns:c15="http://schemas.microsoft.com/office/drawing/2012/chart" uri="{02D57815-91ED-43cb-92C2-25804820EDAC}">
                        <c15:formulaRef>
                          <c15:sqref>'F2&amp;F3'!$E$4</c15:sqref>
                        </c15:formulaRef>
                      </c:ext>
                    </c:extLst>
                    <c:strCache>
                      <c:ptCount val="1"/>
                      <c:pt idx="0">
                        <c:v>ADV of Nifty 50 (RHS)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extLst xmlns:c15="http://schemas.microsoft.com/office/drawing/2012/chart">
                      <c:ext xmlns:c15="http://schemas.microsoft.com/office/drawing/2012/chart" uri="{02D57815-91ED-43cb-92C2-25804820EDAC}">
                        <c15:formulaRef>
                          <c15:sqref>'F2&amp;F3'!$A$6:$A$17</c15:sqref>
                        </c15:formulaRef>
                      </c:ext>
                    </c:extLst>
                    <c:numCache>
                      <c:formatCode>[$-409]mmm\-yy</c:formatCode>
                      <c:ptCount val="12"/>
                      <c:pt idx="0">
                        <c:v>44084</c:v>
                      </c:pt>
                      <c:pt idx="1">
                        <c:v>44114</c:v>
                      </c:pt>
                      <c:pt idx="2">
                        <c:v>44145</c:v>
                      </c:pt>
                      <c:pt idx="3">
                        <c:v>44175</c:v>
                      </c:pt>
                      <c:pt idx="4">
                        <c:v>44206</c:v>
                      </c:pt>
                      <c:pt idx="5">
                        <c:v>44237</c:v>
                      </c:pt>
                      <c:pt idx="6">
                        <c:v>44265</c:v>
                      </c:pt>
                      <c:pt idx="7">
                        <c:v>44296</c:v>
                      </c:pt>
                      <c:pt idx="8">
                        <c:v>44317</c:v>
                      </c:pt>
                      <c:pt idx="9">
                        <c:v>44348</c:v>
                      </c:pt>
                      <c:pt idx="10">
                        <c:v>44378</c:v>
                      </c:pt>
                      <c:pt idx="11">
                        <c:v>44409</c:v>
                      </c:pt>
                    </c:numCache>
                  </c:numRef>
                </c:cat>
                <c:val>
                  <c:numRef>
                    <c:extLst xmlns:c15="http://schemas.microsoft.com/office/drawing/2012/chart">
                      <c:ext xmlns:c15="http://schemas.microsoft.com/office/drawing/2012/chart" uri="{02D57815-91ED-43cb-92C2-25804820EDAC}">
                        <c15:formulaRef>
                          <c15:sqref>'F2&amp;F3'!$E$6:$E$17</c15:sqref>
                        </c15:formulaRef>
                      </c:ext>
                    </c:extLst>
                    <c:numCache>
                      <c:formatCode>[&gt;=10000000]#\,##\,##\,##0;[&gt;=100000]#\,##\,##0;##,##0</c:formatCode>
                      <c:ptCount val="12"/>
                      <c:pt idx="0">
                        <c:v>11336.702272727271</c:v>
                      </c:pt>
                      <c:pt idx="1">
                        <c:v>11789.709523809524</c:v>
                      </c:pt>
                      <c:pt idx="2">
                        <c:v>12602.3225</c:v>
                      </c:pt>
                      <c:pt idx="3">
                        <c:v>13550.44090909091</c:v>
                      </c:pt>
                      <c:pt idx="4">
                        <c:v>14284.602499999999</c:v>
                      </c:pt>
                      <c:pt idx="5">
                        <c:v>14956.842499999999</c:v>
                      </c:pt>
                      <c:pt idx="6">
                        <c:v>14835.099999999999</c:v>
                      </c:pt>
                      <c:pt idx="7">
                        <c:v>14613.852631578948</c:v>
                      </c:pt>
                      <c:pt idx="8">
                        <c:v>15121.611538461539</c:v>
                      </c:pt>
                      <c:pt idx="9">
                        <c:v>15733.677272727275</c:v>
                      </c:pt>
                      <c:pt idx="10">
                        <c:v>15783.097619047621</c:v>
                      </c:pt>
                    </c:numCache>
                  </c:numRef>
                </c:val>
                <c:smooth val="0"/>
                <c:extLst xmlns:c15="http://schemas.microsoft.com/office/drawing/2012/chart">
                  <c:ext xmlns:c16="http://schemas.microsoft.com/office/drawing/2014/chart" uri="{C3380CC4-5D6E-409C-BE32-E72D297353CC}">
                    <c16:uniqueId val="{00000003-3708-4A24-AECE-21D5953B963A}"/>
                  </c:ext>
                </c:extLst>
              </c15:ser>
            </c15:filteredLineSeries>
          </c:ext>
        </c:extLst>
      </c:lineChart>
      <c:dateAx>
        <c:axId val="479250888"/>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crossAx val="479250104"/>
        <c:crosses val="autoZero"/>
        <c:auto val="1"/>
        <c:lblOffset val="100"/>
        <c:baseTimeUnit val="months"/>
      </c:dateAx>
      <c:valAx>
        <c:axId val="479250104"/>
        <c:scaling>
          <c:orientation val="minMax"/>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crossAx val="479250888"/>
        <c:crosses val="autoZero"/>
        <c:crossBetween val="between"/>
      </c:valAx>
      <c:valAx>
        <c:axId val="479252456"/>
        <c:scaling>
          <c:orientation val="minMax"/>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crossAx val="479249320"/>
        <c:crosses val="max"/>
        <c:crossBetween val="between"/>
      </c:valAx>
      <c:dateAx>
        <c:axId val="479249320"/>
        <c:scaling>
          <c:orientation val="minMax"/>
        </c:scaling>
        <c:delete val="1"/>
        <c:axPos val="b"/>
        <c:numFmt formatCode="[$-409]mmm\-yy" sourceLinked="1"/>
        <c:majorTickMark val="out"/>
        <c:minorTickMark val="none"/>
        <c:tickLblPos val="nextTo"/>
        <c:crossAx val="479252456"/>
        <c:crosses val="autoZero"/>
        <c:auto val="1"/>
        <c:lblOffset val="100"/>
        <c:baseTimeUnit val="days"/>
        <c:majorUnit val="1"/>
        <c:minorUnit val="1"/>
      </c:date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solidFill>
            <a:sysClr val="windowText" lastClr="000000"/>
          </a:solidFill>
          <a:latin typeface="Palatino Linotype" panose="0204050205050503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5131889763779523E-2"/>
          <c:y val="5.1524036469125567E-2"/>
          <c:w val="0.83536227865882962"/>
          <c:h val="0.5911893289458221"/>
        </c:manualLayout>
      </c:layout>
      <c:barChart>
        <c:barDir val="col"/>
        <c:grouping val="clustered"/>
        <c:varyColors val="0"/>
        <c:ser>
          <c:idx val="0"/>
          <c:order val="0"/>
          <c:tx>
            <c:strRef>
              <c:f>'F4&amp;5 '!$E$4</c:f>
              <c:strCache>
                <c:ptCount val="1"/>
                <c:pt idx="0">
                  <c:v>Return (LHS)</c:v>
                </c:pt>
              </c:strCache>
            </c:strRef>
          </c:tx>
          <c:spPr>
            <a:solidFill>
              <a:srgbClr val="00B050"/>
            </a:solidFill>
            <a:ln>
              <a:noFill/>
            </a:ln>
            <a:effectLst/>
          </c:spPr>
          <c:invertIfNegative val="0"/>
          <c:cat>
            <c:strRef>
              <c:f>'F4&amp;5 '!$D$5:$D$14</c:f>
              <c:strCache>
                <c:ptCount val="10"/>
                <c:pt idx="0">
                  <c:v>BSE Power</c:v>
                </c:pt>
                <c:pt idx="1">
                  <c:v>BSE Teck</c:v>
                </c:pt>
                <c:pt idx="2">
                  <c:v>BSE Oil&amp;Gas</c:v>
                </c:pt>
                <c:pt idx="3">
                  <c:v>BSE Bank</c:v>
                </c:pt>
                <c:pt idx="4">
                  <c:v>BSE Capital Goods</c:v>
                </c:pt>
                <c:pt idx="5">
                  <c:v>BSECons.Dur.</c:v>
                </c:pt>
                <c:pt idx="6">
                  <c:v>BSE Auto</c:v>
                </c:pt>
                <c:pt idx="7">
                  <c:v>BSE PSU</c:v>
                </c:pt>
                <c:pt idx="8">
                  <c:v>BSE Metal</c:v>
                </c:pt>
                <c:pt idx="9">
                  <c:v>BSE Realty</c:v>
                </c:pt>
              </c:strCache>
            </c:strRef>
          </c:cat>
          <c:val>
            <c:numRef>
              <c:f>'F4&amp;5 '!$E$5:$E$14</c:f>
              <c:numCache>
                <c:formatCode>0.0</c:formatCode>
                <c:ptCount val="10"/>
                <c:pt idx="0">
                  <c:v>11.6479140232064</c:v>
                </c:pt>
                <c:pt idx="1">
                  <c:v>10.91990261373228</c:v>
                </c:pt>
                <c:pt idx="2">
                  <c:v>10.634941399091025</c:v>
                </c:pt>
                <c:pt idx="3">
                  <c:v>5.8165440209277275</c:v>
                </c:pt>
                <c:pt idx="4">
                  <c:v>5.500780889271728</c:v>
                </c:pt>
                <c:pt idx="5">
                  <c:v>2.6776235167179419</c:v>
                </c:pt>
                <c:pt idx="6">
                  <c:v>0.36541968348378084</c:v>
                </c:pt>
                <c:pt idx="7">
                  <c:v>-7.5945541363842128E-2</c:v>
                </c:pt>
                <c:pt idx="8">
                  <c:v>-2.0553864956628698</c:v>
                </c:pt>
                <c:pt idx="9">
                  <c:v>-3.0645622480369283</c:v>
                </c:pt>
              </c:numCache>
            </c:numRef>
          </c:val>
          <c:extLst>
            <c:ext xmlns:c16="http://schemas.microsoft.com/office/drawing/2014/chart" uri="{C3380CC4-5D6E-409C-BE32-E72D297353CC}">
              <c16:uniqueId val="{00000000-1370-4DD7-B882-F93C0EE3AA35}"/>
            </c:ext>
          </c:extLst>
        </c:ser>
        <c:dLbls>
          <c:showLegendKey val="0"/>
          <c:showVal val="0"/>
          <c:showCatName val="0"/>
          <c:showSerName val="0"/>
          <c:showPercent val="0"/>
          <c:showBubbleSize val="0"/>
        </c:dLbls>
        <c:gapWidth val="219"/>
        <c:overlap val="-27"/>
        <c:axId val="479249712"/>
        <c:axId val="479248928"/>
      </c:barChart>
      <c:lineChart>
        <c:grouping val="standard"/>
        <c:varyColors val="0"/>
        <c:ser>
          <c:idx val="1"/>
          <c:order val="1"/>
          <c:tx>
            <c:strRef>
              <c:f>'F4&amp;5 '!$F$4</c:f>
              <c:strCache>
                <c:ptCount val="1"/>
                <c:pt idx="0">
                  <c:v>Volatility (RHS)</c:v>
                </c:pt>
              </c:strCache>
            </c:strRef>
          </c:tx>
          <c:spPr>
            <a:ln w="28575" cap="rnd">
              <a:solidFill>
                <a:srgbClr val="FF0000"/>
              </a:solidFill>
              <a:round/>
            </a:ln>
            <a:effectLst/>
          </c:spPr>
          <c:marker>
            <c:symbol val="none"/>
          </c:marker>
          <c:cat>
            <c:strRef>
              <c:f>'F4&amp;5 '!$D$5:$D$14</c:f>
              <c:strCache>
                <c:ptCount val="10"/>
                <c:pt idx="0">
                  <c:v>BSE Power</c:v>
                </c:pt>
                <c:pt idx="1">
                  <c:v>BSE Teck</c:v>
                </c:pt>
                <c:pt idx="2">
                  <c:v>BSE Oil&amp;Gas</c:v>
                </c:pt>
                <c:pt idx="3">
                  <c:v>BSE Bank</c:v>
                </c:pt>
                <c:pt idx="4">
                  <c:v>BSE Capital Goods</c:v>
                </c:pt>
                <c:pt idx="5">
                  <c:v>BSECons.Dur.</c:v>
                </c:pt>
                <c:pt idx="6">
                  <c:v>BSE Auto</c:v>
                </c:pt>
                <c:pt idx="7">
                  <c:v>BSE PSU</c:v>
                </c:pt>
                <c:pt idx="8">
                  <c:v>BSE Metal</c:v>
                </c:pt>
                <c:pt idx="9">
                  <c:v>BSE Realty</c:v>
                </c:pt>
              </c:strCache>
            </c:strRef>
          </c:cat>
          <c:val>
            <c:numRef>
              <c:f>'F4&amp;5 '!$F$5:$F$14</c:f>
              <c:numCache>
                <c:formatCode>0.0</c:formatCode>
                <c:ptCount val="10"/>
                <c:pt idx="0">
                  <c:v>1.0522855899546422</c:v>
                </c:pt>
                <c:pt idx="1">
                  <c:v>0.80107533580362278</c:v>
                </c:pt>
                <c:pt idx="2">
                  <c:v>0.90467812672394032</c:v>
                </c:pt>
                <c:pt idx="3">
                  <c:v>0.97684036037416699</c:v>
                </c:pt>
                <c:pt idx="4">
                  <c:v>1.0601656406552904</c:v>
                </c:pt>
                <c:pt idx="5">
                  <c:v>0.84547826953169058</c:v>
                </c:pt>
                <c:pt idx="6">
                  <c:v>0.83038902100414547</c:v>
                </c:pt>
                <c:pt idx="7">
                  <c:v>1.1742857299388982</c:v>
                </c:pt>
                <c:pt idx="8">
                  <c:v>2.2547401864273113</c:v>
                </c:pt>
                <c:pt idx="9">
                  <c:v>1.6297709882400899</c:v>
                </c:pt>
              </c:numCache>
            </c:numRef>
          </c:val>
          <c:smooth val="0"/>
          <c:extLst>
            <c:ext xmlns:c16="http://schemas.microsoft.com/office/drawing/2014/chart" uri="{C3380CC4-5D6E-409C-BE32-E72D297353CC}">
              <c16:uniqueId val="{00000001-1370-4DD7-B882-F93C0EE3AA35}"/>
            </c:ext>
          </c:extLst>
        </c:ser>
        <c:dLbls>
          <c:showLegendKey val="0"/>
          <c:showVal val="0"/>
          <c:showCatName val="0"/>
          <c:showSerName val="0"/>
          <c:showPercent val="0"/>
          <c:showBubbleSize val="0"/>
        </c:dLbls>
        <c:marker val="1"/>
        <c:smooth val="0"/>
        <c:axId val="675663520"/>
        <c:axId val="479250496"/>
      </c:lineChart>
      <c:catAx>
        <c:axId val="47924971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sz="900" b="1" i="0" u="none" strike="noStrike" kern="1200" baseline="0">
                <a:solidFill>
                  <a:sysClr val="windowText" lastClr="000000"/>
                </a:solidFill>
                <a:latin typeface="Palatino Linotype" panose="02040502050505030304" pitchFamily="18" charset="0"/>
                <a:ea typeface="+mn-ea"/>
                <a:cs typeface="+mn-cs"/>
              </a:defRPr>
            </a:pPr>
            <a:endParaRPr lang="en-US"/>
          </a:p>
        </c:txPr>
        <c:crossAx val="479248928"/>
        <c:crosses val="autoZero"/>
        <c:auto val="1"/>
        <c:lblAlgn val="ctr"/>
        <c:lblOffset val="100"/>
        <c:noMultiLvlLbl val="0"/>
      </c:catAx>
      <c:valAx>
        <c:axId val="479248928"/>
        <c:scaling>
          <c:orientation val="minMax"/>
          <c:max val="18"/>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crossAx val="479249712"/>
        <c:crosses val="autoZero"/>
        <c:crossBetween val="between"/>
        <c:majorUnit val="4"/>
      </c:valAx>
      <c:valAx>
        <c:axId val="479250496"/>
        <c:scaling>
          <c:orientation val="minMax"/>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crossAx val="675663520"/>
        <c:crosses val="max"/>
        <c:crossBetween val="between"/>
      </c:valAx>
      <c:catAx>
        <c:axId val="675663520"/>
        <c:scaling>
          <c:orientation val="minMax"/>
        </c:scaling>
        <c:delete val="1"/>
        <c:axPos val="b"/>
        <c:numFmt formatCode="General" sourceLinked="1"/>
        <c:majorTickMark val="out"/>
        <c:minorTickMark val="none"/>
        <c:tickLblPos val="nextTo"/>
        <c:crossAx val="479250496"/>
        <c:crosses val="autoZero"/>
        <c:auto val="1"/>
        <c:lblAlgn val="ctr"/>
        <c:lblOffset val="100"/>
        <c:noMultiLvlLbl val="0"/>
      </c:catAx>
      <c:spPr>
        <a:noFill/>
        <a:ln>
          <a:solidFill>
            <a:sysClr val="window" lastClr="FFFFFF">
              <a:lumMod val="75000"/>
            </a:sysClr>
          </a:solidFill>
        </a:ln>
        <a:effectLst/>
      </c:spPr>
    </c:plotArea>
    <c:legend>
      <c:legendPos val="b"/>
      <c:layout>
        <c:manualLayout>
          <c:xMode val="edge"/>
          <c:yMode val="edge"/>
          <c:x val="0.23869487264796127"/>
          <c:y val="5.7848605577689172E-2"/>
          <c:w val="0.51791541902332627"/>
          <c:h val="0.10284196547144754"/>
        </c:manualLayout>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solidFill>
            <a:sysClr val="windowText" lastClr="000000"/>
          </a:solidFill>
          <a:latin typeface="Palatino Linotype" panose="02040502050505030304" pitchFamily="18" charset="0"/>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5131889763779523E-2"/>
          <c:y val="5.4386482939632545E-2"/>
          <c:w val="0.82362510936132982"/>
          <c:h val="0.57388544517041751"/>
        </c:manualLayout>
      </c:layout>
      <c:barChart>
        <c:barDir val="col"/>
        <c:grouping val="clustered"/>
        <c:varyColors val="0"/>
        <c:ser>
          <c:idx val="0"/>
          <c:order val="0"/>
          <c:tx>
            <c:strRef>
              <c:f>'F4&amp;5 '!$B$4</c:f>
              <c:strCache>
                <c:ptCount val="1"/>
                <c:pt idx="0">
                  <c:v>Return (LHS)</c:v>
                </c:pt>
              </c:strCache>
            </c:strRef>
          </c:tx>
          <c:spPr>
            <a:solidFill>
              <a:srgbClr val="00B050"/>
            </a:solidFill>
            <a:ln>
              <a:noFill/>
            </a:ln>
            <a:effectLst/>
          </c:spPr>
          <c:invertIfNegative val="0"/>
          <c:cat>
            <c:strRef>
              <c:f>'F4&amp;5 '!$A$5:$A$14</c:f>
              <c:strCache>
                <c:ptCount val="10"/>
                <c:pt idx="0">
                  <c:v>NIFTY IT</c:v>
                </c:pt>
                <c:pt idx="1">
                  <c:v>NIFTY Service Sector</c:v>
                </c:pt>
                <c:pt idx="2">
                  <c:v>NIFTY FMCG</c:v>
                </c:pt>
                <c:pt idx="3">
                  <c:v>NIFTY Energy</c:v>
                </c:pt>
                <c:pt idx="4">
                  <c:v>NIFTY Infra</c:v>
                </c:pt>
                <c:pt idx="5">
                  <c:v>NIFTY Bank</c:v>
                </c:pt>
                <c:pt idx="6">
                  <c:v>NIFTY PSE</c:v>
                </c:pt>
                <c:pt idx="7">
                  <c:v>NIFTY Pharma</c:v>
                </c:pt>
                <c:pt idx="8">
                  <c:v>NIFTY Realty</c:v>
                </c:pt>
                <c:pt idx="9">
                  <c:v>NIFTY PSU</c:v>
                </c:pt>
              </c:strCache>
            </c:strRef>
          </c:cat>
          <c:val>
            <c:numRef>
              <c:f>'F4&amp;5 '!$B$5:$B$14</c:f>
              <c:numCache>
                <c:formatCode>0.0</c:formatCode>
                <c:ptCount val="10"/>
                <c:pt idx="0">
                  <c:v>13.419269325345606</c:v>
                </c:pt>
                <c:pt idx="1">
                  <c:v>10.259865211166153</c:v>
                </c:pt>
                <c:pt idx="2">
                  <c:v>9.6466483042502382</c:v>
                </c:pt>
                <c:pt idx="3">
                  <c:v>7.1592862631805421</c:v>
                </c:pt>
                <c:pt idx="4">
                  <c:v>6.2619858764072944</c:v>
                </c:pt>
                <c:pt idx="5">
                  <c:v>5.3210483932761399</c:v>
                </c:pt>
                <c:pt idx="6">
                  <c:v>1.714110378108491</c:v>
                </c:pt>
                <c:pt idx="7">
                  <c:v>-0.55839393288180661</c:v>
                </c:pt>
                <c:pt idx="8">
                  <c:v>-2.9725322965006851</c:v>
                </c:pt>
                <c:pt idx="9">
                  <c:v>-4.3521002723902802</c:v>
                </c:pt>
              </c:numCache>
            </c:numRef>
          </c:val>
          <c:extLst>
            <c:ext xmlns:c16="http://schemas.microsoft.com/office/drawing/2014/chart" uri="{C3380CC4-5D6E-409C-BE32-E72D297353CC}">
              <c16:uniqueId val="{00000000-A1DF-450F-A1AE-F95B3B6DEEC9}"/>
            </c:ext>
          </c:extLst>
        </c:ser>
        <c:dLbls>
          <c:showLegendKey val="0"/>
          <c:showVal val="0"/>
          <c:showCatName val="0"/>
          <c:showSerName val="0"/>
          <c:showPercent val="0"/>
          <c:showBubbleSize val="0"/>
        </c:dLbls>
        <c:gapWidth val="219"/>
        <c:overlap val="-27"/>
        <c:axId val="79023976"/>
        <c:axId val="79022016"/>
      </c:barChart>
      <c:lineChart>
        <c:grouping val="standard"/>
        <c:varyColors val="0"/>
        <c:ser>
          <c:idx val="1"/>
          <c:order val="1"/>
          <c:tx>
            <c:strRef>
              <c:f>'F4&amp;5 '!$C$4</c:f>
              <c:strCache>
                <c:ptCount val="1"/>
                <c:pt idx="0">
                  <c:v>Volatility (RHS)</c:v>
                </c:pt>
              </c:strCache>
            </c:strRef>
          </c:tx>
          <c:spPr>
            <a:ln w="28575" cap="rnd">
              <a:solidFill>
                <a:srgbClr val="FF0000"/>
              </a:solidFill>
              <a:round/>
            </a:ln>
            <a:effectLst/>
          </c:spPr>
          <c:marker>
            <c:symbol val="none"/>
          </c:marker>
          <c:cat>
            <c:strRef>
              <c:f>'F4&amp;5 '!$A$5:$A$14</c:f>
              <c:strCache>
                <c:ptCount val="10"/>
                <c:pt idx="0">
                  <c:v>NIFTY IT</c:v>
                </c:pt>
                <c:pt idx="1">
                  <c:v>NIFTY Service Sector</c:v>
                </c:pt>
                <c:pt idx="2">
                  <c:v>NIFTY FMCG</c:v>
                </c:pt>
                <c:pt idx="3">
                  <c:v>NIFTY Energy</c:v>
                </c:pt>
                <c:pt idx="4">
                  <c:v>NIFTY Infra</c:v>
                </c:pt>
                <c:pt idx="5">
                  <c:v>NIFTY Bank</c:v>
                </c:pt>
                <c:pt idx="6">
                  <c:v>NIFTY PSE</c:v>
                </c:pt>
                <c:pt idx="7">
                  <c:v>NIFTY Pharma</c:v>
                </c:pt>
                <c:pt idx="8">
                  <c:v>NIFTY Realty</c:v>
                </c:pt>
                <c:pt idx="9">
                  <c:v>NIFTY PSU</c:v>
                </c:pt>
              </c:strCache>
            </c:strRef>
          </c:cat>
          <c:val>
            <c:numRef>
              <c:f>'F4&amp;5 '!$C$5:$C$14</c:f>
              <c:numCache>
                <c:formatCode>0.0</c:formatCode>
                <c:ptCount val="10"/>
                <c:pt idx="0">
                  <c:v>0.84843365711103524</c:v>
                </c:pt>
                <c:pt idx="1">
                  <c:v>0.62598684633587398</c:v>
                </c:pt>
                <c:pt idx="2">
                  <c:v>0.76157802108571271</c:v>
                </c:pt>
                <c:pt idx="3">
                  <c:v>0.80397088690193075</c:v>
                </c:pt>
                <c:pt idx="4">
                  <c:v>0.90189341325787686</c:v>
                </c:pt>
                <c:pt idx="5">
                  <c:v>0.93213192467789063</c:v>
                </c:pt>
                <c:pt idx="6">
                  <c:v>1.1881708528820947</c:v>
                </c:pt>
                <c:pt idx="7">
                  <c:v>1.0112017636899218</c:v>
                </c:pt>
                <c:pt idx="8">
                  <c:v>1.6563775458338241</c:v>
                </c:pt>
                <c:pt idx="9">
                  <c:v>1.4363492033994589</c:v>
                </c:pt>
              </c:numCache>
            </c:numRef>
          </c:val>
          <c:smooth val="0"/>
          <c:extLst>
            <c:ext xmlns:c16="http://schemas.microsoft.com/office/drawing/2014/chart" uri="{C3380CC4-5D6E-409C-BE32-E72D297353CC}">
              <c16:uniqueId val="{00000001-A1DF-450F-A1AE-F95B3B6DEEC9}"/>
            </c:ext>
          </c:extLst>
        </c:ser>
        <c:dLbls>
          <c:showLegendKey val="0"/>
          <c:showVal val="0"/>
          <c:showCatName val="0"/>
          <c:showSerName val="0"/>
          <c:showPercent val="0"/>
          <c:showBubbleSize val="0"/>
        </c:dLbls>
        <c:marker val="1"/>
        <c:smooth val="0"/>
        <c:axId val="79022408"/>
        <c:axId val="79021624"/>
      </c:lineChart>
      <c:catAx>
        <c:axId val="7902397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Palatino Linotype" panose="02040502050505030304" pitchFamily="18" charset="0"/>
                <a:ea typeface="+mn-ea"/>
                <a:cs typeface="+mn-cs"/>
              </a:defRPr>
            </a:pPr>
            <a:endParaRPr lang="en-US"/>
          </a:p>
        </c:txPr>
        <c:crossAx val="79022016"/>
        <c:crosses val="autoZero"/>
        <c:auto val="1"/>
        <c:lblAlgn val="ctr"/>
        <c:lblOffset val="100"/>
        <c:noMultiLvlLbl val="0"/>
      </c:catAx>
      <c:valAx>
        <c:axId val="79022016"/>
        <c:scaling>
          <c:orientation val="minMax"/>
          <c:max val="16"/>
          <c:min val="-5"/>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crossAx val="79023976"/>
        <c:crosses val="autoZero"/>
        <c:crossBetween val="between"/>
      </c:valAx>
      <c:valAx>
        <c:axId val="79021624"/>
        <c:scaling>
          <c:orientation val="minMax"/>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crossAx val="79022408"/>
        <c:crosses val="max"/>
        <c:crossBetween val="between"/>
      </c:valAx>
      <c:catAx>
        <c:axId val="79022408"/>
        <c:scaling>
          <c:orientation val="minMax"/>
        </c:scaling>
        <c:delete val="1"/>
        <c:axPos val="b"/>
        <c:numFmt formatCode="General" sourceLinked="1"/>
        <c:majorTickMark val="out"/>
        <c:minorTickMark val="none"/>
        <c:tickLblPos val="nextTo"/>
        <c:crossAx val="79021624"/>
        <c:crossesAt val="0"/>
        <c:auto val="1"/>
        <c:lblAlgn val="ctr"/>
        <c:lblOffset val="100"/>
        <c:noMultiLvlLbl val="0"/>
      </c:catAx>
      <c:spPr>
        <a:noFill/>
        <a:ln>
          <a:solidFill>
            <a:sysClr val="window" lastClr="FFFFFF">
              <a:lumMod val="75000"/>
            </a:sysClr>
          </a:solidFill>
        </a:ln>
        <a:effectLst/>
      </c:spPr>
    </c:plotArea>
    <c:legend>
      <c:legendPos val="b"/>
      <c:layout>
        <c:manualLayout>
          <c:xMode val="edge"/>
          <c:yMode val="edge"/>
          <c:x val="0.22131980960007122"/>
          <c:y val="4.5602240896358469E-2"/>
          <c:w val="0.49860331865296498"/>
          <c:h val="0.10845938375350141"/>
        </c:manualLayout>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7802201170888683E-2"/>
          <c:y val="7.710296684118674E-2"/>
          <c:w val="0.92324861451892737"/>
          <c:h val="0.7079686029812311"/>
        </c:manualLayout>
      </c:layout>
      <c:barChart>
        <c:barDir val="col"/>
        <c:grouping val="clustered"/>
        <c:varyColors val="0"/>
        <c:ser>
          <c:idx val="0"/>
          <c:order val="0"/>
          <c:tx>
            <c:strRef>
              <c:f>Sheet1!$G$2</c:f>
              <c:strCache>
                <c:ptCount val="1"/>
                <c:pt idx="0">
                  <c:v>NSDL</c:v>
                </c:pt>
              </c:strCache>
            </c:strRef>
          </c:tx>
          <c:spPr>
            <a:solidFill>
              <a:schemeClr val="accent1"/>
            </a:solidFill>
            <a:ln>
              <a:noFill/>
            </a:ln>
            <a:effectLst/>
          </c:spPr>
          <c:invertIfNegative val="0"/>
          <c:cat>
            <c:numRef>
              <c:f>Sheet1!$F$68:$F$79</c:f>
              <c:numCache>
                <c:formatCode>mmm\-yy</c:formatCode>
                <c:ptCount val="12"/>
                <c:pt idx="0">
                  <c:v>44075</c:v>
                </c:pt>
                <c:pt idx="1">
                  <c:v>44105</c:v>
                </c:pt>
                <c:pt idx="2">
                  <c:v>44136</c:v>
                </c:pt>
                <c:pt idx="3">
                  <c:v>44166</c:v>
                </c:pt>
                <c:pt idx="4">
                  <c:v>44197</c:v>
                </c:pt>
                <c:pt idx="5">
                  <c:v>44228</c:v>
                </c:pt>
                <c:pt idx="6">
                  <c:v>44256</c:v>
                </c:pt>
                <c:pt idx="7">
                  <c:v>44287</c:v>
                </c:pt>
                <c:pt idx="8">
                  <c:v>44317</c:v>
                </c:pt>
                <c:pt idx="9">
                  <c:v>44348</c:v>
                </c:pt>
                <c:pt idx="10">
                  <c:v>44378</c:v>
                </c:pt>
                <c:pt idx="11">
                  <c:v>44409</c:v>
                </c:pt>
              </c:numCache>
            </c:numRef>
          </c:cat>
          <c:val>
            <c:numRef>
              <c:f>Sheet1!$G$68:$G$79</c:f>
              <c:numCache>
                <c:formatCode>0.0</c:formatCode>
                <c:ptCount val="12"/>
                <c:pt idx="0">
                  <c:v>2</c:v>
                </c:pt>
                <c:pt idx="1">
                  <c:v>1</c:v>
                </c:pt>
                <c:pt idx="2">
                  <c:v>1</c:v>
                </c:pt>
                <c:pt idx="3">
                  <c:v>2</c:v>
                </c:pt>
                <c:pt idx="4">
                  <c:v>2</c:v>
                </c:pt>
                <c:pt idx="5">
                  <c:v>2</c:v>
                </c:pt>
                <c:pt idx="6">
                  <c:v>4</c:v>
                </c:pt>
                <c:pt idx="7">
                  <c:v>2</c:v>
                </c:pt>
                <c:pt idx="8">
                  <c:v>2</c:v>
                </c:pt>
                <c:pt idx="9">
                  <c:v>4</c:v>
                </c:pt>
                <c:pt idx="10">
                  <c:v>3</c:v>
                </c:pt>
                <c:pt idx="11">
                  <c:v>5</c:v>
                </c:pt>
              </c:numCache>
            </c:numRef>
          </c:val>
          <c:extLst>
            <c:ext xmlns:c16="http://schemas.microsoft.com/office/drawing/2014/chart" uri="{C3380CC4-5D6E-409C-BE32-E72D297353CC}">
              <c16:uniqueId val="{00000000-4C5F-4D9B-AEB6-7D4156887FC2}"/>
            </c:ext>
          </c:extLst>
        </c:ser>
        <c:ser>
          <c:idx val="1"/>
          <c:order val="1"/>
          <c:tx>
            <c:strRef>
              <c:f>Sheet1!$H$2</c:f>
              <c:strCache>
                <c:ptCount val="1"/>
                <c:pt idx="0">
                  <c:v>CDSL</c:v>
                </c:pt>
              </c:strCache>
            </c:strRef>
          </c:tx>
          <c:spPr>
            <a:solidFill>
              <a:schemeClr val="accent2"/>
            </a:solidFill>
            <a:ln>
              <a:noFill/>
            </a:ln>
            <a:effectLst/>
          </c:spPr>
          <c:invertIfNegative val="0"/>
          <c:cat>
            <c:numRef>
              <c:f>Sheet1!$F$68:$F$79</c:f>
              <c:numCache>
                <c:formatCode>mmm\-yy</c:formatCode>
                <c:ptCount val="12"/>
                <c:pt idx="0">
                  <c:v>44075</c:v>
                </c:pt>
                <c:pt idx="1">
                  <c:v>44105</c:v>
                </c:pt>
                <c:pt idx="2">
                  <c:v>44136</c:v>
                </c:pt>
                <c:pt idx="3">
                  <c:v>44166</c:v>
                </c:pt>
                <c:pt idx="4">
                  <c:v>44197</c:v>
                </c:pt>
                <c:pt idx="5">
                  <c:v>44228</c:v>
                </c:pt>
                <c:pt idx="6">
                  <c:v>44256</c:v>
                </c:pt>
                <c:pt idx="7">
                  <c:v>44287</c:v>
                </c:pt>
                <c:pt idx="8">
                  <c:v>44317</c:v>
                </c:pt>
                <c:pt idx="9">
                  <c:v>44348</c:v>
                </c:pt>
                <c:pt idx="10">
                  <c:v>44378</c:v>
                </c:pt>
                <c:pt idx="11">
                  <c:v>44409</c:v>
                </c:pt>
              </c:numCache>
            </c:numRef>
          </c:cat>
          <c:val>
            <c:numRef>
              <c:f>Sheet1!$H$68:$H$79</c:f>
              <c:numCache>
                <c:formatCode>0.0</c:formatCode>
                <c:ptCount val="12"/>
                <c:pt idx="0">
                  <c:v>11</c:v>
                </c:pt>
                <c:pt idx="1">
                  <c:v>9</c:v>
                </c:pt>
                <c:pt idx="2">
                  <c:v>9</c:v>
                </c:pt>
                <c:pt idx="3">
                  <c:v>10</c:v>
                </c:pt>
                <c:pt idx="4">
                  <c:v>15</c:v>
                </c:pt>
                <c:pt idx="5">
                  <c:v>14</c:v>
                </c:pt>
                <c:pt idx="6">
                  <c:v>16</c:v>
                </c:pt>
                <c:pt idx="7">
                  <c:v>17</c:v>
                </c:pt>
                <c:pt idx="8">
                  <c:v>24</c:v>
                </c:pt>
                <c:pt idx="9">
                  <c:v>21.5</c:v>
                </c:pt>
                <c:pt idx="10">
                  <c:v>22.5</c:v>
                </c:pt>
                <c:pt idx="11">
                  <c:v>21</c:v>
                </c:pt>
              </c:numCache>
            </c:numRef>
          </c:val>
          <c:extLst>
            <c:ext xmlns:c16="http://schemas.microsoft.com/office/drawing/2014/chart" uri="{C3380CC4-5D6E-409C-BE32-E72D297353CC}">
              <c16:uniqueId val="{00000001-4C5F-4D9B-AEB6-7D4156887FC2}"/>
            </c:ext>
          </c:extLst>
        </c:ser>
        <c:dLbls>
          <c:showLegendKey val="0"/>
          <c:showVal val="0"/>
          <c:showCatName val="0"/>
          <c:showSerName val="0"/>
          <c:showPercent val="0"/>
          <c:showBubbleSize val="0"/>
        </c:dLbls>
        <c:gapWidth val="219"/>
        <c:axId val="79023192"/>
        <c:axId val="79024760"/>
      </c:barChart>
      <c:dateAx>
        <c:axId val="79023192"/>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Palatino Linotype" panose="02040502050505030304" pitchFamily="18" charset="0"/>
                <a:ea typeface="+mn-ea"/>
                <a:cs typeface="+mn-cs"/>
              </a:defRPr>
            </a:pPr>
            <a:endParaRPr lang="en-US"/>
          </a:p>
        </c:txPr>
        <c:crossAx val="79024760"/>
        <c:crosses val="autoZero"/>
        <c:auto val="0"/>
        <c:lblOffset val="100"/>
        <c:baseTimeUnit val="months"/>
      </c:dateAx>
      <c:valAx>
        <c:axId val="79024760"/>
        <c:scaling>
          <c:orientation val="minMax"/>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79023192"/>
        <c:crossesAt val="43891"/>
        <c:crossBetween val="between"/>
      </c:valAx>
      <c:spPr>
        <a:noFill/>
        <a:ln>
          <a:solidFill>
            <a:schemeClr val="bg1">
              <a:lumMod val="75000"/>
            </a:schemeClr>
          </a:solidFill>
        </a:ln>
        <a:effectLst/>
      </c:spPr>
    </c:plotArea>
    <c:legend>
      <c:legendPos val="b"/>
      <c:layout>
        <c:manualLayout>
          <c:xMode val="edge"/>
          <c:yMode val="edge"/>
          <c:x val="0.41502903046210132"/>
          <c:y val="0.90191311800310681"/>
          <c:w val="0.16994193907579735"/>
          <c:h val="9.8086881996893249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75000"/>
        </a:schemeClr>
      </a:solidFill>
      <a:round/>
    </a:ln>
    <a:effectLst/>
  </c:spPr>
  <c:txPr>
    <a:bodyPr/>
    <a:lstStyle/>
    <a:p>
      <a:pPr>
        <a:defRPr>
          <a:solidFill>
            <a:sysClr val="windowText" lastClr="000000"/>
          </a:solidFill>
          <a:latin typeface="Palatino Linotype" panose="02040502050505030304" pitchFamily="18" charset="0"/>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624158476540795"/>
          <c:y val="5.3641462625391004E-2"/>
          <c:w val="0.73570527041783995"/>
          <c:h val="0.6262780310355941"/>
        </c:manualLayout>
      </c:layout>
      <c:barChart>
        <c:barDir val="col"/>
        <c:grouping val="clustered"/>
        <c:varyColors val="0"/>
        <c:ser>
          <c:idx val="1"/>
          <c:order val="1"/>
          <c:tx>
            <c:strRef>
              <c:f>'F4 '!$E$1</c:f>
              <c:strCache>
                <c:ptCount val="1"/>
                <c:pt idx="0">
                  <c:v>ADNT at NSE (RHS)</c:v>
                </c:pt>
              </c:strCache>
            </c:strRef>
          </c:tx>
          <c:spPr>
            <a:solidFill>
              <a:srgbClr val="00B050"/>
            </a:solidFill>
            <a:ln>
              <a:noFill/>
            </a:ln>
            <a:effectLst/>
          </c:spPr>
          <c:invertIfNegative val="0"/>
          <c:cat>
            <c:numRef>
              <c:f>'F4 '!$A$3:$A$14</c:f>
              <c:numCache>
                <c:formatCode>[$-409]mmm\-yy</c:formatCode>
                <c:ptCount val="12"/>
                <c:pt idx="0">
                  <c:v>44084</c:v>
                </c:pt>
                <c:pt idx="1">
                  <c:v>44114</c:v>
                </c:pt>
                <c:pt idx="2">
                  <c:v>44145</c:v>
                </c:pt>
                <c:pt idx="3">
                  <c:v>44175</c:v>
                </c:pt>
                <c:pt idx="4">
                  <c:v>44206</c:v>
                </c:pt>
                <c:pt idx="5">
                  <c:v>44237</c:v>
                </c:pt>
                <c:pt idx="6">
                  <c:v>44265</c:v>
                </c:pt>
                <c:pt idx="7">
                  <c:v>44296</c:v>
                </c:pt>
                <c:pt idx="8">
                  <c:v>44317</c:v>
                </c:pt>
                <c:pt idx="9">
                  <c:v>44348</c:v>
                </c:pt>
                <c:pt idx="10">
                  <c:v>44378</c:v>
                </c:pt>
                <c:pt idx="11">
                  <c:v>44409</c:v>
                </c:pt>
              </c:numCache>
            </c:numRef>
          </c:cat>
          <c:val>
            <c:numRef>
              <c:f>'F4 '!$E$3:$E$14</c:f>
              <c:numCache>
                <c:formatCode>[&gt;=10000000]#\,##\,##\,##0;[&gt;=100000]#\,##\,##0;##,##0</c:formatCode>
                <c:ptCount val="12"/>
                <c:pt idx="0">
                  <c:v>2157023.5625705258</c:v>
                </c:pt>
                <c:pt idx="1">
                  <c:v>2632458.2987257265</c:v>
                </c:pt>
                <c:pt idx="2">
                  <c:v>2844478.2670458574</c:v>
                </c:pt>
                <c:pt idx="3">
                  <c:v>3057374.9092755187</c:v>
                </c:pt>
                <c:pt idx="4">
                  <c:v>3595657.0081937932</c:v>
                </c:pt>
                <c:pt idx="5">
                  <c:v>4301098.4515000004</c:v>
                </c:pt>
                <c:pt idx="6">
                  <c:v>4438327.3871428566</c:v>
                </c:pt>
                <c:pt idx="7">
                  <c:v>4665024.3789473688</c:v>
                </c:pt>
                <c:pt idx="8">
                  <c:v>4332641.5880000005</c:v>
                </c:pt>
                <c:pt idx="9">
                  <c:v>4608723.0909090908</c:v>
                </c:pt>
                <c:pt idx="10">
                  <c:v>5386820.5952380951</c:v>
                </c:pt>
                <c:pt idx="11" formatCode="_(* #,##0_);_(* \(#,##0\);_(* &quot;-&quot;??_);_(@_)">
                  <c:v>5739759</c:v>
                </c:pt>
              </c:numCache>
            </c:numRef>
          </c:val>
          <c:extLst>
            <c:ext xmlns:c16="http://schemas.microsoft.com/office/drawing/2014/chart" uri="{C3380CC4-5D6E-409C-BE32-E72D297353CC}">
              <c16:uniqueId val="{00000000-765B-4956-88F3-0DF419FDEDE9}"/>
            </c:ext>
          </c:extLst>
        </c:ser>
        <c:dLbls>
          <c:showLegendKey val="0"/>
          <c:showVal val="0"/>
          <c:showCatName val="0"/>
          <c:showSerName val="0"/>
          <c:showPercent val="0"/>
          <c:showBubbleSize val="0"/>
        </c:dLbls>
        <c:gapWidth val="219"/>
        <c:overlap val="-27"/>
        <c:axId val="605019416"/>
        <c:axId val="605014320"/>
      </c:barChart>
      <c:lineChart>
        <c:grouping val="standard"/>
        <c:varyColors val="0"/>
        <c:ser>
          <c:idx val="0"/>
          <c:order val="0"/>
          <c:tx>
            <c:strRef>
              <c:f>'F4 '!$D$1</c:f>
              <c:strCache>
                <c:ptCount val="1"/>
                <c:pt idx="0">
                  <c:v>ADNT at BSE (LHS)</c:v>
                </c:pt>
              </c:strCache>
            </c:strRef>
          </c:tx>
          <c:spPr>
            <a:ln w="28575" cap="rnd">
              <a:solidFill>
                <a:srgbClr val="FF0000"/>
              </a:solidFill>
              <a:round/>
            </a:ln>
            <a:effectLst/>
          </c:spPr>
          <c:marker>
            <c:symbol val="none"/>
          </c:marker>
          <c:cat>
            <c:numRef>
              <c:f>'F4 '!$A$3:$A$14</c:f>
              <c:numCache>
                <c:formatCode>[$-409]mmm\-yy</c:formatCode>
                <c:ptCount val="12"/>
                <c:pt idx="0">
                  <c:v>44084</c:v>
                </c:pt>
                <c:pt idx="1">
                  <c:v>44114</c:v>
                </c:pt>
                <c:pt idx="2">
                  <c:v>44145</c:v>
                </c:pt>
                <c:pt idx="3">
                  <c:v>44175</c:v>
                </c:pt>
                <c:pt idx="4">
                  <c:v>44206</c:v>
                </c:pt>
                <c:pt idx="5">
                  <c:v>44237</c:v>
                </c:pt>
                <c:pt idx="6">
                  <c:v>44265</c:v>
                </c:pt>
                <c:pt idx="7">
                  <c:v>44296</c:v>
                </c:pt>
                <c:pt idx="8">
                  <c:v>44317</c:v>
                </c:pt>
                <c:pt idx="9">
                  <c:v>44348</c:v>
                </c:pt>
                <c:pt idx="10">
                  <c:v>44378</c:v>
                </c:pt>
                <c:pt idx="11">
                  <c:v>44409</c:v>
                </c:pt>
              </c:numCache>
            </c:numRef>
          </c:cat>
          <c:val>
            <c:numRef>
              <c:f>'F4 '!$D$3:$D$14</c:f>
              <c:numCache>
                <c:formatCode>#,##0</c:formatCode>
                <c:ptCount val="12"/>
                <c:pt idx="0">
                  <c:v>123934.84768617614</c:v>
                </c:pt>
                <c:pt idx="1">
                  <c:v>161548.20265396428</c:v>
                </c:pt>
                <c:pt idx="2">
                  <c:v>218924.7232084875</c:v>
                </c:pt>
                <c:pt idx="3">
                  <c:v>222827.48463496024</c:v>
                </c:pt>
                <c:pt idx="4">
                  <c:v>246651.46454715001</c:v>
                </c:pt>
                <c:pt idx="5">
                  <c:v>291858.57797283505</c:v>
                </c:pt>
                <c:pt idx="6">
                  <c:v>295833.62791219522</c:v>
                </c:pt>
                <c:pt idx="7">
                  <c:v>317790.11645149474</c:v>
                </c:pt>
                <c:pt idx="8">
                  <c:v>323982.19198160624</c:v>
                </c:pt>
                <c:pt idx="9">
                  <c:v>303244.85652462277</c:v>
                </c:pt>
                <c:pt idx="10">
                  <c:v>302849.34979702381</c:v>
                </c:pt>
                <c:pt idx="11">
                  <c:v>303377.24</c:v>
                </c:pt>
              </c:numCache>
            </c:numRef>
          </c:val>
          <c:smooth val="0"/>
          <c:extLst>
            <c:ext xmlns:c16="http://schemas.microsoft.com/office/drawing/2014/chart" uri="{C3380CC4-5D6E-409C-BE32-E72D297353CC}">
              <c16:uniqueId val="{00000001-765B-4956-88F3-0DF419FDEDE9}"/>
            </c:ext>
          </c:extLst>
        </c:ser>
        <c:dLbls>
          <c:showLegendKey val="0"/>
          <c:showVal val="0"/>
          <c:showCatName val="0"/>
          <c:showSerName val="0"/>
          <c:showPercent val="0"/>
          <c:showBubbleSize val="0"/>
        </c:dLbls>
        <c:marker val="1"/>
        <c:smooth val="0"/>
        <c:axId val="79025152"/>
        <c:axId val="79023584"/>
      </c:lineChart>
      <c:dateAx>
        <c:axId val="79025152"/>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crossAx val="79023584"/>
        <c:crosses val="autoZero"/>
        <c:auto val="1"/>
        <c:lblOffset val="100"/>
        <c:baseTimeUnit val="months"/>
      </c:dateAx>
      <c:valAx>
        <c:axId val="79023584"/>
        <c:scaling>
          <c:orientation val="minMax"/>
        </c:scaling>
        <c:delete val="0"/>
        <c:axPos val="l"/>
        <c:title>
          <c:tx>
            <c:rich>
              <a:bodyPr rot="-540000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r>
                  <a:rPr lang="en-US"/>
                  <a:t>BSE</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crossAx val="79025152"/>
        <c:crosses val="autoZero"/>
        <c:crossBetween val="between"/>
      </c:valAx>
      <c:valAx>
        <c:axId val="605014320"/>
        <c:scaling>
          <c:orientation val="minMax"/>
          <c:min val="1000000"/>
        </c:scaling>
        <c:delete val="0"/>
        <c:axPos val="r"/>
        <c:title>
          <c:tx>
            <c:rich>
              <a:bodyPr rot="-540000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r>
                  <a:rPr lang="en-US"/>
                  <a:t>NSE</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crossAx val="605019416"/>
        <c:crosses val="max"/>
        <c:crossBetween val="between"/>
      </c:valAx>
      <c:dateAx>
        <c:axId val="605019416"/>
        <c:scaling>
          <c:orientation val="minMax"/>
        </c:scaling>
        <c:delete val="1"/>
        <c:axPos val="b"/>
        <c:numFmt formatCode="[$-409]mmm\-yy" sourceLinked="1"/>
        <c:majorTickMark val="out"/>
        <c:minorTickMark val="none"/>
        <c:tickLblPos val="nextTo"/>
        <c:crossAx val="605014320"/>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solidFill>
            <a:sysClr val="windowText" lastClr="000000"/>
          </a:solidFill>
          <a:latin typeface="Palatino Linotype" panose="02040502050505030304" pitchFamily="18" charset="0"/>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633028303894446"/>
          <c:y val="5.4292215724884213E-2"/>
          <c:w val="0.75736946395214111"/>
          <c:h val="0.65285413231546419"/>
        </c:manualLayout>
      </c:layout>
      <c:lineChart>
        <c:grouping val="standard"/>
        <c:varyColors val="0"/>
        <c:ser>
          <c:idx val="0"/>
          <c:order val="0"/>
          <c:tx>
            <c:strRef>
              <c:f>'F6'!$B$2</c:f>
              <c:strCache>
                <c:ptCount val="1"/>
                <c:pt idx="0">
                  <c:v>BSE  (LHS)</c:v>
                </c:pt>
              </c:strCache>
            </c:strRef>
          </c:tx>
          <c:spPr>
            <a:ln w="28575" cap="rnd">
              <a:solidFill>
                <a:schemeClr val="accent6"/>
              </a:solidFill>
              <a:round/>
            </a:ln>
            <a:effectLst/>
          </c:spPr>
          <c:marker>
            <c:symbol val="none"/>
          </c:marker>
          <c:cat>
            <c:numRef>
              <c:f>'F6'!$A$4:$A$15</c:f>
              <c:numCache>
                <c:formatCode>[$-409]mmm\-yy</c:formatCode>
                <c:ptCount val="12"/>
                <c:pt idx="0">
                  <c:v>44084</c:v>
                </c:pt>
                <c:pt idx="1">
                  <c:v>44114</c:v>
                </c:pt>
                <c:pt idx="2">
                  <c:v>44145</c:v>
                </c:pt>
                <c:pt idx="3">
                  <c:v>44175</c:v>
                </c:pt>
                <c:pt idx="4">
                  <c:v>44206</c:v>
                </c:pt>
                <c:pt idx="5">
                  <c:v>44237</c:v>
                </c:pt>
                <c:pt idx="6">
                  <c:v>44265</c:v>
                </c:pt>
                <c:pt idx="7">
                  <c:v>44296</c:v>
                </c:pt>
                <c:pt idx="8">
                  <c:v>44317</c:v>
                </c:pt>
                <c:pt idx="9">
                  <c:v>44348</c:v>
                </c:pt>
                <c:pt idx="10">
                  <c:v>44378</c:v>
                </c:pt>
                <c:pt idx="11">
                  <c:v>44409</c:v>
                </c:pt>
              </c:numCache>
            </c:numRef>
          </c:cat>
          <c:val>
            <c:numRef>
              <c:f>'F6'!$B$4:$B$15</c:f>
              <c:numCache>
                <c:formatCode>0\,00\,000;\-0\,00\,000;0</c:formatCode>
                <c:ptCount val="12"/>
                <c:pt idx="0">
                  <c:v>429477.39090000006</c:v>
                </c:pt>
                <c:pt idx="1">
                  <c:v>408890.7488</c:v>
                </c:pt>
                <c:pt idx="2">
                  <c:v>402246.89210000006</c:v>
                </c:pt>
                <c:pt idx="3">
                  <c:v>496940.56949999998</c:v>
                </c:pt>
                <c:pt idx="4" formatCode="#,##0">
                  <c:v>440262.21429999999</c:v>
                </c:pt>
                <c:pt idx="5">
                  <c:v>449170.83260000002</c:v>
                </c:pt>
                <c:pt idx="6">
                  <c:v>563283.70030000003</c:v>
                </c:pt>
                <c:pt idx="7">
                  <c:v>448635.7488</c:v>
                </c:pt>
                <c:pt idx="8">
                  <c:v>417945.56279999996</c:v>
                </c:pt>
                <c:pt idx="9">
                  <c:v>503265.83970000001</c:v>
                </c:pt>
                <c:pt idx="10" formatCode="[&gt;=10000000]#\,##\,##\,##0;[&gt;=100000]#\,##\,##0;##,##0">
                  <c:v>500963.52590000007</c:v>
                </c:pt>
                <c:pt idx="11" formatCode="[&gt;=10000000]#\,##\,##\,##0;[&gt;=100000]#\,##\,##0;##,##0">
                  <c:v>478902.13159999996</c:v>
                </c:pt>
              </c:numCache>
            </c:numRef>
          </c:val>
          <c:smooth val="0"/>
          <c:extLst>
            <c:ext xmlns:c16="http://schemas.microsoft.com/office/drawing/2014/chart" uri="{C3380CC4-5D6E-409C-BE32-E72D297353CC}">
              <c16:uniqueId val="{00000000-E76D-45A2-B0FE-A0605BD7DFA6}"/>
            </c:ext>
          </c:extLst>
        </c:ser>
        <c:ser>
          <c:idx val="1"/>
          <c:order val="1"/>
          <c:tx>
            <c:strRef>
              <c:f>'F6'!$C$2</c:f>
              <c:strCache>
                <c:ptCount val="1"/>
                <c:pt idx="0">
                  <c:v>NSE (LHS)</c:v>
                </c:pt>
              </c:strCache>
            </c:strRef>
          </c:tx>
          <c:spPr>
            <a:ln w="28575" cap="rnd">
              <a:solidFill>
                <a:srgbClr val="0070C0"/>
              </a:solidFill>
              <a:round/>
            </a:ln>
            <a:effectLst/>
          </c:spPr>
          <c:marker>
            <c:symbol val="none"/>
          </c:marker>
          <c:cat>
            <c:numRef>
              <c:f>'F6'!$A$4:$A$15</c:f>
              <c:numCache>
                <c:formatCode>[$-409]mmm\-yy</c:formatCode>
                <c:ptCount val="12"/>
                <c:pt idx="0">
                  <c:v>44084</c:v>
                </c:pt>
                <c:pt idx="1">
                  <c:v>44114</c:v>
                </c:pt>
                <c:pt idx="2">
                  <c:v>44145</c:v>
                </c:pt>
                <c:pt idx="3">
                  <c:v>44175</c:v>
                </c:pt>
                <c:pt idx="4">
                  <c:v>44206</c:v>
                </c:pt>
                <c:pt idx="5">
                  <c:v>44237</c:v>
                </c:pt>
                <c:pt idx="6">
                  <c:v>44265</c:v>
                </c:pt>
                <c:pt idx="7">
                  <c:v>44296</c:v>
                </c:pt>
                <c:pt idx="8">
                  <c:v>44317</c:v>
                </c:pt>
                <c:pt idx="9">
                  <c:v>44348</c:v>
                </c:pt>
                <c:pt idx="10">
                  <c:v>44378</c:v>
                </c:pt>
                <c:pt idx="11">
                  <c:v>44409</c:v>
                </c:pt>
              </c:numCache>
            </c:numRef>
          </c:cat>
          <c:val>
            <c:numRef>
              <c:f>'F6'!$C$4:$C$15</c:f>
              <c:numCache>
                <c:formatCode>0\,00\,000;\-0\,00\,000;0</c:formatCode>
                <c:ptCount val="12"/>
                <c:pt idx="0">
                  <c:v>1120073.5900000001</c:v>
                </c:pt>
                <c:pt idx="1">
                  <c:v>977668.28209999995</c:v>
                </c:pt>
                <c:pt idx="2">
                  <c:v>1024112.012</c:v>
                </c:pt>
                <c:pt idx="3">
                  <c:v>1160618.8376070948</c:v>
                </c:pt>
                <c:pt idx="4">
                  <c:v>1001205.5174880214</c:v>
                </c:pt>
                <c:pt idx="5">
                  <c:v>1082488.916</c:v>
                </c:pt>
                <c:pt idx="6">
                  <c:v>1444570.959</c:v>
                </c:pt>
                <c:pt idx="7">
                  <c:v>1490637.77</c:v>
                </c:pt>
                <c:pt idx="8">
                  <c:v>1105377.56</c:v>
                </c:pt>
                <c:pt idx="9">
                  <c:v>1378693.62</c:v>
                </c:pt>
                <c:pt idx="10" formatCode="[&gt;=10000000]#\,##\,##\,##0;[&gt;=100000]#\,##\,##0;##,##0">
                  <c:v>1386768.69</c:v>
                </c:pt>
                <c:pt idx="11" formatCode="[&gt;=10000000]#\,##\,##\,##0;[&gt;=100000]#\,##\,##0;##,##0">
                  <c:v>1076862.0382310494</c:v>
                </c:pt>
              </c:numCache>
            </c:numRef>
          </c:val>
          <c:smooth val="0"/>
          <c:extLst>
            <c:ext xmlns:c16="http://schemas.microsoft.com/office/drawing/2014/chart" uri="{C3380CC4-5D6E-409C-BE32-E72D297353CC}">
              <c16:uniqueId val="{00000001-E76D-45A2-B0FE-A0605BD7DFA6}"/>
            </c:ext>
          </c:extLst>
        </c:ser>
        <c:dLbls>
          <c:showLegendKey val="0"/>
          <c:showVal val="0"/>
          <c:showCatName val="0"/>
          <c:showSerName val="0"/>
          <c:showPercent val="0"/>
          <c:showBubbleSize val="0"/>
        </c:dLbls>
        <c:marker val="1"/>
        <c:smooth val="0"/>
        <c:axId val="605015104"/>
        <c:axId val="605016280"/>
      </c:lineChart>
      <c:lineChart>
        <c:grouping val="standard"/>
        <c:varyColors val="0"/>
        <c:ser>
          <c:idx val="3"/>
          <c:order val="2"/>
          <c:tx>
            <c:strRef>
              <c:f>'F6'!$D$2</c:f>
              <c:strCache>
                <c:ptCount val="1"/>
                <c:pt idx="0">
                  <c:v>MSEI (RHS)</c:v>
                </c:pt>
              </c:strCache>
            </c:strRef>
          </c:tx>
          <c:spPr>
            <a:ln w="28575" cap="rnd">
              <a:solidFill>
                <a:srgbClr val="00B050"/>
              </a:solidFill>
              <a:round/>
            </a:ln>
            <a:effectLst/>
          </c:spPr>
          <c:marker>
            <c:symbol val="none"/>
          </c:marker>
          <c:cat>
            <c:numRef>
              <c:f>'F6'!$A$4:$A$15</c:f>
              <c:numCache>
                <c:formatCode>[$-409]mmm\-yy</c:formatCode>
                <c:ptCount val="12"/>
                <c:pt idx="0">
                  <c:v>44084</c:v>
                </c:pt>
                <c:pt idx="1">
                  <c:v>44114</c:v>
                </c:pt>
                <c:pt idx="2">
                  <c:v>44145</c:v>
                </c:pt>
                <c:pt idx="3">
                  <c:v>44175</c:v>
                </c:pt>
                <c:pt idx="4">
                  <c:v>44206</c:v>
                </c:pt>
                <c:pt idx="5">
                  <c:v>44237</c:v>
                </c:pt>
                <c:pt idx="6">
                  <c:v>44265</c:v>
                </c:pt>
                <c:pt idx="7">
                  <c:v>44296</c:v>
                </c:pt>
                <c:pt idx="8">
                  <c:v>44317</c:v>
                </c:pt>
                <c:pt idx="9">
                  <c:v>44348</c:v>
                </c:pt>
                <c:pt idx="10">
                  <c:v>44378</c:v>
                </c:pt>
                <c:pt idx="11">
                  <c:v>44409</c:v>
                </c:pt>
              </c:numCache>
            </c:numRef>
          </c:cat>
          <c:val>
            <c:numRef>
              <c:f>'F6'!$D$4:$D$15</c:f>
              <c:numCache>
                <c:formatCode>#,##0;\-#,##0;0</c:formatCode>
                <c:ptCount val="12"/>
                <c:pt idx="0">
                  <c:v>6888.6162975000007</c:v>
                </c:pt>
                <c:pt idx="1">
                  <c:v>9075.2012660000019</c:v>
                </c:pt>
                <c:pt idx="2">
                  <c:v>12344.712834499998</c:v>
                </c:pt>
                <c:pt idx="3">
                  <c:v>14310.276320249999</c:v>
                </c:pt>
                <c:pt idx="4">
                  <c:v>13562.270864749999</c:v>
                </c:pt>
                <c:pt idx="5">
                  <c:v>12191.89372125</c:v>
                </c:pt>
                <c:pt idx="6">
                  <c:v>14323.94781</c:v>
                </c:pt>
                <c:pt idx="7">
                  <c:v>9625.6356357500008</c:v>
                </c:pt>
                <c:pt idx="8">
                  <c:v>12607.516215999998</c:v>
                </c:pt>
                <c:pt idx="9">
                  <c:v>14464.578571</c:v>
                </c:pt>
                <c:pt idx="10" formatCode="[&gt;=10000000]#\,##\,##\,##0;[&gt;=100000]#\,##\,##0;##,##0">
                  <c:v>6391.1461387500003</c:v>
                </c:pt>
                <c:pt idx="11" formatCode="[&gt;=10000000]#\,##\,##\,##0;[&gt;=100000]#\,##\,##0;##,##0">
                  <c:v>5395</c:v>
                </c:pt>
              </c:numCache>
            </c:numRef>
          </c:val>
          <c:smooth val="0"/>
          <c:extLst>
            <c:ext xmlns:c16="http://schemas.microsoft.com/office/drawing/2014/chart" uri="{C3380CC4-5D6E-409C-BE32-E72D297353CC}">
              <c16:uniqueId val="{00000002-E76D-45A2-B0FE-A0605BD7DFA6}"/>
            </c:ext>
          </c:extLst>
        </c:ser>
        <c:dLbls>
          <c:showLegendKey val="0"/>
          <c:showVal val="0"/>
          <c:showCatName val="0"/>
          <c:showSerName val="0"/>
          <c:showPercent val="0"/>
          <c:showBubbleSize val="0"/>
        </c:dLbls>
        <c:marker val="1"/>
        <c:smooth val="0"/>
        <c:axId val="605021768"/>
        <c:axId val="605019808"/>
      </c:lineChart>
      <c:dateAx>
        <c:axId val="605015104"/>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crossAx val="605016280"/>
        <c:crosses val="autoZero"/>
        <c:auto val="1"/>
        <c:lblOffset val="100"/>
        <c:baseTimeUnit val="months"/>
      </c:dateAx>
      <c:valAx>
        <c:axId val="605016280"/>
        <c:scaling>
          <c:orientation val="minMax"/>
        </c:scaling>
        <c:delete val="0"/>
        <c:axPos val="l"/>
        <c:numFmt formatCode="0\,00\,000;\-0\,00\,0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crossAx val="605015104"/>
        <c:crosses val="autoZero"/>
        <c:crossBetween val="between"/>
      </c:valAx>
      <c:valAx>
        <c:axId val="605019808"/>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crossAx val="605021768"/>
        <c:crosses val="max"/>
        <c:crossBetween val="between"/>
      </c:valAx>
      <c:dateAx>
        <c:axId val="605021768"/>
        <c:scaling>
          <c:orientation val="minMax"/>
        </c:scaling>
        <c:delete val="1"/>
        <c:axPos val="b"/>
        <c:numFmt formatCode="[$-409]mmm\-yy" sourceLinked="1"/>
        <c:majorTickMark val="out"/>
        <c:minorTickMark val="none"/>
        <c:tickLblPos val="nextTo"/>
        <c:crossAx val="605019808"/>
        <c:crosses val="autoZero"/>
        <c:auto val="1"/>
        <c:lblOffset val="100"/>
        <c:baseTimeUnit val="days"/>
      </c:dateAx>
      <c:spPr>
        <a:noFill/>
        <a:ln>
          <a:noFill/>
        </a:ln>
        <a:effectLst/>
      </c:spPr>
    </c:plotArea>
    <c:legend>
      <c:legendPos val="b"/>
      <c:layout>
        <c:manualLayout>
          <c:xMode val="edge"/>
          <c:yMode val="edge"/>
          <c:x val="0.16861970632049372"/>
          <c:y val="0.92152716593245232"/>
          <c:w val="0.6627603981934691"/>
          <c:h val="4.3230543318649048E-2"/>
        </c:manualLayout>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solidFill>
            <a:sysClr val="windowText" lastClr="000000"/>
          </a:solidFill>
          <a:latin typeface="Palatino Linotype" panose="02040502050505030304" pitchFamily="18" charset="0"/>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'F7'!$B$2</c:f>
              <c:strCache>
                <c:ptCount val="1"/>
                <c:pt idx="0">
                  <c:v>BSE</c:v>
                </c:pt>
              </c:strCache>
            </c:strRef>
          </c:tx>
          <c:spPr>
            <a:ln w="28575" cap="rnd">
              <a:solidFill>
                <a:schemeClr val="accent6"/>
              </a:solidFill>
              <a:round/>
            </a:ln>
            <a:effectLst/>
          </c:spPr>
          <c:marker>
            <c:symbol val="none"/>
          </c:marker>
          <c:cat>
            <c:numRef>
              <c:f>'F7'!$A$4:$A$15</c:f>
              <c:numCache>
                <c:formatCode>[$-409]mmm\-yy</c:formatCode>
                <c:ptCount val="12"/>
                <c:pt idx="0">
                  <c:v>44084</c:v>
                </c:pt>
                <c:pt idx="1">
                  <c:v>44114</c:v>
                </c:pt>
                <c:pt idx="2">
                  <c:v>44145</c:v>
                </c:pt>
                <c:pt idx="3">
                  <c:v>44175</c:v>
                </c:pt>
                <c:pt idx="4">
                  <c:v>44206</c:v>
                </c:pt>
                <c:pt idx="5">
                  <c:v>44237</c:v>
                </c:pt>
                <c:pt idx="6">
                  <c:v>44265</c:v>
                </c:pt>
                <c:pt idx="7">
                  <c:v>44296</c:v>
                </c:pt>
                <c:pt idx="8">
                  <c:v>44317</c:v>
                </c:pt>
                <c:pt idx="9">
                  <c:v>44348</c:v>
                </c:pt>
                <c:pt idx="10">
                  <c:v>44379</c:v>
                </c:pt>
                <c:pt idx="11">
                  <c:v>44410</c:v>
                </c:pt>
              </c:numCache>
            </c:numRef>
          </c:cat>
          <c:val>
            <c:numRef>
              <c:f>'F7'!$B$4:$B$15</c:f>
              <c:numCache>
                <c:formatCode>#,##0;\-#,##0;0</c:formatCode>
                <c:ptCount val="12"/>
                <c:pt idx="0">
                  <c:v>618.83699999999999</c:v>
                </c:pt>
                <c:pt idx="1">
                  <c:v>1949.4366000000005</c:v>
                </c:pt>
                <c:pt idx="2">
                  <c:v>3284.3459999999995</c:v>
                </c:pt>
                <c:pt idx="3">
                  <c:v>1087.3935000000001</c:v>
                </c:pt>
                <c:pt idx="4">
                  <c:v>1100.9360999999999</c:v>
                </c:pt>
                <c:pt idx="5">
                  <c:v>5520.3626999999997</c:v>
                </c:pt>
                <c:pt idx="6">
                  <c:v>14649.4748</c:v>
                </c:pt>
                <c:pt idx="7">
                  <c:v>155.46360000000001</c:v>
                </c:pt>
                <c:pt idx="8">
                  <c:v>2276.2072000000003</c:v>
                </c:pt>
                <c:pt idx="9">
                  <c:v>3124.1062999999999</c:v>
                </c:pt>
                <c:pt idx="10" formatCode="_(* #,##0_);_(* \(#,##0\);_(* &quot;-&quot;??_);_(@_)">
                  <c:v>2288.64</c:v>
                </c:pt>
                <c:pt idx="11" formatCode="_(* #,##0_);_(* \(#,##0\);_(* &quot;-&quot;??_);_(@_)">
                  <c:v>3833</c:v>
                </c:pt>
              </c:numCache>
            </c:numRef>
          </c:val>
          <c:smooth val="0"/>
          <c:extLst>
            <c:ext xmlns:c16="http://schemas.microsoft.com/office/drawing/2014/chart" uri="{C3380CC4-5D6E-409C-BE32-E72D297353CC}">
              <c16:uniqueId val="{00000000-7096-4073-9298-A9EEF39DD876}"/>
            </c:ext>
          </c:extLst>
        </c:ser>
        <c:ser>
          <c:idx val="1"/>
          <c:order val="1"/>
          <c:tx>
            <c:strRef>
              <c:f>'F7'!$C$2</c:f>
              <c:strCache>
                <c:ptCount val="1"/>
                <c:pt idx="0">
                  <c:v>NSE</c:v>
                </c:pt>
              </c:strCache>
            </c:strRef>
          </c:tx>
          <c:spPr>
            <a:ln w="28575" cap="rnd">
              <a:solidFill>
                <a:schemeClr val="accent5"/>
              </a:solidFill>
              <a:round/>
            </a:ln>
            <a:effectLst/>
          </c:spPr>
          <c:marker>
            <c:symbol val="none"/>
          </c:marker>
          <c:cat>
            <c:numRef>
              <c:f>'F7'!$A$4:$A$15</c:f>
              <c:numCache>
                <c:formatCode>[$-409]mmm\-yy</c:formatCode>
                <c:ptCount val="12"/>
                <c:pt idx="0">
                  <c:v>44084</c:v>
                </c:pt>
                <c:pt idx="1">
                  <c:v>44114</c:v>
                </c:pt>
                <c:pt idx="2">
                  <c:v>44145</c:v>
                </c:pt>
                <c:pt idx="3">
                  <c:v>44175</c:v>
                </c:pt>
                <c:pt idx="4">
                  <c:v>44206</c:v>
                </c:pt>
                <c:pt idx="5">
                  <c:v>44237</c:v>
                </c:pt>
                <c:pt idx="6">
                  <c:v>44265</c:v>
                </c:pt>
                <c:pt idx="7">
                  <c:v>44296</c:v>
                </c:pt>
                <c:pt idx="8">
                  <c:v>44317</c:v>
                </c:pt>
                <c:pt idx="9">
                  <c:v>44348</c:v>
                </c:pt>
                <c:pt idx="10">
                  <c:v>44379</c:v>
                </c:pt>
                <c:pt idx="11">
                  <c:v>44410</c:v>
                </c:pt>
              </c:numCache>
            </c:numRef>
          </c:cat>
          <c:val>
            <c:numRef>
              <c:f>'F7'!$C$4:$C$15</c:f>
              <c:numCache>
                <c:formatCode>#,##0;\-#,##0;0</c:formatCode>
                <c:ptCount val="12"/>
                <c:pt idx="0">
                  <c:v>7968.2005550000003</c:v>
                </c:pt>
                <c:pt idx="1">
                  <c:v>5969.361613</c:v>
                </c:pt>
                <c:pt idx="2">
                  <c:v>3735.2176584999997</c:v>
                </c:pt>
                <c:pt idx="3">
                  <c:v>5464.1321635000004</c:v>
                </c:pt>
                <c:pt idx="4">
                  <c:v>4093.5442204999999</c:v>
                </c:pt>
                <c:pt idx="5">
                  <c:v>6734.7814850000004</c:v>
                </c:pt>
                <c:pt idx="6">
                  <c:v>4389.8273959999997</c:v>
                </c:pt>
                <c:pt idx="7">
                  <c:v>2364.85</c:v>
                </c:pt>
                <c:pt idx="8">
                  <c:v>2810.9</c:v>
                </c:pt>
                <c:pt idx="9">
                  <c:v>1965.78</c:v>
                </c:pt>
                <c:pt idx="10" formatCode="_(* #,##0_);_(* \(#,##0\);_(* &quot;-&quot;??_);_(@_)">
                  <c:v>2141</c:v>
                </c:pt>
                <c:pt idx="11" formatCode="_(* #,##0_);_(* \(#,##0\);_(* &quot;-&quot;??_);_(@_)">
                  <c:v>1569</c:v>
                </c:pt>
              </c:numCache>
            </c:numRef>
          </c:val>
          <c:smooth val="0"/>
          <c:extLst>
            <c:ext xmlns:c16="http://schemas.microsoft.com/office/drawing/2014/chart" uri="{C3380CC4-5D6E-409C-BE32-E72D297353CC}">
              <c16:uniqueId val="{00000001-7096-4073-9298-A9EEF39DD876}"/>
            </c:ext>
          </c:extLst>
        </c:ser>
        <c:dLbls>
          <c:showLegendKey val="0"/>
          <c:showVal val="0"/>
          <c:showCatName val="0"/>
          <c:showSerName val="0"/>
          <c:showPercent val="0"/>
          <c:showBubbleSize val="0"/>
        </c:dLbls>
        <c:smooth val="0"/>
        <c:axId val="605016672"/>
        <c:axId val="605017456"/>
      </c:lineChart>
      <c:dateAx>
        <c:axId val="605016672"/>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crossAx val="605017456"/>
        <c:crosses val="autoZero"/>
        <c:auto val="1"/>
        <c:lblOffset val="100"/>
        <c:baseTimeUnit val="months"/>
      </c:dateAx>
      <c:valAx>
        <c:axId val="605017456"/>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crossAx val="605016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solidFill>
            <a:sysClr val="windowText" lastClr="000000"/>
          </a:solidFill>
          <a:latin typeface="Palatino Linotype" panose="02040502050505030304" pitchFamily="18" charset="0"/>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'F11'!$B$3</c:f>
              <c:strCache>
                <c:ptCount val="1"/>
                <c:pt idx="0">
                  <c:v>BSE</c:v>
                </c:pt>
              </c:strCache>
            </c:strRef>
          </c:tx>
          <c:spPr>
            <a:solidFill>
              <a:srgbClr val="FF0000"/>
            </a:solidFill>
            <a:ln>
              <a:noFill/>
            </a:ln>
            <a:effectLst/>
          </c:spPr>
          <c:invertIfNegative val="0"/>
          <c:dLbls>
            <c:spPr>
              <a:noFill/>
              <a:ln>
                <a:noFill/>
              </a:ln>
              <a:effectLst/>
            </c:spPr>
            <c:txPr>
              <a:bodyPr rot="-5400000" spcFirstLastPara="1" vertOverflow="ellipsis" wrap="square" anchor="ctr" anchorCtr="1"/>
              <a:lstStyle/>
              <a:p>
                <a:pPr>
                  <a:defRPr sz="10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'F11'!$A$5:$A$16</c:f>
              <c:strCache>
                <c:ptCount val="12"/>
                <c:pt idx="0">
                  <c:v>Sep-20</c:v>
                </c:pt>
                <c:pt idx="1">
                  <c:v>Oct-20</c:v>
                </c:pt>
                <c:pt idx="2">
                  <c:v>Nov-20</c:v>
                </c:pt>
                <c:pt idx="3">
                  <c:v>Dec-20</c:v>
                </c:pt>
                <c:pt idx="4">
                  <c:v>Jan-21</c:v>
                </c:pt>
                <c:pt idx="5">
                  <c:v>Feb-21</c:v>
                </c:pt>
                <c:pt idx="6">
                  <c:v>Mar-21</c:v>
                </c:pt>
                <c:pt idx="7">
                  <c:v>Apr-21</c:v>
                </c:pt>
                <c:pt idx="8">
                  <c:v>May-21</c:v>
                </c:pt>
                <c:pt idx="9">
                  <c:v>Jun-21</c:v>
                </c:pt>
                <c:pt idx="10">
                  <c:v>Jul-21</c:v>
                </c:pt>
                <c:pt idx="11">
                  <c:v>Aug-21</c:v>
                </c:pt>
              </c:strCache>
            </c:strRef>
          </c:cat>
          <c:val>
            <c:numRef>
              <c:f>'F11'!$C$5:$C$16</c:f>
              <c:numCache>
                <c:formatCode>#,##0;\-#,##0;0</c:formatCode>
                <c:ptCount val="12"/>
                <c:pt idx="0">
                  <c:v>50693.919999999998</c:v>
                </c:pt>
                <c:pt idx="1">
                  <c:v>42448.36</c:v>
                </c:pt>
                <c:pt idx="2">
                  <c:v>35255.333224302012</c:v>
                </c:pt>
                <c:pt idx="3">
                  <c:v>34626.160000000003</c:v>
                </c:pt>
                <c:pt idx="4">
                  <c:v>48384.845524290002</c:v>
                </c:pt>
                <c:pt idx="5">
                  <c:v>43534.32</c:v>
                </c:pt>
                <c:pt idx="6">
                  <c:v>64043.87</c:v>
                </c:pt>
                <c:pt idx="7">
                  <c:v>60888.553099999997</c:v>
                </c:pt>
                <c:pt idx="8">
                  <c:v>54135.76</c:v>
                </c:pt>
                <c:pt idx="9">
                  <c:v>61390.57</c:v>
                </c:pt>
                <c:pt idx="10">
                  <c:v>48404.689310000002</c:v>
                </c:pt>
                <c:pt idx="11">
                  <c:v>55957.11</c:v>
                </c:pt>
              </c:numCache>
            </c:numRef>
          </c:val>
          <c:extLst>
            <c:ext xmlns:c16="http://schemas.microsoft.com/office/drawing/2014/chart" uri="{C3380CC4-5D6E-409C-BE32-E72D297353CC}">
              <c16:uniqueId val="{00000000-8FC4-478E-AEC9-025AA9EA3EC9}"/>
            </c:ext>
          </c:extLst>
        </c:ser>
        <c:ser>
          <c:idx val="1"/>
          <c:order val="1"/>
          <c:tx>
            <c:strRef>
              <c:f>'F11'!$D$3</c:f>
              <c:strCache>
                <c:ptCount val="1"/>
                <c:pt idx="0">
                  <c:v>NSE</c:v>
                </c:pt>
              </c:strCache>
            </c:strRef>
          </c:tx>
          <c:spPr>
            <a:solidFill>
              <a:srgbClr val="00B050"/>
            </a:solidFill>
            <a:ln>
              <a:noFill/>
            </a:ln>
            <a:effectLst/>
          </c:spPr>
          <c:invertIfNegative val="0"/>
          <c:dLbls>
            <c:spPr>
              <a:noFill/>
              <a:ln>
                <a:noFill/>
              </a:ln>
              <a:effectLst/>
            </c:spPr>
            <c:txPr>
              <a:bodyPr rot="-5400000" spcFirstLastPara="1" vertOverflow="ellipsis" wrap="square" anchor="ctr" anchorCtr="1"/>
              <a:lstStyle/>
              <a:p>
                <a:pPr>
                  <a:defRPr sz="10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'F11'!$A$5:$A$16</c:f>
              <c:strCache>
                <c:ptCount val="12"/>
                <c:pt idx="0">
                  <c:v>Sep-20</c:v>
                </c:pt>
                <c:pt idx="1">
                  <c:v>Oct-20</c:v>
                </c:pt>
                <c:pt idx="2">
                  <c:v>Nov-20</c:v>
                </c:pt>
                <c:pt idx="3">
                  <c:v>Dec-20</c:v>
                </c:pt>
                <c:pt idx="4">
                  <c:v>Jan-21</c:v>
                </c:pt>
                <c:pt idx="5">
                  <c:v>Feb-21</c:v>
                </c:pt>
                <c:pt idx="6">
                  <c:v>Mar-21</c:v>
                </c:pt>
                <c:pt idx="7">
                  <c:v>Apr-21</c:v>
                </c:pt>
                <c:pt idx="8">
                  <c:v>May-21</c:v>
                </c:pt>
                <c:pt idx="9">
                  <c:v>Jun-21</c:v>
                </c:pt>
                <c:pt idx="10">
                  <c:v>Jul-21</c:v>
                </c:pt>
                <c:pt idx="11">
                  <c:v>Aug-21</c:v>
                </c:pt>
              </c:strCache>
            </c:strRef>
          </c:cat>
          <c:val>
            <c:numRef>
              <c:f>'F11'!$E$5:$E$16</c:f>
              <c:numCache>
                <c:formatCode>#,##0</c:formatCode>
                <c:ptCount val="12"/>
                <c:pt idx="0">
                  <c:v>90782.64</c:v>
                </c:pt>
                <c:pt idx="1">
                  <c:v>88404.000000000015</c:v>
                </c:pt>
                <c:pt idx="2">
                  <c:v>79665.3</c:v>
                </c:pt>
                <c:pt idx="3">
                  <c:v>76874.000000000015</c:v>
                </c:pt>
                <c:pt idx="4">
                  <c:v>83618.37999999999</c:v>
                </c:pt>
                <c:pt idx="5">
                  <c:v>75565.039999999994</c:v>
                </c:pt>
                <c:pt idx="6">
                  <c:v>95400.379999999976</c:v>
                </c:pt>
                <c:pt idx="7">
                  <c:v>90992.76</c:v>
                </c:pt>
                <c:pt idx="8">
                  <c:v>79923.94</c:v>
                </c:pt>
                <c:pt idx="9">
                  <c:v>91924.45</c:v>
                </c:pt>
                <c:pt idx="10">
                  <c:v>66672.289999999994</c:v>
                </c:pt>
                <c:pt idx="11">
                  <c:v>88259.38</c:v>
                </c:pt>
              </c:numCache>
            </c:numRef>
          </c:val>
          <c:extLst>
            <c:ext xmlns:c16="http://schemas.microsoft.com/office/drawing/2014/chart" uri="{C3380CC4-5D6E-409C-BE32-E72D297353CC}">
              <c16:uniqueId val="{00000001-8FC4-478E-AEC9-025AA9EA3EC9}"/>
            </c:ext>
          </c:extLst>
        </c:ser>
        <c:dLbls>
          <c:showLegendKey val="0"/>
          <c:showVal val="0"/>
          <c:showCatName val="0"/>
          <c:showSerName val="0"/>
          <c:showPercent val="0"/>
          <c:showBubbleSize val="0"/>
        </c:dLbls>
        <c:gapWidth val="219"/>
        <c:overlap val="-27"/>
        <c:axId val="605017848"/>
        <c:axId val="605020200"/>
      </c:barChart>
      <c:catAx>
        <c:axId val="605017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605020200"/>
        <c:crosses val="autoZero"/>
        <c:auto val="1"/>
        <c:lblAlgn val="ctr"/>
        <c:lblOffset val="100"/>
        <c:noMultiLvlLbl val="1"/>
      </c:catAx>
      <c:valAx>
        <c:axId val="605020200"/>
        <c:scaling>
          <c:orientation val="minMax"/>
          <c:min val="30000"/>
        </c:scaling>
        <c:delete val="1"/>
        <c:axPos val="l"/>
        <c:numFmt formatCode="#,##0;\-#,##0;0" sourceLinked="1"/>
        <c:majorTickMark val="none"/>
        <c:minorTickMark val="none"/>
        <c:tickLblPos val="nextTo"/>
        <c:crossAx val="605017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'F12'!$B$2</c:f>
              <c:strCache>
                <c:ptCount val="1"/>
                <c:pt idx="0">
                  <c:v>Equity</c:v>
                </c:pt>
              </c:strCache>
            </c:strRef>
          </c:tx>
          <c:spPr>
            <a:solidFill>
              <a:schemeClr val="accent1"/>
            </a:solidFill>
            <a:ln>
              <a:noFill/>
            </a:ln>
            <a:effectLst/>
          </c:spPr>
          <c:invertIfNegative val="0"/>
          <c:cat>
            <c:numRef>
              <c:f>'F12'!$A$3:$A$14</c:f>
              <c:numCache>
                <c:formatCode>[$-409]mmm\-yy</c:formatCode>
                <c:ptCount val="12"/>
                <c:pt idx="0">
                  <c:v>44084</c:v>
                </c:pt>
                <c:pt idx="1">
                  <c:v>44114</c:v>
                </c:pt>
                <c:pt idx="2">
                  <c:v>44145</c:v>
                </c:pt>
                <c:pt idx="3">
                  <c:v>44175</c:v>
                </c:pt>
                <c:pt idx="4">
                  <c:v>44206</c:v>
                </c:pt>
                <c:pt idx="5">
                  <c:v>44237</c:v>
                </c:pt>
                <c:pt idx="6">
                  <c:v>44265</c:v>
                </c:pt>
                <c:pt idx="7">
                  <c:v>44296</c:v>
                </c:pt>
                <c:pt idx="8">
                  <c:v>44326</c:v>
                </c:pt>
                <c:pt idx="9">
                  <c:v>44357</c:v>
                </c:pt>
                <c:pt idx="10">
                  <c:v>44387</c:v>
                </c:pt>
                <c:pt idx="11">
                  <c:v>44418</c:v>
                </c:pt>
              </c:numCache>
            </c:numRef>
          </c:cat>
          <c:val>
            <c:numRef>
              <c:f>'F12'!$B$3:$B$14</c:f>
              <c:numCache>
                <c:formatCode>#,##0;\-#,##0;0</c:formatCode>
                <c:ptCount val="12"/>
                <c:pt idx="0">
                  <c:v>-4134.37</c:v>
                </c:pt>
                <c:pt idx="1">
                  <c:v>-14491.79</c:v>
                </c:pt>
                <c:pt idx="2">
                  <c:v>-30760.07</c:v>
                </c:pt>
                <c:pt idx="3">
                  <c:v>-26427.83</c:v>
                </c:pt>
                <c:pt idx="4">
                  <c:v>-13031.78</c:v>
                </c:pt>
                <c:pt idx="5">
                  <c:v>-16306</c:v>
                </c:pt>
                <c:pt idx="6">
                  <c:v>4772.83</c:v>
                </c:pt>
                <c:pt idx="7">
                  <c:v>5526.36</c:v>
                </c:pt>
                <c:pt idx="8">
                  <c:v>475.75</c:v>
                </c:pt>
                <c:pt idx="9" formatCode="[&gt;9999999]##\,##\,##\,##0;[&gt;99999]##\,##\,##0;##,##0">
                  <c:v>6437.08</c:v>
                </c:pt>
                <c:pt idx="10" formatCode="[&gt;9999999]##\,##\,##\,##0;[&gt;99999]##\,##\,##0;##,##0">
                  <c:v>21502.37</c:v>
                </c:pt>
                <c:pt idx="11" formatCode="[&gt;9999999]##\,##\,##\,##0;[&gt;99999]##\,##\,##0;##,##0">
                  <c:v>11545.85</c:v>
                </c:pt>
              </c:numCache>
            </c:numRef>
          </c:val>
          <c:extLst>
            <c:ext xmlns:c16="http://schemas.microsoft.com/office/drawing/2014/chart" uri="{C3380CC4-5D6E-409C-BE32-E72D297353CC}">
              <c16:uniqueId val="{00000000-862B-4F08-ACAA-FDAF475FE6BF}"/>
            </c:ext>
          </c:extLst>
        </c:ser>
        <c:ser>
          <c:idx val="1"/>
          <c:order val="1"/>
          <c:tx>
            <c:strRef>
              <c:f>'F12'!$C$2</c:f>
              <c:strCache>
                <c:ptCount val="1"/>
                <c:pt idx="0">
                  <c:v>Debt</c:v>
                </c:pt>
              </c:strCache>
            </c:strRef>
          </c:tx>
          <c:spPr>
            <a:solidFill>
              <a:schemeClr val="accent2"/>
            </a:solidFill>
            <a:ln>
              <a:noFill/>
            </a:ln>
            <a:effectLst/>
          </c:spPr>
          <c:invertIfNegative val="0"/>
          <c:cat>
            <c:numRef>
              <c:f>'F12'!$A$3:$A$14</c:f>
              <c:numCache>
                <c:formatCode>[$-409]mmm\-yy</c:formatCode>
                <c:ptCount val="12"/>
                <c:pt idx="0">
                  <c:v>44084</c:v>
                </c:pt>
                <c:pt idx="1">
                  <c:v>44114</c:v>
                </c:pt>
                <c:pt idx="2">
                  <c:v>44145</c:v>
                </c:pt>
                <c:pt idx="3">
                  <c:v>44175</c:v>
                </c:pt>
                <c:pt idx="4">
                  <c:v>44206</c:v>
                </c:pt>
                <c:pt idx="5">
                  <c:v>44237</c:v>
                </c:pt>
                <c:pt idx="6">
                  <c:v>44265</c:v>
                </c:pt>
                <c:pt idx="7">
                  <c:v>44296</c:v>
                </c:pt>
                <c:pt idx="8">
                  <c:v>44326</c:v>
                </c:pt>
                <c:pt idx="9">
                  <c:v>44357</c:v>
                </c:pt>
                <c:pt idx="10">
                  <c:v>44387</c:v>
                </c:pt>
                <c:pt idx="11">
                  <c:v>44418</c:v>
                </c:pt>
              </c:numCache>
            </c:numRef>
          </c:cat>
          <c:val>
            <c:numRef>
              <c:f>'F12'!$C$3:$C$14</c:f>
              <c:numCache>
                <c:formatCode>#,##0;\-#,##0;0</c:formatCode>
                <c:ptCount val="12"/>
                <c:pt idx="0">
                  <c:v>17004.97</c:v>
                </c:pt>
                <c:pt idx="1">
                  <c:v>31975.11</c:v>
                </c:pt>
                <c:pt idx="2">
                  <c:v>20349.349999999999</c:v>
                </c:pt>
                <c:pt idx="3">
                  <c:v>23368.42</c:v>
                </c:pt>
                <c:pt idx="4">
                  <c:v>11831.74</c:v>
                </c:pt>
                <c:pt idx="5">
                  <c:v>8161.78</c:v>
                </c:pt>
                <c:pt idx="6">
                  <c:v>15661.48</c:v>
                </c:pt>
                <c:pt idx="7">
                  <c:v>21588.400000000001</c:v>
                </c:pt>
                <c:pt idx="8">
                  <c:v>4238.12</c:v>
                </c:pt>
                <c:pt idx="9" formatCode="[&gt;9999999]##\,##\,##\,##0;[&gt;99999]##\,##\,##0;##,##0">
                  <c:v>6449.01</c:v>
                </c:pt>
                <c:pt idx="10" formatCode="[&gt;9999999]##\,##\,##\,##0;[&gt;99999]##\,##\,##0;##,##0">
                  <c:v>15620.86</c:v>
                </c:pt>
                <c:pt idx="11" formatCode="[&gt;9999999]##\,##\,##\,##0;[&gt;99999]##\,##\,##0;##,##0">
                  <c:v>21094.49</c:v>
                </c:pt>
              </c:numCache>
            </c:numRef>
          </c:val>
          <c:extLst>
            <c:ext xmlns:c16="http://schemas.microsoft.com/office/drawing/2014/chart" uri="{C3380CC4-5D6E-409C-BE32-E72D297353CC}">
              <c16:uniqueId val="{00000001-862B-4F08-ACAA-FDAF475FE6BF}"/>
            </c:ext>
          </c:extLst>
        </c:ser>
        <c:dLbls>
          <c:showLegendKey val="0"/>
          <c:showVal val="0"/>
          <c:showCatName val="0"/>
          <c:showSerName val="0"/>
          <c:showPercent val="0"/>
          <c:showBubbleSize val="0"/>
        </c:dLbls>
        <c:gapWidth val="219"/>
        <c:overlap val="-27"/>
        <c:axId val="605014712"/>
        <c:axId val="605018240"/>
      </c:barChart>
      <c:lineChart>
        <c:grouping val="standard"/>
        <c:varyColors val="0"/>
        <c:ser>
          <c:idx val="2"/>
          <c:order val="2"/>
          <c:tx>
            <c:strRef>
              <c:f>'F12'!$D$2</c:f>
              <c:strCache>
                <c:ptCount val="1"/>
                <c:pt idx="0">
                  <c:v>Total</c:v>
                </c:pt>
              </c:strCache>
            </c:strRef>
          </c:tx>
          <c:spPr>
            <a:ln w="28575" cap="rnd">
              <a:solidFill>
                <a:schemeClr val="accent3"/>
              </a:solidFill>
              <a:round/>
            </a:ln>
            <a:effectLst/>
          </c:spPr>
          <c:marker>
            <c:symbol val="none"/>
          </c:marker>
          <c:cat>
            <c:numRef>
              <c:f>'F12'!$A$3:$A$14</c:f>
              <c:numCache>
                <c:formatCode>[$-409]mmm\-yy</c:formatCode>
                <c:ptCount val="12"/>
                <c:pt idx="0">
                  <c:v>44084</c:v>
                </c:pt>
                <c:pt idx="1">
                  <c:v>44114</c:v>
                </c:pt>
                <c:pt idx="2">
                  <c:v>44145</c:v>
                </c:pt>
                <c:pt idx="3">
                  <c:v>44175</c:v>
                </c:pt>
                <c:pt idx="4">
                  <c:v>44206</c:v>
                </c:pt>
                <c:pt idx="5">
                  <c:v>44237</c:v>
                </c:pt>
                <c:pt idx="6">
                  <c:v>44265</c:v>
                </c:pt>
                <c:pt idx="7">
                  <c:v>44296</c:v>
                </c:pt>
                <c:pt idx="8">
                  <c:v>44326</c:v>
                </c:pt>
                <c:pt idx="9">
                  <c:v>44357</c:v>
                </c:pt>
                <c:pt idx="10">
                  <c:v>44387</c:v>
                </c:pt>
                <c:pt idx="11">
                  <c:v>44418</c:v>
                </c:pt>
              </c:numCache>
            </c:numRef>
          </c:cat>
          <c:val>
            <c:numRef>
              <c:f>'F12'!$D$3:$D$14</c:f>
              <c:numCache>
                <c:formatCode>[&gt;9999999]##\,##\,##\,##0;[&gt;99999]##\,##\,##0;##,##0</c:formatCode>
                <c:ptCount val="12"/>
                <c:pt idx="0">
                  <c:v>12870.600000000002</c:v>
                </c:pt>
                <c:pt idx="1">
                  <c:v>17483.32</c:v>
                </c:pt>
                <c:pt idx="2">
                  <c:v>-10410.720000000001</c:v>
                </c:pt>
                <c:pt idx="3">
                  <c:v>-3059.4100000000035</c:v>
                </c:pt>
                <c:pt idx="4">
                  <c:v>-1200.0400000000009</c:v>
                </c:pt>
                <c:pt idx="5">
                  <c:v>-8144.22</c:v>
                </c:pt>
                <c:pt idx="6">
                  <c:v>20434.309999999998</c:v>
                </c:pt>
                <c:pt idx="7">
                  <c:v>27114.760000000002</c:v>
                </c:pt>
                <c:pt idx="8">
                  <c:v>4713.87</c:v>
                </c:pt>
                <c:pt idx="9">
                  <c:v>12886.09</c:v>
                </c:pt>
                <c:pt idx="10">
                  <c:v>37123.229999999996</c:v>
                </c:pt>
                <c:pt idx="11">
                  <c:v>32640.340000000004</c:v>
                </c:pt>
              </c:numCache>
            </c:numRef>
          </c:val>
          <c:smooth val="0"/>
          <c:extLst>
            <c:ext xmlns:c16="http://schemas.microsoft.com/office/drawing/2014/chart" uri="{C3380CC4-5D6E-409C-BE32-E72D297353CC}">
              <c16:uniqueId val="{00000002-862B-4F08-ACAA-FDAF475FE6BF}"/>
            </c:ext>
          </c:extLst>
        </c:ser>
        <c:dLbls>
          <c:showLegendKey val="0"/>
          <c:showVal val="0"/>
          <c:showCatName val="0"/>
          <c:showSerName val="0"/>
          <c:showPercent val="0"/>
          <c:showBubbleSize val="0"/>
        </c:dLbls>
        <c:marker val="1"/>
        <c:smooth val="0"/>
        <c:axId val="605014712"/>
        <c:axId val="605018240"/>
      </c:lineChart>
      <c:dateAx>
        <c:axId val="605014712"/>
        <c:scaling>
          <c:orientation val="minMax"/>
        </c:scaling>
        <c:delete val="0"/>
        <c:axPos val="b"/>
        <c:numFmt formatCode="[$-409]mmm\-yy"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605018240"/>
        <c:crosses val="autoZero"/>
        <c:auto val="1"/>
        <c:lblOffset val="100"/>
        <c:baseTimeUnit val="months"/>
      </c:dateAx>
      <c:valAx>
        <c:axId val="605018240"/>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6050147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 13'!$B$3</c:f>
              <c:strCache>
                <c:ptCount val="1"/>
                <c:pt idx="0">
                  <c:v>Equity (LHS)</c:v>
                </c:pt>
              </c:strCache>
            </c:strRef>
          </c:tx>
          <c:spPr>
            <a:solidFill>
              <a:schemeClr val="accent1"/>
            </a:solidFill>
            <a:ln>
              <a:noFill/>
            </a:ln>
            <a:effectLst/>
          </c:spPr>
          <c:invertIfNegative val="0"/>
          <c:cat>
            <c:numRef>
              <c:f>'F 13'!$A$4:$A$15</c:f>
              <c:numCache>
                <c:formatCode>[$-409]mmm\-yy</c:formatCode>
                <c:ptCount val="12"/>
                <c:pt idx="0">
                  <c:v>44084</c:v>
                </c:pt>
                <c:pt idx="1">
                  <c:v>44114</c:v>
                </c:pt>
                <c:pt idx="2">
                  <c:v>44145</c:v>
                </c:pt>
                <c:pt idx="3">
                  <c:v>44175</c:v>
                </c:pt>
                <c:pt idx="4">
                  <c:v>44206</c:v>
                </c:pt>
                <c:pt idx="5">
                  <c:v>44237</c:v>
                </c:pt>
                <c:pt idx="6">
                  <c:v>44265</c:v>
                </c:pt>
                <c:pt idx="7">
                  <c:v>44296</c:v>
                </c:pt>
                <c:pt idx="8">
                  <c:v>44317</c:v>
                </c:pt>
                <c:pt idx="9">
                  <c:v>44348</c:v>
                </c:pt>
                <c:pt idx="10">
                  <c:v>44378</c:v>
                </c:pt>
                <c:pt idx="11">
                  <c:v>44409</c:v>
                </c:pt>
              </c:numCache>
            </c:numRef>
          </c:cat>
          <c:val>
            <c:numRef>
              <c:f>'F 13'!$B$4:$B$15</c:f>
              <c:numCache>
                <c:formatCode>#,##0</c:formatCode>
                <c:ptCount val="12"/>
                <c:pt idx="0">
                  <c:v>-7783</c:v>
                </c:pt>
                <c:pt idx="1">
                  <c:v>19541</c:v>
                </c:pt>
                <c:pt idx="2">
                  <c:v>60358</c:v>
                </c:pt>
                <c:pt idx="3">
                  <c:v>62016</c:v>
                </c:pt>
                <c:pt idx="4">
                  <c:v>19473</c:v>
                </c:pt>
                <c:pt idx="5">
                  <c:v>25787</c:v>
                </c:pt>
                <c:pt idx="6">
                  <c:v>10482</c:v>
                </c:pt>
                <c:pt idx="7">
                  <c:v>-9659</c:v>
                </c:pt>
                <c:pt idx="8">
                  <c:v>-2954</c:v>
                </c:pt>
                <c:pt idx="9">
                  <c:v>17215</c:v>
                </c:pt>
                <c:pt idx="10">
                  <c:v>-11308.36</c:v>
                </c:pt>
                <c:pt idx="11">
                  <c:v>2082.94</c:v>
                </c:pt>
              </c:numCache>
            </c:numRef>
          </c:val>
          <c:extLst>
            <c:ext xmlns:c16="http://schemas.microsoft.com/office/drawing/2014/chart" uri="{C3380CC4-5D6E-409C-BE32-E72D297353CC}">
              <c16:uniqueId val="{00000000-31EF-4100-BF3D-CE5C69180EF8}"/>
            </c:ext>
          </c:extLst>
        </c:ser>
        <c:ser>
          <c:idx val="1"/>
          <c:order val="1"/>
          <c:tx>
            <c:strRef>
              <c:f>'F 13'!$C$3</c:f>
              <c:strCache>
                <c:ptCount val="1"/>
                <c:pt idx="0">
                  <c:v>Debt (LHS)</c:v>
                </c:pt>
              </c:strCache>
            </c:strRef>
          </c:tx>
          <c:spPr>
            <a:solidFill>
              <a:schemeClr val="accent2"/>
            </a:solidFill>
            <a:ln>
              <a:noFill/>
            </a:ln>
            <a:effectLst/>
          </c:spPr>
          <c:invertIfNegative val="0"/>
          <c:cat>
            <c:numRef>
              <c:f>'F 13'!$A$4:$A$15</c:f>
              <c:numCache>
                <c:formatCode>[$-409]mmm\-yy</c:formatCode>
                <c:ptCount val="12"/>
                <c:pt idx="0">
                  <c:v>44084</c:v>
                </c:pt>
                <c:pt idx="1">
                  <c:v>44114</c:v>
                </c:pt>
                <c:pt idx="2">
                  <c:v>44145</c:v>
                </c:pt>
                <c:pt idx="3">
                  <c:v>44175</c:v>
                </c:pt>
                <c:pt idx="4">
                  <c:v>44206</c:v>
                </c:pt>
                <c:pt idx="5">
                  <c:v>44237</c:v>
                </c:pt>
                <c:pt idx="6">
                  <c:v>44265</c:v>
                </c:pt>
                <c:pt idx="7">
                  <c:v>44296</c:v>
                </c:pt>
                <c:pt idx="8">
                  <c:v>44317</c:v>
                </c:pt>
                <c:pt idx="9">
                  <c:v>44348</c:v>
                </c:pt>
                <c:pt idx="10">
                  <c:v>44378</c:v>
                </c:pt>
                <c:pt idx="11">
                  <c:v>44409</c:v>
                </c:pt>
              </c:numCache>
            </c:numRef>
          </c:cat>
          <c:val>
            <c:numRef>
              <c:f>'F 13'!$C$4:$C$15</c:f>
              <c:numCache>
                <c:formatCode>#,##0</c:formatCode>
                <c:ptCount val="12"/>
                <c:pt idx="0">
                  <c:v>3958</c:v>
                </c:pt>
                <c:pt idx="1">
                  <c:v>1641</c:v>
                </c:pt>
                <c:pt idx="2">
                  <c:v>-1806</c:v>
                </c:pt>
                <c:pt idx="3">
                  <c:v>4079</c:v>
                </c:pt>
                <c:pt idx="4">
                  <c:v>-2518</c:v>
                </c:pt>
                <c:pt idx="5">
                  <c:v>-6488</c:v>
                </c:pt>
                <c:pt idx="6">
                  <c:v>-6492</c:v>
                </c:pt>
                <c:pt idx="7">
                  <c:v>-118</c:v>
                </c:pt>
                <c:pt idx="8">
                  <c:v>-1706</c:v>
                </c:pt>
                <c:pt idx="9">
                  <c:v>-4829</c:v>
                </c:pt>
                <c:pt idx="10">
                  <c:v>-781.55</c:v>
                </c:pt>
                <c:pt idx="11">
                  <c:v>12144.11</c:v>
                </c:pt>
              </c:numCache>
            </c:numRef>
          </c:val>
          <c:extLst>
            <c:ext xmlns:c16="http://schemas.microsoft.com/office/drawing/2014/chart" uri="{C3380CC4-5D6E-409C-BE32-E72D297353CC}">
              <c16:uniqueId val="{00000001-31EF-4100-BF3D-CE5C69180EF8}"/>
            </c:ext>
          </c:extLst>
        </c:ser>
        <c:dLbls>
          <c:showLegendKey val="0"/>
          <c:showVal val="0"/>
          <c:showCatName val="0"/>
          <c:showSerName val="0"/>
          <c:showPercent val="0"/>
          <c:showBubbleSize val="0"/>
        </c:dLbls>
        <c:gapWidth val="219"/>
        <c:overlap val="-27"/>
        <c:axId val="605021376"/>
        <c:axId val="605018632"/>
      </c:barChart>
      <c:barChart>
        <c:barDir val="col"/>
        <c:grouping val="clustered"/>
        <c:varyColors val="0"/>
        <c:ser>
          <c:idx val="2"/>
          <c:order val="2"/>
          <c:tx>
            <c:strRef>
              <c:f>'F 13'!$D$3</c:f>
              <c:strCache>
                <c:ptCount val="1"/>
                <c:pt idx="0">
                  <c:v>Debt-VRR (RHS)</c:v>
                </c:pt>
              </c:strCache>
            </c:strRef>
          </c:tx>
          <c:spPr>
            <a:solidFill>
              <a:schemeClr val="accent3"/>
            </a:solidFill>
            <a:ln>
              <a:noFill/>
            </a:ln>
            <a:effectLst/>
          </c:spPr>
          <c:invertIfNegative val="0"/>
          <c:cat>
            <c:numRef>
              <c:f>'F 13'!$A$4:$A$15</c:f>
              <c:numCache>
                <c:formatCode>[$-409]mmm\-yy</c:formatCode>
                <c:ptCount val="12"/>
                <c:pt idx="0">
                  <c:v>44084</c:v>
                </c:pt>
                <c:pt idx="1">
                  <c:v>44114</c:v>
                </c:pt>
                <c:pt idx="2">
                  <c:v>44145</c:v>
                </c:pt>
                <c:pt idx="3">
                  <c:v>44175</c:v>
                </c:pt>
                <c:pt idx="4">
                  <c:v>44206</c:v>
                </c:pt>
                <c:pt idx="5">
                  <c:v>44237</c:v>
                </c:pt>
                <c:pt idx="6">
                  <c:v>44265</c:v>
                </c:pt>
                <c:pt idx="7">
                  <c:v>44296</c:v>
                </c:pt>
                <c:pt idx="8">
                  <c:v>44317</c:v>
                </c:pt>
                <c:pt idx="9">
                  <c:v>44348</c:v>
                </c:pt>
                <c:pt idx="10">
                  <c:v>44378</c:v>
                </c:pt>
                <c:pt idx="11">
                  <c:v>44409</c:v>
                </c:pt>
              </c:numCache>
            </c:numRef>
          </c:cat>
          <c:val>
            <c:numRef>
              <c:f>'F 13'!$D$4:$D$15</c:f>
              <c:numCache>
                <c:formatCode>#,##0</c:formatCode>
                <c:ptCount val="12"/>
                <c:pt idx="0">
                  <c:v>406</c:v>
                </c:pt>
                <c:pt idx="1">
                  <c:v>851</c:v>
                </c:pt>
                <c:pt idx="2">
                  <c:v>4399</c:v>
                </c:pt>
                <c:pt idx="3">
                  <c:v>2463</c:v>
                </c:pt>
                <c:pt idx="4">
                  <c:v>-2306</c:v>
                </c:pt>
                <c:pt idx="5">
                  <c:v>4364</c:v>
                </c:pt>
                <c:pt idx="6">
                  <c:v>13314</c:v>
                </c:pt>
                <c:pt idx="7">
                  <c:v>342</c:v>
                </c:pt>
                <c:pt idx="8">
                  <c:v>1994</c:v>
                </c:pt>
                <c:pt idx="9">
                  <c:v>883</c:v>
                </c:pt>
                <c:pt idx="10">
                  <c:v>4817.5</c:v>
                </c:pt>
                <c:pt idx="11">
                  <c:v>2232.09</c:v>
                </c:pt>
              </c:numCache>
            </c:numRef>
          </c:val>
          <c:extLst>
            <c:ext xmlns:c16="http://schemas.microsoft.com/office/drawing/2014/chart" uri="{C3380CC4-5D6E-409C-BE32-E72D297353CC}">
              <c16:uniqueId val="{00000002-31EF-4100-BF3D-CE5C69180EF8}"/>
            </c:ext>
          </c:extLst>
        </c:ser>
        <c:ser>
          <c:idx val="3"/>
          <c:order val="3"/>
          <c:tx>
            <c:strRef>
              <c:f>'F 13'!$E$3</c:f>
              <c:strCache>
                <c:ptCount val="1"/>
                <c:pt idx="0">
                  <c:v>Hybrid  (RHS)</c:v>
                </c:pt>
              </c:strCache>
            </c:strRef>
          </c:tx>
          <c:spPr>
            <a:solidFill>
              <a:schemeClr val="accent4"/>
            </a:solidFill>
            <a:ln>
              <a:noFill/>
            </a:ln>
            <a:effectLst/>
          </c:spPr>
          <c:invertIfNegative val="0"/>
          <c:cat>
            <c:numRef>
              <c:f>'F 13'!$A$4:$A$15</c:f>
              <c:numCache>
                <c:formatCode>[$-409]mmm\-yy</c:formatCode>
                <c:ptCount val="12"/>
                <c:pt idx="0">
                  <c:v>44084</c:v>
                </c:pt>
                <c:pt idx="1">
                  <c:v>44114</c:v>
                </c:pt>
                <c:pt idx="2">
                  <c:v>44145</c:v>
                </c:pt>
                <c:pt idx="3">
                  <c:v>44175</c:v>
                </c:pt>
                <c:pt idx="4">
                  <c:v>44206</c:v>
                </c:pt>
                <c:pt idx="5">
                  <c:v>44237</c:v>
                </c:pt>
                <c:pt idx="6">
                  <c:v>44265</c:v>
                </c:pt>
                <c:pt idx="7">
                  <c:v>44296</c:v>
                </c:pt>
                <c:pt idx="8">
                  <c:v>44317</c:v>
                </c:pt>
                <c:pt idx="9">
                  <c:v>44348</c:v>
                </c:pt>
                <c:pt idx="10">
                  <c:v>44378</c:v>
                </c:pt>
                <c:pt idx="11">
                  <c:v>44409</c:v>
                </c:pt>
              </c:numCache>
            </c:numRef>
          </c:cat>
          <c:val>
            <c:numRef>
              <c:f>'F 13'!$E$4:$E$15</c:f>
              <c:numCache>
                <c:formatCode>#,##0</c:formatCode>
                <c:ptCount val="12"/>
                <c:pt idx="0">
                  <c:v>2222</c:v>
                </c:pt>
                <c:pt idx="1">
                  <c:v>-207</c:v>
                </c:pt>
                <c:pt idx="2">
                  <c:v>-169</c:v>
                </c:pt>
                <c:pt idx="3">
                  <c:v>2489</c:v>
                </c:pt>
                <c:pt idx="4">
                  <c:v>-17</c:v>
                </c:pt>
                <c:pt idx="5">
                  <c:v>350</c:v>
                </c:pt>
                <c:pt idx="6">
                  <c:v>-281</c:v>
                </c:pt>
                <c:pt idx="7">
                  <c:v>599</c:v>
                </c:pt>
                <c:pt idx="8">
                  <c:v>709</c:v>
                </c:pt>
                <c:pt idx="9">
                  <c:v>-295</c:v>
                </c:pt>
                <c:pt idx="10">
                  <c:v>-137.58000000000001</c:v>
                </c:pt>
                <c:pt idx="11">
                  <c:v>96.81</c:v>
                </c:pt>
              </c:numCache>
            </c:numRef>
          </c:val>
          <c:extLst>
            <c:ext xmlns:c16="http://schemas.microsoft.com/office/drawing/2014/chart" uri="{C3380CC4-5D6E-409C-BE32-E72D297353CC}">
              <c16:uniqueId val="{00000003-31EF-4100-BF3D-CE5C69180EF8}"/>
            </c:ext>
          </c:extLst>
        </c:ser>
        <c:dLbls>
          <c:showLegendKey val="0"/>
          <c:showVal val="0"/>
          <c:showCatName val="0"/>
          <c:showSerName val="0"/>
          <c:showPercent val="0"/>
          <c:showBubbleSize val="0"/>
        </c:dLbls>
        <c:gapWidth val="219"/>
        <c:overlap val="-27"/>
        <c:axId val="475980848"/>
        <c:axId val="605020984"/>
      </c:barChart>
      <c:lineChart>
        <c:grouping val="standard"/>
        <c:varyColors val="0"/>
        <c:ser>
          <c:idx val="4"/>
          <c:order val="4"/>
          <c:tx>
            <c:strRef>
              <c:f>'F 13'!$F$3</c:f>
              <c:strCache>
                <c:ptCount val="1"/>
                <c:pt idx="0">
                  <c:v>Total (LHS)</c:v>
                </c:pt>
              </c:strCache>
            </c:strRef>
          </c:tx>
          <c:spPr>
            <a:ln w="28575" cap="rnd">
              <a:solidFill>
                <a:schemeClr val="accent5"/>
              </a:solidFill>
              <a:round/>
            </a:ln>
            <a:effectLst/>
          </c:spPr>
          <c:marker>
            <c:symbol val="none"/>
          </c:marker>
          <c:cat>
            <c:numRef>
              <c:f>'F 13'!$A$4:$A$15</c:f>
              <c:numCache>
                <c:formatCode>[$-409]mmm\-yy</c:formatCode>
                <c:ptCount val="12"/>
                <c:pt idx="0">
                  <c:v>44084</c:v>
                </c:pt>
                <c:pt idx="1">
                  <c:v>44114</c:v>
                </c:pt>
                <c:pt idx="2">
                  <c:v>44145</c:v>
                </c:pt>
                <c:pt idx="3">
                  <c:v>44175</c:v>
                </c:pt>
                <c:pt idx="4">
                  <c:v>44206</c:v>
                </c:pt>
                <c:pt idx="5">
                  <c:v>44237</c:v>
                </c:pt>
                <c:pt idx="6">
                  <c:v>44265</c:v>
                </c:pt>
                <c:pt idx="7">
                  <c:v>44296</c:v>
                </c:pt>
                <c:pt idx="8">
                  <c:v>44317</c:v>
                </c:pt>
                <c:pt idx="9">
                  <c:v>44348</c:v>
                </c:pt>
                <c:pt idx="10">
                  <c:v>44378</c:v>
                </c:pt>
                <c:pt idx="11">
                  <c:v>44409</c:v>
                </c:pt>
              </c:numCache>
            </c:numRef>
          </c:cat>
          <c:val>
            <c:numRef>
              <c:f>'F 13'!$F$4:$F$15</c:f>
              <c:numCache>
                <c:formatCode>#,##0</c:formatCode>
                <c:ptCount val="12"/>
                <c:pt idx="0">
                  <c:v>-1196</c:v>
                </c:pt>
                <c:pt idx="1">
                  <c:v>21826</c:v>
                </c:pt>
                <c:pt idx="2">
                  <c:v>62782</c:v>
                </c:pt>
                <c:pt idx="3">
                  <c:v>71046</c:v>
                </c:pt>
                <c:pt idx="4">
                  <c:v>14631</c:v>
                </c:pt>
                <c:pt idx="5">
                  <c:v>24013</c:v>
                </c:pt>
                <c:pt idx="6">
                  <c:v>17023</c:v>
                </c:pt>
                <c:pt idx="7">
                  <c:v>-8836</c:v>
                </c:pt>
                <c:pt idx="8">
                  <c:v>-1958</c:v>
                </c:pt>
                <c:pt idx="9">
                  <c:v>12974</c:v>
                </c:pt>
                <c:pt idx="10">
                  <c:v>-7409.99</c:v>
                </c:pt>
                <c:pt idx="11">
                  <c:v>16555.95</c:v>
                </c:pt>
              </c:numCache>
            </c:numRef>
          </c:val>
          <c:smooth val="0"/>
          <c:extLst>
            <c:ext xmlns:c16="http://schemas.microsoft.com/office/drawing/2014/chart" uri="{C3380CC4-5D6E-409C-BE32-E72D297353CC}">
              <c16:uniqueId val="{00000004-31EF-4100-BF3D-CE5C69180EF8}"/>
            </c:ext>
          </c:extLst>
        </c:ser>
        <c:dLbls>
          <c:showLegendKey val="0"/>
          <c:showVal val="0"/>
          <c:showCatName val="0"/>
          <c:showSerName val="0"/>
          <c:showPercent val="0"/>
          <c:showBubbleSize val="0"/>
        </c:dLbls>
        <c:marker val="1"/>
        <c:smooth val="0"/>
        <c:axId val="605021376"/>
        <c:axId val="605018632"/>
      </c:lineChart>
      <c:dateAx>
        <c:axId val="605021376"/>
        <c:scaling>
          <c:orientation val="minMax"/>
        </c:scaling>
        <c:delete val="0"/>
        <c:axPos val="b"/>
        <c:numFmt formatCode="[$-409]mmm\-yy"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605018632"/>
        <c:crosses val="autoZero"/>
        <c:auto val="1"/>
        <c:lblOffset val="100"/>
        <c:baseTimeUnit val="months"/>
      </c:dateAx>
      <c:valAx>
        <c:axId val="605018632"/>
        <c:scaling>
          <c:orientation val="minMax"/>
          <c:max val="80000"/>
          <c:min val="-40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605021376"/>
        <c:crosses val="autoZero"/>
        <c:crossBetween val="between"/>
      </c:valAx>
      <c:valAx>
        <c:axId val="605020984"/>
        <c:scaling>
          <c:orientation val="minMax"/>
          <c:max val="14000"/>
          <c:min val="-80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75980848"/>
        <c:crosses val="max"/>
        <c:crossBetween val="between"/>
      </c:valAx>
      <c:dateAx>
        <c:axId val="475980848"/>
        <c:scaling>
          <c:orientation val="minMax"/>
        </c:scaling>
        <c:delete val="1"/>
        <c:axPos val="b"/>
        <c:numFmt formatCode="[$-409]mmm\-yy" sourceLinked="1"/>
        <c:majorTickMark val="out"/>
        <c:minorTickMark val="none"/>
        <c:tickLblPos val="nextTo"/>
        <c:crossAx val="605020984"/>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1"/>
          <c:tx>
            <c:strRef>
              <c:f>'F14'!$I$4:$I$5</c:f>
              <c:strCache>
                <c:ptCount val="2"/>
                <c:pt idx="0">
                  <c:v>Closed Value (RHS)</c:v>
                </c:pt>
              </c:strCache>
            </c:strRef>
          </c:tx>
          <c:spPr>
            <a:solidFill>
              <a:srgbClr val="FF0000"/>
            </a:solidFill>
            <a:ln>
              <a:noFill/>
            </a:ln>
            <a:effectLst/>
          </c:spPr>
          <c:invertIfNegative val="0"/>
          <c:cat>
            <c:numRef>
              <c:f>'F14'!$A$6:$A$17</c:f>
              <c:numCache>
                <c:formatCode>[$-409]mmm\-yy</c:formatCode>
                <c:ptCount val="12"/>
                <c:pt idx="0">
                  <c:v>44084</c:v>
                </c:pt>
                <c:pt idx="1">
                  <c:v>44114</c:v>
                </c:pt>
                <c:pt idx="2">
                  <c:v>44145</c:v>
                </c:pt>
                <c:pt idx="3">
                  <c:v>44175</c:v>
                </c:pt>
                <c:pt idx="4">
                  <c:v>44206</c:v>
                </c:pt>
                <c:pt idx="5">
                  <c:v>44237</c:v>
                </c:pt>
                <c:pt idx="6">
                  <c:v>44265</c:v>
                </c:pt>
                <c:pt idx="7">
                  <c:v>44296</c:v>
                </c:pt>
                <c:pt idx="8">
                  <c:v>44326</c:v>
                </c:pt>
                <c:pt idx="9">
                  <c:v>44357</c:v>
                </c:pt>
                <c:pt idx="10">
                  <c:v>44387</c:v>
                </c:pt>
                <c:pt idx="11">
                  <c:v>44418</c:v>
                </c:pt>
              </c:numCache>
            </c:numRef>
          </c:cat>
          <c:val>
            <c:numRef>
              <c:f>'F14'!$I$6:$I$17</c:f>
              <c:numCache>
                <c:formatCode>#,##0;\-#,##0;0.0</c:formatCode>
                <c:ptCount val="12"/>
                <c:pt idx="0">
                  <c:v>3010.3900000000003</c:v>
                </c:pt>
                <c:pt idx="1">
                  <c:v>480.5</c:v>
                </c:pt>
                <c:pt idx="2">
                  <c:v>0</c:v>
                </c:pt>
                <c:pt idx="3">
                  <c:v>47.49</c:v>
                </c:pt>
                <c:pt idx="4">
                  <c:v>140.80000000000001</c:v>
                </c:pt>
                <c:pt idx="5">
                  <c:v>211.18</c:v>
                </c:pt>
                <c:pt idx="6">
                  <c:v>440.03000000000003</c:v>
                </c:pt>
                <c:pt idx="7">
                  <c:v>5974.8600000000006</c:v>
                </c:pt>
                <c:pt idx="8">
                  <c:v>1400.44</c:v>
                </c:pt>
                <c:pt idx="9">
                  <c:v>81.680000000000007</c:v>
                </c:pt>
                <c:pt idx="10">
                  <c:v>8267.1</c:v>
                </c:pt>
                <c:pt idx="11">
                  <c:v>2081.96</c:v>
                </c:pt>
              </c:numCache>
            </c:numRef>
          </c:val>
          <c:extLst>
            <c:ext xmlns:c16="http://schemas.microsoft.com/office/drawing/2014/chart" uri="{C3380CC4-5D6E-409C-BE32-E72D297353CC}">
              <c16:uniqueId val="{00000000-0FFD-4D6D-842A-CFE35328A67D}"/>
            </c:ext>
          </c:extLst>
        </c:ser>
        <c:dLbls>
          <c:showLegendKey val="0"/>
          <c:showVal val="0"/>
          <c:showCatName val="0"/>
          <c:showSerName val="0"/>
          <c:showPercent val="0"/>
          <c:showBubbleSize val="0"/>
        </c:dLbls>
        <c:gapWidth val="219"/>
        <c:axId val="475981632"/>
        <c:axId val="475982416"/>
      </c:barChart>
      <c:lineChart>
        <c:grouping val="standard"/>
        <c:varyColors val="0"/>
        <c:ser>
          <c:idx val="0"/>
          <c:order val="0"/>
          <c:tx>
            <c:strRef>
              <c:f>'F14'!$H$4:$H$5</c:f>
              <c:strCache>
                <c:ptCount val="2"/>
                <c:pt idx="0">
                  <c:v> Open Offers (LHS)</c:v>
                </c:pt>
              </c:strCache>
            </c:strRef>
          </c:tx>
          <c:spPr>
            <a:ln w="28575" cap="rnd">
              <a:solidFill>
                <a:srgbClr val="00B050"/>
              </a:solidFill>
              <a:round/>
            </a:ln>
            <a:effectLst/>
          </c:spPr>
          <c:marker>
            <c:symbol val="none"/>
          </c:marker>
          <c:cat>
            <c:numRef>
              <c:f>'F14'!$A$6:$A$17</c:f>
              <c:numCache>
                <c:formatCode>[$-409]mmm\-yy</c:formatCode>
                <c:ptCount val="12"/>
                <c:pt idx="0">
                  <c:v>44084</c:v>
                </c:pt>
                <c:pt idx="1">
                  <c:v>44114</c:v>
                </c:pt>
                <c:pt idx="2">
                  <c:v>44145</c:v>
                </c:pt>
                <c:pt idx="3">
                  <c:v>44175</c:v>
                </c:pt>
                <c:pt idx="4">
                  <c:v>44206</c:v>
                </c:pt>
                <c:pt idx="5">
                  <c:v>44237</c:v>
                </c:pt>
                <c:pt idx="6">
                  <c:v>44265</c:v>
                </c:pt>
                <c:pt idx="7">
                  <c:v>44296</c:v>
                </c:pt>
                <c:pt idx="8">
                  <c:v>44326</c:v>
                </c:pt>
                <c:pt idx="9">
                  <c:v>44357</c:v>
                </c:pt>
                <c:pt idx="10">
                  <c:v>44387</c:v>
                </c:pt>
                <c:pt idx="11">
                  <c:v>44418</c:v>
                </c:pt>
              </c:numCache>
            </c:numRef>
          </c:cat>
          <c:val>
            <c:numRef>
              <c:f>'F14'!$H$6:$H$17</c:f>
              <c:numCache>
                <c:formatCode>General</c:formatCode>
                <c:ptCount val="12"/>
                <c:pt idx="0">
                  <c:v>6</c:v>
                </c:pt>
                <c:pt idx="1">
                  <c:v>6</c:v>
                </c:pt>
                <c:pt idx="2">
                  <c:v>0</c:v>
                </c:pt>
                <c:pt idx="3">
                  <c:v>4</c:v>
                </c:pt>
                <c:pt idx="4">
                  <c:v>3</c:v>
                </c:pt>
                <c:pt idx="5">
                  <c:v>5</c:v>
                </c:pt>
                <c:pt idx="6">
                  <c:v>3</c:v>
                </c:pt>
                <c:pt idx="7">
                  <c:v>6</c:v>
                </c:pt>
                <c:pt idx="8">
                  <c:v>3</c:v>
                </c:pt>
                <c:pt idx="9">
                  <c:v>6</c:v>
                </c:pt>
                <c:pt idx="10">
                  <c:v>5</c:v>
                </c:pt>
                <c:pt idx="11">
                  <c:v>8</c:v>
                </c:pt>
              </c:numCache>
            </c:numRef>
          </c:val>
          <c:smooth val="0"/>
          <c:extLst>
            <c:ext xmlns:c16="http://schemas.microsoft.com/office/drawing/2014/chart" uri="{C3380CC4-5D6E-409C-BE32-E72D297353CC}">
              <c16:uniqueId val="{00000001-0FFD-4D6D-842A-CFE35328A67D}"/>
            </c:ext>
          </c:extLst>
        </c:ser>
        <c:dLbls>
          <c:showLegendKey val="0"/>
          <c:showVal val="0"/>
          <c:showCatName val="0"/>
          <c:showSerName val="0"/>
          <c:showPercent val="0"/>
          <c:showBubbleSize val="0"/>
        </c:dLbls>
        <c:marker val="1"/>
        <c:smooth val="0"/>
        <c:axId val="475981240"/>
        <c:axId val="475980456"/>
      </c:lineChart>
      <c:dateAx>
        <c:axId val="475981240"/>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75980456"/>
        <c:crosses val="autoZero"/>
        <c:auto val="1"/>
        <c:lblOffset val="100"/>
        <c:baseTimeUnit val="months"/>
      </c:dateAx>
      <c:valAx>
        <c:axId val="475980456"/>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US"/>
                  <a:t>Number</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75981240"/>
        <c:crosses val="autoZero"/>
        <c:crossBetween val="between"/>
        <c:majorUnit val="2"/>
      </c:valAx>
      <c:valAx>
        <c:axId val="475982416"/>
        <c:scaling>
          <c:orientation val="minMax"/>
          <c:max val="9000"/>
        </c:scaling>
        <c:delete val="0"/>
        <c:axPos val="r"/>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IN">
                    <a:latin typeface="Rupee Foradian" panose="020B0603030804020204" pitchFamily="34" charset="0"/>
                  </a:rPr>
                  <a:t>`</a:t>
                </a:r>
                <a:r>
                  <a:rPr lang="en-IN"/>
                  <a:t> Crore</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0;\-#,##0;0.0"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75981632"/>
        <c:crosses val="max"/>
        <c:crossBetween val="between"/>
      </c:valAx>
      <c:dateAx>
        <c:axId val="475981632"/>
        <c:scaling>
          <c:orientation val="minMax"/>
        </c:scaling>
        <c:delete val="1"/>
        <c:axPos val="b"/>
        <c:numFmt formatCode="[$-409]mmm\-yy" sourceLinked="1"/>
        <c:majorTickMark val="out"/>
        <c:minorTickMark val="none"/>
        <c:tickLblPos val="nextTo"/>
        <c:crossAx val="475982416"/>
        <c:crosses val="autoZero"/>
        <c:auto val="1"/>
        <c:lblOffset val="100"/>
        <c:baseTimeUnit val="months"/>
        <c:majorUnit val="1"/>
        <c:minorUnit val="1"/>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Palatino Linotype" panose="02040502050505030304" pitchFamily="18" charset="0"/>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1050" b="1" i="0" u="none" strike="noStrike" kern="1200" spc="0" baseline="0">
                <a:solidFill>
                  <a:srgbClr val="0070C0"/>
                </a:solidFill>
                <a:latin typeface="+mn-lt"/>
                <a:ea typeface="+mn-ea"/>
                <a:cs typeface="+mn-cs"/>
              </a:defRPr>
            </a:pPr>
            <a:r>
              <a:rPr lang="en-US" sz="1050" b="1">
                <a:solidFill>
                  <a:srgbClr val="0070C0"/>
                </a:solidFill>
              </a:rPr>
              <a:t>Domestic</a:t>
            </a:r>
            <a:r>
              <a:rPr lang="en-US" sz="1050" b="1" baseline="0">
                <a:solidFill>
                  <a:srgbClr val="0070C0"/>
                </a:solidFill>
              </a:rPr>
              <a:t> </a:t>
            </a:r>
            <a:r>
              <a:rPr lang="en-US" sz="1050" b="1">
                <a:solidFill>
                  <a:srgbClr val="0070C0"/>
                </a:solidFill>
              </a:rPr>
              <a:t>Commodity Indices</a:t>
            </a:r>
          </a:p>
        </c:rich>
      </c:tx>
      <c:layout>
        <c:manualLayout>
          <c:xMode val="edge"/>
          <c:yMode val="edge"/>
          <c:x val="0.22546913271434479"/>
          <c:y val="2.5205472564570831E-2"/>
        </c:manualLayout>
      </c:layout>
      <c:overlay val="0"/>
      <c:spPr>
        <a:noFill/>
        <a:ln>
          <a:noFill/>
        </a:ln>
        <a:effectLst/>
      </c:spPr>
      <c:txPr>
        <a:bodyPr rot="0" spcFirstLastPara="1" vertOverflow="ellipsis" vert="horz" wrap="square" anchor="ctr" anchorCtr="1"/>
        <a:lstStyle/>
        <a:p>
          <a:pPr algn="ctr">
            <a:defRPr sz="1050" b="1" i="0" u="none" strike="noStrike" kern="1200" spc="0" baseline="0">
              <a:solidFill>
                <a:srgbClr val="0070C0"/>
              </a:solidFill>
              <a:latin typeface="+mn-lt"/>
              <a:ea typeface="+mn-ea"/>
              <a:cs typeface="+mn-cs"/>
            </a:defRPr>
          </a:pPr>
          <a:endParaRPr lang="en-US"/>
        </a:p>
      </c:txPr>
    </c:title>
    <c:autoTitleDeleted val="0"/>
    <c:plotArea>
      <c:layout>
        <c:manualLayout>
          <c:layoutTarget val="inner"/>
          <c:xMode val="edge"/>
          <c:yMode val="edge"/>
          <c:x val="6.8759308312267411E-2"/>
          <c:y val="0.11358515638945636"/>
          <c:w val="0.90871124980345197"/>
          <c:h val="0.55420046675525758"/>
        </c:manualLayout>
      </c:layout>
      <c:lineChart>
        <c:grouping val="standard"/>
        <c:varyColors val="0"/>
        <c:ser>
          <c:idx val="0"/>
          <c:order val="0"/>
          <c:tx>
            <c:strRef>
              <c:f>'MCX &amp; NCDEX'!$D$1</c:f>
              <c:strCache>
                <c:ptCount val="1"/>
                <c:pt idx="0">
                  <c:v>MCX iCOMDEX Composite Index</c:v>
                </c:pt>
              </c:strCache>
            </c:strRef>
          </c:tx>
          <c:spPr>
            <a:ln w="28575" cap="rnd">
              <a:solidFill>
                <a:schemeClr val="accent1"/>
              </a:solidFill>
              <a:round/>
            </a:ln>
            <a:effectLst/>
          </c:spPr>
          <c:marker>
            <c:symbol val="none"/>
          </c:marker>
          <c:dLbls>
            <c:dLbl>
              <c:idx val="22"/>
              <c:layout>
                <c:manualLayout>
                  <c:x val="-7.8632512500712032E-3"/>
                  <c:y val="6.721457127225408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DE8-4A60-B5A9-ED2DF006E94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'MCX &amp; NCDEX'!$A$2:$A$24</c:f>
              <c:numCache>
                <c:formatCode>d\-mmm\-yy</c:formatCode>
                <c:ptCount val="23"/>
                <c:pt idx="0">
                  <c:v>44407</c:v>
                </c:pt>
                <c:pt idx="1">
                  <c:v>44410</c:v>
                </c:pt>
                <c:pt idx="2">
                  <c:v>44411</c:v>
                </c:pt>
                <c:pt idx="3">
                  <c:v>44412</c:v>
                </c:pt>
                <c:pt idx="4">
                  <c:v>44413</c:v>
                </c:pt>
                <c:pt idx="5">
                  <c:v>44414</c:v>
                </c:pt>
                <c:pt idx="6">
                  <c:v>44417</c:v>
                </c:pt>
                <c:pt idx="7">
                  <c:v>44418</c:v>
                </c:pt>
                <c:pt idx="8">
                  <c:v>44419</c:v>
                </c:pt>
                <c:pt idx="9">
                  <c:v>44420</c:v>
                </c:pt>
                <c:pt idx="10">
                  <c:v>44421</c:v>
                </c:pt>
                <c:pt idx="11">
                  <c:v>44424</c:v>
                </c:pt>
                <c:pt idx="12">
                  <c:v>44425</c:v>
                </c:pt>
                <c:pt idx="13">
                  <c:v>44426</c:v>
                </c:pt>
                <c:pt idx="14">
                  <c:v>44427</c:v>
                </c:pt>
                <c:pt idx="15">
                  <c:v>44428</c:v>
                </c:pt>
                <c:pt idx="16">
                  <c:v>44431</c:v>
                </c:pt>
                <c:pt idx="17">
                  <c:v>44432</c:v>
                </c:pt>
                <c:pt idx="18">
                  <c:v>44433</c:v>
                </c:pt>
                <c:pt idx="19">
                  <c:v>44434</c:v>
                </c:pt>
                <c:pt idx="20">
                  <c:v>44435</c:v>
                </c:pt>
                <c:pt idx="21">
                  <c:v>44438</c:v>
                </c:pt>
                <c:pt idx="22">
                  <c:v>44439</c:v>
                </c:pt>
              </c:numCache>
            </c:numRef>
          </c:cat>
          <c:val>
            <c:numRef>
              <c:f>'MCX &amp; NCDEX'!$D$2:$D$24</c:f>
              <c:numCache>
                <c:formatCode>0.0</c:formatCode>
                <c:ptCount val="23"/>
                <c:pt idx="0">
                  <c:v>100</c:v>
                </c:pt>
                <c:pt idx="1">
                  <c:v>99.196332845795254</c:v>
                </c:pt>
                <c:pt idx="2">
                  <c:v>98.689727104263511</c:v>
                </c:pt>
                <c:pt idx="3">
                  <c:v>98.233730556992299</c:v>
                </c:pt>
                <c:pt idx="4">
                  <c:v>98.20975327375551</c:v>
                </c:pt>
                <c:pt idx="5">
                  <c:v>96.98879575807608</c:v>
                </c:pt>
                <c:pt idx="6">
                  <c:v>95.020860236416027</c:v>
                </c:pt>
                <c:pt idx="7">
                  <c:v>95.958115111511503</c:v>
                </c:pt>
                <c:pt idx="8">
                  <c:v>96.761354099944185</c:v>
                </c:pt>
                <c:pt idx="9">
                  <c:v>96.389363677156169</c:v>
                </c:pt>
                <c:pt idx="10">
                  <c:v>97.122811644738874</c:v>
                </c:pt>
                <c:pt idx="11">
                  <c:v>97.090870478141284</c:v>
                </c:pt>
                <c:pt idx="12">
                  <c:v>96.485101543794514</c:v>
                </c:pt>
                <c:pt idx="13">
                  <c:v>95.584240759326306</c:v>
                </c:pt>
                <c:pt idx="14">
                  <c:v>94.587385208756501</c:v>
                </c:pt>
                <c:pt idx="15">
                  <c:v>94.470495952977132</c:v>
                </c:pt>
                <c:pt idx="16">
                  <c:v>96.139571765721399</c:v>
                </c:pt>
                <c:pt idx="17">
                  <c:v>96.885179641231346</c:v>
                </c:pt>
                <c:pt idx="18">
                  <c:v>96.71177250353665</c:v>
                </c:pt>
                <c:pt idx="19">
                  <c:v>96.490496432522789</c:v>
                </c:pt>
                <c:pt idx="20">
                  <c:v>97.068605857992836</c:v>
                </c:pt>
                <c:pt idx="21">
                  <c:v>96.938785995896467</c:v>
                </c:pt>
                <c:pt idx="22">
                  <c:v>96.671953086732699</c:v>
                </c:pt>
              </c:numCache>
            </c:numRef>
          </c:val>
          <c:smooth val="0"/>
          <c:extLst>
            <c:ext xmlns:c16="http://schemas.microsoft.com/office/drawing/2014/chart" uri="{C3380CC4-5D6E-409C-BE32-E72D297353CC}">
              <c16:uniqueId val="{00000001-9DE8-4A60-B5A9-ED2DF006E94D}"/>
            </c:ext>
          </c:extLst>
        </c:ser>
        <c:ser>
          <c:idx val="1"/>
          <c:order val="1"/>
          <c:tx>
            <c:strRef>
              <c:f>'MCX &amp; NCDEX'!$E$1</c:f>
              <c:strCache>
                <c:ptCount val="1"/>
                <c:pt idx="0">
                  <c:v>NCDEX Nkirshi Index</c:v>
                </c:pt>
              </c:strCache>
            </c:strRef>
          </c:tx>
          <c:spPr>
            <a:ln w="28575" cap="rnd">
              <a:solidFill>
                <a:schemeClr val="accent2"/>
              </a:solidFill>
              <a:round/>
            </a:ln>
            <a:effectLst/>
          </c:spPr>
          <c:marker>
            <c:symbol val="none"/>
          </c:marker>
          <c:dLbls>
            <c:dLbl>
              <c:idx val="2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9DE8-4A60-B5A9-ED2DF006E94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'MCX &amp; NCDEX'!$A$2:$A$24</c:f>
              <c:numCache>
                <c:formatCode>d\-mmm\-yy</c:formatCode>
                <c:ptCount val="23"/>
                <c:pt idx="0">
                  <c:v>44407</c:v>
                </c:pt>
                <c:pt idx="1">
                  <c:v>44410</c:v>
                </c:pt>
                <c:pt idx="2">
                  <c:v>44411</c:v>
                </c:pt>
                <c:pt idx="3">
                  <c:v>44412</c:v>
                </c:pt>
                <c:pt idx="4">
                  <c:v>44413</c:v>
                </c:pt>
                <c:pt idx="5">
                  <c:v>44414</c:v>
                </c:pt>
                <c:pt idx="6">
                  <c:v>44417</c:v>
                </c:pt>
                <c:pt idx="7">
                  <c:v>44418</c:v>
                </c:pt>
                <c:pt idx="8">
                  <c:v>44419</c:v>
                </c:pt>
                <c:pt idx="9">
                  <c:v>44420</c:v>
                </c:pt>
                <c:pt idx="10">
                  <c:v>44421</c:v>
                </c:pt>
                <c:pt idx="11">
                  <c:v>44424</c:v>
                </c:pt>
                <c:pt idx="12">
                  <c:v>44425</c:v>
                </c:pt>
                <c:pt idx="13">
                  <c:v>44426</c:v>
                </c:pt>
                <c:pt idx="14">
                  <c:v>44427</c:v>
                </c:pt>
                <c:pt idx="15">
                  <c:v>44428</c:v>
                </c:pt>
                <c:pt idx="16">
                  <c:v>44431</c:v>
                </c:pt>
                <c:pt idx="17">
                  <c:v>44432</c:v>
                </c:pt>
                <c:pt idx="18">
                  <c:v>44433</c:v>
                </c:pt>
                <c:pt idx="19">
                  <c:v>44434</c:v>
                </c:pt>
                <c:pt idx="20">
                  <c:v>44435</c:v>
                </c:pt>
                <c:pt idx="21">
                  <c:v>44438</c:v>
                </c:pt>
                <c:pt idx="22">
                  <c:v>44439</c:v>
                </c:pt>
              </c:numCache>
            </c:numRef>
          </c:cat>
          <c:val>
            <c:numRef>
              <c:f>'MCX &amp; NCDEX'!$E$2:$E$24</c:f>
              <c:numCache>
                <c:formatCode>0.0</c:formatCode>
                <c:ptCount val="23"/>
                <c:pt idx="0">
                  <c:v>100</c:v>
                </c:pt>
                <c:pt idx="1">
                  <c:v>99.368557079503077</c:v>
                </c:pt>
                <c:pt idx="2">
                  <c:v>99.487992794697831</c:v>
                </c:pt>
                <c:pt idx="3">
                  <c:v>100.14978413462951</c:v>
                </c:pt>
                <c:pt idx="4">
                  <c:v>100.10181405229719</c:v>
                </c:pt>
                <c:pt idx="5">
                  <c:v>99.102274173495061</c:v>
                </c:pt>
                <c:pt idx="6">
                  <c:v>98.502158653704953</c:v>
                </c:pt>
                <c:pt idx="7">
                  <c:v>98.08902855688369</c:v>
                </c:pt>
                <c:pt idx="8">
                  <c:v>99.422401049467908</c:v>
                </c:pt>
                <c:pt idx="9">
                  <c:v>99.353872360421732</c:v>
                </c:pt>
                <c:pt idx="10">
                  <c:v>101.49000949611832</c:v>
                </c:pt>
                <c:pt idx="11">
                  <c:v>102.77639088764231</c:v>
                </c:pt>
                <c:pt idx="12">
                  <c:v>101.13268133180611</c:v>
                </c:pt>
                <c:pt idx="13">
                  <c:v>102.11655751025481</c:v>
                </c:pt>
                <c:pt idx="14">
                  <c:v>102.0666294653783</c:v>
                </c:pt>
                <c:pt idx="15">
                  <c:v>103.34811595054185</c:v>
                </c:pt>
                <c:pt idx="16">
                  <c:v>104.43184821874357</c:v>
                </c:pt>
                <c:pt idx="17">
                  <c:v>105.41866134100856</c:v>
                </c:pt>
                <c:pt idx="18">
                  <c:v>106.45344454560585</c:v>
                </c:pt>
                <c:pt idx="19">
                  <c:v>104.44261701273655</c:v>
                </c:pt>
                <c:pt idx="20">
                  <c:v>103.69075939577276</c:v>
                </c:pt>
                <c:pt idx="21">
                  <c:v>103.50083702898762</c:v>
                </c:pt>
                <c:pt idx="22">
                  <c:v>102.71667303004493</c:v>
                </c:pt>
              </c:numCache>
            </c:numRef>
          </c:val>
          <c:smooth val="0"/>
          <c:extLst>
            <c:ext xmlns:c16="http://schemas.microsoft.com/office/drawing/2014/chart" uri="{C3380CC4-5D6E-409C-BE32-E72D297353CC}">
              <c16:uniqueId val="{00000003-9DE8-4A60-B5A9-ED2DF006E94D}"/>
            </c:ext>
          </c:extLst>
        </c:ser>
        <c:dLbls>
          <c:showLegendKey val="0"/>
          <c:showVal val="0"/>
          <c:showCatName val="0"/>
          <c:showSerName val="0"/>
          <c:showPercent val="0"/>
          <c:showBubbleSize val="0"/>
        </c:dLbls>
        <c:smooth val="0"/>
        <c:axId val="475979280"/>
        <c:axId val="475978496"/>
        <c:extLst/>
      </c:lineChart>
      <c:dateAx>
        <c:axId val="475979280"/>
        <c:scaling>
          <c:orientation val="minMax"/>
        </c:scaling>
        <c:delete val="0"/>
        <c:axPos val="b"/>
        <c:numFmt formatCode="[$-409]d\-mmm;@" sourceLinked="0"/>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5978496"/>
        <c:crosses val="autoZero"/>
        <c:auto val="1"/>
        <c:lblOffset val="100"/>
        <c:baseTimeUnit val="days"/>
      </c:dateAx>
      <c:valAx>
        <c:axId val="475978496"/>
        <c:scaling>
          <c:orientation val="minMax"/>
          <c:min val="92"/>
        </c:scaling>
        <c:delete val="0"/>
        <c:axPos val="l"/>
        <c:majorGridlines>
          <c:spPr>
            <a:ln w="9525" cap="flat" cmpd="sng" algn="ctr">
              <a:solidFill>
                <a:schemeClr val="accent1">
                  <a:lumMod val="40000"/>
                  <a:lumOff val="60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5979280"/>
        <c:crossesAt val="44347"/>
        <c:crossBetween val="between"/>
      </c:valAx>
      <c:spPr>
        <a:noFill/>
        <a:ln>
          <a:noFill/>
        </a:ln>
        <a:effectLst/>
      </c:spPr>
    </c:plotArea>
    <c:legend>
      <c:legendPos val="b"/>
      <c:layout>
        <c:manualLayout>
          <c:xMode val="edge"/>
          <c:yMode val="edge"/>
          <c:x val="1.6821785292376733E-2"/>
          <c:y val="0.85611781602921966"/>
          <c:w val="0.96635611983842562"/>
          <c:h val="6.4064880584978459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accent1"/>
      </a:solidFill>
      <a:round/>
    </a:ln>
    <a:effectLst/>
  </c:spPr>
  <c:txPr>
    <a:bodyPr/>
    <a:lstStyle/>
    <a:p>
      <a:pPr>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8649240482366595E-2"/>
          <c:y val="2.3414388003439247E-2"/>
          <c:w val="0.82339242682383995"/>
          <c:h val="0.71480391704760649"/>
        </c:manualLayout>
      </c:layout>
      <c:barChart>
        <c:barDir val="col"/>
        <c:grouping val="clustered"/>
        <c:varyColors val="0"/>
        <c:ser>
          <c:idx val="0"/>
          <c:order val="0"/>
          <c:tx>
            <c:strRef>
              <c:f>Exchange_Wise!$B$2</c:f>
              <c:strCache>
                <c:ptCount val="1"/>
                <c:pt idx="0">
                  <c:v>MCX (LHS)</c:v>
                </c:pt>
              </c:strCache>
            </c:strRef>
          </c:tx>
          <c:spPr>
            <a:solidFill>
              <a:srgbClr val="0070C0"/>
            </a:solidFill>
            <a:ln>
              <a:solidFill>
                <a:sysClr val="windowText" lastClr="000000"/>
              </a:solidFill>
            </a:ln>
            <a:effectLst/>
          </c:spPr>
          <c:invertIfNegative val="0"/>
          <c:cat>
            <c:numRef>
              <c:f>Exchange_Wise!$A$8:$A$19</c:f>
              <c:numCache>
                <c:formatCode>[$-409]mmm\-yy;@</c:formatCode>
                <c:ptCount val="12"/>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numCache>
            </c:numRef>
          </c:cat>
          <c:val>
            <c:numRef>
              <c:f>Exchange_Wise!$B$8:$B$19</c:f>
              <c:numCache>
                <c:formatCode>#,##0</c:formatCode>
                <c:ptCount val="12"/>
                <c:pt idx="0">
                  <c:v>6838.5318600000001</c:v>
                </c:pt>
                <c:pt idx="1">
                  <c:v>7096.0901250000006</c:v>
                </c:pt>
                <c:pt idx="2">
                  <c:v>10138.218927400003</c:v>
                </c:pt>
                <c:pt idx="3">
                  <c:v>10747.937155000003</c:v>
                </c:pt>
                <c:pt idx="4">
                  <c:v>12653.105590599998</c:v>
                </c:pt>
                <c:pt idx="5">
                  <c:v>12289.256776399998</c:v>
                </c:pt>
                <c:pt idx="6">
                  <c:v>13909.001715000002</c:v>
                </c:pt>
                <c:pt idx="7">
                  <c:v>12916.562410199997</c:v>
                </c:pt>
                <c:pt idx="8">
                  <c:v>11052.727486600001</c:v>
                </c:pt>
                <c:pt idx="9">
                  <c:v>14355.171816799999</c:v>
                </c:pt>
                <c:pt idx="10">
                  <c:v>11349.876245600002</c:v>
                </c:pt>
                <c:pt idx="11">
                  <c:v>8532.1421754000003</c:v>
                </c:pt>
              </c:numCache>
            </c:numRef>
          </c:val>
          <c:extLst>
            <c:ext xmlns:c16="http://schemas.microsoft.com/office/drawing/2014/chart" uri="{C3380CC4-5D6E-409C-BE32-E72D297353CC}">
              <c16:uniqueId val="{00000000-E370-435B-B50D-C676E671CD3B}"/>
            </c:ext>
          </c:extLst>
        </c:ser>
        <c:ser>
          <c:idx val="1"/>
          <c:order val="1"/>
          <c:tx>
            <c:strRef>
              <c:f>Exchange_Wise!$C$2</c:f>
              <c:strCache>
                <c:ptCount val="1"/>
                <c:pt idx="0">
                  <c:v>NCDEX (LHS)</c:v>
                </c:pt>
              </c:strCache>
            </c:strRef>
          </c:tx>
          <c:spPr>
            <a:solidFill>
              <a:srgbClr val="00B050"/>
            </a:solidFill>
            <a:ln>
              <a:solidFill>
                <a:schemeClr val="accent3">
                  <a:lumMod val="75000"/>
                </a:schemeClr>
              </a:solidFill>
            </a:ln>
            <a:effectLst/>
          </c:spPr>
          <c:invertIfNegative val="0"/>
          <c:cat>
            <c:numRef>
              <c:f>Exchange_Wise!$A$8:$A$19</c:f>
              <c:numCache>
                <c:formatCode>[$-409]mmm\-yy;@</c:formatCode>
                <c:ptCount val="12"/>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numCache>
            </c:numRef>
          </c:cat>
          <c:val>
            <c:numRef>
              <c:f>Exchange_Wise!$C$8:$C$19</c:f>
              <c:numCache>
                <c:formatCode>#,##0</c:formatCode>
                <c:ptCount val="12"/>
                <c:pt idx="0">
                  <c:v>28599.374342499999</c:v>
                </c:pt>
                <c:pt idx="1">
                  <c:v>32560.999704999991</c:v>
                </c:pt>
                <c:pt idx="2">
                  <c:v>31297.897227500001</c:v>
                </c:pt>
                <c:pt idx="3">
                  <c:v>34267.000512499995</c:v>
                </c:pt>
                <c:pt idx="4">
                  <c:v>32707.128794999986</c:v>
                </c:pt>
                <c:pt idx="5">
                  <c:v>30761.034117499996</c:v>
                </c:pt>
                <c:pt idx="6">
                  <c:v>43894.883412500007</c:v>
                </c:pt>
                <c:pt idx="7">
                  <c:v>55219.791669999999</c:v>
                </c:pt>
                <c:pt idx="8">
                  <c:v>42907.123429999992</c:v>
                </c:pt>
                <c:pt idx="9">
                  <c:v>42768.39502000004</c:v>
                </c:pt>
                <c:pt idx="10">
                  <c:v>45161.663549999997</c:v>
                </c:pt>
                <c:pt idx="11">
                  <c:v>51318.252049999966</c:v>
                </c:pt>
              </c:numCache>
            </c:numRef>
          </c:val>
          <c:extLst>
            <c:ext xmlns:c16="http://schemas.microsoft.com/office/drawing/2014/chart" uri="{C3380CC4-5D6E-409C-BE32-E72D297353CC}">
              <c16:uniqueId val="{00000001-E370-435B-B50D-C676E671CD3B}"/>
            </c:ext>
          </c:extLst>
        </c:ser>
        <c:dLbls>
          <c:showLegendKey val="0"/>
          <c:showVal val="0"/>
          <c:showCatName val="0"/>
          <c:showSerName val="0"/>
          <c:showPercent val="0"/>
          <c:showBubbleSize val="0"/>
        </c:dLbls>
        <c:gapWidth val="219"/>
        <c:axId val="475984376"/>
        <c:axId val="475977712"/>
      </c:barChart>
      <c:lineChart>
        <c:grouping val="standard"/>
        <c:varyColors val="0"/>
        <c:ser>
          <c:idx val="2"/>
          <c:order val="2"/>
          <c:tx>
            <c:strRef>
              <c:f>Exchange_Wise!$D$2</c:f>
              <c:strCache>
                <c:ptCount val="1"/>
                <c:pt idx="0">
                  <c:v>ICEX (RHS)</c:v>
                </c:pt>
              </c:strCache>
            </c:strRef>
          </c:tx>
          <c:spPr>
            <a:ln w="28575" cap="rnd">
              <a:solidFill>
                <a:schemeClr val="accent6"/>
              </a:solidFill>
              <a:round/>
            </a:ln>
            <a:effectLst/>
          </c:spPr>
          <c:marker>
            <c:symbol val="x"/>
            <c:size val="10"/>
            <c:spPr>
              <a:noFill/>
              <a:ln w="9525">
                <a:solidFill>
                  <a:srgbClr val="C00000"/>
                </a:solidFill>
              </a:ln>
              <a:effectLst/>
            </c:spPr>
          </c:marker>
          <c:cat>
            <c:numRef>
              <c:f>Exchange_Wise!$A$8:$A$19</c:f>
              <c:numCache>
                <c:formatCode>[$-409]mmm\-yy;@</c:formatCode>
                <c:ptCount val="12"/>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numCache>
            </c:numRef>
          </c:cat>
          <c:val>
            <c:numRef>
              <c:f>Exchange_Wise!$D$8:$D$19</c:f>
              <c:numCache>
                <c:formatCode>#,##0</c:formatCode>
                <c:ptCount val="12"/>
                <c:pt idx="0">
                  <c:v>4.0599999999999997E-2</c:v>
                </c:pt>
                <c:pt idx="1">
                  <c:v>0</c:v>
                </c:pt>
                <c:pt idx="2">
                  <c:v>0</c:v>
                </c:pt>
                <c:pt idx="3">
                  <c:v>0.89</c:v>
                </c:pt>
                <c:pt idx="4">
                  <c:v>2.819</c:v>
                </c:pt>
                <c:pt idx="5">
                  <c:v>2.5779999999999998</c:v>
                </c:pt>
                <c:pt idx="6">
                  <c:v>3.4738000000000002</c:v>
                </c:pt>
                <c:pt idx="7">
                  <c:v>2.9133100000000001</c:v>
                </c:pt>
                <c:pt idx="8">
                  <c:v>3.66</c:v>
                </c:pt>
                <c:pt idx="9">
                  <c:v>3.86</c:v>
                </c:pt>
                <c:pt idx="10">
                  <c:v>3.59</c:v>
                </c:pt>
                <c:pt idx="11">
                  <c:v>2.6280000000000001</c:v>
                </c:pt>
              </c:numCache>
            </c:numRef>
          </c:val>
          <c:smooth val="0"/>
          <c:extLst>
            <c:ext xmlns:c16="http://schemas.microsoft.com/office/drawing/2014/chart" uri="{C3380CC4-5D6E-409C-BE32-E72D297353CC}">
              <c16:uniqueId val="{00000002-E370-435B-B50D-C676E671CD3B}"/>
            </c:ext>
          </c:extLst>
        </c:ser>
        <c:ser>
          <c:idx val="3"/>
          <c:order val="3"/>
          <c:tx>
            <c:strRef>
              <c:f>Exchange_Wise!$E$2</c:f>
              <c:strCache>
                <c:ptCount val="1"/>
                <c:pt idx="0">
                  <c:v>BSE (RHS)</c:v>
                </c:pt>
              </c:strCache>
            </c:strRef>
          </c:tx>
          <c:spPr>
            <a:ln w="28575" cap="rnd">
              <a:solidFill>
                <a:schemeClr val="tx1"/>
              </a:solidFill>
              <a:round/>
            </a:ln>
            <a:effectLst/>
          </c:spPr>
          <c:marker>
            <c:symbol val="triangle"/>
            <c:size val="9"/>
            <c:spPr>
              <a:solidFill>
                <a:schemeClr val="accent4"/>
              </a:solidFill>
              <a:ln w="9525">
                <a:solidFill>
                  <a:schemeClr val="tx1"/>
                </a:solidFill>
              </a:ln>
              <a:effectLst/>
            </c:spPr>
          </c:marker>
          <c:cat>
            <c:numRef>
              <c:f>Exchange_Wise!$A$8:$A$19</c:f>
              <c:numCache>
                <c:formatCode>[$-409]mmm\-yy;@</c:formatCode>
                <c:ptCount val="12"/>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numCache>
            </c:numRef>
          </c:cat>
          <c:val>
            <c:numRef>
              <c:f>Exchange_Wise!$E$8:$E$19</c:f>
              <c:numCache>
                <c:formatCode>#,##0</c:formatCode>
                <c:ptCount val="12"/>
                <c:pt idx="0">
                  <c:v>181.2</c:v>
                </c:pt>
                <c:pt idx="1">
                  <c:v>236.58</c:v>
                </c:pt>
                <c:pt idx="2">
                  <c:v>165.86</c:v>
                </c:pt>
                <c:pt idx="3">
                  <c:v>110.01</c:v>
                </c:pt>
                <c:pt idx="4">
                  <c:v>86.66</c:v>
                </c:pt>
                <c:pt idx="5">
                  <c:v>83.13</c:v>
                </c:pt>
                <c:pt idx="6">
                  <c:v>115.46</c:v>
                </c:pt>
                <c:pt idx="7">
                  <c:v>174.66</c:v>
                </c:pt>
                <c:pt idx="8">
                  <c:v>184.73</c:v>
                </c:pt>
                <c:pt idx="9">
                  <c:v>227.91</c:v>
                </c:pt>
                <c:pt idx="10">
                  <c:v>238.75</c:v>
                </c:pt>
                <c:pt idx="11">
                  <c:v>245.83</c:v>
                </c:pt>
              </c:numCache>
            </c:numRef>
          </c:val>
          <c:smooth val="0"/>
          <c:extLst>
            <c:ext xmlns:c16="http://schemas.microsoft.com/office/drawing/2014/chart" uri="{C3380CC4-5D6E-409C-BE32-E72D297353CC}">
              <c16:uniqueId val="{00000003-E370-435B-B50D-C676E671CD3B}"/>
            </c:ext>
          </c:extLst>
        </c:ser>
        <c:ser>
          <c:idx val="4"/>
          <c:order val="4"/>
          <c:tx>
            <c:strRef>
              <c:f>Exchange_Wise!$F$2</c:f>
              <c:strCache>
                <c:ptCount val="1"/>
                <c:pt idx="0">
                  <c:v>NSE (RHS)</c:v>
                </c:pt>
              </c:strCache>
            </c:strRef>
          </c:tx>
          <c:spPr>
            <a:ln w="28575" cap="rnd">
              <a:solidFill>
                <a:srgbClr val="C00000"/>
              </a:solidFill>
              <a:round/>
            </a:ln>
            <a:effectLst/>
          </c:spPr>
          <c:marker>
            <c:symbol val="diamond"/>
            <c:size val="9"/>
            <c:spPr>
              <a:solidFill>
                <a:srgbClr val="C00000"/>
              </a:solidFill>
              <a:ln w="9525">
                <a:solidFill>
                  <a:srgbClr val="C00000"/>
                </a:solidFill>
              </a:ln>
              <a:effectLst/>
            </c:spPr>
          </c:marker>
          <c:cat>
            <c:numRef>
              <c:f>Exchange_Wise!$A$8:$A$19</c:f>
              <c:numCache>
                <c:formatCode>[$-409]mmm\-yy;@</c:formatCode>
                <c:ptCount val="12"/>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numCache>
            </c:numRef>
          </c:cat>
          <c:val>
            <c:numRef>
              <c:f>Exchange_Wise!$F$8:$F$19</c:f>
              <c:numCache>
                <c:formatCode>General</c:formatCode>
                <c:ptCount val="12"/>
                <c:pt idx="3" formatCode="#,##0">
                  <c:v>1433.9238400000006</c:v>
                </c:pt>
                <c:pt idx="4" formatCode="#,##0">
                  <c:v>826.19159999999999</c:v>
                </c:pt>
                <c:pt idx="5" formatCode="#,##0">
                  <c:v>920.27394000000004</c:v>
                </c:pt>
                <c:pt idx="6" formatCode="#,##0">
                  <c:v>1672.8383199999998</c:v>
                </c:pt>
                <c:pt idx="7" formatCode="#,##0">
                  <c:v>592.6947399999998</c:v>
                </c:pt>
                <c:pt idx="8" formatCode="#,##0">
                  <c:v>307.17788999999988</c:v>
                </c:pt>
                <c:pt idx="9" formatCode="#,##0">
                  <c:v>415</c:v>
                </c:pt>
                <c:pt idx="10" formatCode="#,##0">
                  <c:v>671.72671000000003</c:v>
                </c:pt>
                <c:pt idx="11" formatCode="#,##0">
                  <c:v>252.94460000000001</c:v>
                </c:pt>
              </c:numCache>
            </c:numRef>
          </c:val>
          <c:smooth val="0"/>
          <c:extLst>
            <c:ext xmlns:c16="http://schemas.microsoft.com/office/drawing/2014/chart" uri="{C3380CC4-5D6E-409C-BE32-E72D297353CC}">
              <c16:uniqueId val="{00000004-E370-435B-B50D-C676E671CD3B}"/>
            </c:ext>
          </c:extLst>
        </c:ser>
        <c:dLbls>
          <c:showLegendKey val="0"/>
          <c:showVal val="0"/>
          <c:showCatName val="0"/>
          <c:showSerName val="0"/>
          <c:showPercent val="0"/>
          <c:showBubbleSize val="0"/>
        </c:dLbls>
        <c:marker val="1"/>
        <c:smooth val="0"/>
        <c:axId val="475983200"/>
        <c:axId val="475982808"/>
      </c:lineChart>
      <c:dateAx>
        <c:axId val="475984376"/>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75977712"/>
        <c:crosses val="autoZero"/>
        <c:auto val="1"/>
        <c:lblOffset val="100"/>
        <c:baseTimeUnit val="months"/>
        <c:majorUnit val="1"/>
        <c:majorTimeUnit val="months"/>
      </c:dateAx>
      <c:valAx>
        <c:axId val="475977712"/>
        <c:scaling>
          <c:orientation val="minMax"/>
          <c:max val="6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75984376"/>
        <c:crosses val="autoZero"/>
        <c:crossBetween val="between"/>
        <c:dispUnits>
          <c:builtInUnit val="thousands"/>
          <c:dispUnitsLbl>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dispUnitsLbl>
        </c:dispUnits>
      </c:valAx>
      <c:valAx>
        <c:axId val="475982808"/>
        <c:scaling>
          <c:orientation val="minMax"/>
          <c:max val="3000"/>
          <c:min val="0"/>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manualLayout>
              <c:xMode val="edge"/>
              <c:yMode val="edge"/>
              <c:x val="0.96063667480161474"/>
              <c:y val="0.33961738433921917"/>
            </c:manualLayout>
          </c:layout>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75983200"/>
        <c:crosses val="max"/>
        <c:crossBetween val="between"/>
        <c:majorUnit val="500"/>
        <c:dispUnits>
          <c:builtInUnit val="thousands"/>
          <c:dispUnitsLbl>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dispUnitsLbl>
        </c:dispUnits>
      </c:valAx>
      <c:dateAx>
        <c:axId val="475983200"/>
        <c:scaling>
          <c:orientation val="minMax"/>
        </c:scaling>
        <c:delete val="1"/>
        <c:axPos val="b"/>
        <c:numFmt formatCode="[$-409]mmm\-yy;@" sourceLinked="1"/>
        <c:majorTickMark val="out"/>
        <c:minorTickMark val="none"/>
        <c:tickLblPos val="nextTo"/>
        <c:crossAx val="475982808"/>
        <c:crosses val="autoZero"/>
        <c:auto val="0"/>
        <c:lblOffset val="100"/>
        <c:baseTimeUnit val="months"/>
      </c:dateAx>
      <c:spPr>
        <a:noFill/>
        <a:ln>
          <a:noFill/>
        </a:ln>
        <a:effectLst/>
      </c:spPr>
    </c:plotArea>
    <c:legend>
      <c:legendPos val="b"/>
      <c:layout>
        <c:manualLayout>
          <c:xMode val="edge"/>
          <c:yMode val="edge"/>
          <c:x val="0.10164675814571447"/>
          <c:y val="0.87648641104576042"/>
          <c:w val="0.82665128174197633"/>
          <c:h val="0.12351358895423944"/>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5631089595"/>
          <c:y val="2.8574616789475059E-2"/>
          <c:w val="0.78292437628529898"/>
          <c:h val="0.72457814568050793"/>
        </c:manualLayout>
      </c:layout>
      <c:barChart>
        <c:barDir val="col"/>
        <c:grouping val="stacked"/>
        <c:varyColors val="0"/>
        <c:ser>
          <c:idx val="0"/>
          <c:order val="0"/>
          <c:tx>
            <c:strRef>
              <c:f>Exchange_Wise!$G$2</c:f>
              <c:strCache>
                <c:ptCount val="1"/>
                <c:pt idx="0">
                  <c:v>MCX (LHS)</c:v>
                </c:pt>
              </c:strCache>
            </c:strRef>
          </c:tx>
          <c:spPr>
            <a:solidFill>
              <a:srgbClr val="92D050"/>
            </a:solidFill>
            <a:ln>
              <a:solidFill>
                <a:sysClr val="windowText" lastClr="000000"/>
              </a:solidFill>
            </a:ln>
            <a:effectLst/>
          </c:spPr>
          <c:invertIfNegative val="0"/>
          <c:cat>
            <c:numRef>
              <c:f>Exchange_Wise!$A$8:$A$19</c:f>
              <c:numCache>
                <c:formatCode>[$-409]mmm\-yy;@</c:formatCode>
                <c:ptCount val="12"/>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numCache>
            </c:numRef>
          </c:cat>
          <c:val>
            <c:numRef>
              <c:f>Exchange_Wise!$G$8:$G$19</c:f>
              <c:numCache>
                <c:formatCode>#,##0</c:formatCode>
                <c:ptCount val="12"/>
                <c:pt idx="0">
                  <c:v>745965.04735440004</c:v>
                </c:pt>
                <c:pt idx="1">
                  <c:v>691669.15749930032</c:v>
                </c:pt>
                <c:pt idx="2">
                  <c:v>722827.83065649995</c:v>
                </c:pt>
                <c:pt idx="3">
                  <c:v>649285.71545269992</c:v>
                </c:pt>
                <c:pt idx="4">
                  <c:v>631081.49217339978</c:v>
                </c:pt>
                <c:pt idx="5">
                  <c:v>732338.52416479995</c:v>
                </c:pt>
                <c:pt idx="6">
                  <c:v>602584.41504829982</c:v>
                </c:pt>
                <c:pt idx="7">
                  <c:v>525273.25289939984</c:v>
                </c:pt>
                <c:pt idx="8">
                  <c:v>657112.9212915001</c:v>
                </c:pt>
                <c:pt idx="9">
                  <c:v>573244.30666690005</c:v>
                </c:pt>
                <c:pt idx="10">
                  <c:v>578366.63177189988</c:v>
                </c:pt>
                <c:pt idx="11">
                  <c:v>535066.9253165999</c:v>
                </c:pt>
              </c:numCache>
            </c:numRef>
          </c:val>
          <c:extLst xmlns:c15="http://schemas.microsoft.com/office/drawing/2012/chart">
            <c:ext xmlns:c16="http://schemas.microsoft.com/office/drawing/2014/chart" uri="{C3380CC4-5D6E-409C-BE32-E72D297353CC}">
              <c16:uniqueId val="{00000000-ADDF-45A5-8801-54339A30676D}"/>
            </c:ext>
          </c:extLst>
        </c:ser>
        <c:dLbls>
          <c:showLegendKey val="0"/>
          <c:showVal val="0"/>
          <c:showCatName val="0"/>
          <c:showSerName val="0"/>
          <c:showPercent val="0"/>
          <c:showBubbleSize val="0"/>
        </c:dLbls>
        <c:gapWidth val="219"/>
        <c:overlap val="100"/>
        <c:axId val="475978888"/>
        <c:axId val="475983592"/>
        <c:extLst/>
      </c:barChart>
      <c:lineChart>
        <c:grouping val="stacked"/>
        <c:varyColors val="0"/>
        <c:ser>
          <c:idx val="1"/>
          <c:order val="1"/>
          <c:tx>
            <c:strRef>
              <c:f>Exchange_Wise!$H$2</c:f>
              <c:strCache>
                <c:ptCount val="1"/>
                <c:pt idx="0">
                  <c:v>NCDEX (RHS)</c:v>
                </c:pt>
              </c:strCache>
            </c:strRef>
          </c:tx>
          <c:spPr>
            <a:ln w="19050" cap="rnd">
              <a:solidFill>
                <a:sysClr val="windowText" lastClr="000000">
                  <a:lumMod val="75000"/>
                  <a:lumOff val="25000"/>
                </a:sysClr>
              </a:solidFill>
              <a:round/>
            </a:ln>
            <a:effectLst/>
          </c:spPr>
          <c:marker>
            <c:symbol val="circle"/>
            <c:size val="5"/>
            <c:spPr>
              <a:solidFill>
                <a:sysClr val="windowText" lastClr="000000"/>
              </a:solidFill>
              <a:ln w="9525">
                <a:solidFill>
                  <a:schemeClr val="accent2"/>
                </a:solidFill>
              </a:ln>
              <a:effectLst/>
            </c:spPr>
          </c:marker>
          <c:cat>
            <c:numRef>
              <c:f>Exchange_Wise!$A$8:$A$19</c:f>
              <c:numCache>
                <c:formatCode>[$-409]mmm\-yy;@</c:formatCode>
                <c:ptCount val="12"/>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numCache>
            </c:numRef>
          </c:cat>
          <c:val>
            <c:numRef>
              <c:f>Exchange_Wise!$H$8:$H$19</c:f>
              <c:numCache>
                <c:formatCode>General</c:formatCode>
                <c:ptCount val="12"/>
                <c:pt idx="4" formatCode="#,##0">
                  <c:v>24.235309999999998</c:v>
                </c:pt>
                <c:pt idx="5" formatCode="#,##0">
                  <c:v>38.773069999999997</c:v>
                </c:pt>
                <c:pt idx="6" formatCode="#,##0">
                  <c:v>25.14254</c:v>
                </c:pt>
                <c:pt idx="7" formatCode="#,##0">
                  <c:v>11.57</c:v>
                </c:pt>
                <c:pt idx="8" formatCode="#,##0">
                  <c:v>15.86</c:v>
                </c:pt>
                <c:pt idx="9" formatCode="#,##0">
                  <c:v>17.549300000000002</c:v>
                </c:pt>
                <c:pt idx="10" formatCode="#,##0">
                  <c:v>17.309999999999999</c:v>
                </c:pt>
                <c:pt idx="11" formatCode="#,##0">
                  <c:v>13.696019999999997</c:v>
                </c:pt>
              </c:numCache>
            </c:numRef>
          </c:val>
          <c:smooth val="0"/>
          <c:extLst xmlns:c15="http://schemas.microsoft.com/office/drawing/2012/chart">
            <c:ext xmlns:c16="http://schemas.microsoft.com/office/drawing/2014/chart" uri="{C3380CC4-5D6E-409C-BE32-E72D297353CC}">
              <c16:uniqueId val="{00000001-ADDF-45A5-8801-54339A30676D}"/>
            </c:ext>
          </c:extLst>
        </c:ser>
        <c:ser>
          <c:idx val="2"/>
          <c:order val="2"/>
          <c:tx>
            <c:strRef>
              <c:f>Exchange_Wise!$I$2</c:f>
              <c:strCache>
                <c:ptCount val="1"/>
                <c:pt idx="0">
                  <c:v>ICEX (RHS)</c:v>
                </c:pt>
              </c:strCache>
            </c:strRef>
          </c:tx>
          <c:spPr>
            <a:ln w="19050" cap="rnd">
              <a:solidFill>
                <a:srgbClr val="FF0000"/>
              </a:solidFill>
              <a:prstDash val="dash"/>
              <a:round/>
            </a:ln>
            <a:effectLst/>
          </c:spPr>
          <c:marker>
            <c:symbol val="circle"/>
            <c:size val="4"/>
            <c:spPr>
              <a:solidFill>
                <a:srgbClr val="C00000"/>
              </a:solidFill>
              <a:ln w="19050">
                <a:solidFill>
                  <a:srgbClr val="FF0000"/>
                </a:solidFill>
                <a:prstDash val="dash"/>
              </a:ln>
              <a:effectLst/>
            </c:spPr>
          </c:marker>
          <c:cat>
            <c:numRef>
              <c:f>Exchange_Wise!$A$8:$A$19</c:f>
              <c:numCache>
                <c:formatCode>[$-409]mmm\-yy;@</c:formatCode>
                <c:ptCount val="12"/>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numCache>
            </c:numRef>
          </c:cat>
          <c:val>
            <c:numRef>
              <c:f>Exchange_Wise!$I$8:$I$19</c:f>
              <c:numCache>
                <c:formatCode>#,##0</c:formatCode>
                <c:ptCount val="12"/>
                <c:pt idx="0">
                  <c:v>0.1153</c:v>
                </c:pt>
                <c:pt idx="1">
                  <c:v>0.1066</c:v>
                </c:pt>
                <c:pt idx="2">
                  <c:v>2.7824999999999999E-2</c:v>
                </c:pt>
                <c:pt idx="3">
                  <c:v>1.8845000000000001</c:v>
                </c:pt>
                <c:pt idx="4">
                  <c:v>10.392370000000001</c:v>
                </c:pt>
                <c:pt idx="5">
                  <c:v>16.025917</c:v>
                </c:pt>
                <c:pt idx="6">
                  <c:v>19.011840000000003</c:v>
                </c:pt>
                <c:pt idx="7">
                  <c:v>16.042120000000001</c:v>
                </c:pt>
                <c:pt idx="8">
                  <c:v>18.87</c:v>
                </c:pt>
                <c:pt idx="9">
                  <c:v>22.58</c:v>
                </c:pt>
                <c:pt idx="10">
                  <c:v>18.54</c:v>
                </c:pt>
                <c:pt idx="11">
                  <c:v>17.701999999999998</c:v>
                </c:pt>
              </c:numCache>
            </c:numRef>
          </c:val>
          <c:smooth val="0"/>
          <c:extLst>
            <c:ext xmlns:c16="http://schemas.microsoft.com/office/drawing/2014/chart" uri="{C3380CC4-5D6E-409C-BE32-E72D297353CC}">
              <c16:uniqueId val="{00000002-ADDF-45A5-8801-54339A30676D}"/>
            </c:ext>
          </c:extLst>
        </c:ser>
        <c:ser>
          <c:idx val="3"/>
          <c:order val="3"/>
          <c:tx>
            <c:strRef>
              <c:f>Exchange_Wise!$J$2</c:f>
              <c:strCache>
                <c:ptCount val="1"/>
                <c:pt idx="0">
                  <c:v>BSE (RHS)</c:v>
                </c:pt>
              </c:strCache>
            </c:strRef>
          </c:tx>
          <c:spPr>
            <a:ln w="19050" cap="rnd">
              <a:solidFill>
                <a:srgbClr val="0070C0"/>
              </a:solidFill>
              <a:round/>
            </a:ln>
            <a:effectLst/>
          </c:spPr>
          <c:marker>
            <c:symbol val="none"/>
          </c:marker>
          <c:cat>
            <c:numRef>
              <c:f>Exchange_Wise!$A$8:$A$19</c:f>
              <c:numCache>
                <c:formatCode>[$-409]mmm\-yy;@</c:formatCode>
                <c:ptCount val="12"/>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numCache>
            </c:numRef>
          </c:cat>
          <c:val>
            <c:numRef>
              <c:f>Exchange_Wise!$J$8:$J$19</c:f>
              <c:numCache>
                <c:formatCode>#,##0</c:formatCode>
                <c:ptCount val="12"/>
                <c:pt idx="0">
                  <c:v>4.01</c:v>
                </c:pt>
                <c:pt idx="1">
                  <c:v>11.15</c:v>
                </c:pt>
                <c:pt idx="2">
                  <c:v>10.53</c:v>
                </c:pt>
                <c:pt idx="3">
                  <c:v>11.42</c:v>
                </c:pt>
                <c:pt idx="4">
                  <c:v>10.02</c:v>
                </c:pt>
                <c:pt idx="5">
                  <c:v>9.8699999999999992</c:v>
                </c:pt>
                <c:pt idx="6">
                  <c:v>11.647484</c:v>
                </c:pt>
                <c:pt idx="7">
                  <c:v>10.74</c:v>
                </c:pt>
                <c:pt idx="8">
                  <c:v>10.59</c:v>
                </c:pt>
                <c:pt idx="9">
                  <c:v>11</c:v>
                </c:pt>
                <c:pt idx="10">
                  <c:v>27.182001</c:v>
                </c:pt>
                <c:pt idx="11">
                  <c:v>64.38</c:v>
                </c:pt>
              </c:numCache>
            </c:numRef>
          </c:val>
          <c:smooth val="0"/>
          <c:extLst xmlns:c15="http://schemas.microsoft.com/office/drawing/2012/chart">
            <c:ext xmlns:c16="http://schemas.microsoft.com/office/drawing/2014/chart" uri="{C3380CC4-5D6E-409C-BE32-E72D297353CC}">
              <c16:uniqueId val="{00000003-ADDF-45A5-8801-54339A30676D}"/>
            </c:ext>
          </c:extLst>
        </c:ser>
        <c:ser>
          <c:idx val="4"/>
          <c:order val="4"/>
          <c:tx>
            <c:strRef>
              <c:f>Exchange_Wise!$K$2</c:f>
              <c:strCache>
                <c:ptCount val="1"/>
                <c:pt idx="0">
                  <c:v>NSE (RHS)</c:v>
                </c:pt>
              </c:strCache>
            </c:strRef>
          </c:tx>
          <c:spPr>
            <a:ln w="25400" cap="rnd">
              <a:solidFill>
                <a:srgbClr val="00B0F0"/>
              </a:solidFill>
              <a:prstDash val="sysDash"/>
              <a:round/>
            </a:ln>
            <a:effectLst/>
          </c:spPr>
          <c:marker>
            <c:symbol val="square"/>
            <c:size val="6"/>
            <c:spPr>
              <a:solidFill>
                <a:sysClr val="windowText" lastClr="000000"/>
              </a:solidFill>
              <a:ln w="9525">
                <a:solidFill>
                  <a:schemeClr val="accent5"/>
                </a:solidFill>
              </a:ln>
              <a:effectLst/>
            </c:spPr>
          </c:marker>
          <c:cat>
            <c:numRef>
              <c:f>Exchange_Wise!$A$8:$A$19</c:f>
              <c:numCache>
                <c:formatCode>[$-409]mmm\-yy;@</c:formatCode>
                <c:ptCount val="12"/>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numCache>
            </c:numRef>
          </c:cat>
          <c:val>
            <c:numRef>
              <c:f>Exchange_Wise!$K$8:$K$19</c:f>
              <c:numCache>
                <c:formatCode>#,##0</c:formatCode>
                <c:ptCount val="12"/>
                <c:pt idx="0">
                  <c:v>65.526607000000013</c:v>
                </c:pt>
                <c:pt idx="1">
                  <c:v>14.122890999999999</c:v>
                </c:pt>
                <c:pt idx="2">
                  <c:v>18.669679000000002</c:v>
                </c:pt>
                <c:pt idx="3">
                  <c:v>15.143264000000002</c:v>
                </c:pt>
                <c:pt idx="4">
                  <c:v>11.035423000000002</c:v>
                </c:pt>
                <c:pt idx="5">
                  <c:v>14.295155499999996</c:v>
                </c:pt>
                <c:pt idx="6">
                  <c:v>11.136143500000001</c:v>
                </c:pt>
                <c:pt idx="7">
                  <c:v>6.284978999999999</c:v>
                </c:pt>
                <c:pt idx="8">
                  <c:v>6.4907739999999965</c:v>
                </c:pt>
                <c:pt idx="9">
                  <c:v>7.7</c:v>
                </c:pt>
                <c:pt idx="10">
                  <c:v>4.1648215999999998</c:v>
                </c:pt>
                <c:pt idx="11">
                  <c:v>1.2277750999999995</c:v>
                </c:pt>
              </c:numCache>
            </c:numRef>
          </c:val>
          <c:smooth val="0"/>
          <c:extLst>
            <c:ext xmlns:c16="http://schemas.microsoft.com/office/drawing/2014/chart" uri="{C3380CC4-5D6E-409C-BE32-E72D297353CC}">
              <c16:uniqueId val="{00000004-ADDF-45A5-8801-54339A30676D}"/>
            </c:ext>
          </c:extLst>
        </c:ser>
        <c:dLbls>
          <c:showLegendKey val="0"/>
          <c:showVal val="0"/>
          <c:showCatName val="0"/>
          <c:showSerName val="0"/>
          <c:showPercent val="0"/>
          <c:showBubbleSize val="0"/>
        </c:dLbls>
        <c:marker val="1"/>
        <c:smooth val="0"/>
        <c:axId val="475980064"/>
        <c:axId val="475979672"/>
      </c:lineChart>
      <c:dateAx>
        <c:axId val="475978888"/>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75983592"/>
        <c:crosses val="autoZero"/>
        <c:auto val="0"/>
        <c:lblOffset val="100"/>
        <c:baseTimeUnit val="months"/>
      </c:dateAx>
      <c:valAx>
        <c:axId val="475983592"/>
        <c:scaling>
          <c:orientation val="minMax"/>
          <c:max val="1000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75978888"/>
        <c:crosses val="autoZero"/>
        <c:crossBetween val="between"/>
        <c:majorUnit val="100000"/>
        <c:dispUnits>
          <c:builtInUnit val="thousands"/>
          <c:dispUnitsLbl>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dispUnitsLbl>
        </c:dispUnits>
      </c:valAx>
      <c:valAx>
        <c:axId val="475979672"/>
        <c:scaling>
          <c:orientation val="minMax"/>
          <c:max val="200"/>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sz="900" b="0" i="0" baseline="0">
                    <a:effectLst/>
                  </a:rPr>
                  <a:t>₹</a:t>
                </a:r>
                <a:r>
                  <a:rPr lang="en-IN" sz="900" b="0" i="0" baseline="0">
                    <a:effectLst/>
                  </a:rPr>
                  <a:t> crore</a:t>
                </a:r>
                <a:endParaRPr lang="en-IN" sz="900">
                  <a:effectLst/>
                </a:endParaRPr>
              </a:p>
            </c:rich>
          </c:tx>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75980064"/>
        <c:crosses val="max"/>
        <c:crossBetween val="between"/>
      </c:valAx>
      <c:dateAx>
        <c:axId val="475980064"/>
        <c:scaling>
          <c:orientation val="minMax"/>
        </c:scaling>
        <c:delete val="1"/>
        <c:axPos val="b"/>
        <c:numFmt formatCode="[$-409]mmm\-yy;@" sourceLinked="1"/>
        <c:majorTickMark val="out"/>
        <c:minorTickMark val="none"/>
        <c:tickLblPos val="nextTo"/>
        <c:crossAx val="475979672"/>
        <c:crosses val="autoZero"/>
        <c:auto val="1"/>
        <c:lblOffset val="100"/>
        <c:baseTimeUnit val="months"/>
        <c:majorUnit val="1"/>
        <c:minorUnit val="1"/>
      </c:dateAx>
      <c:spPr>
        <a:noFill/>
        <a:ln>
          <a:noFill/>
        </a:ln>
        <a:effectLst/>
      </c:spPr>
    </c:plotArea>
    <c:legend>
      <c:legendPos val="b"/>
      <c:layout>
        <c:manualLayout>
          <c:xMode val="edge"/>
          <c:yMode val="edge"/>
          <c:x val="0.10228638086905803"/>
          <c:y val="0.88298072419128193"/>
          <c:w val="0.83353162042514284"/>
          <c:h val="0.11701928563277417"/>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4628739068102601E-2"/>
          <c:y val="2.5425336553711E-2"/>
          <c:w val="0.84300839635211866"/>
          <c:h val="0.74402255555637775"/>
        </c:manualLayout>
      </c:layout>
      <c:lineChart>
        <c:grouping val="standard"/>
        <c:varyColors val="0"/>
        <c:ser>
          <c:idx val="3"/>
          <c:order val="0"/>
          <c:tx>
            <c:strRef>
              <c:f>Exchange_Wise!$L$2</c:f>
              <c:strCache>
                <c:ptCount val="1"/>
                <c:pt idx="0">
                  <c:v>MCX (LHS)</c:v>
                </c:pt>
              </c:strCache>
            </c:strRef>
          </c:tx>
          <c:spPr>
            <a:ln w="22225" cap="rnd">
              <a:solidFill>
                <a:srgbClr val="0070C0"/>
              </a:solidFill>
              <a:round/>
            </a:ln>
            <a:effectLst/>
          </c:spPr>
          <c:marker>
            <c:symbol val="circle"/>
            <c:size val="5"/>
            <c:spPr>
              <a:solidFill>
                <a:srgbClr val="0070C0"/>
              </a:solidFill>
              <a:ln w="9525">
                <a:solidFill>
                  <a:srgbClr val="0070C0"/>
                </a:solidFill>
              </a:ln>
              <a:effectLst/>
            </c:spPr>
          </c:marker>
          <c:cat>
            <c:numRef>
              <c:f>Exchange_Wise!$A$8:$A$19</c:f>
              <c:numCache>
                <c:formatCode>[$-409]mmm\-yy;@</c:formatCode>
                <c:ptCount val="12"/>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numCache>
            </c:numRef>
          </c:cat>
          <c:val>
            <c:numRef>
              <c:f>Exchange_Wise!$L$8:$L$19</c:f>
              <c:numCache>
                <c:formatCode>#,##0</c:formatCode>
                <c:ptCount val="12"/>
                <c:pt idx="0">
                  <c:v>26027.212639000005</c:v>
                </c:pt>
                <c:pt idx="1">
                  <c:v>9915.5255409999991</c:v>
                </c:pt>
                <c:pt idx="2">
                  <c:v>26564.103460999999</c:v>
                </c:pt>
                <c:pt idx="3">
                  <c:v>15258.518517999999</c:v>
                </c:pt>
                <c:pt idx="4">
                  <c:v>25959.086283000004</c:v>
                </c:pt>
                <c:pt idx="5">
                  <c:v>17156.310860000001</c:v>
                </c:pt>
                <c:pt idx="6">
                  <c:v>28949.873640999998</c:v>
                </c:pt>
                <c:pt idx="7">
                  <c:v>29746.30315299999</c:v>
                </c:pt>
                <c:pt idx="8">
                  <c:v>41737.770531000002</c:v>
                </c:pt>
                <c:pt idx="9">
                  <c:v>50098.683639000003</c:v>
                </c:pt>
                <c:pt idx="10">
                  <c:v>99269.799360999983</c:v>
                </c:pt>
                <c:pt idx="11">
                  <c:v>130106.263812</c:v>
                </c:pt>
              </c:numCache>
            </c:numRef>
          </c:val>
          <c:smooth val="0"/>
          <c:extLst>
            <c:ext xmlns:c16="http://schemas.microsoft.com/office/drawing/2014/chart" uri="{C3380CC4-5D6E-409C-BE32-E72D297353CC}">
              <c16:uniqueId val="{00000000-4B3B-4657-80EE-08664D522B50}"/>
            </c:ext>
          </c:extLst>
        </c:ser>
        <c:ser>
          <c:idx val="1"/>
          <c:order val="1"/>
          <c:tx>
            <c:strRef>
              <c:f>Exchange_Wise!$M$2</c:f>
              <c:strCache>
                <c:ptCount val="1"/>
                <c:pt idx="0">
                  <c:v>BSE (LHS)</c:v>
                </c:pt>
              </c:strCache>
            </c:strRef>
          </c:tx>
          <c:spPr>
            <a:ln w="22225" cap="rnd">
              <a:solidFill>
                <a:sysClr val="windowText" lastClr="000000">
                  <a:lumMod val="75000"/>
                  <a:lumOff val="25000"/>
                </a:sysClr>
              </a:solidFill>
              <a:round/>
            </a:ln>
            <a:effectLst/>
          </c:spPr>
          <c:marker>
            <c:symbol val="circle"/>
            <c:size val="5"/>
            <c:spPr>
              <a:solidFill>
                <a:schemeClr val="accent2"/>
              </a:solidFill>
              <a:ln w="9525">
                <a:solidFill>
                  <a:schemeClr val="accent2"/>
                </a:solidFill>
              </a:ln>
              <a:effectLst/>
            </c:spPr>
          </c:marker>
          <c:cat>
            <c:numRef>
              <c:f>Exchange_Wise!$A$8:$A$19</c:f>
              <c:numCache>
                <c:formatCode>[$-409]mmm\-yy;@</c:formatCode>
                <c:ptCount val="12"/>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numCache>
            </c:numRef>
          </c:cat>
          <c:val>
            <c:numRef>
              <c:f>Exchange_Wise!$M$8:$M$19</c:f>
              <c:numCache>
                <c:formatCode>#,##0</c:formatCode>
                <c:ptCount val="12"/>
                <c:pt idx="0">
                  <c:v>58331.41</c:v>
                </c:pt>
                <c:pt idx="1">
                  <c:v>56137.399999999994</c:v>
                </c:pt>
                <c:pt idx="2">
                  <c:v>53954.21</c:v>
                </c:pt>
                <c:pt idx="3">
                  <c:v>66801.039999999994</c:v>
                </c:pt>
                <c:pt idx="4">
                  <c:v>62440.93</c:v>
                </c:pt>
                <c:pt idx="5">
                  <c:v>65087.26</c:v>
                </c:pt>
                <c:pt idx="6">
                  <c:v>71581.36</c:v>
                </c:pt>
                <c:pt idx="7">
                  <c:v>66089.42</c:v>
                </c:pt>
                <c:pt idx="8">
                  <c:v>67971.709999999992</c:v>
                </c:pt>
                <c:pt idx="9">
                  <c:v>71633.320000000007</c:v>
                </c:pt>
                <c:pt idx="10">
                  <c:v>69040.27</c:v>
                </c:pt>
                <c:pt idx="11">
                  <c:v>68611.69</c:v>
                </c:pt>
              </c:numCache>
            </c:numRef>
          </c:val>
          <c:smooth val="0"/>
          <c:extLst>
            <c:ext xmlns:c16="http://schemas.microsoft.com/office/drawing/2014/chart" uri="{C3380CC4-5D6E-409C-BE32-E72D297353CC}">
              <c16:uniqueId val="{00000001-4B3B-4657-80EE-08664D522B50}"/>
            </c:ext>
          </c:extLst>
        </c:ser>
        <c:dLbls>
          <c:showLegendKey val="0"/>
          <c:showVal val="0"/>
          <c:showCatName val="0"/>
          <c:showSerName val="0"/>
          <c:showPercent val="0"/>
          <c:showBubbleSize val="0"/>
        </c:dLbls>
        <c:marker val="1"/>
        <c:smooth val="0"/>
        <c:axId val="601503544"/>
        <c:axId val="601498448"/>
      </c:lineChart>
      <c:lineChart>
        <c:grouping val="standard"/>
        <c:varyColors val="0"/>
        <c:ser>
          <c:idx val="5"/>
          <c:order val="2"/>
          <c:tx>
            <c:strRef>
              <c:f>Exchange_Wise!$N$2</c:f>
              <c:strCache>
                <c:ptCount val="1"/>
                <c:pt idx="0">
                  <c:v>NSE (RHS)</c:v>
                </c:pt>
              </c:strCache>
            </c:strRef>
          </c:tx>
          <c:spPr>
            <a:ln w="28575" cap="rnd">
              <a:solidFill>
                <a:schemeClr val="accent6"/>
              </a:solidFill>
              <a:round/>
            </a:ln>
            <a:effectLst/>
          </c:spPr>
          <c:marker>
            <c:symbol val="circle"/>
            <c:size val="5"/>
            <c:spPr>
              <a:solidFill>
                <a:srgbClr val="C00000"/>
              </a:solidFill>
              <a:ln w="9525">
                <a:solidFill>
                  <a:schemeClr val="accent6"/>
                </a:solidFill>
              </a:ln>
              <a:effectLst/>
            </c:spPr>
          </c:marker>
          <c:cat>
            <c:numRef>
              <c:f>Exchange_Wise!$A$8:$A$19</c:f>
              <c:numCache>
                <c:formatCode>[$-409]mmm\-yy;@</c:formatCode>
                <c:ptCount val="12"/>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numCache>
            </c:numRef>
          </c:cat>
          <c:val>
            <c:numRef>
              <c:f>Exchange_Wise!$N$8:$N$19</c:f>
              <c:numCache>
                <c:formatCode>#,##0</c:formatCode>
                <c:ptCount val="12"/>
                <c:pt idx="0">
                  <c:v>1734.4075534999997</c:v>
                </c:pt>
                <c:pt idx="1">
                  <c:v>1856.5995699999994</c:v>
                </c:pt>
                <c:pt idx="2">
                  <c:v>2633.3125410000002</c:v>
                </c:pt>
                <c:pt idx="3">
                  <c:v>1537.8181204999996</c:v>
                </c:pt>
                <c:pt idx="4">
                  <c:v>1913.7781235000002</c:v>
                </c:pt>
                <c:pt idx="5">
                  <c:v>1103.8054694999996</c:v>
                </c:pt>
                <c:pt idx="6">
                  <c:v>1206.0163299999995</c:v>
                </c:pt>
                <c:pt idx="7">
                  <c:v>950.66633899999977</c:v>
                </c:pt>
                <c:pt idx="8">
                  <c:v>846.21426750000001</c:v>
                </c:pt>
                <c:pt idx="9">
                  <c:v>699.27089999999998</c:v>
                </c:pt>
                <c:pt idx="10">
                  <c:v>894.56880599999931</c:v>
                </c:pt>
                <c:pt idx="11">
                  <c:v>1461.2396724999994</c:v>
                </c:pt>
              </c:numCache>
            </c:numRef>
          </c:val>
          <c:smooth val="0"/>
          <c:extLst>
            <c:ext xmlns:c16="http://schemas.microsoft.com/office/drawing/2014/chart" uri="{C3380CC4-5D6E-409C-BE32-E72D297353CC}">
              <c16:uniqueId val="{00000002-4B3B-4657-80EE-08664D522B50}"/>
            </c:ext>
          </c:extLst>
        </c:ser>
        <c:dLbls>
          <c:showLegendKey val="0"/>
          <c:showVal val="0"/>
          <c:showCatName val="0"/>
          <c:showSerName val="0"/>
          <c:showPercent val="0"/>
          <c:showBubbleSize val="0"/>
        </c:dLbls>
        <c:marker val="1"/>
        <c:smooth val="0"/>
        <c:axId val="601500016"/>
        <c:axId val="601498056"/>
      </c:lineChart>
      <c:dateAx>
        <c:axId val="601503544"/>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01498448"/>
        <c:crosses val="autoZero"/>
        <c:auto val="1"/>
        <c:lblOffset val="100"/>
        <c:baseTimeUnit val="months"/>
      </c:dateAx>
      <c:valAx>
        <c:axId val="601498448"/>
        <c:scaling>
          <c:orientation val="minMax"/>
          <c:max val="15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baseline="0"/>
                  <a:t> </a:t>
                </a:r>
                <a:r>
                  <a:rPr lang="en-IN"/>
                  <a:t> crore</a:t>
                </a:r>
              </a:p>
            </c:rich>
          </c:tx>
          <c:layout>
            <c:manualLayout>
              <c:xMode val="edge"/>
              <c:yMode val="edge"/>
              <c:x val="0"/>
              <c:y val="0.22968082510812909"/>
            </c:manualLayout>
          </c:layout>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01503544"/>
        <c:crosses val="autoZero"/>
        <c:crossBetween val="between"/>
        <c:majorUnit val="10000"/>
        <c:minorUnit val="5000"/>
        <c:dispUnits>
          <c:builtInUnit val="thousands"/>
          <c:dispUnitsLbl>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dispUnitsLbl>
        </c:dispUnits>
      </c:valAx>
      <c:valAx>
        <c:axId val="601498056"/>
        <c:scaling>
          <c:orientation val="minMax"/>
          <c:max val="5000"/>
        </c:scaling>
        <c:delete val="0"/>
        <c:axPos val="r"/>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50" b="0" i="0" u="none" strike="noStrike" kern="1200" baseline="0">
                    <a:solidFill>
                      <a:sysClr val="windowText" lastClr="000000"/>
                    </a:solidFill>
                    <a:latin typeface="Palatino Linotype" panose="02040502050505030304" pitchFamily="18" charset="0"/>
                    <a:ea typeface="+mn-ea"/>
                    <a:cs typeface="+mn-cs"/>
                  </a:defRPr>
                </a:pPr>
                <a:r>
                  <a:rPr lang="en-US" sz="1050" b="0" i="0" baseline="0">
                    <a:effectLst/>
                  </a:rPr>
                  <a:t>₹</a:t>
                </a:r>
                <a:r>
                  <a:rPr lang="en-IN" sz="1050" b="0" i="0" baseline="0">
                    <a:effectLst/>
                  </a:rPr>
                  <a:t>  crore</a:t>
                </a:r>
                <a:endParaRPr lang="en-IN" sz="1050">
                  <a:effectLst/>
                </a:endParaRPr>
              </a:p>
            </c:rich>
          </c:tx>
          <c:layout>
            <c:manualLayout>
              <c:xMode val="edge"/>
              <c:yMode val="edge"/>
              <c:x val="0.95986911300689493"/>
              <c:y val="0.20922997301393667"/>
            </c:manualLayout>
          </c:layout>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5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01500016"/>
        <c:crosses val="max"/>
        <c:crossBetween val="between"/>
        <c:majorUnit val="1000"/>
        <c:dispUnits>
          <c:builtInUnit val="thousands"/>
          <c:dispUnitsLbl>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dispUnitsLbl>
        </c:dispUnits>
      </c:valAx>
      <c:dateAx>
        <c:axId val="601500016"/>
        <c:scaling>
          <c:orientation val="minMax"/>
        </c:scaling>
        <c:delete val="1"/>
        <c:axPos val="b"/>
        <c:numFmt formatCode="[$-409]mmm\-yy;@" sourceLinked="1"/>
        <c:majorTickMark val="out"/>
        <c:minorTickMark val="none"/>
        <c:tickLblPos val="nextTo"/>
        <c:crossAx val="601498056"/>
        <c:crosses val="autoZero"/>
        <c:auto val="1"/>
        <c:lblOffset val="100"/>
        <c:baseTimeUnit val="months"/>
      </c:dateAx>
      <c:spPr>
        <a:noFill/>
        <a:ln>
          <a:noFill/>
        </a:ln>
        <a:effectLst/>
      </c:spPr>
    </c:plotArea>
    <c:legend>
      <c:legendPos val="b"/>
      <c:layout>
        <c:manualLayout>
          <c:xMode val="edge"/>
          <c:yMode val="edge"/>
          <c:x val="0.20116063823162392"/>
          <c:y val="0.92796071281948211"/>
          <c:w val="0.46636854994067484"/>
          <c:h val="6.7557823833982789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'[2021 09 GMR NEW.XLSX]MSCI Chart'!$H$7</c:f>
              <c:strCache>
                <c:ptCount val="1"/>
                <c:pt idx="0">
                  <c:v>MSCI World</c:v>
                </c:pt>
              </c:strCache>
            </c:strRef>
          </c:tx>
          <c:spPr>
            <a:ln w="28575" cap="rnd">
              <a:solidFill>
                <a:schemeClr val="accent6"/>
              </a:solidFill>
              <a:round/>
            </a:ln>
            <a:effectLst/>
          </c:spPr>
          <c:marker>
            <c:symbol val="none"/>
          </c:marker>
          <c:cat>
            <c:numRef>
              <c:f>'[2021 09 GMR NEW.XLSX]MSCI Chart'!$G$8:$G$290</c:f>
              <c:numCache>
                <c:formatCode>m/d/yyyy</c:formatCode>
                <c:ptCount val="283"/>
                <c:pt idx="0">
                  <c:v>44043</c:v>
                </c:pt>
                <c:pt idx="1">
                  <c:v>44046</c:v>
                </c:pt>
                <c:pt idx="2">
                  <c:v>44047</c:v>
                </c:pt>
                <c:pt idx="3">
                  <c:v>44048</c:v>
                </c:pt>
                <c:pt idx="4">
                  <c:v>44049</c:v>
                </c:pt>
                <c:pt idx="5">
                  <c:v>44050</c:v>
                </c:pt>
                <c:pt idx="6">
                  <c:v>44053</c:v>
                </c:pt>
                <c:pt idx="7">
                  <c:v>44054</c:v>
                </c:pt>
                <c:pt idx="8">
                  <c:v>44055</c:v>
                </c:pt>
                <c:pt idx="9">
                  <c:v>44056</c:v>
                </c:pt>
                <c:pt idx="10">
                  <c:v>44057</c:v>
                </c:pt>
                <c:pt idx="11">
                  <c:v>44060</c:v>
                </c:pt>
                <c:pt idx="12">
                  <c:v>44061</c:v>
                </c:pt>
                <c:pt idx="13">
                  <c:v>44062</c:v>
                </c:pt>
                <c:pt idx="14">
                  <c:v>44063</c:v>
                </c:pt>
                <c:pt idx="15">
                  <c:v>44064</c:v>
                </c:pt>
                <c:pt idx="16">
                  <c:v>44067</c:v>
                </c:pt>
                <c:pt idx="17">
                  <c:v>44068</c:v>
                </c:pt>
                <c:pt idx="18">
                  <c:v>44069</c:v>
                </c:pt>
                <c:pt idx="19">
                  <c:v>44070</c:v>
                </c:pt>
                <c:pt idx="20">
                  <c:v>44071</c:v>
                </c:pt>
                <c:pt idx="21">
                  <c:v>44074</c:v>
                </c:pt>
                <c:pt idx="22">
                  <c:v>44075</c:v>
                </c:pt>
                <c:pt idx="23">
                  <c:v>44076</c:v>
                </c:pt>
                <c:pt idx="24">
                  <c:v>44077</c:v>
                </c:pt>
                <c:pt idx="25">
                  <c:v>44078</c:v>
                </c:pt>
                <c:pt idx="26">
                  <c:v>44081</c:v>
                </c:pt>
                <c:pt idx="27">
                  <c:v>44082</c:v>
                </c:pt>
                <c:pt idx="28">
                  <c:v>44083</c:v>
                </c:pt>
                <c:pt idx="29">
                  <c:v>44084</c:v>
                </c:pt>
                <c:pt idx="30">
                  <c:v>44085</c:v>
                </c:pt>
                <c:pt idx="31">
                  <c:v>44088</c:v>
                </c:pt>
                <c:pt idx="32">
                  <c:v>44089</c:v>
                </c:pt>
                <c:pt idx="33">
                  <c:v>44090</c:v>
                </c:pt>
                <c:pt idx="34">
                  <c:v>44091</c:v>
                </c:pt>
                <c:pt idx="35">
                  <c:v>44092</c:v>
                </c:pt>
                <c:pt idx="36">
                  <c:v>44095</c:v>
                </c:pt>
                <c:pt idx="37">
                  <c:v>44096</c:v>
                </c:pt>
                <c:pt idx="38">
                  <c:v>44097</c:v>
                </c:pt>
                <c:pt idx="39">
                  <c:v>44098</c:v>
                </c:pt>
                <c:pt idx="40">
                  <c:v>44099</c:v>
                </c:pt>
                <c:pt idx="41">
                  <c:v>44102</c:v>
                </c:pt>
                <c:pt idx="42">
                  <c:v>44103</c:v>
                </c:pt>
                <c:pt idx="43">
                  <c:v>44104</c:v>
                </c:pt>
                <c:pt idx="44">
                  <c:v>44105</c:v>
                </c:pt>
                <c:pt idx="45">
                  <c:v>44106</c:v>
                </c:pt>
                <c:pt idx="46">
                  <c:v>44109</c:v>
                </c:pt>
                <c:pt idx="47">
                  <c:v>44110</c:v>
                </c:pt>
                <c:pt idx="48">
                  <c:v>44111</c:v>
                </c:pt>
                <c:pt idx="49">
                  <c:v>44112</c:v>
                </c:pt>
                <c:pt idx="50">
                  <c:v>44113</c:v>
                </c:pt>
                <c:pt idx="51">
                  <c:v>44116</c:v>
                </c:pt>
                <c:pt idx="52">
                  <c:v>44117</c:v>
                </c:pt>
                <c:pt idx="53">
                  <c:v>44118</c:v>
                </c:pt>
                <c:pt idx="54">
                  <c:v>44119</c:v>
                </c:pt>
                <c:pt idx="55">
                  <c:v>44120</c:v>
                </c:pt>
                <c:pt idx="56">
                  <c:v>44123</c:v>
                </c:pt>
                <c:pt idx="57">
                  <c:v>44124</c:v>
                </c:pt>
                <c:pt idx="58">
                  <c:v>44125</c:v>
                </c:pt>
                <c:pt idx="59">
                  <c:v>44126</c:v>
                </c:pt>
                <c:pt idx="60">
                  <c:v>44127</c:v>
                </c:pt>
                <c:pt idx="61">
                  <c:v>44130</c:v>
                </c:pt>
                <c:pt idx="62">
                  <c:v>44131</c:v>
                </c:pt>
                <c:pt idx="63">
                  <c:v>44132</c:v>
                </c:pt>
                <c:pt idx="64">
                  <c:v>44133</c:v>
                </c:pt>
                <c:pt idx="65">
                  <c:v>44134</c:v>
                </c:pt>
                <c:pt idx="66">
                  <c:v>44137</c:v>
                </c:pt>
                <c:pt idx="67">
                  <c:v>44138</c:v>
                </c:pt>
                <c:pt idx="68">
                  <c:v>44139</c:v>
                </c:pt>
                <c:pt idx="69">
                  <c:v>44140</c:v>
                </c:pt>
                <c:pt idx="70">
                  <c:v>44141</c:v>
                </c:pt>
                <c:pt idx="71">
                  <c:v>44144</c:v>
                </c:pt>
                <c:pt idx="72">
                  <c:v>44145</c:v>
                </c:pt>
                <c:pt idx="73">
                  <c:v>44146</c:v>
                </c:pt>
                <c:pt idx="74">
                  <c:v>44147</c:v>
                </c:pt>
                <c:pt idx="75">
                  <c:v>44148</c:v>
                </c:pt>
                <c:pt idx="76">
                  <c:v>44151</c:v>
                </c:pt>
                <c:pt idx="77">
                  <c:v>44152</c:v>
                </c:pt>
                <c:pt idx="78">
                  <c:v>44153</c:v>
                </c:pt>
                <c:pt idx="79">
                  <c:v>44154</c:v>
                </c:pt>
                <c:pt idx="80">
                  <c:v>44155</c:v>
                </c:pt>
                <c:pt idx="81">
                  <c:v>44158</c:v>
                </c:pt>
                <c:pt idx="82">
                  <c:v>44159</c:v>
                </c:pt>
                <c:pt idx="83">
                  <c:v>44160</c:v>
                </c:pt>
                <c:pt idx="84">
                  <c:v>44161</c:v>
                </c:pt>
                <c:pt idx="85">
                  <c:v>44162</c:v>
                </c:pt>
                <c:pt idx="86">
                  <c:v>44165</c:v>
                </c:pt>
                <c:pt idx="87">
                  <c:v>44166</c:v>
                </c:pt>
                <c:pt idx="88">
                  <c:v>44167</c:v>
                </c:pt>
                <c:pt idx="89">
                  <c:v>44168</c:v>
                </c:pt>
                <c:pt idx="90">
                  <c:v>44169</c:v>
                </c:pt>
                <c:pt idx="91">
                  <c:v>44172</c:v>
                </c:pt>
                <c:pt idx="92">
                  <c:v>44173</c:v>
                </c:pt>
                <c:pt idx="93">
                  <c:v>44174</c:v>
                </c:pt>
                <c:pt idx="94">
                  <c:v>44175</c:v>
                </c:pt>
                <c:pt idx="95">
                  <c:v>44176</c:v>
                </c:pt>
                <c:pt idx="96">
                  <c:v>44179</c:v>
                </c:pt>
                <c:pt idx="97">
                  <c:v>44180</c:v>
                </c:pt>
                <c:pt idx="98">
                  <c:v>44181</c:v>
                </c:pt>
                <c:pt idx="99">
                  <c:v>44182</c:v>
                </c:pt>
                <c:pt idx="100">
                  <c:v>44183</c:v>
                </c:pt>
                <c:pt idx="101">
                  <c:v>44186</c:v>
                </c:pt>
                <c:pt idx="102">
                  <c:v>44187</c:v>
                </c:pt>
                <c:pt idx="103">
                  <c:v>44188</c:v>
                </c:pt>
                <c:pt idx="104">
                  <c:v>44189</c:v>
                </c:pt>
                <c:pt idx="105">
                  <c:v>44190</c:v>
                </c:pt>
                <c:pt idx="106">
                  <c:v>44193</c:v>
                </c:pt>
                <c:pt idx="107">
                  <c:v>44194</c:v>
                </c:pt>
                <c:pt idx="108">
                  <c:v>44195</c:v>
                </c:pt>
                <c:pt idx="109">
                  <c:v>44196</c:v>
                </c:pt>
                <c:pt idx="110">
                  <c:v>44197</c:v>
                </c:pt>
                <c:pt idx="111">
                  <c:v>44200</c:v>
                </c:pt>
                <c:pt idx="112">
                  <c:v>44201</c:v>
                </c:pt>
                <c:pt idx="113">
                  <c:v>44202</c:v>
                </c:pt>
                <c:pt idx="114">
                  <c:v>44203</c:v>
                </c:pt>
                <c:pt idx="115">
                  <c:v>44204</c:v>
                </c:pt>
                <c:pt idx="116">
                  <c:v>44207</c:v>
                </c:pt>
                <c:pt idx="117">
                  <c:v>44208</c:v>
                </c:pt>
                <c:pt idx="118">
                  <c:v>44209</c:v>
                </c:pt>
                <c:pt idx="119">
                  <c:v>44210</c:v>
                </c:pt>
                <c:pt idx="120">
                  <c:v>44211</c:v>
                </c:pt>
                <c:pt idx="121">
                  <c:v>44214</c:v>
                </c:pt>
                <c:pt idx="122">
                  <c:v>44215</c:v>
                </c:pt>
                <c:pt idx="123">
                  <c:v>44216</c:v>
                </c:pt>
                <c:pt idx="124">
                  <c:v>44217</c:v>
                </c:pt>
                <c:pt idx="125">
                  <c:v>44218</c:v>
                </c:pt>
                <c:pt idx="126">
                  <c:v>44221</c:v>
                </c:pt>
                <c:pt idx="127">
                  <c:v>44222</c:v>
                </c:pt>
                <c:pt idx="128">
                  <c:v>44223</c:v>
                </c:pt>
                <c:pt idx="129">
                  <c:v>44224</c:v>
                </c:pt>
                <c:pt idx="130">
                  <c:v>44225</c:v>
                </c:pt>
                <c:pt idx="131">
                  <c:v>44228</c:v>
                </c:pt>
                <c:pt idx="132">
                  <c:v>44229</c:v>
                </c:pt>
                <c:pt idx="133">
                  <c:v>44230</c:v>
                </c:pt>
                <c:pt idx="134">
                  <c:v>44231</c:v>
                </c:pt>
                <c:pt idx="135">
                  <c:v>44232</c:v>
                </c:pt>
                <c:pt idx="136">
                  <c:v>44235</c:v>
                </c:pt>
                <c:pt idx="137">
                  <c:v>44236</c:v>
                </c:pt>
                <c:pt idx="138">
                  <c:v>44237</c:v>
                </c:pt>
                <c:pt idx="139">
                  <c:v>44238</c:v>
                </c:pt>
                <c:pt idx="140">
                  <c:v>44239</c:v>
                </c:pt>
                <c:pt idx="141">
                  <c:v>44242</c:v>
                </c:pt>
                <c:pt idx="142">
                  <c:v>44243</c:v>
                </c:pt>
                <c:pt idx="143">
                  <c:v>44244</c:v>
                </c:pt>
                <c:pt idx="144">
                  <c:v>44245</c:v>
                </c:pt>
                <c:pt idx="145">
                  <c:v>44246</c:v>
                </c:pt>
                <c:pt idx="146">
                  <c:v>44249</c:v>
                </c:pt>
                <c:pt idx="147">
                  <c:v>44250</c:v>
                </c:pt>
                <c:pt idx="148">
                  <c:v>44251</c:v>
                </c:pt>
                <c:pt idx="149">
                  <c:v>44252</c:v>
                </c:pt>
                <c:pt idx="150">
                  <c:v>44253</c:v>
                </c:pt>
                <c:pt idx="151">
                  <c:v>44256</c:v>
                </c:pt>
                <c:pt idx="152">
                  <c:v>44257</c:v>
                </c:pt>
                <c:pt idx="153">
                  <c:v>44258</c:v>
                </c:pt>
                <c:pt idx="154">
                  <c:v>44259</c:v>
                </c:pt>
                <c:pt idx="155">
                  <c:v>44260</c:v>
                </c:pt>
                <c:pt idx="156">
                  <c:v>44263</c:v>
                </c:pt>
                <c:pt idx="157">
                  <c:v>44264</c:v>
                </c:pt>
                <c:pt idx="158">
                  <c:v>44265</c:v>
                </c:pt>
                <c:pt idx="159">
                  <c:v>44266</c:v>
                </c:pt>
                <c:pt idx="160">
                  <c:v>44267</c:v>
                </c:pt>
                <c:pt idx="161">
                  <c:v>44270</c:v>
                </c:pt>
                <c:pt idx="162">
                  <c:v>44271</c:v>
                </c:pt>
                <c:pt idx="163">
                  <c:v>44272</c:v>
                </c:pt>
                <c:pt idx="164">
                  <c:v>44273</c:v>
                </c:pt>
                <c:pt idx="165">
                  <c:v>44274</c:v>
                </c:pt>
                <c:pt idx="166">
                  <c:v>44277</c:v>
                </c:pt>
                <c:pt idx="167">
                  <c:v>44278</c:v>
                </c:pt>
                <c:pt idx="168">
                  <c:v>44279</c:v>
                </c:pt>
                <c:pt idx="169">
                  <c:v>44280</c:v>
                </c:pt>
                <c:pt idx="170">
                  <c:v>44281</c:v>
                </c:pt>
                <c:pt idx="171">
                  <c:v>44284</c:v>
                </c:pt>
                <c:pt idx="172">
                  <c:v>44285</c:v>
                </c:pt>
                <c:pt idx="173">
                  <c:v>44286</c:v>
                </c:pt>
                <c:pt idx="174">
                  <c:v>44287</c:v>
                </c:pt>
                <c:pt idx="175">
                  <c:v>44288</c:v>
                </c:pt>
                <c:pt idx="176">
                  <c:v>44291</c:v>
                </c:pt>
                <c:pt idx="177">
                  <c:v>44292</c:v>
                </c:pt>
                <c:pt idx="178">
                  <c:v>44293</c:v>
                </c:pt>
                <c:pt idx="179">
                  <c:v>44294</c:v>
                </c:pt>
                <c:pt idx="180">
                  <c:v>44295</c:v>
                </c:pt>
                <c:pt idx="181">
                  <c:v>44298</c:v>
                </c:pt>
                <c:pt idx="182">
                  <c:v>44299</c:v>
                </c:pt>
                <c:pt idx="183">
                  <c:v>44300</c:v>
                </c:pt>
                <c:pt idx="184">
                  <c:v>44301</c:v>
                </c:pt>
                <c:pt idx="185">
                  <c:v>44302</c:v>
                </c:pt>
                <c:pt idx="186">
                  <c:v>44305</c:v>
                </c:pt>
                <c:pt idx="187">
                  <c:v>44306</c:v>
                </c:pt>
                <c:pt idx="188">
                  <c:v>44307</c:v>
                </c:pt>
                <c:pt idx="189">
                  <c:v>44308</c:v>
                </c:pt>
                <c:pt idx="190">
                  <c:v>44309</c:v>
                </c:pt>
                <c:pt idx="191">
                  <c:v>44312</c:v>
                </c:pt>
                <c:pt idx="192">
                  <c:v>44313</c:v>
                </c:pt>
                <c:pt idx="193">
                  <c:v>44314</c:v>
                </c:pt>
                <c:pt idx="194">
                  <c:v>44315</c:v>
                </c:pt>
                <c:pt idx="195">
                  <c:v>44316</c:v>
                </c:pt>
                <c:pt idx="196">
                  <c:v>44319</c:v>
                </c:pt>
                <c:pt idx="197">
                  <c:v>44320</c:v>
                </c:pt>
                <c:pt idx="198">
                  <c:v>44321</c:v>
                </c:pt>
                <c:pt idx="199">
                  <c:v>44322</c:v>
                </c:pt>
                <c:pt idx="200">
                  <c:v>44323</c:v>
                </c:pt>
                <c:pt idx="201">
                  <c:v>44326</c:v>
                </c:pt>
                <c:pt idx="202">
                  <c:v>44327</c:v>
                </c:pt>
                <c:pt idx="203">
                  <c:v>44328</c:v>
                </c:pt>
                <c:pt idx="204">
                  <c:v>44329</c:v>
                </c:pt>
                <c:pt idx="205">
                  <c:v>44330</c:v>
                </c:pt>
                <c:pt idx="206">
                  <c:v>44333</c:v>
                </c:pt>
                <c:pt idx="207">
                  <c:v>44334</c:v>
                </c:pt>
                <c:pt idx="208">
                  <c:v>44335</c:v>
                </c:pt>
                <c:pt idx="209">
                  <c:v>44336</c:v>
                </c:pt>
                <c:pt idx="210">
                  <c:v>44337</c:v>
                </c:pt>
                <c:pt idx="211">
                  <c:v>44340</c:v>
                </c:pt>
                <c:pt idx="212">
                  <c:v>44341</c:v>
                </c:pt>
                <c:pt idx="213">
                  <c:v>44342</c:v>
                </c:pt>
                <c:pt idx="214">
                  <c:v>44343</c:v>
                </c:pt>
                <c:pt idx="215">
                  <c:v>44344</c:v>
                </c:pt>
                <c:pt idx="216">
                  <c:v>44347</c:v>
                </c:pt>
                <c:pt idx="217">
                  <c:v>44348</c:v>
                </c:pt>
                <c:pt idx="218">
                  <c:v>44349</c:v>
                </c:pt>
                <c:pt idx="219">
                  <c:v>44350</c:v>
                </c:pt>
                <c:pt idx="220">
                  <c:v>44351</c:v>
                </c:pt>
                <c:pt idx="221">
                  <c:v>44354</c:v>
                </c:pt>
                <c:pt idx="222">
                  <c:v>44355</c:v>
                </c:pt>
                <c:pt idx="223">
                  <c:v>44356</c:v>
                </c:pt>
                <c:pt idx="224">
                  <c:v>44357</c:v>
                </c:pt>
                <c:pt idx="225">
                  <c:v>44358</c:v>
                </c:pt>
                <c:pt idx="226">
                  <c:v>44361</c:v>
                </c:pt>
                <c:pt idx="227">
                  <c:v>44362</c:v>
                </c:pt>
                <c:pt idx="228">
                  <c:v>44363</c:v>
                </c:pt>
                <c:pt idx="229">
                  <c:v>44364</c:v>
                </c:pt>
                <c:pt idx="230">
                  <c:v>44365</c:v>
                </c:pt>
                <c:pt idx="231">
                  <c:v>44368</c:v>
                </c:pt>
                <c:pt idx="232">
                  <c:v>44369</c:v>
                </c:pt>
                <c:pt idx="233">
                  <c:v>44370</c:v>
                </c:pt>
                <c:pt idx="234">
                  <c:v>44371</c:v>
                </c:pt>
                <c:pt idx="235">
                  <c:v>44372</c:v>
                </c:pt>
                <c:pt idx="236">
                  <c:v>44375</c:v>
                </c:pt>
                <c:pt idx="237">
                  <c:v>44376</c:v>
                </c:pt>
                <c:pt idx="238">
                  <c:v>44377</c:v>
                </c:pt>
                <c:pt idx="239">
                  <c:v>44378</c:v>
                </c:pt>
                <c:pt idx="240">
                  <c:v>44379</c:v>
                </c:pt>
                <c:pt idx="241">
                  <c:v>44382</c:v>
                </c:pt>
                <c:pt idx="242">
                  <c:v>44383</c:v>
                </c:pt>
                <c:pt idx="243">
                  <c:v>44384</c:v>
                </c:pt>
                <c:pt idx="244">
                  <c:v>44385</c:v>
                </c:pt>
                <c:pt idx="245">
                  <c:v>44386</c:v>
                </c:pt>
                <c:pt idx="246">
                  <c:v>44389</c:v>
                </c:pt>
                <c:pt idx="247">
                  <c:v>44390</c:v>
                </c:pt>
                <c:pt idx="248">
                  <c:v>44391</c:v>
                </c:pt>
                <c:pt idx="249">
                  <c:v>44392</c:v>
                </c:pt>
                <c:pt idx="250">
                  <c:v>44393</c:v>
                </c:pt>
                <c:pt idx="251">
                  <c:v>44396</c:v>
                </c:pt>
                <c:pt idx="252">
                  <c:v>44397</c:v>
                </c:pt>
                <c:pt idx="253">
                  <c:v>44398</c:v>
                </c:pt>
                <c:pt idx="254">
                  <c:v>44399</c:v>
                </c:pt>
                <c:pt idx="255">
                  <c:v>44400</c:v>
                </c:pt>
                <c:pt idx="256">
                  <c:v>44403</c:v>
                </c:pt>
                <c:pt idx="257">
                  <c:v>44404</c:v>
                </c:pt>
                <c:pt idx="258">
                  <c:v>44405</c:v>
                </c:pt>
                <c:pt idx="259">
                  <c:v>44406</c:v>
                </c:pt>
                <c:pt idx="260">
                  <c:v>44407</c:v>
                </c:pt>
                <c:pt idx="261">
                  <c:v>44410</c:v>
                </c:pt>
                <c:pt idx="262">
                  <c:v>44411</c:v>
                </c:pt>
                <c:pt idx="263">
                  <c:v>44412</c:v>
                </c:pt>
                <c:pt idx="264">
                  <c:v>44413</c:v>
                </c:pt>
                <c:pt idx="265">
                  <c:v>44414</c:v>
                </c:pt>
                <c:pt idx="266">
                  <c:v>44417</c:v>
                </c:pt>
                <c:pt idx="267">
                  <c:v>44418</c:v>
                </c:pt>
                <c:pt idx="268">
                  <c:v>44419</c:v>
                </c:pt>
                <c:pt idx="269">
                  <c:v>44420</c:v>
                </c:pt>
                <c:pt idx="270">
                  <c:v>44421</c:v>
                </c:pt>
                <c:pt idx="271">
                  <c:v>44424</c:v>
                </c:pt>
                <c:pt idx="272">
                  <c:v>44425</c:v>
                </c:pt>
                <c:pt idx="273">
                  <c:v>44426</c:v>
                </c:pt>
                <c:pt idx="274">
                  <c:v>44427</c:v>
                </c:pt>
                <c:pt idx="275">
                  <c:v>44428</c:v>
                </c:pt>
                <c:pt idx="276">
                  <c:v>44431</c:v>
                </c:pt>
                <c:pt idx="277">
                  <c:v>44432</c:v>
                </c:pt>
                <c:pt idx="278">
                  <c:v>44433</c:v>
                </c:pt>
                <c:pt idx="279">
                  <c:v>44434</c:v>
                </c:pt>
                <c:pt idx="280">
                  <c:v>44435</c:v>
                </c:pt>
                <c:pt idx="281">
                  <c:v>44438</c:v>
                </c:pt>
                <c:pt idx="282">
                  <c:v>44439</c:v>
                </c:pt>
              </c:numCache>
            </c:numRef>
          </c:cat>
          <c:val>
            <c:numRef>
              <c:f>'[2021 09 GMR NEW.XLSX]MSCI Chart'!$H$8:$H$290</c:f>
              <c:numCache>
                <c:formatCode>0</c:formatCode>
                <c:ptCount val="283"/>
                <c:pt idx="0" formatCode="0.0">
                  <c:v>100</c:v>
                </c:pt>
                <c:pt idx="1">
                  <c:v>100.82863987658037</c:v>
                </c:pt>
                <c:pt idx="2">
                  <c:v>101.38144245811897</c:v>
                </c:pt>
                <c:pt idx="3">
                  <c:v>102.21073309900032</c:v>
                </c:pt>
                <c:pt idx="4">
                  <c:v>102.38214441587827</c:v>
                </c:pt>
                <c:pt idx="5">
                  <c:v>102.2122081647492</c:v>
                </c:pt>
                <c:pt idx="6">
                  <c:v>102.42461763258886</c:v>
                </c:pt>
                <c:pt idx="7">
                  <c:v>102.36374947830392</c:v>
                </c:pt>
                <c:pt idx="8">
                  <c:v>103.76632008406138</c:v>
                </c:pt>
                <c:pt idx="9">
                  <c:v>103.69213295374973</c:v>
                </c:pt>
                <c:pt idx="10">
                  <c:v>103.43677304204543</c:v>
                </c:pt>
                <c:pt idx="11">
                  <c:v>103.86076767627685</c:v>
                </c:pt>
                <c:pt idx="12">
                  <c:v>104.09478251890903</c:v>
                </c:pt>
                <c:pt idx="13">
                  <c:v>103.8822862824959</c:v>
                </c:pt>
                <c:pt idx="14">
                  <c:v>103.65156864565536</c:v>
                </c:pt>
                <c:pt idx="15">
                  <c:v>103.77989936580849</c:v>
                </c:pt>
                <c:pt idx="16">
                  <c:v>104.8621637826239</c:v>
                </c:pt>
                <c:pt idx="17">
                  <c:v>105.11791415290878</c:v>
                </c:pt>
                <c:pt idx="18">
                  <c:v>106.12013456070373</c:v>
                </c:pt>
                <c:pt idx="19">
                  <c:v>105.97852824881062</c:v>
                </c:pt>
                <c:pt idx="20">
                  <c:v>106.58890177884251</c:v>
                </c:pt>
                <c:pt idx="21">
                  <c:v>106.53063668176151</c:v>
                </c:pt>
                <c:pt idx="22">
                  <c:v>107.03983805513447</c:v>
                </c:pt>
                <c:pt idx="23">
                  <c:v>108.20479292246098</c:v>
                </c:pt>
                <c:pt idx="24">
                  <c:v>105.24086522150712</c:v>
                </c:pt>
                <c:pt idx="25">
                  <c:v>104.10497782629103</c:v>
                </c:pt>
                <c:pt idx="26">
                  <c:v>104.10497782629103</c:v>
                </c:pt>
                <c:pt idx="27">
                  <c:v>102.14439852458715</c:v>
                </c:pt>
                <c:pt idx="28">
                  <c:v>103.85117974890908</c:v>
                </c:pt>
                <c:pt idx="29">
                  <c:v>102.72531412392806</c:v>
                </c:pt>
                <c:pt idx="30">
                  <c:v>102.74019493427711</c:v>
                </c:pt>
                <c:pt idx="31">
                  <c:v>103.96497673300698</c:v>
                </c:pt>
                <c:pt idx="32">
                  <c:v>104.46827784338441</c:v>
                </c:pt>
                <c:pt idx="33">
                  <c:v>104.27413316025891</c:v>
                </c:pt>
                <c:pt idx="34">
                  <c:v>103.40809602851559</c:v>
                </c:pt>
                <c:pt idx="35">
                  <c:v>102.73368729126732</c:v>
                </c:pt>
                <c:pt idx="36">
                  <c:v>101.06343563637371</c:v>
                </c:pt>
                <c:pt idx="37">
                  <c:v>101.66621691622753</c:v>
                </c:pt>
                <c:pt idx="38">
                  <c:v>100.0255533448851</c:v>
                </c:pt>
                <c:pt idx="39">
                  <c:v>99.79674461666076</c:v>
                </c:pt>
                <c:pt idx="40">
                  <c:v>100.94885773511461</c:v>
                </c:pt>
                <c:pt idx="41">
                  <c:v>102.66483642822372</c:v>
                </c:pt>
                <c:pt idx="42">
                  <c:v>102.37103803847491</c:v>
                </c:pt>
                <c:pt idx="43">
                  <c:v>102.70232045196012</c:v>
                </c:pt>
                <c:pt idx="44">
                  <c:v>103.25551349207932</c:v>
                </c:pt>
                <c:pt idx="45">
                  <c:v>102.49129928129588</c:v>
                </c:pt>
                <c:pt idx="46">
                  <c:v>104.27413316025893</c:v>
                </c:pt>
                <c:pt idx="47">
                  <c:v>103.36610003895908</c:v>
                </c:pt>
                <c:pt idx="48">
                  <c:v>104.52988353054383</c:v>
                </c:pt>
                <c:pt idx="49">
                  <c:v>105.30919547310998</c:v>
                </c:pt>
                <c:pt idx="50">
                  <c:v>106.19410476958171</c:v>
                </c:pt>
                <c:pt idx="51">
                  <c:v>107.50261824170427</c:v>
                </c:pt>
                <c:pt idx="52">
                  <c:v>106.90664829486738</c:v>
                </c:pt>
                <c:pt idx="53">
                  <c:v>106.44820653697079</c:v>
                </c:pt>
                <c:pt idx="54">
                  <c:v>105.6810421946896</c:v>
                </c:pt>
                <c:pt idx="55">
                  <c:v>105.86355988897094</c:v>
                </c:pt>
                <c:pt idx="56">
                  <c:v>104.8898429575589</c:v>
                </c:pt>
                <c:pt idx="57">
                  <c:v>105.10741515551966</c:v>
                </c:pt>
                <c:pt idx="58">
                  <c:v>104.89600352627484</c:v>
                </c:pt>
                <c:pt idx="59">
                  <c:v>105.03340156235497</c:v>
                </c:pt>
                <c:pt idx="60">
                  <c:v>105.44728765777784</c:v>
                </c:pt>
                <c:pt idx="61">
                  <c:v>103.69178587945592</c:v>
                </c:pt>
                <c:pt idx="62">
                  <c:v>103.32631664802589</c:v>
                </c:pt>
                <c:pt idx="63">
                  <c:v>100.07227822169547</c:v>
                </c:pt>
                <c:pt idx="64">
                  <c:v>100.5837355779785</c:v>
                </c:pt>
                <c:pt idx="65">
                  <c:v>99.476915654872826</c:v>
                </c:pt>
                <c:pt idx="66">
                  <c:v>100.74434420746023</c:v>
                </c:pt>
                <c:pt idx="67">
                  <c:v>102.78926256257103</c:v>
                </c:pt>
                <c:pt idx="68">
                  <c:v>104.84303131217513</c:v>
                </c:pt>
                <c:pt idx="69">
                  <c:v>107.01085735159756</c:v>
                </c:pt>
                <c:pt idx="70">
                  <c:v>107.16127067369723</c:v>
                </c:pt>
                <c:pt idx="71">
                  <c:v>108.55021861342085</c:v>
                </c:pt>
                <c:pt idx="72">
                  <c:v>108.76878864997644</c:v>
                </c:pt>
                <c:pt idx="73">
                  <c:v>109.68627954578385</c:v>
                </c:pt>
                <c:pt idx="74">
                  <c:v>108.86150087072261</c:v>
                </c:pt>
                <c:pt idx="75">
                  <c:v>109.73148597255857</c:v>
                </c:pt>
                <c:pt idx="76">
                  <c:v>111.12867692676124</c:v>
                </c:pt>
                <c:pt idx="77">
                  <c:v>110.99561731935434</c:v>
                </c:pt>
                <c:pt idx="78">
                  <c:v>110.34190288687719</c:v>
                </c:pt>
                <c:pt idx="79">
                  <c:v>110.46975637987627</c:v>
                </c:pt>
                <c:pt idx="80">
                  <c:v>110.19708613776592</c:v>
                </c:pt>
                <c:pt idx="81">
                  <c:v>110.49543987762159</c:v>
                </c:pt>
                <c:pt idx="82">
                  <c:v>112.24347955862561</c:v>
                </c:pt>
                <c:pt idx="83">
                  <c:v>112.35098582114739</c:v>
                </c:pt>
                <c:pt idx="84">
                  <c:v>112.37176689449198</c:v>
                </c:pt>
                <c:pt idx="85">
                  <c:v>112.8620093345631</c:v>
                </c:pt>
                <c:pt idx="86">
                  <c:v>112.06781658164789</c:v>
                </c:pt>
                <c:pt idx="87">
                  <c:v>113.18986438939648</c:v>
                </c:pt>
                <c:pt idx="88">
                  <c:v>113.40275108439019</c:v>
                </c:pt>
                <c:pt idx="89">
                  <c:v>113.72218958759758</c:v>
                </c:pt>
                <c:pt idx="90">
                  <c:v>114.51959277773095</c:v>
                </c:pt>
                <c:pt idx="91">
                  <c:v>114.35577371103108</c:v>
                </c:pt>
                <c:pt idx="92">
                  <c:v>114.62349814445398</c:v>
                </c:pt>
                <c:pt idx="93">
                  <c:v>113.99342814824575</c:v>
                </c:pt>
                <c:pt idx="94">
                  <c:v>114.03928533932145</c:v>
                </c:pt>
                <c:pt idx="95">
                  <c:v>113.74900107679791</c:v>
                </c:pt>
                <c:pt idx="96">
                  <c:v>113.64210219429036</c:v>
                </c:pt>
                <c:pt idx="97">
                  <c:v>114.69664405188405</c:v>
                </c:pt>
                <c:pt idx="98">
                  <c:v>115.17625734170583</c:v>
                </c:pt>
                <c:pt idx="99">
                  <c:v>116.0472402821366</c:v>
                </c:pt>
                <c:pt idx="100">
                  <c:v>115.67574063485085</c:v>
                </c:pt>
                <c:pt idx="101">
                  <c:v>114.75026703028476</c:v>
                </c:pt>
                <c:pt idx="102">
                  <c:v>114.66783688549404</c:v>
                </c:pt>
                <c:pt idx="103">
                  <c:v>115.0297052211253</c:v>
                </c:pt>
                <c:pt idx="104">
                  <c:v>115.36055379174319</c:v>
                </c:pt>
                <c:pt idx="105">
                  <c:v>115.36055379174319</c:v>
                </c:pt>
                <c:pt idx="106">
                  <c:v>116.13110210838947</c:v>
                </c:pt>
                <c:pt idx="107">
                  <c:v>116.36468310815432</c:v>
                </c:pt>
                <c:pt idx="108">
                  <c:v>116.53262368209373</c:v>
                </c:pt>
                <c:pt idx="109">
                  <c:v>116.70564021758078</c:v>
                </c:pt>
                <c:pt idx="110">
                  <c:v>116.70564021758078</c:v>
                </c:pt>
                <c:pt idx="111">
                  <c:v>115.83791109865491</c:v>
                </c:pt>
                <c:pt idx="112">
                  <c:v>116.45114799161112</c:v>
                </c:pt>
                <c:pt idx="113">
                  <c:v>117.11640264435897</c:v>
                </c:pt>
                <c:pt idx="114">
                  <c:v>118.62092632393649</c:v>
                </c:pt>
                <c:pt idx="115">
                  <c:v>119.45026034910457</c:v>
                </c:pt>
                <c:pt idx="116">
                  <c:v>118.44127199257946</c:v>
                </c:pt>
                <c:pt idx="117">
                  <c:v>118.63003702415018</c:v>
                </c:pt>
                <c:pt idx="118">
                  <c:v>118.86730568828726</c:v>
                </c:pt>
                <c:pt idx="119">
                  <c:v>118.78990812075745</c:v>
                </c:pt>
                <c:pt idx="120">
                  <c:v>117.78018223135788</c:v>
                </c:pt>
                <c:pt idx="121">
                  <c:v>117.72261128286459</c:v>
                </c:pt>
                <c:pt idx="122">
                  <c:v>118.54673919362484</c:v>
                </c:pt>
                <c:pt idx="123">
                  <c:v>119.80501366171178</c:v>
                </c:pt>
                <c:pt idx="124">
                  <c:v>119.98210832015164</c:v>
                </c:pt>
                <c:pt idx="125">
                  <c:v>119.55247372864508</c:v>
                </c:pt>
                <c:pt idx="126">
                  <c:v>119.60470840987038</c:v>
                </c:pt>
                <c:pt idx="127">
                  <c:v>119.4854016213575</c:v>
                </c:pt>
                <c:pt idx="128">
                  <c:v>116.89562000918004</c:v>
                </c:pt>
                <c:pt idx="129">
                  <c:v>117.59757776850311</c:v>
                </c:pt>
                <c:pt idx="130">
                  <c:v>115.47556553586962</c:v>
                </c:pt>
                <c:pt idx="131">
                  <c:v>117.04546933555224</c:v>
                </c:pt>
                <c:pt idx="132">
                  <c:v>118.5237889059437</c:v>
                </c:pt>
                <c:pt idx="133">
                  <c:v>118.78322694060078</c:v>
                </c:pt>
                <c:pt idx="134">
                  <c:v>119.6391989178223</c:v>
                </c:pt>
                <c:pt idx="135">
                  <c:v>120.32415003674643</c:v>
                </c:pt>
                <c:pt idx="136">
                  <c:v>121.29778019958501</c:v>
                </c:pt>
                <c:pt idx="137">
                  <c:v>121.41318240229201</c:v>
                </c:pt>
                <c:pt idx="138">
                  <c:v>121.5056343173178</c:v>
                </c:pt>
                <c:pt idx="139">
                  <c:v>121.78654757390723</c:v>
                </c:pt>
                <c:pt idx="140">
                  <c:v>122.29362311723034</c:v>
                </c:pt>
                <c:pt idx="141">
                  <c:v>122.76325802110378</c:v>
                </c:pt>
                <c:pt idx="142">
                  <c:v>122.69740067384467</c:v>
                </c:pt>
                <c:pt idx="143">
                  <c:v>122.16915359859637</c:v>
                </c:pt>
                <c:pt idx="144">
                  <c:v>121.60272835102394</c:v>
                </c:pt>
                <c:pt idx="145">
                  <c:v>121.75674256892241</c:v>
                </c:pt>
                <c:pt idx="146">
                  <c:v>120.96007691166348</c:v>
                </c:pt>
                <c:pt idx="147">
                  <c:v>121.0080165485023</c:v>
                </c:pt>
                <c:pt idx="148">
                  <c:v>121.57990821620295</c:v>
                </c:pt>
                <c:pt idx="149">
                  <c:v>119.75199806332542</c:v>
                </c:pt>
                <c:pt idx="150">
                  <c:v>118.30504533224118</c:v>
                </c:pt>
                <c:pt idx="151">
                  <c:v>120.76888236003575</c:v>
                </c:pt>
                <c:pt idx="152">
                  <c:v>120.09842159288007</c:v>
                </c:pt>
                <c:pt idx="153">
                  <c:v>118.94600478441912</c:v>
                </c:pt>
                <c:pt idx="154">
                  <c:v>117.41853081716037</c:v>
                </c:pt>
                <c:pt idx="155">
                  <c:v>118.3764992524887</c:v>
                </c:pt>
                <c:pt idx="156">
                  <c:v>118.11957750646206</c:v>
                </c:pt>
                <c:pt idx="157">
                  <c:v>119.81941724490686</c:v>
                </c:pt>
                <c:pt idx="158">
                  <c:v>120.40631987581679</c:v>
                </c:pt>
                <c:pt idx="159">
                  <c:v>121.7393454699429</c:v>
                </c:pt>
                <c:pt idx="160">
                  <c:v>121.78876017253059</c:v>
                </c:pt>
                <c:pt idx="161">
                  <c:v>122.42407966743339</c:v>
                </c:pt>
                <c:pt idx="162">
                  <c:v>122.50364644929978</c:v>
                </c:pt>
                <c:pt idx="163">
                  <c:v>122.63826789102905</c:v>
                </c:pt>
                <c:pt idx="164">
                  <c:v>121.5745285646482</c:v>
                </c:pt>
                <c:pt idx="165">
                  <c:v>121.30853950269456</c:v>
                </c:pt>
                <c:pt idx="166">
                  <c:v>121.89466121644331</c:v>
                </c:pt>
                <c:pt idx="167">
                  <c:v>120.95582525156377</c:v>
                </c:pt>
                <c:pt idx="168">
                  <c:v>120.05551453330217</c:v>
                </c:pt>
                <c:pt idx="169">
                  <c:v>120.39378181695123</c:v>
                </c:pt>
                <c:pt idx="170">
                  <c:v>122.1205631974566</c:v>
                </c:pt>
                <c:pt idx="171">
                  <c:v>121.97635382835958</c:v>
                </c:pt>
                <c:pt idx="172">
                  <c:v>121.69743624895982</c:v>
                </c:pt>
                <c:pt idx="173">
                  <c:v>121.98355561995709</c:v>
                </c:pt>
                <c:pt idx="174">
                  <c:v>123.21948718037709</c:v>
                </c:pt>
                <c:pt idx="175">
                  <c:v>123.29328385210815</c:v>
                </c:pt>
                <c:pt idx="176">
                  <c:v>124.64158071516391</c:v>
                </c:pt>
                <c:pt idx="177">
                  <c:v>124.78310025848356</c:v>
                </c:pt>
                <c:pt idx="178">
                  <c:v>124.9965509492048</c:v>
                </c:pt>
                <c:pt idx="179">
                  <c:v>125.62410465678255</c:v>
                </c:pt>
                <c:pt idx="180">
                  <c:v>126.25239589723475</c:v>
                </c:pt>
                <c:pt idx="181">
                  <c:v>126.12909775434255</c:v>
                </c:pt>
                <c:pt idx="182">
                  <c:v>126.60367846690342</c:v>
                </c:pt>
                <c:pt idx="183">
                  <c:v>126.40155107501921</c:v>
                </c:pt>
                <c:pt idx="184">
                  <c:v>127.62559534087467</c:v>
                </c:pt>
                <c:pt idx="185">
                  <c:v>128.12885306696538</c:v>
                </c:pt>
                <c:pt idx="186">
                  <c:v>127.7255527375051</c:v>
                </c:pt>
                <c:pt idx="187">
                  <c:v>126.49903556730595</c:v>
                </c:pt>
                <c:pt idx="188">
                  <c:v>127.24507176194868</c:v>
                </c:pt>
                <c:pt idx="189">
                  <c:v>126.85183658701021</c:v>
                </c:pt>
                <c:pt idx="190">
                  <c:v>127.81501113674639</c:v>
                </c:pt>
                <c:pt idx="191">
                  <c:v>128.24972168980062</c:v>
                </c:pt>
                <c:pt idx="192">
                  <c:v>128.07067473845783</c:v>
                </c:pt>
                <c:pt idx="193">
                  <c:v>128.06525170261634</c:v>
                </c:pt>
                <c:pt idx="194">
                  <c:v>128.56117748424933</c:v>
                </c:pt>
                <c:pt idx="195">
                  <c:v>127.49618001355326</c:v>
                </c:pt>
                <c:pt idx="196">
                  <c:v>127.92611829506694</c:v>
                </c:pt>
                <c:pt idx="197">
                  <c:v>126.7904478212845</c:v>
                </c:pt>
                <c:pt idx="198">
                  <c:v>127.2393884203868</c:v>
                </c:pt>
                <c:pt idx="199">
                  <c:v>128.07149903990575</c:v>
                </c:pt>
                <c:pt idx="200">
                  <c:v>129.25944757920018</c:v>
                </c:pt>
                <c:pt idx="201">
                  <c:v>128.48577559390918</c:v>
                </c:pt>
                <c:pt idx="202">
                  <c:v>127.04359513436545</c:v>
                </c:pt>
                <c:pt idx="203">
                  <c:v>124.80752561191365</c:v>
                </c:pt>
                <c:pt idx="204">
                  <c:v>125.48822507073807</c:v>
                </c:pt>
                <c:pt idx="205">
                  <c:v>127.4901495976975</c:v>
                </c:pt>
                <c:pt idx="206">
                  <c:v>127.29726305888722</c:v>
                </c:pt>
                <c:pt idx="207">
                  <c:v>127.05877963472165</c:v>
                </c:pt>
                <c:pt idx="208">
                  <c:v>126.28905561952328</c:v>
                </c:pt>
                <c:pt idx="209">
                  <c:v>127.6458558027785</c:v>
                </c:pt>
                <c:pt idx="210">
                  <c:v>127.68555242513824</c:v>
                </c:pt>
                <c:pt idx="211">
                  <c:v>128.69666661171325</c:v>
                </c:pt>
                <c:pt idx="212">
                  <c:v>128.65653614648622</c:v>
                </c:pt>
                <c:pt idx="213">
                  <c:v>128.83007329341405</c:v>
                </c:pt>
                <c:pt idx="214">
                  <c:v>128.87922769028137</c:v>
                </c:pt>
                <c:pt idx="215">
                  <c:v>129.25467530765974</c:v>
                </c:pt>
                <c:pt idx="216">
                  <c:v>129.09866541257162</c:v>
                </c:pt>
                <c:pt idx="217">
                  <c:v>129.37302764186452</c:v>
                </c:pt>
                <c:pt idx="218">
                  <c:v>129.54430880588228</c:v>
                </c:pt>
                <c:pt idx="219">
                  <c:v>128.97580111254672</c:v>
                </c:pt>
                <c:pt idx="220">
                  <c:v>130.03819552603889</c:v>
                </c:pt>
                <c:pt idx="221">
                  <c:v>130.19502972257493</c:v>
                </c:pt>
                <c:pt idx="222">
                  <c:v>130.23242697773784</c:v>
                </c:pt>
                <c:pt idx="223">
                  <c:v>130.00708899245205</c:v>
                </c:pt>
                <c:pt idx="224">
                  <c:v>130.47659374346532</c:v>
                </c:pt>
                <c:pt idx="225">
                  <c:v>130.70262587733882</c:v>
                </c:pt>
                <c:pt idx="226">
                  <c:v>131.01538320038949</c:v>
                </c:pt>
                <c:pt idx="227">
                  <c:v>130.9020200591589</c:v>
                </c:pt>
                <c:pt idx="228">
                  <c:v>130.52067217878499</c:v>
                </c:pt>
                <c:pt idx="229">
                  <c:v>130.00149241946366</c:v>
                </c:pt>
                <c:pt idx="230">
                  <c:v>128.1652958678203</c:v>
                </c:pt>
                <c:pt idx="231">
                  <c:v>129.37658515337654</c:v>
                </c:pt>
                <c:pt idx="232">
                  <c:v>130.20214474559896</c:v>
                </c:pt>
                <c:pt idx="233">
                  <c:v>130.06622177526776</c:v>
                </c:pt>
                <c:pt idx="234">
                  <c:v>130.73247426661044</c:v>
                </c:pt>
                <c:pt idx="235">
                  <c:v>131.23473415410629</c:v>
                </c:pt>
                <c:pt idx="236">
                  <c:v>131.24653333518449</c:v>
                </c:pt>
                <c:pt idx="237">
                  <c:v>131.21277476353404</c:v>
                </c:pt>
                <c:pt idx="238">
                  <c:v>130.90004186583681</c:v>
                </c:pt>
                <c:pt idx="239">
                  <c:v>131.37607898890329</c:v>
                </c:pt>
                <c:pt idx="240">
                  <c:v>132.15233880351354</c:v>
                </c:pt>
                <c:pt idx="241">
                  <c:v>132.31479347777997</c:v>
                </c:pt>
                <c:pt idx="242">
                  <c:v>132.00214509267329</c:v>
                </c:pt>
                <c:pt idx="243">
                  <c:v>132.30710630278253</c:v>
                </c:pt>
                <c:pt idx="244">
                  <c:v>131.1175139328638</c:v>
                </c:pt>
                <c:pt idx="245">
                  <c:v>132.45724422143002</c:v>
                </c:pt>
                <c:pt idx="246">
                  <c:v>133.11423238879968</c:v>
                </c:pt>
                <c:pt idx="247">
                  <c:v>132.7242121196609</c:v>
                </c:pt>
                <c:pt idx="248">
                  <c:v>132.69444919743418</c:v>
                </c:pt>
                <c:pt idx="249">
                  <c:v>132.04075611002611</c:v>
                </c:pt>
                <c:pt idx="250">
                  <c:v>131.22221718000409</c:v>
                </c:pt>
                <c:pt idx="251">
                  <c:v>129.09196453594873</c:v>
                </c:pt>
                <c:pt idx="252">
                  <c:v>130.40694699568161</c:v>
                </c:pt>
                <c:pt idx="253">
                  <c:v>131.74588782038219</c:v>
                </c:pt>
                <c:pt idx="254">
                  <c:v>132.17448118900717</c:v>
                </c:pt>
                <c:pt idx="255">
                  <c:v>133.29292810095703</c:v>
                </c:pt>
                <c:pt idx="256">
                  <c:v>133.64117377055445</c:v>
                </c:pt>
                <c:pt idx="257">
                  <c:v>133.14060587024113</c:v>
                </c:pt>
                <c:pt idx="258">
                  <c:v>133.1677210494486</c:v>
                </c:pt>
                <c:pt idx="259">
                  <c:v>134.04955006156234</c:v>
                </c:pt>
                <c:pt idx="260">
                  <c:v>133.15717866777268</c:v>
                </c:pt>
                <c:pt idx="261">
                  <c:v>133.49822254577262</c:v>
                </c:pt>
                <c:pt idx="262">
                  <c:v>134.16642733001822</c:v>
                </c:pt>
                <c:pt idx="263">
                  <c:v>133.87657691036202</c:v>
                </c:pt>
                <c:pt idx="264">
                  <c:v>134.58790567561917</c:v>
                </c:pt>
                <c:pt idx="265">
                  <c:v>134.40725350566731</c:v>
                </c:pt>
                <c:pt idx="266">
                  <c:v>134.3637824503619</c:v>
                </c:pt>
                <c:pt idx="267">
                  <c:v>134.46933641998075</c:v>
                </c:pt>
                <c:pt idx="268">
                  <c:v>134.92370005492452</c:v>
                </c:pt>
                <c:pt idx="269">
                  <c:v>135.17398400508117</c:v>
                </c:pt>
                <c:pt idx="270">
                  <c:v>135.5809719989137</c:v>
                </c:pt>
                <c:pt idx="271">
                  <c:v>135.44513579715593</c:v>
                </c:pt>
                <c:pt idx="272">
                  <c:v>134.49640821490149</c:v>
                </c:pt>
                <c:pt idx="273">
                  <c:v>133.53744194097831</c:v>
                </c:pt>
                <c:pt idx="274">
                  <c:v>132.89578834021268</c:v>
                </c:pt>
                <c:pt idx="275">
                  <c:v>133.6244708201626</c:v>
                </c:pt>
                <c:pt idx="276">
                  <c:v>135.03662935328782</c:v>
                </c:pt>
                <c:pt idx="277">
                  <c:v>135.44561302430998</c:v>
                </c:pt>
                <c:pt idx="278">
                  <c:v>135.61186161106684</c:v>
                </c:pt>
                <c:pt idx="279">
                  <c:v>134.93688887809105</c:v>
                </c:pt>
                <c:pt idx="280">
                  <c:v>135.95199441904538</c:v>
                </c:pt>
                <c:pt idx="281">
                  <c:v>136.51425477509153</c:v>
                </c:pt>
                <c:pt idx="282">
                  <c:v>136.28527250972027</c:v>
                </c:pt>
              </c:numCache>
            </c:numRef>
          </c:val>
          <c:smooth val="0"/>
          <c:extLst>
            <c:ext xmlns:c16="http://schemas.microsoft.com/office/drawing/2014/chart" uri="{C3380CC4-5D6E-409C-BE32-E72D297353CC}">
              <c16:uniqueId val="{00000000-BB1F-4F27-A800-43BB74EC0CD7}"/>
            </c:ext>
          </c:extLst>
        </c:ser>
        <c:ser>
          <c:idx val="1"/>
          <c:order val="1"/>
          <c:tx>
            <c:strRef>
              <c:f>'[2021 09 GMR NEW.XLSX]MSCI Chart'!$I$7</c:f>
              <c:strCache>
                <c:ptCount val="1"/>
                <c:pt idx="0">
                  <c:v>MSCI India</c:v>
                </c:pt>
              </c:strCache>
            </c:strRef>
          </c:tx>
          <c:spPr>
            <a:ln w="28575" cap="rnd">
              <a:solidFill>
                <a:schemeClr val="accent5"/>
              </a:solidFill>
              <a:round/>
            </a:ln>
            <a:effectLst/>
          </c:spPr>
          <c:marker>
            <c:symbol val="none"/>
          </c:marker>
          <c:cat>
            <c:numRef>
              <c:f>'[2021 09 GMR NEW.XLSX]MSCI Chart'!$G$8:$G$290</c:f>
              <c:numCache>
                <c:formatCode>m/d/yyyy</c:formatCode>
                <c:ptCount val="283"/>
                <c:pt idx="0">
                  <c:v>44043</c:v>
                </c:pt>
                <c:pt idx="1">
                  <c:v>44046</c:v>
                </c:pt>
                <c:pt idx="2">
                  <c:v>44047</c:v>
                </c:pt>
                <c:pt idx="3">
                  <c:v>44048</c:v>
                </c:pt>
                <c:pt idx="4">
                  <c:v>44049</c:v>
                </c:pt>
                <c:pt idx="5">
                  <c:v>44050</c:v>
                </c:pt>
                <c:pt idx="6">
                  <c:v>44053</c:v>
                </c:pt>
                <c:pt idx="7">
                  <c:v>44054</c:v>
                </c:pt>
                <c:pt idx="8">
                  <c:v>44055</c:v>
                </c:pt>
                <c:pt idx="9">
                  <c:v>44056</c:v>
                </c:pt>
                <c:pt idx="10">
                  <c:v>44057</c:v>
                </c:pt>
                <c:pt idx="11">
                  <c:v>44060</c:v>
                </c:pt>
                <c:pt idx="12">
                  <c:v>44061</c:v>
                </c:pt>
                <c:pt idx="13">
                  <c:v>44062</c:v>
                </c:pt>
                <c:pt idx="14">
                  <c:v>44063</c:v>
                </c:pt>
                <c:pt idx="15">
                  <c:v>44064</c:v>
                </c:pt>
                <c:pt idx="16">
                  <c:v>44067</c:v>
                </c:pt>
                <c:pt idx="17">
                  <c:v>44068</c:v>
                </c:pt>
                <c:pt idx="18">
                  <c:v>44069</c:v>
                </c:pt>
                <c:pt idx="19">
                  <c:v>44070</c:v>
                </c:pt>
                <c:pt idx="20">
                  <c:v>44071</c:v>
                </c:pt>
                <c:pt idx="21">
                  <c:v>44074</c:v>
                </c:pt>
                <c:pt idx="22">
                  <c:v>44075</c:v>
                </c:pt>
                <c:pt idx="23">
                  <c:v>44076</c:v>
                </c:pt>
                <c:pt idx="24">
                  <c:v>44077</c:v>
                </c:pt>
                <c:pt idx="25">
                  <c:v>44078</c:v>
                </c:pt>
                <c:pt idx="26">
                  <c:v>44081</c:v>
                </c:pt>
                <c:pt idx="27">
                  <c:v>44082</c:v>
                </c:pt>
                <c:pt idx="28">
                  <c:v>44083</c:v>
                </c:pt>
                <c:pt idx="29">
                  <c:v>44084</c:v>
                </c:pt>
                <c:pt idx="30">
                  <c:v>44085</c:v>
                </c:pt>
                <c:pt idx="31">
                  <c:v>44088</c:v>
                </c:pt>
                <c:pt idx="32">
                  <c:v>44089</c:v>
                </c:pt>
                <c:pt idx="33">
                  <c:v>44090</c:v>
                </c:pt>
                <c:pt idx="34">
                  <c:v>44091</c:v>
                </c:pt>
                <c:pt idx="35">
                  <c:v>44092</c:v>
                </c:pt>
                <c:pt idx="36">
                  <c:v>44095</c:v>
                </c:pt>
                <c:pt idx="37">
                  <c:v>44096</c:v>
                </c:pt>
                <c:pt idx="38">
                  <c:v>44097</c:v>
                </c:pt>
                <c:pt idx="39">
                  <c:v>44098</c:v>
                </c:pt>
                <c:pt idx="40">
                  <c:v>44099</c:v>
                </c:pt>
                <c:pt idx="41">
                  <c:v>44102</c:v>
                </c:pt>
                <c:pt idx="42">
                  <c:v>44103</c:v>
                </c:pt>
                <c:pt idx="43">
                  <c:v>44104</c:v>
                </c:pt>
                <c:pt idx="44">
                  <c:v>44105</c:v>
                </c:pt>
                <c:pt idx="45">
                  <c:v>44106</c:v>
                </c:pt>
                <c:pt idx="46">
                  <c:v>44109</c:v>
                </c:pt>
                <c:pt idx="47">
                  <c:v>44110</c:v>
                </c:pt>
                <c:pt idx="48">
                  <c:v>44111</c:v>
                </c:pt>
                <c:pt idx="49">
                  <c:v>44112</c:v>
                </c:pt>
                <c:pt idx="50">
                  <c:v>44113</c:v>
                </c:pt>
                <c:pt idx="51">
                  <c:v>44116</c:v>
                </c:pt>
                <c:pt idx="52">
                  <c:v>44117</c:v>
                </c:pt>
                <c:pt idx="53">
                  <c:v>44118</c:v>
                </c:pt>
                <c:pt idx="54">
                  <c:v>44119</c:v>
                </c:pt>
                <c:pt idx="55">
                  <c:v>44120</c:v>
                </c:pt>
                <c:pt idx="56">
                  <c:v>44123</c:v>
                </c:pt>
                <c:pt idx="57">
                  <c:v>44124</c:v>
                </c:pt>
                <c:pt idx="58">
                  <c:v>44125</c:v>
                </c:pt>
                <c:pt idx="59">
                  <c:v>44126</c:v>
                </c:pt>
                <c:pt idx="60">
                  <c:v>44127</c:v>
                </c:pt>
                <c:pt idx="61">
                  <c:v>44130</c:v>
                </c:pt>
                <c:pt idx="62">
                  <c:v>44131</c:v>
                </c:pt>
                <c:pt idx="63">
                  <c:v>44132</c:v>
                </c:pt>
                <c:pt idx="64">
                  <c:v>44133</c:v>
                </c:pt>
                <c:pt idx="65">
                  <c:v>44134</c:v>
                </c:pt>
                <c:pt idx="66">
                  <c:v>44137</c:v>
                </c:pt>
                <c:pt idx="67">
                  <c:v>44138</c:v>
                </c:pt>
                <c:pt idx="68">
                  <c:v>44139</c:v>
                </c:pt>
                <c:pt idx="69">
                  <c:v>44140</c:v>
                </c:pt>
                <c:pt idx="70">
                  <c:v>44141</c:v>
                </c:pt>
                <c:pt idx="71">
                  <c:v>44144</c:v>
                </c:pt>
                <c:pt idx="72">
                  <c:v>44145</c:v>
                </c:pt>
                <c:pt idx="73">
                  <c:v>44146</c:v>
                </c:pt>
                <c:pt idx="74">
                  <c:v>44147</c:v>
                </c:pt>
                <c:pt idx="75">
                  <c:v>44148</c:v>
                </c:pt>
                <c:pt idx="76">
                  <c:v>44151</c:v>
                </c:pt>
                <c:pt idx="77">
                  <c:v>44152</c:v>
                </c:pt>
                <c:pt idx="78">
                  <c:v>44153</c:v>
                </c:pt>
                <c:pt idx="79">
                  <c:v>44154</c:v>
                </c:pt>
                <c:pt idx="80">
                  <c:v>44155</c:v>
                </c:pt>
                <c:pt idx="81">
                  <c:v>44158</c:v>
                </c:pt>
                <c:pt idx="82">
                  <c:v>44159</c:v>
                </c:pt>
                <c:pt idx="83">
                  <c:v>44160</c:v>
                </c:pt>
                <c:pt idx="84">
                  <c:v>44161</c:v>
                </c:pt>
                <c:pt idx="85">
                  <c:v>44162</c:v>
                </c:pt>
                <c:pt idx="86">
                  <c:v>44165</c:v>
                </c:pt>
                <c:pt idx="87">
                  <c:v>44166</c:v>
                </c:pt>
                <c:pt idx="88">
                  <c:v>44167</c:v>
                </c:pt>
                <c:pt idx="89">
                  <c:v>44168</c:v>
                </c:pt>
                <c:pt idx="90">
                  <c:v>44169</c:v>
                </c:pt>
                <c:pt idx="91">
                  <c:v>44172</c:v>
                </c:pt>
                <c:pt idx="92">
                  <c:v>44173</c:v>
                </c:pt>
                <c:pt idx="93">
                  <c:v>44174</c:v>
                </c:pt>
                <c:pt idx="94">
                  <c:v>44175</c:v>
                </c:pt>
                <c:pt idx="95">
                  <c:v>44176</c:v>
                </c:pt>
                <c:pt idx="96">
                  <c:v>44179</c:v>
                </c:pt>
                <c:pt idx="97">
                  <c:v>44180</c:v>
                </c:pt>
                <c:pt idx="98">
                  <c:v>44181</c:v>
                </c:pt>
                <c:pt idx="99">
                  <c:v>44182</c:v>
                </c:pt>
                <c:pt idx="100">
                  <c:v>44183</c:v>
                </c:pt>
                <c:pt idx="101">
                  <c:v>44186</c:v>
                </c:pt>
                <c:pt idx="102">
                  <c:v>44187</c:v>
                </c:pt>
                <c:pt idx="103">
                  <c:v>44188</c:v>
                </c:pt>
                <c:pt idx="104">
                  <c:v>44189</c:v>
                </c:pt>
                <c:pt idx="105">
                  <c:v>44190</c:v>
                </c:pt>
                <c:pt idx="106">
                  <c:v>44193</c:v>
                </c:pt>
                <c:pt idx="107">
                  <c:v>44194</c:v>
                </c:pt>
                <c:pt idx="108">
                  <c:v>44195</c:v>
                </c:pt>
                <c:pt idx="109">
                  <c:v>44196</c:v>
                </c:pt>
                <c:pt idx="110">
                  <c:v>44197</c:v>
                </c:pt>
                <c:pt idx="111">
                  <c:v>44200</c:v>
                </c:pt>
                <c:pt idx="112">
                  <c:v>44201</c:v>
                </c:pt>
                <c:pt idx="113">
                  <c:v>44202</c:v>
                </c:pt>
                <c:pt idx="114">
                  <c:v>44203</c:v>
                </c:pt>
                <c:pt idx="115">
                  <c:v>44204</c:v>
                </c:pt>
                <c:pt idx="116">
                  <c:v>44207</c:v>
                </c:pt>
                <c:pt idx="117">
                  <c:v>44208</c:v>
                </c:pt>
                <c:pt idx="118">
                  <c:v>44209</c:v>
                </c:pt>
                <c:pt idx="119">
                  <c:v>44210</c:v>
                </c:pt>
                <c:pt idx="120">
                  <c:v>44211</c:v>
                </c:pt>
                <c:pt idx="121">
                  <c:v>44214</c:v>
                </c:pt>
                <c:pt idx="122">
                  <c:v>44215</c:v>
                </c:pt>
                <c:pt idx="123">
                  <c:v>44216</c:v>
                </c:pt>
                <c:pt idx="124">
                  <c:v>44217</c:v>
                </c:pt>
                <c:pt idx="125">
                  <c:v>44218</c:v>
                </c:pt>
                <c:pt idx="126">
                  <c:v>44221</c:v>
                </c:pt>
                <c:pt idx="127">
                  <c:v>44222</c:v>
                </c:pt>
                <c:pt idx="128">
                  <c:v>44223</c:v>
                </c:pt>
                <c:pt idx="129">
                  <c:v>44224</c:v>
                </c:pt>
                <c:pt idx="130">
                  <c:v>44225</c:v>
                </c:pt>
                <c:pt idx="131">
                  <c:v>44228</c:v>
                </c:pt>
                <c:pt idx="132">
                  <c:v>44229</c:v>
                </c:pt>
                <c:pt idx="133">
                  <c:v>44230</c:v>
                </c:pt>
                <c:pt idx="134">
                  <c:v>44231</c:v>
                </c:pt>
                <c:pt idx="135">
                  <c:v>44232</c:v>
                </c:pt>
                <c:pt idx="136">
                  <c:v>44235</c:v>
                </c:pt>
                <c:pt idx="137">
                  <c:v>44236</c:v>
                </c:pt>
                <c:pt idx="138">
                  <c:v>44237</c:v>
                </c:pt>
                <c:pt idx="139">
                  <c:v>44238</c:v>
                </c:pt>
                <c:pt idx="140">
                  <c:v>44239</c:v>
                </c:pt>
                <c:pt idx="141">
                  <c:v>44242</c:v>
                </c:pt>
                <c:pt idx="142">
                  <c:v>44243</c:v>
                </c:pt>
                <c:pt idx="143">
                  <c:v>44244</c:v>
                </c:pt>
                <c:pt idx="144">
                  <c:v>44245</c:v>
                </c:pt>
                <c:pt idx="145">
                  <c:v>44246</c:v>
                </c:pt>
                <c:pt idx="146">
                  <c:v>44249</c:v>
                </c:pt>
                <c:pt idx="147">
                  <c:v>44250</c:v>
                </c:pt>
                <c:pt idx="148">
                  <c:v>44251</c:v>
                </c:pt>
                <c:pt idx="149">
                  <c:v>44252</c:v>
                </c:pt>
                <c:pt idx="150">
                  <c:v>44253</c:v>
                </c:pt>
                <c:pt idx="151">
                  <c:v>44256</c:v>
                </c:pt>
                <c:pt idx="152">
                  <c:v>44257</c:v>
                </c:pt>
                <c:pt idx="153">
                  <c:v>44258</c:v>
                </c:pt>
                <c:pt idx="154">
                  <c:v>44259</c:v>
                </c:pt>
                <c:pt idx="155">
                  <c:v>44260</c:v>
                </c:pt>
                <c:pt idx="156">
                  <c:v>44263</c:v>
                </c:pt>
                <c:pt idx="157">
                  <c:v>44264</c:v>
                </c:pt>
                <c:pt idx="158">
                  <c:v>44265</c:v>
                </c:pt>
                <c:pt idx="159">
                  <c:v>44266</c:v>
                </c:pt>
                <c:pt idx="160">
                  <c:v>44267</c:v>
                </c:pt>
                <c:pt idx="161">
                  <c:v>44270</c:v>
                </c:pt>
                <c:pt idx="162">
                  <c:v>44271</c:v>
                </c:pt>
                <c:pt idx="163">
                  <c:v>44272</c:v>
                </c:pt>
                <c:pt idx="164">
                  <c:v>44273</c:v>
                </c:pt>
                <c:pt idx="165">
                  <c:v>44274</c:v>
                </c:pt>
                <c:pt idx="166">
                  <c:v>44277</c:v>
                </c:pt>
                <c:pt idx="167">
                  <c:v>44278</c:v>
                </c:pt>
                <c:pt idx="168">
                  <c:v>44279</c:v>
                </c:pt>
                <c:pt idx="169">
                  <c:v>44280</c:v>
                </c:pt>
                <c:pt idx="170">
                  <c:v>44281</c:v>
                </c:pt>
                <c:pt idx="171">
                  <c:v>44284</c:v>
                </c:pt>
                <c:pt idx="172">
                  <c:v>44285</c:v>
                </c:pt>
                <c:pt idx="173">
                  <c:v>44286</c:v>
                </c:pt>
                <c:pt idx="174">
                  <c:v>44287</c:v>
                </c:pt>
                <c:pt idx="175">
                  <c:v>44288</c:v>
                </c:pt>
                <c:pt idx="176">
                  <c:v>44291</c:v>
                </c:pt>
                <c:pt idx="177">
                  <c:v>44292</c:v>
                </c:pt>
                <c:pt idx="178">
                  <c:v>44293</c:v>
                </c:pt>
                <c:pt idx="179">
                  <c:v>44294</c:v>
                </c:pt>
                <c:pt idx="180">
                  <c:v>44295</c:v>
                </c:pt>
                <c:pt idx="181">
                  <c:v>44298</c:v>
                </c:pt>
                <c:pt idx="182">
                  <c:v>44299</c:v>
                </c:pt>
                <c:pt idx="183">
                  <c:v>44300</c:v>
                </c:pt>
                <c:pt idx="184">
                  <c:v>44301</c:v>
                </c:pt>
                <c:pt idx="185">
                  <c:v>44302</c:v>
                </c:pt>
                <c:pt idx="186">
                  <c:v>44305</c:v>
                </c:pt>
                <c:pt idx="187">
                  <c:v>44306</c:v>
                </c:pt>
                <c:pt idx="188">
                  <c:v>44307</c:v>
                </c:pt>
                <c:pt idx="189">
                  <c:v>44308</c:v>
                </c:pt>
                <c:pt idx="190">
                  <c:v>44309</c:v>
                </c:pt>
                <c:pt idx="191">
                  <c:v>44312</c:v>
                </c:pt>
                <c:pt idx="192">
                  <c:v>44313</c:v>
                </c:pt>
                <c:pt idx="193">
                  <c:v>44314</c:v>
                </c:pt>
                <c:pt idx="194">
                  <c:v>44315</c:v>
                </c:pt>
                <c:pt idx="195">
                  <c:v>44316</c:v>
                </c:pt>
                <c:pt idx="196">
                  <c:v>44319</c:v>
                </c:pt>
                <c:pt idx="197">
                  <c:v>44320</c:v>
                </c:pt>
                <c:pt idx="198">
                  <c:v>44321</c:v>
                </c:pt>
                <c:pt idx="199">
                  <c:v>44322</c:v>
                </c:pt>
                <c:pt idx="200">
                  <c:v>44323</c:v>
                </c:pt>
                <c:pt idx="201">
                  <c:v>44326</c:v>
                </c:pt>
                <c:pt idx="202">
                  <c:v>44327</c:v>
                </c:pt>
                <c:pt idx="203">
                  <c:v>44328</c:v>
                </c:pt>
                <c:pt idx="204">
                  <c:v>44329</c:v>
                </c:pt>
                <c:pt idx="205">
                  <c:v>44330</c:v>
                </c:pt>
                <c:pt idx="206">
                  <c:v>44333</c:v>
                </c:pt>
                <c:pt idx="207">
                  <c:v>44334</c:v>
                </c:pt>
                <c:pt idx="208">
                  <c:v>44335</c:v>
                </c:pt>
                <c:pt idx="209">
                  <c:v>44336</c:v>
                </c:pt>
                <c:pt idx="210">
                  <c:v>44337</c:v>
                </c:pt>
                <c:pt idx="211">
                  <c:v>44340</c:v>
                </c:pt>
                <c:pt idx="212">
                  <c:v>44341</c:v>
                </c:pt>
                <c:pt idx="213">
                  <c:v>44342</c:v>
                </c:pt>
                <c:pt idx="214">
                  <c:v>44343</c:v>
                </c:pt>
                <c:pt idx="215">
                  <c:v>44344</c:v>
                </c:pt>
                <c:pt idx="216">
                  <c:v>44347</c:v>
                </c:pt>
                <c:pt idx="217">
                  <c:v>44348</c:v>
                </c:pt>
                <c:pt idx="218">
                  <c:v>44349</c:v>
                </c:pt>
                <c:pt idx="219">
                  <c:v>44350</c:v>
                </c:pt>
                <c:pt idx="220">
                  <c:v>44351</c:v>
                </c:pt>
                <c:pt idx="221">
                  <c:v>44354</c:v>
                </c:pt>
                <c:pt idx="222">
                  <c:v>44355</c:v>
                </c:pt>
                <c:pt idx="223">
                  <c:v>44356</c:v>
                </c:pt>
                <c:pt idx="224">
                  <c:v>44357</c:v>
                </c:pt>
                <c:pt idx="225">
                  <c:v>44358</c:v>
                </c:pt>
                <c:pt idx="226">
                  <c:v>44361</c:v>
                </c:pt>
                <c:pt idx="227">
                  <c:v>44362</c:v>
                </c:pt>
                <c:pt idx="228">
                  <c:v>44363</c:v>
                </c:pt>
                <c:pt idx="229">
                  <c:v>44364</c:v>
                </c:pt>
                <c:pt idx="230">
                  <c:v>44365</c:v>
                </c:pt>
                <c:pt idx="231">
                  <c:v>44368</c:v>
                </c:pt>
                <c:pt idx="232">
                  <c:v>44369</c:v>
                </c:pt>
                <c:pt idx="233">
                  <c:v>44370</c:v>
                </c:pt>
                <c:pt idx="234">
                  <c:v>44371</c:v>
                </c:pt>
                <c:pt idx="235">
                  <c:v>44372</c:v>
                </c:pt>
                <c:pt idx="236">
                  <c:v>44375</c:v>
                </c:pt>
                <c:pt idx="237">
                  <c:v>44376</c:v>
                </c:pt>
                <c:pt idx="238">
                  <c:v>44377</c:v>
                </c:pt>
                <c:pt idx="239">
                  <c:v>44378</c:v>
                </c:pt>
                <c:pt idx="240">
                  <c:v>44379</c:v>
                </c:pt>
                <c:pt idx="241">
                  <c:v>44382</c:v>
                </c:pt>
                <c:pt idx="242">
                  <c:v>44383</c:v>
                </c:pt>
                <c:pt idx="243">
                  <c:v>44384</c:v>
                </c:pt>
                <c:pt idx="244">
                  <c:v>44385</c:v>
                </c:pt>
                <c:pt idx="245">
                  <c:v>44386</c:v>
                </c:pt>
                <c:pt idx="246">
                  <c:v>44389</c:v>
                </c:pt>
                <c:pt idx="247">
                  <c:v>44390</c:v>
                </c:pt>
                <c:pt idx="248">
                  <c:v>44391</c:v>
                </c:pt>
                <c:pt idx="249">
                  <c:v>44392</c:v>
                </c:pt>
                <c:pt idx="250">
                  <c:v>44393</c:v>
                </c:pt>
                <c:pt idx="251">
                  <c:v>44396</c:v>
                </c:pt>
                <c:pt idx="252">
                  <c:v>44397</c:v>
                </c:pt>
                <c:pt idx="253">
                  <c:v>44398</c:v>
                </c:pt>
                <c:pt idx="254">
                  <c:v>44399</c:v>
                </c:pt>
                <c:pt idx="255">
                  <c:v>44400</c:v>
                </c:pt>
                <c:pt idx="256">
                  <c:v>44403</c:v>
                </c:pt>
                <c:pt idx="257">
                  <c:v>44404</c:v>
                </c:pt>
                <c:pt idx="258">
                  <c:v>44405</c:v>
                </c:pt>
                <c:pt idx="259">
                  <c:v>44406</c:v>
                </c:pt>
                <c:pt idx="260">
                  <c:v>44407</c:v>
                </c:pt>
                <c:pt idx="261">
                  <c:v>44410</c:v>
                </c:pt>
                <c:pt idx="262">
                  <c:v>44411</c:v>
                </c:pt>
                <c:pt idx="263">
                  <c:v>44412</c:v>
                </c:pt>
                <c:pt idx="264">
                  <c:v>44413</c:v>
                </c:pt>
                <c:pt idx="265">
                  <c:v>44414</c:v>
                </c:pt>
                <c:pt idx="266">
                  <c:v>44417</c:v>
                </c:pt>
                <c:pt idx="267">
                  <c:v>44418</c:v>
                </c:pt>
                <c:pt idx="268">
                  <c:v>44419</c:v>
                </c:pt>
                <c:pt idx="269">
                  <c:v>44420</c:v>
                </c:pt>
                <c:pt idx="270">
                  <c:v>44421</c:v>
                </c:pt>
                <c:pt idx="271">
                  <c:v>44424</c:v>
                </c:pt>
                <c:pt idx="272">
                  <c:v>44425</c:v>
                </c:pt>
                <c:pt idx="273">
                  <c:v>44426</c:v>
                </c:pt>
                <c:pt idx="274">
                  <c:v>44427</c:v>
                </c:pt>
                <c:pt idx="275">
                  <c:v>44428</c:v>
                </c:pt>
                <c:pt idx="276">
                  <c:v>44431</c:v>
                </c:pt>
                <c:pt idx="277">
                  <c:v>44432</c:v>
                </c:pt>
                <c:pt idx="278">
                  <c:v>44433</c:v>
                </c:pt>
                <c:pt idx="279">
                  <c:v>44434</c:v>
                </c:pt>
                <c:pt idx="280">
                  <c:v>44435</c:v>
                </c:pt>
                <c:pt idx="281">
                  <c:v>44438</c:v>
                </c:pt>
                <c:pt idx="282">
                  <c:v>44439</c:v>
                </c:pt>
              </c:numCache>
            </c:numRef>
          </c:cat>
          <c:val>
            <c:numRef>
              <c:f>'[2021 09 GMR NEW.XLSX]MSCI Chart'!$I$8:$I$290</c:f>
              <c:numCache>
                <c:formatCode>0</c:formatCode>
                <c:ptCount val="283"/>
                <c:pt idx="0" formatCode="0.0">
                  <c:v>100</c:v>
                </c:pt>
                <c:pt idx="1">
                  <c:v>98.714923718718239</c:v>
                </c:pt>
                <c:pt idx="2">
                  <c:v>100.38765394622058</c:v>
                </c:pt>
                <c:pt idx="3">
                  <c:v>100.51536434258277</c:v>
                </c:pt>
                <c:pt idx="4">
                  <c:v>101.45272492284484</c:v>
                </c:pt>
                <c:pt idx="5">
                  <c:v>101.49181994213937</c:v>
                </c:pt>
                <c:pt idx="6">
                  <c:v>101.96601952911202</c:v>
                </c:pt>
                <c:pt idx="7">
                  <c:v>102.14616324546922</c:v>
                </c:pt>
                <c:pt idx="8">
                  <c:v>102.15053268880214</c:v>
                </c:pt>
                <c:pt idx="9">
                  <c:v>102.19897984996715</c:v>
                </c:pt>
                <c:pt idx="10">
                  <c:v>101.3082266652562</c:v>
                </c:pt>
                <c:pt idx="11">
                  <c:v>101.83317312041117</c:v>
                </c:pt>
                <c:pt idx="12">
                  <c:v>102.9224676776179</c:v>
                </c:pt>
                <c:pt idx="13">
                  <c:v>103.10889725982246</c:v>
                </c:pt>
                <c:pt idx="14">
                  <c:v>102.29273123937347</c:v>
                </c:pt>
                <c:pt idx="15">
                  <c:v>102.53381719168982</c:v>
                </c:pt>
                <c:pt idx="16">
                  <c:v>102.96539554194135</c:v>
                </c:pt>
                <c:pt idx="17">
                  <c:v>102.9737511441043</c:v>
                </c:pt>
                <c:pt idx="18">
                  <c:v>103.58018388457317</c:v>
                </c:pt>
                <c:pt idx="19">
                  <c:v>103.81084449841099</c:v>
                </c:pt>
                <c:pt idx="20">
                  <c:v>104.36921336221774</c:v>
                </c:pt>
                <c:pt idx="21">
                  <c:v>101.75245340410306</c:v>
                </c:pt>
                <c:pt idx="22">
                  <c:v>102.42182145994607</c:v>
                </c:pt>
                <c:pt idx="23">
                  <c:v>103.15458477256672</c:v>
                </c:pt>
                <c:pt idx="24">
                  <c:v>103.34929330003366</c:v>
                </c:pt>
                <c:pt idx="25">
                  <c:v>101.57069989283374</c:v>
                </c:pt>
                <c:pt idx="26">
                  <c:v>101.87449118982252</c:v>
                </c:pt>
                <c:pt idx="27">
                  <c:v>101.64114758446451</c:v>
                </c:pt>
                <c:pt idx="28">
                  <c:v>101.55843478874135</c:v>
                </c:pt>
                <c:pt idx="29">
                  <c:v>103.48221636563513</c:v>
                </c:pt>
                <c:pt idx="30">
                  <c:v>103.88849793869605</c:v>
                </c:pt>
                <c:pt idx="31">
                  <c:v>104.05300364733544</c:v>
                </c:pt>
                <c:pt idx="32">
                  <c:v>104.73364026756337</c:v>
                </c:pt>
                <c:pt idx="33">
                  <c:v>105.42155929334615</c:v>
                </c:pt>
                <c:pt idx="34">
                  <c:v>104.77948109410873</c:v>
                </c:pt>
                <c:pt idx="35">
                  <c:v>104.96077466397459</c:v>
                </c:pt>
                <c:pt idx="36">
                  <c:v>102.38203652854637</c:v>
                </c:pt>
                <c:pt idx="37">
                  <c:v>101.52623889049879</c:v>
                </c:pt>
                <c:pt idx="38">
                  <c:v>101.33007388192088</c:v>
                </c:pt>
                <c:pt idx="39">
                  <c:v>98.405306497285679</c:v>
                </c:pt>
                <c:pt idx="40">
                  <c:v>100.77270155782163</c:v>
                </c:pt>
                <c:pt idx="41">
                  <c:v>102.46045653783719</c:v>
                </c:pt>
                <c:pt idx="42">
                  <c:v>102.42772404129057</c:v>
                </c:pt>
                <c:pt idx="43">
                  <c:v>102.59751907606982</c:v>
                </c:pt>
                <c:pt idx="44">
                  <c:v>103.81076784151045</c:v>
                </c:pt>
                <c:pt idx="45">
                  <c:v>103.81076784151045</c:v>
                </c:pt>
                <c:pt idx="46">
                  <c:v>104.603246879681</c:v>
                </c:pt>
                <c:pt idx="47">
                  <c:v>105.82745758190421</c:v>
                </c:pt>
                <c:pt idx="48">
                  <c:v>106.41066328149807</c:v>
                </c:pt>
                <c:pt idx="49">
                  <c:v>107.11314711839059</c:v>
                </c:pt>
                <c:pt idx="50">
                  <c:v>107.35844920023871</c:v>
                </c:pt>
                <c:pt idx="51">
                  <c:v>107.50601373385047</c:v>
                </c:pt>
                <c:pt idx="52">
                  <c:v>107.60888729442551</c:v>
                </c:pt>
                <c:pt idx="53">
                  <c:v>107.82758943177323</c:v>
                </c:pt>
                <c:pt idx="54">
                  <c:v>105.44057020468944</c:v>
                </c:pt>
                <c:pt idx="55">
                  <c:v>105.90656750330025</c:v>
                </c:pt>
                <c:pt idx="56">
                  <c:v>106.83020649835895</c:v>
                </c:pt>
                <c:pt idx="57">
                  <c:v>106.99747185541914</c:v>
                </c:pt>
                <c:pt idx="58">
                  <c:v>106.96052322934077</c:v>
                </c:pt>
                <c:pt idx="59">
                  <c:v>106.63649451059952</c:v>
                </c:pt>
                <c:pt idx="60">
                  <c:v>106.99386898109198</c:v>
                </c:pt>
                <c:pt idx="61">
                  <c:v>105.39664580065849</c:v>
                </c:pt>
                <c:pt idx="62">
                  <c:v>105.83841951868682</c:v>
                </c:pt>
                <c:pt idx="63">
                  <c:v>104.49792029828751</c:v>
                </c:pt>
                <c:pt idx="64">
                  <c:v>104.21957909229049</c:v>
                </c:pt>
                <c:pt idx="65">
                  <c:v>104.0301598909634</c:v>
                </c:pt>
                <c:pt idx="66">
                  <c:v>103.71578994169495</c:v>
                </c:pt>
                <c:pt idx="67">
                  <c:v>104.6999878882099</c:v>
                </c:pt>
                <c:pt idx="68">
                  <c:v>105.49093378836889</c:v>
                </c:pt>
                <c:pt idx="69">
                  <c:v>107.27811276843352</c:v>
                </c:pt>
                <c:pt idx="70">
                  <c:v>108.21807968331524</c:v>
                </c:pt>
                <c:pt idx="71">
                  <c:v>109.85654427625944</c:v>
                </c:pt>
                <c:pt idx="72">
                  <c:v>110.53725755338792</c:v>
                </c:pt>
                <c:pt idx="73">
                  <c:v>111.6223359810629</c:v>
                </c:pt>
                <c:pt idx="74">
                  <c:v>111.50972699411452</c:v>
                </c:pt>
                <c:pt idx="75">
                  <c:v>111.987759426116</c:v>
                </c:pt>
                <c:pt idx="76">
                  <c:v>112.43926857051767</c:v>
                </c:pt>
                <c:pt idx="77">
                  <c:v>112.89798346357362</c:v>
                </c:pt>
                <c:pt idx="78">
                  <c:v>113.23925998494481</c:v>
                </c:pt>
                <c:pt idx="79">
                  <c:v>111.85322656560244</c:v>
                </c:pt>
                <c:pt idx="80">
                  <c:v>112.15939422650909</c:v>
                </c:pt>
                <c:pt idx="81">
                  <c:v>112.92757302719656</c:v>
                </c:pt>
                <c:pt idx="82">
                  <c:v>113.66738877467034</c:v>
                </c:pt>
                <c:pt idx="83">
                  <c:v>112.20454514094928</c:v>
                </c:pt>
                <c:pt idx="84">
                  <c:v>113.27475212991223</c:v>
                </c:pt>
                <c:pt idx="85">
                  <c:v>112.83964756223416</c:v>
                </c:pt>
                <c:pt idx="86">
                  <c:v>112.83964756223416</c:v>
                </c:pt>
                <c:pt idx="87">
                  <c:v>114.37723167401832</c:v>
                </c:pt>
                <c:pt idx="88">
                  <c:v>114.83901284309736</c:v>
                </c:pt>
                <c:pt idx="89">
                  <c:v>115.37285149871933</c:v>
                </c:pt>
                <c:pt idx="90">
                  <c:v>116.28276890857465</c:v>
                </c:pt>
                <c:pt idx="91">
                  <c:v>117.35450903554914</c:v>
                </c:pt>
                <c:pt idx="92">
                  <c:v>117.71617629247396</c:v>
                </c:pt>
                <c:pt idx="93">
                  <c:v>118.55794571771584</c:v>
                </c:pt>
                <c:pt idx="94">
                  <c:v>118.29133301750717</c:v>
                </c:pt>
                <c:pt idx="95">
                  <c:v>118.53732501146048</c:v>
                </c:pt>
                <c:pt idx="96">
                  <c:v>118.94291667241619</c:v>
                </c:pt>
                <c:pt idx="97">
                  <c:v>118.91562681581058</c:v>
                </c:pt>
                <c:pt idx="98">
                  <c:v>119.91377631823065</c:v>
                </c:pt>
                <c:pt idx="99">
                  <c:v>120.07214947482385</c:v>
                </c:pt>
                <c:pt idx="100">
                  <c:v>120.63312467325022</c:v>
                </c:pt>
                <c:pt idx="101">
                  <c:v>116.82197354723701</c:v>
                </c:pt>
                <c:pt idx="102">
                  <c:v>118.29585577464124</c:v>
                </c:pt>
                <c:pt idx="103">
                  <c:v>119.68204250778479</c:v>
                </c:pt>
                <c:pt idx="104">
                  <c:v>120.768347445869</c:v>
                </c:pt>
                <c:pt idx="105">
                  <c:v>120.768347445869</c:v>
                </c:pt>
                <c:pt idx="106">
                  <c:v>121.74311659361291</c:v>
                </c:pt>
                <c:pt idx="107">
                  <c:v>122.01869815118914</c:v>
                </c:pt>
                <c:pt idx="108">
                  <c:v>122.51926771196044</c:v>
                </c:pt>
                <c:pt idx="109">
                  <c:v>122.66230948843811</c:v>
                </c:pt>
                <c:pt idx="110">
                  <c:v>123.15835629207534</c:v>
                </c:pt>
                <c:pt idx="111">
                  <c:v>124.59383341229025</c:v>
                </c:pt>
                <c:pt idx="112">
                  <c:v>125.48336008659196</c:v>
                </c:pt>
                <c:pt idx="113">
                  <c:v>125.00862390131529</c:v>
                </c:pt>
                <c:pt idx="114">
                  <c:v>125.01950918119729</c:v>
                </c:pt>
                <c:pt idx="115">
                  <c:v>127.11109271345528</c:v>
                </c:pt>
                <c:pt idx="116">
                  <c:v>128.32096857527046</c:v>
                </c:pt>
                <c:pt idx="117">
                  <c:v>128.57807581980751</c:v>
                </c:pt>
                <c:pt idx="118">
                  <c:v>128.29820147579892</c:v>
                </c:pt>
                <c:pt idx="119">
                  <c:v>128.57493288688383</c:v>
                </c:pt>
                <c:pt idx="120">
                  <c:v>126.79442305716945</c:v>
                </c:pt>
                <c:pt idx="121">
                  <c:v>125.0431961634757</c:v>
                </c:pt>
                <c:pt idx="122">
                  <c:v>127.21319970502449</c:v>
                </c:pt>
                <c:pt idx="123">
                  <c:v>128.52556584291187</c:v>
                </c:pt>
                <c:pt idx="124">
                  <c:v>128.1460375281525</c:v>
                </c:pt>
                <c:pt idx="125">
                  <c:v>126.4629586190722</c:v>
                </c:pt>
                <c:pt idx="126">
                  <c:v>125.05024859832882</c:v>
                </c:pt>
                <c:pt idx="127">
                  <c:v>125.05024859832882</c:v>
                </c:pt>
                <c:pt idx="128">
                  <c:v>122.90331878385385</c:v>
                </c:pt>
                <c:pt idx="129">
                  <c:v>121.89880675868584</c:v>
                </c:pt>
                <c:pt idx="130">
                  <c:v>119.60293258638873</c:v>
                </c:pt>
                <c:pt idx="131">
                  <c:v>124.36209960184431</c:v>
                </c:pt>
                <c:pt idx="132">
                  <c:v>127.07905012901382</c:v>
                </c:pt>
                <c:pt idx="133">
                  <c:v>128.25925977030553</c:v>
                </c:pt>
                <c:pt idx="134">
                  <c:v>129.18435524647521</c:v>
                </c:pt>
                <c:pt idx="135">
                  <c:v>128.78857566879341</c:v>
                </c:pt>
                <c:pt idx="136">
                  <c:v>130.59629869821279</c:v>
                </c:pt>
                <c:pt idx="137">
                  <c:v>130.46874161565177</c:v>
                </c:pt>
                <c:pt idx="138">
                  <c:v>130.93259252104642</c:v>
                </c:pt>
                <c:pt idx="139">
                  <c:v>131.72338510740423</c:v>
                </c:pt>
                <c:pt idx="140">
                  <c:v>131.6563103193989</c:v>
                </c:pt>
                <c:pt idx="141">
                  <c:v>132.73364640011553</c:v>
                </c:pt>
                <c:pt idx="142">
                  <c:v>132.65468979252068</c:v>
                </c:pt>
                <c:pt idx="143">
                  <c:v>132.15473348695403</c:v>
                </c:pt>
                <c:pt idx="144">
                  <c:v>131.688046276238</c:v>
                </c:pt>
                <c:pt idx="145">
                  <c:v>130.43110307746818</c:v>
                </c:pt>
                <c:pt idx="146">
                  <c:v>127.59242139218155</c:v>
                </c:pt>
                <c:pt idx="147">
                  <c:v>128.32403485129353</c:v>
                </c:pt>
                <c:pt idx="148">
                  <c:v>129.89389151822081</c:v>
                </c:pt>
                <c:pt idx="149">
                  <c:v>130.99782754343786</c:v>
                </c:pt>
                <c:pt idx="150">
                  <c:v>126.6463219252536</c:v>
                </c:pt>
                <c:pt idx="151">
                  <c:v>128.515370475135</c:v>
                </c:pt>
                <c:pt idx="152">
                  <c:v>130.18610762322234</c:v>
                </c:pt>
                <c:pt idx="153">
                  <c:v>133.0209564634801</c:v>
                </c:pt>
                <c:pt idx="154">
                  <c:v>131.98041569504065</c:v>
                </c:pt>
                <c:pt idx="155">
                  <c:v>130.69089331352541</c:v>
                </c:pt>
                <c:pt idx="156">
                  <c:v>130.84658347859838</c:v>
                </c:pt>
                <c:pt idx="157">
                  <c:v>131.49533082818604</c:v>
                </c:pt>
                <c:pt idx="158">
                  <c:v>132.46787692581319</c:v>
                </c:pt>
                <c:pt idx="159">
                  <c:v>132.46787692581319</c:v>
                </c:pt>
                <c:pt idx="160">
                  <c:v>131.11227629600009</c:v>
                </c:pt>
                <c:pt idx="161">
                  <c:v>130.35850899262121</c:v>
                </c:pt>
                <c:pt idx="162">
                  <c:v>130.52853399810215</c:v>
                </c:pt>
                <c:pt idx="163">
                  <c:v>128.76902815914602</c:v>
                </c:pt>
                <c:pt idx="164">
                  <c:v>127.06724496632478</c:v>
                </c:pt>
                <c:pt idx="165">
                  <c:v>128.851051042764</c:v>
                </c:pt>
                <c:pt idx="166">
                  <c:v>129.33789901833191</c:v>
                </c:pt>
                <c:pt idx="167">
                  <c:v>130.00634719136801</c:v>
                </c:pt>
                <c:pt idx="168">
                  <c:v>127.79211261818597</c:v>
                </c:pt>
                <c:pt idx="169">
                  <c:v>125.55204466950929</c:v>
                </c:pt>
                <c:pt idx="170">
                  <c:v>127.14957447754509</c:v>
                </c:pt>
                <c:pt idx="171">
                  <c:v>127.14957447754509</c:v>
                </c:pt>
                <c:pt idx="172">
                  <c:v>129.60811459286774</c:v>
                </c:pt>
                <c:pt idx="173">
                  <c:v>128.80237391089727</c:v>
                </c:pt>
                <c:pt idx="174">
                  <c:v>130.45233703892811</c:v>
                </c:pt>
                <c:pt idx="175">
                  <c:v>130.45233703892811</c:v>
                </c:pt>
                <c:pt idx="176">
                  <c:v>128.8340332108358</c:v>
                </c:pt>
                <c:pt idx="177">
                  <c:v>129.51007041702908</c:v>
                </c:pt>
                <c:pt idx="178">
                  <c:v>130.85647221877286</c:v>
                </c:pt>
                <c:pt idx="179">
                  <c:v>131.71870903646897</c:v>
                </c:pt>
                <c:pt idx="180">
                  <c:v>131.47264038561508</c:v>
                </c:pt>
                <c:pt idx="181">
                  <c:v>126.75939085360545</c:v>
                </c:pt>
                <c:pt idx="182">
                  <c:v>128.20475671399484</c:v>
                </c:pt>
                <c:pt idx="183">
                  <c:v>128.20475671399484</c:v>
                </c:pt>
                <c:pt idx="184">
                  <c:v>128.6726704351201</c:v>
                </c:pt>
                <c:pt idx="185">
                  <c:v>129.2325724369384</c:v>
                </c:pt>
                <c:pt idx="186">
                  <c:v>126.95831551060415</c:v>
                </c:pt>
                <c:pt idx="187">
                  <c:v>126.64118591291489</c:v>
                </c:pt>
                <c:pt idx="188">
                  <c:v>126.64118591291489</c:v>
                </c:pt>
                <c:pt idx="189">
                  <c:v>127.1239710727522</c:v>
                </c:pt>
                <c:pt idx="190">
                  <c:v>126.67529823367191</c:v>
                </c:pt>
                <c:pt idx="191">
                  <c:v>127.98360155582867</c:v>
                </c:pt>
                <c:pt idx="192">
                  <c:v>129.24353437372099</c:v>
                </c:pt>
                <c:pt idx="193">
                  <c:v>130.65287149083895</c:v>
                </c:pt>
                <c:pt idx="194">
                  <c:v>130.97866331829346</c:v>
                </c:pt>
                <c:pt idx="195">
                  <c:v>129.22942950401472</c:v>
                </c:pt>
                <c:pt idx="196">
                  <c:v>129.47105205463509</c:v>
                </c:pt>
                <c:pt idx="197">
                  <c:v>128.39363931701786</c:v>
                </c:pt>
                <c:pt idx="198">
                  <c:v>129.54479599299069</c:v>
                </c:pt>
                <c:pt idx="199">
                  <c:v>130.56770567429729</c:v>
                </c:pt>
                <c:pt idx="200">
                  <c:v>131.23730370084206</c:v>
                </c:pt>
                <c:pt idx="201">
                  <c:v>132.34031984325219</c:v>
                </c:pt>
                <c:pt idx="202">
                  <c:v>131.82618201107869</c:v>
                </c:pt>
                <c:pt idx="203">
                  <c:v>130.64252280926101</c:v>
                </c:pt>
                <c:pt idx="204">
                  <c:v>130.64252280926101</c:v>
                </c:pt>
                <c:pt idx="205">
                  <c:v>130.32255690625038</c:v>
                </c:pt>
                <c:pt idx="206">
                  <c:v>132.02694643369125</c:v>
                </c:pt>
                <c:pt idx="207">
                  <c:v>133.62685260564496</c:v>
                </c:pt>
                <c:pt idx="208">
                  <c:v>133.27775708041486</c:v>
                </c:pt>
                <c:pt idx="209">
                  <c:v>132.38048805915486</c:v>
                </c:pt>
                <c:pt idx="210">
                  <c:v>134.01351001215804</c:v>
                </c:pt>
                <c:pt idx="211">
                  <c:v>134.17824569149914</c:v>
                </c:pt>
                <c:pt idx="212">
                  <c:v>134.59510591683974</c:v>
                </c:pt>
                <c:pt idx="213">
                  <c:v>135.4114252510899</c:v>
                </c:pt>
                <c:pt idx="214">
                  <c:v>135.59885137300193</c:v>
                </c:pt>
                <c:pt idx="215">
                  <c:v>136.20965355680372</c:v>
                </c:pt>
                <c:pt idx="216">
                  <c:v>137.5059984024704</c:v>
                </c:pt>
                <c:pt idx="217">
                  <c:v>137.53620122129794</c:v>
                </c:pt>
                <c:pt idx="218">
                  <c:v>138.23561878216736</c:v>
                </c:pt>
                <c:pt idx="219">
                  <c:v>139.2481031249954</c:v>
                </c:pt>
                <c:pt idx="220">
                  <c:v>139.39474777580023</c:v>
                </c:pt>
                <c:pt idx="221">
                  <c:v>140.08841606912631</c:v>
                </c:pt>
                <c:pt idx="222">
                  <c:v>140.33256829746574</c:v>
                </c:pt>
                <c:pt idx="223">
                  <c:v>139.29379063773959</c:v>
                </c:pt>
                <c:pt idx="224">
                  <c:v>140.44142109628584</c:v>
                </c:pt>
                <c:pt idx="225">
                  <c:v>141.02945618061611</c:v>
                </c:pt>
                <c:pt idx="226">
                  <c:v>141.08188950061114</c:v>
                </c:pt>
                <c:pt idx="227">
                  <c:v>141.49123734969515</c:v>
                </c:pt>
                <c:pt idx="228">
                  <c:v>140.46265505774582</c:v>
                </c:pt>
                <c:pt idx="229">
                  <c:v>139.73127156933558</c:v>
                </c:pt>
                <c:pt idx="230">
                  <c:v>139.37213399012981</c:v>
                </c:pt>
                <c:pt idx="231">
                  <c:v>139.99382145381361</c:v>
                </c:pt>
                <c:pt idx="232">
                  <c:v>140.420340448627</c:v>
                </c:pt>
                <c:pt idx="233">
                  <c:v>139.55534398251012</c:v>
                </c:pt>
                <c:pt idx="234">
                  <c:v>140.11647249473768</c:v>
                </c:pt>
                <c:pt idx="235">
                  <c:v>140.66633244258034</c:v>
                </c:pt>
                <c:pt idx="236">
                  <c:v>140.37457627898223</c:v>
                </c:pt>
                <c:pt idx="237">
                  <c:v>139.86135832961565</c:v>
                </c:pt>
                <c:pt idx="238">
                  <c:v>139.60363782987397</c:v>
                </c:pt>
                <c:pt idx="239">
                  <c:v>139.39037833246729</c:v>
                </c:pt>
                <c:pt idx="240">
                  <c:v>139.71195403039005</c:v>
                </c:pt>
                <c:pt idx="241">
                  <c:v>140.53448257358698</c:v>
                </c:pt>
                <c:pt idx="242">
                  <c:v>140.07208814930331</c:v>
                </c:pt>
                <c:pt idx="243">
                  <c:v>140.62547431457253</c:v>
                </c:pt>
                <c:pt idx="244">
                  <c:v>139.55105119607782</c:v>
                </c:pt>
                <c:pt idx="245">
                  <c:v>139.4719412746818</c:v>
                </c:pt>
                <c:pt idx="246">
                  <c:v>139.60172140735958</c:v>
                </c:pt>
                <c:pt idx="247">
                  <c:v>140.34261035144144</c:v>
                </c:pt>
                <c:pt idx="248">
                  <c:v>140.63291003392857</c:v>
                </c:pt>
                <c:pt idx="249">
                  <c:v>141.08986181827123</c:v>
                </c:pt>
                <c:pt idx="250">
                  <c:v>141.15701326317716</c:v>
                </c:pt>
                <c:pt idx="251">
                  <c:v>140.07622762193452</c:v>
                </c:pt>
                <c:pt idx="252">
                  <c:v>139.19643637400617</c:v>
                </c:pt>
                <c:pt idx="253">
                  <c:v>139.19643637400617</c:v>
                </c:pt>
                <c:pt idx="254">
                  <c:v>141.17556423311692</c:v>
                </c:pt>
                <c:pt idx="255">
                  <c:v>141.36444683613993</c:v>
                </c:pt>
                <c:pt idx="256">
                  <c:v>141.20346734492713</c:v>
                </c:pt>
                <c:pt idx="257">
                  <c:v>140.38515493126198</c:v>
                </c:pt>
                <c:pt idx="258">
                  <c:v>140.38799123658336</c:v>
                </c:pt>
                <c:pt idx="259">
                  <c:v>140.93256185828614</c:v>
                </c:pt>
                <c:pt idx="260">
                  <c:v>140.80216847040376</c:v>
                </c:pt>
                <c:pt idx="261">
                  <c:v>142.18988834155883</c:v>
                </c:pt>
                <c:pt idx="262">
                  <c:v>144.26698371960768</c:v>
                </c:pt>
                <c:pt idx="263">
                  <c:v>144.72247902283939</c:v>
                </c:pt>
                <c:pt idx="264">
                  <c:v>144.87931904142104</c:v>
                </c:pt>
                <c:pt idx="265">
                  <c:v>144.3601218538094</c:v>
                </c:pt>
                <c:pt idx="266">
                  <c:v>144.24521315984367</c:v>
                </c:pt>
                <c:pt idx="267">
                  <c:v>144.33191211439683</c:v>
                </c:pt>
                <c:pt idx="268">
                  <c:v>144.46728820081677</c:v>
                </c:pt>
                <c:pt idx="269">
                  <c:v>145.19966822893451</c:v>
                </c:pt>
                <c:pt idx="270">
                  <c:v>146.29156912076087</c:v>
                </c:pt>
                <c:pt idx="271">
                  <c:v>146.65814241932262</c:v>
                </c:pt>
                <c:pt idx="272">
                  <c:v>147.54605929871218</c:v>
                </c:pt>
                <c:pt idx="273">
                  <c:v>147.4023276101293</c:v>
                </c:pt>
                <c:pt idx="274">
                  <c:v>147.4023276101293</c:v>
                </c:pt>
                <c:pt idx="275">
                  <c:v>146.24220207678891</c:v>
                </c:pt>
                <c:pt idx="276">
                  <c:v>146.51586721185072</c:v>
                </c:pt>
                <c:pt idx="277">
                  <c:v>147.53325759631576</c:v>
                </c:pt>
                <c:pt idx="278">
                  <c:v>147.86050590488125</c:v>
                </c:pt>
                <c:pt idx="279">
                  <c:v>148.09522933444967</c:v>
                </c:pt>
                <c:pt idx="280">
                  <c:v>148.9915018160022</c:v>
                </c:pt>
                <c:pt idx="281">
                  <c:v>151.14034805299161</c:v>
                </c:pt>
                <c:pt idx="282">
                  <c:v>153.18961697613082</c:v>
                </c:pt>
              </c:numCache>
            </c:numRef>
          </c:val>
          <c:smooth val="0"/>
          <c:extLst>
            <c:ext xmlns:c16="http://schemas.microsoft.com/office/drawing/2014/chart" uri="{C3380CC4-5D6E-409C-BE32-E72D297353CC}">
              <c16:uniqueId val="{00000001-BB1F-4F27-A800-43BB74EC0CD7}"/>
            </c:ext>
          </c:extLst>
        </c:ser>
        <c:ser>
          <c:idx val="2"/>
          <c:order val="2"/>
          <c:tx>
            <c:strRef>
              <c:f>'[2021 09 GMR NEW.XLSX]MSCI Chart'!$J$7</c:f>
              <c:strCache>
                <c:ptCount val="1"/>
                <c:pt idx="0">
                  <c:v>MSCI All country</c:v>
                </c:pt>
              </c:strCache>
            </c:strRef>
          </c:tx>
          <c:spPr>
            <a:ln w="28575" cap="rnd">
              <a:solidFill>
                <a:schemeClr val="tx1">
                  <a:lumMod val="75000"/>
                  <a:lumOff val="25000"/>
                </a:schemeClr>
              </a:solidFill>
              <a:round/>
            </a:ln>
            <a:effectLst/>
          </c:spPr>
          <c:marker>
            <c:symbol val="none"/>
          </c:marker>
          <c:cat>
            <c:numRef>
              <c:f>'[2021 09 GMR NEW.XLSX]MSCI Chart'!$G$8:$G$290</c:f>
              <c:numCache>
                <c:formatCode>m/d/yyyy</c:formatCode>
                <c:ptCount val="283"/>
                <c:pt idx="0">
                  <c:v>44043</c:v>
                </c:pt>
                <c:pt idx="1">
                  <c:v>44046</c:v>
                </c:pt>
                <c:pt idx="2">
                  <c:v>44047</c:v>
                </c:pt>
                <c:pt idx="3">
                  <c:v>44048</c:v>
                </c:pt>
                <c:pt idx="4">
                  <c:v>44049</c:v>
                </c:pt>
                <c:pt idx="5">
                  <c:v>44050</c:v>
                </c:pt>
                <c:pt idx="6">
                  <c:v>44053</c:v>
                </c:pt>
                <c:pt idx="7">
                  <c:v>44054</c:v>
                </c:pt>
                <c:pt idx="8">
                  <c:v>44055</c:v>
                </c:pt>
                <c:pt idx="9">
                  <c:v>44056</c:v>
                </c:pt>
                <c:pt idx="10">
                  <c:v>44057</c:v>
                </c:pt>
                <c:pt idx="11">
                  <c:v>44060</c:v>
                </c:pt>
                <c:pt idx="12">
                  <c:v>44061</c:v>
                </c:pt>
                <c:pt idx="13">
                  <c:v>44062</c:v>
                </c:pt>
                <c:pt idx="14">
                  <c:v>44063</c:v>
                </c:pt>
                <c:pt idx="15">
                  <c:v>44064</c:v>
                </c:pt>
                <c:pt idx="16">
                  <c:v>44067</c:v>
                </c:pt>
                <c:pt idx="17">
                  <c:v>44068</c:v>
                </c:pt>
                <c:pt idx="18">
                  <c:v>44069</c:v>
                </c:pt>
                <c:pt idx="19">
                  <c:v>44070</c:v>
                </c:pt>
                <c:pt idx="20">
                  <c:v>44071</c:v>
                </c:pt>
                <c:pt idx="21">
                  <c:v>44074</c:v>
                </c:pt>
                <c:pt idx="22">
                  <c:v>44075</c:v>
                </c:pt>
                <c:pt idx="23">
                  <c:v>44076</c:v>
                </c:pt>
                <c:pt idx="24">
                  <c:v>44077</c:v>
                </c:pt>
                <c:pt idx="25">
                  <c:v>44078</c:v>
                </c:pt>
                <c:pt idx="26">
                  <c:v>44081</c:v>
                </c:pt>
                <c:pt idx="27">
                  <c:v>44082</c:v>
                </c:pt>
                <c:pt idx="28">
                  <c:v>44083</c:v>
                </c:pt>
                <c:pt idx="29">
                  <c:v>44084</c:v>
                </c:pt>
                <c:pt idx="30">
                  <c:v>44085</c:v>
                </c:pt>
                <c:pt idx="31">
                  <c:v>44088</c:v>
                </c:pt>
                <c:pt idx="32">
                  <c:v>44089</c:v>
                </c:pt>
                <c:pt idx="33">
                  <c:v>44090</c:v>
                </c:pt>
                <c:pt idx="34">
                  <c:v>44091</c:v>
                </c:pt>
                <c:pt idx="35">
                  <c:v>44092</c:v>
                </c:pt>
                <c:pt idx="36">
                  <c:v>44095</c:v>
                </c:pt>
                <c:pt idx="37">
                  <c:v>44096</c:v>
                </c:pt>
                <c:pt idx="38">
                  <c:v>44097</c:v>
                </c:pt>
                <c:pt idx="39">
                  <c:v>44098</c:v>
                </c:pt>
                <c:pt idx="40">
                  <c:v>44099</c:v>
                </c:pt>
                <c:pt idx="41">
                  <c:v>44102</c:v>
                </c:pt>
                <c:pt idx="42">
                  <c:v>44103</c:v>
                </c:pt>
                <c:pt idx="43">
                  <c:v>44104</c:v>
                </c:pt>
                <c:pt idx="44">
                  <c:v>44105</c:v>
                </c:pt>
                <c:pt idx="45">
                  <c:v>44106</c:v>
                </c:pt>
                <c:pt idx="46">
                  <c:v>44109</c:v>
                </c:pt>
                <c:pt idx="47">
                  <c:v>44110</c:v>
                </c:pt>
                <c:pt idx="48">
                  <c:v>44111</c:v>
                </c:pt>
                <c:pt idx="49">
                  <c:v>44112</c:v>
                </c:pt>
                <c:pt idx="50">
                  <c:v>44113</c:v>
                </c:pt>
                <c:pt idx="51">
                  <c:v>44116</c:v>
                </c:pt>
                <c:pt idx="52">
                  <c:v>44117</c:v>
                </c:pt>
                <c:pt idx="53">
                  <c:v>44118</c:v>
                </c:pt>
                <c:pt idx="54">
                  <c:v>44119</c:v>
                </c:pt>
                <c:pt idx="55">
                  <c:v>44120</c:v>
                </c:pt>
                <c:pt idx="56">
                  <c:v>44123</c:v>
                </c:pt>
                <c:pt idx="57">
                  <c:v>44124</c:v>
                </c:pt>
                <c:pt idx="58">
                  <c:v>44125</c:v>
                </c:pt>
                <c:pt idx="59">
                  <c:v>44126</c:v>
                </c:pt>
                <c:pt idx="60">
                  <c:v>44127</c:v>
                </c:pt>
                <c:pt idx="61">
                  <c:v>44130</c:v>
                </c:pt>
                <c:pt idx="62">
                  <c:v>44131</c:v>
                </c:pt>
                <c:pt idx="63">
                  <c:v>44132</c:v>
                </c:pt>
                <c:pt idx="64">
                  <c:v>44133</c:v>
                </c:pt>
                <c:pt idx="65">
                  <c:v>44134</c:v>
                </c:pt>
                <c:pt idx="66">
                  <c:v>44137</c:v>
                </c:pt>
                <c:pt idx="67">
                  <c:v>44138</c:v>
                </c:pt>
                <c:pt idx="68">
                  <c:v>44139</c:v>
                </c:pt>
                <c:pt idx="69">
                  <c:v>44140</c:v>
                </c:pt>
                <c:pt idx="70">
                  <c:v>44141</c:v>
                </c:pt>
                <c:pt idx="71">
                  <c:v>44144</c:v>
                </c:pt>
                <c:pt idx="72">
                  <c:v>44145</c:v>
                </c:pt>
                <c:pt idx="73">
                  <c:v>44146</c:v>
                </c:pt>
                <c:pt idx="74">
                  <c:v>44147</c:v>
                </c:pt>
                <c:pt idx="75">
                  <c:v>44148</c:v>
                </c:pt>
                <c:pt idx="76">
                  <c:v>44151</c:v>
                </c:pt>
                <c:pt idx="77">
                  <c:v>44152</c:v>
                </c:pt>
                <c:pt idx="78">
                  <c:v>44153</c:v>
                </c:pt>
                <c:pt idx="79">
                  <c:v>44154</c:v>
                </c:pt>
                <c:pt idx="80">
                  <c:v>44155</c:v>
                </c:pt>
                <c:pt idx="81">
                  <c:v>44158</c:v>
                </c:pt>
                <c:pt idx="82">
                  <c:v>44159</c:v>
                </c:pt>
                <c:pt idx="83">
                  <c:v>44160</c:v>
                </c:pt>
                <c:pt idx="84">
                  <c:v>44161</c:v>
                </c:pt>
                <c:pt idx="85">
                  <c:v>44162</c:v>
                </c:pt>
                <c:pt idx="86">
                  <c:v>44165</c:v>
                </c:pt>
                <c:pt idx="87">
                  <c:v>44166</c:v>
                </c:pt>
                <c:pt idx="88">
                  <c:v>44167</c:v>
                </c:pt>
                <c:pt idx="89">
                  <c:v>44168</c:v>
                </c:pt>
                <c:pt idx="90">
                  <c:v>44169</c:v>
                </c:pt>
                <c:pt idx="91">
                  <c:v>44172</c:v>
                </c:pt>
                <c:pt idx="92">
                  <c:v>44173</c:v>
                </c:pt>
                <c:pt idx="93">
                  <c:v>44174</c:v>
                </c:pt>
                <c:pt idx="94">
                  <c:v>44175</c:v>
                </c:pt>
                <c:pt idx="95">
                  <c:v>44176</c:v>
                </c:pt>
                <c:pt idx="96">
                  <c:v>44179</c:v>
                </c:pt>
                <c:pt idx="97">
                  <c:v>44180</c:v>
                </c:pt>
                <c:pt idx="98">
                  <c:v>44181</c:v>
                </c:pt>
                <c:pt idx="99">
                  <c:v>44182</c:v>
                </c:pt>
                <c:pt idx="100">
                  <c:v>44183</c:v>
                </c:pt>
                <c:pt idx="101">
                  <c:v>44186</c:v>
                </c:pt>
                <c:pt idx="102">
                  <c:v>44187</c:v>
                </c:pt>
                <c:pt idx="103">
                  <c:v>44188</c:v>
                </c:pt>
                <c:pt idx="104">
                  <c:v>44189</c:v>
                </c:pt>
                <c:pt idx="105">
                  <c:v>44190</c:v>
                </c:pt>
                <c:pt idx="106">
                  <c:v>44193</c:v>
                </c:pt>
                <c:pt idx="107">
                  <c:v>44194</c:v>
                </c:pt>
                <c:pt idx="108">
                  <c:v>44195</c:v>
                </c:pt>
                <c:pt idx="109">
                  <c:v>44196</c:v>
                </c:pt>
                <c:pt idx="110">
                  <c:v>44197</c:v>
                </c:pt>
                <c:pt idx="111">
                  <c:v>44200</c:v>
                </c:pt>
                <c:pt idx="112">
                  <c:v>44201</c:v>
                </c:pt>
                <c:pt idx="113">
                  <c:v>44202</c:v>
                </c:pt>
                <c:pt idx="114">
                  <c:v>44203</c:v>
                </c:pt>
                <c:pt idx="115">
                  <c:v>44204</c:v>
                </c:pt>
                <c:pt idx="116">
                  <c:v>44207</c:v>
                </c:pt>
                <c:pt idx="117">
                  <c:v>44208</c:v>
                </c:pt>
                <c:pt idx="118">
                  <c:v>44209</c:v>
                </c:pt>
                <c:pt idx="119">
                  <c:v>44210</c:v>
                </c:pt>
                <c:pt idx="120">
                  <c:v>44211</c:v>
                </c:pt>
                <c:pt idx="121">
                  <c:v>44214</c:v>
                </c:pt>
                <c:pt idx="122">
                  <c:v>44215</c:v>
                </c:pt>
                <c:pt idx="123">
                  <c:v>44216</c:v>
                </c:pt>
                <c:pt idx="124">
                  <c:v>44217</c:v>
                </c:pt>
                <c:pt idx="125">
                  <c:v>44218</c:v>
                </c:pt>
                <c:pt idx="126">
                  <c:v>44221</c:v>
                </c:pt>
                <c:pt idx="127">
                  <c:v>44222</c:v>
                </c:pt>
                <c:pt idx="128">
                  <c:v>44223</c:v>
                </c:pt>
                <c:pt idx="129">
                  <c:v>44224</c:v>
                </c:pt>
                <c:pt idx="130">
                  <c:v>44225</c:v>
                </c:pt>
                <c:pt idx="131">
                  <c:v>44228</c:v>
                </c:pt>
                <c:pt idx="132">
                  <c:v>44229</c:v>
                </c:pt>
                <c:pt idx="133">
                  <c:v>44230</c:v>
                </c:pt>
                <c:pt idx="134">
                  <c:v>44231</c:v>
                </c:pt>
                <c:pt idx="135">
                  <c:v>44232</c:v>
                </c:pt>
                <c:pt idx="136">
                  <c:v>44235</c:v>
                </c:pt>
                <c:pt idx="137">
                  <c:v>44236</c:v>
                </c:pt>
                <c:pt idx="138">
                  <c:v>44237</c:v>
                </c:pt>
                <c:pt idx="139">
                  <c:v>44238</c:v>
                </c:pt>
                <c:pt idx="140">
                  <c:v>44239</c:v>
                </c:pt>
                <c:pt idx="141">
                  <c:v>44242</c:v>
                </c:pt>
                <c:pt idx="142">
                  <c:v>44243</c:v>
                </c:pt>
                <c:pt idx="143">
                  <c:v>44244</c:v>
                </c:pt>
                <c:pt idx="144">
                  <c:v>44245</c:v>
                </c:pt>
                <c:pt idx="145">
                  <c:v>44246</c:v>
                </c:pt>
                <c:pt idx="146">
                  <c:v>44249</c:v>
                </c:pt>
                <c:pt idx="147">
                  <c:v>44250</c:v>
                </c:pt>
                <c:pt idx="148">
                  <c:v>44251</c:v>
                </c:pt>
                <c:pt idx="149">
                  <c:v>44252</c:v>
                </c:pt>
                <c:pt idx="150">
                  <c:v>44253</c:v>
                </c:pt>
                <c:pt idx="151">
                  <c:v>44256</c:v>
                </c:pt>
                <c:pt idx="152">
                  <c:v>44257</c:v>
                </c:pt>
                <c:pt idx="153">
                  <c:v>44258</c:v>
                </c:pt>
                <c:pt idx="154">
                  <c:v>44259</c:v>
                </c:pt>
                <c:pt idx="155">
                  <c:v>44260</c:v>
                </c:pt>
                <c:pt idx="156">
                  <c:v>44263</c:v>
                </c:pt>
                <c:pt idx="157">
                  <c:v>44264</c:v>
                </c:pt>
                <c:pt idx="158">
                  <c:v>44265</c:v>
                </c:pt>
                <c:pt idx="159">
                  <c:v>44266</c:v>
                </c:pt>
                <c:pt idx="160">
                  <c:v>44267</c:v>
                </c:pt>
                <c:pt idx="161">
                  <c:v>44270</c:v>
                </c:pt>
                <c:pt idx="162">
                  <c:v>44271</c:v>
                </c:pt>
                <c:pt idx="163">
                  <c:v>44272</c:v>
                </c:pt>
                <c:pt idx="164">
                  <c:v>44273</c:v>
                </c:pt>
                <c:pt idx="165">
                  <c:v>44274</c:v>
                </c:pt>
                <c:pt idx="166">
                  <c:v>44277</c:v>
                </c:pt>
                <c:pt idx="167">
                  <c:v>44278</c:v>
                </c:pt>
                <c:pt idx="168">
                  <c:v>44279</c:v>
                </c:pt>
                <c:pt idx="169">
                  <c:v>44280</c:v>
                </c:pt>
                <c:pt idx="170">
                  <c:v>44281</c:v>
                </c:pt>
                <c:pt idx="171">
                  <c:v>44284</c:v>
                </c:pt>
                <c:pt idx="172">
                  <c:v>44285</c:v>
                </c:pt>
                <c:pt idx="173">
                  <c:v>44286</c:v>
                </c:pt>
                <c:pt idx="174">
                  <c:v>44287</c:v>
                </c:pt>
                <c:pt idx="175">
                  <c:v>44288</c:v>
                </c:pt>
                <c:pt idx="176">
                  <c:v>44291</c:v>
                </c:pt>
                <c:pt idx="177">
                  <c:v>44292</c:v>
                </c:pt>
                <c:pt idx="178">
                  <c:v>44293</c:v>
                </c:pt>
                <c:pt idx="179">
                  <c:v>44294</c:v>
                </c:pt>
                <c:pt idx="180">
                  <c:v>44295</c:v>
                </c:pt>
                <c:pt idx="181">
                  <c:v>44298</c:v>
                </c:pt>
                <c:pt idx="182">
                  <c:v>44299</c:v>
                </c:pt>
                <c:pt idx="183">
                  <c:v>44300</c:v>
                </c:pt>
                <c:pt idx="184">
                  <c:v>44301</c:v>
                </c:pt>
                <c:pt idx="185">
                  <c:v>44302</c:v>
                </c:pt>
                <c:pt idx="186">
                  <c:v>44305</c:v>
                </c:pt>
                <c:pt idx="187">
                  <c:v>44306</c:v>
                </c:pt>
                <c:pt idx="188">
                  <c:v>44307</c:v>
                </c:pt>
                <c:pt idx="189">
                  <c:v>44308</c:v>
                </c:pt>
                <c:pt idx="190">
                  <c:v>44309</c:v>
                </c:pt>
                <c:pt idx="191">
                  <c:v>44312</c:v>
                </c:pt>
                <c:pt idx="192">
                  <c:v>44313</c:v>
                </c:pt>
                <c:pt idx="193">
                  <c:v>44314</c:v>
                </c:pt>
                <c:pt idx="194">
                  <c:v>44315</c:v>
                </c:pt>
                <c:pt idx="195">
                  <c:v>44316</c:v>
                </c:pt>
                <c:pt idx="196">
                  <c:v>44319</c:v>
                </c:pt>
                <c:pt idx="197">
                  <c:v>44320</c:v>
                </c:pt>
                <c:pt idx="198">
                  <c:v>44321</c:v>
                </c:pt>
                <c:pt idx="199">
                  <c:v>44322</c:v>
                </c:pt>
                <c:pt idx="200">
                  <c:v>44323</c:v>
                </c:pt>
                <c:pt idx="201">
                  <c:v>44326</c:v>
                </c:pt>
                <c:pt idx="202">
                  <c:v>44327</c:v>
                </c:pt>
                <c:pt idx="203">
                  <c:v>44328</c:v>
                </c:pt>
                <c:pt idx="204">
                  <c:v>44329</c:v>
                </c:pt>
                <c:pt idx="205">
                  <c:v>44330</c:v>
                </c:pt>
                <c:pt idx="206">
                  <c:v>44333</c:v>
                </c:pt>
                <c:pt idx="207">
                  <c:v>44334</c:v>
                </c:pt>
                <c:pt idx="208">
                  <c:v>44335</c:v>
                </c:pt>
                <c:pt idx="209">
                  <c:v>44336</c:v>
                </c:pt>
                <c:pt idx="210">
                  <c:v>44337</c:v>
                </c:pt>
                <c:pt idx="211">
                  <c:v>44340</c:v>
                </c:pt>
                <c:pt idx="212">
                  <c:v>44341</c:v>
                </c:pt>
                <c:pt idx="213">
                  <c:v>44342</c:v>
                </c:pt>
                <c:pt idx="214">
                  <c:v>44343</c:v>
                </c:pt>
                <c:pt idx="215">
                  <c:v>44344</c:v>
                </c:pt>
                <c:pt idx="216">
                  <c:v>44347</c:v>
                </c:pt>
                <c:pt idx="217">
                  <c:v>44348</c:v>
                </c:pt>
                <c:pt idx="218">
                  <c:v>44349</c:v>
                </c:pt>
                <c:pt idx="219">
                  <c:v>44350</c:v>
                </c:pt>
                <c:pt idx="220">
                  <c:v>44351</c:v>
                </c:pt>
                <c:pt idx="221">
                  <c:v>44354</c:v>
                </c:pt>
                <c:pt idx="222">
                  <c:v>44355</c:v>
                </c:pt>
                <c:pt idx="223">
                  <c:v>44356</c:v>
                </c:pt>
                <c:pt idx="224">
                  <c:v>44357</c:v>
                </c:pt>
                <c:pt idx="225">
                  <c:v>44358</c:v>
                </c:pt>
                <c:pt idx="226">
                  <c:v>44361</c:v>
                </c:pt>
                <c:pt idx="227">
                  <c:v>44362</c:v>
                </c:pt>
                <c:pt idx="228">
                  <c:v>44363</c:v>
                </c:pt>
                <c:pt idx="229">
                  <c:v>44364</c:v>
                </c:pt>
                <c:pt idx="230">
                  <c:v>44365</c:v>
                </c:pt>
                <c:pt idx="231">
                  <c:v>44368</c:v>
                </c:pt>
                <c:pt idx="232">
                  <c:v>44369</c:v>
                </c:pt>
                <c:pt idx="233">
                  <c:v>44370</c:v>
                </c:pt>
                <c:pt idx="234">
                  <c:v>44371</c:v>
                </c:pt>
                <c:pt idx="235">
                  <c:v>44372</c:v>
                </c:pt>
                <c:pt idx="236">
                  <c:v>44375</c:v>
                </c:pt>
                <c:pt idx="237">
                  <c:v>44376</c:v>
                </c:pt>
                <c:pt idx="238">
                  <c:v>44377</c:v>
                </c:pt>
                <c:pt idx="239">
                  <c:v>44378</c:v>
                </c:pt>
                <c:pt idx="240">
                  <c:v>44379</c:v>
                </c:pt>
                <c:pt idx="241">
                  <c:v>44382</c:v>
                </c:pt>
                <c:pt idx="242">
                  <c:v>44383</c:v>
                </c:pt>
                <c:pt idx="243">
                  <c:v>44384</c:v>
                </c:pt>
                <c:pt idx="244">
                  <c:v>44385</c:v>
                </c:pt>
                <c:pt idx="245">
                  <c:v>44386</c:v>
                </c:pt>
                <c:pt idx="246">
                  <c:v>44389</c:v>
                </c:pt>
                <c:pt idx="247">
                  <c:v>44390</c:v>
                </c:pt>
                <c:pt idx="248">
                  <c:v>44391</c:v>
                </c:pt>
                <c:pt idx="249">
                  <c:v>44392</c:v>
                </c:pt>
                <c:pt idx="250">
                  <c:v>44393</c:v>
                </c:pt>
                <c:pt idx="251">
                  <c:v>44396</c:v>
                </c:pt>
                <c:pt idx="252">
                  <c:v>44397</c:v>
                </c:pt>
                <c:pt idx="253">
                  <c:v>44398</c:v>
                </c:pt>
                <c:pt idx="254">
                  <c:v>44399</c:v>
                </c:pt>
                <c:pt idx="255">
                  <c:v>44400</c:v>
                </c:pt>
                <c:pt idx="256">
                  <c:v>44403</c:v>
                </c:pt>
                <c:pt idx="257">
                  <c:v>44404</c:v>
                </c:pt>
                <c:pt idx="258">
                  <c:v>44405</c:v>
                </c:pt>
                <c:pt idx="259">
                  <c:v>44406</c:v>
                </c:pt>
                <c:pt idx="260">
                  <c:v>44407</c:v>
                </c:pt>
                <c:pt idx="261">
                  <c:v>44410</c:v>
                </c:pt>
                <c:pt idx="262">
                  <c:v>44411</c:v>
                </c:pt>
                <c:pt idx="263">
                  <c:v>44412</c:v>
                </c:pt>
                <c:pt idx="264">
                  <c:v>44413</c:v>
                </c:pt>
                <c:pt idx="265">
                  <c:v>44414</c:v>
                </c:pt>
                <c:pt idx="266">
                  <c:v>44417</c:v>
                </c:pt>
                <c:pt idx="267">
                  <c:v>44418</c:v>
                </c:pt>
                <c:pt idx="268">
                  <c:v>44419</c:v>
                </c:pt>
                <c:pt idx="269">
                  <c:v>44420</c:v>
                </c:pt>
                <c:pt idx="270">
                  <c:v>44421</c:v>
                </c:pt>
                <c:pt idx="271">
                  <c:v>44424</c:v>
                </c:pt>
                <c:pt idx="272">
                  <c:v>44425</c:v>
                </c:pt>
                <c:pt idx="273">
                  <c:v>44426</c:v>
                </c:pt>
                <c:pt idx="274">
                  <c:v>44427</c:v>
                </c:pt>
                <c:pt idx="275">
                  <c:v>44428</c:v>
                </c:pt>
                <c:pt idx="276">
                  <c:v>44431</c:v>
                </c:pt>
                <c:pt idx="277">
                  <c:v>44432</c:v>
                </c:pt>
                <c:pt idx="278">
                  <c:v>44433</c:v>
                </c:pt>
                <c:pt idx="279">
                  <c:v>44434</c:v>
                </c:pt>
                <c:pt idx="280">
                  <c:v>44435</c:v>
                </c:pt>
                <c:pt idx="281">
                  <c:v>44438</c:v>
                </c:pt>
                <c:pt idx="282">
                  <c:v>44439</c:v>
                </c:pt>
              </c:numCache>
            </c:numRef>
          </c:cat>
          <c:val>
            <c:numRef>
              <c:f>'[2021 09 GMR NEW.XLSX]MSCI Chart'!$J$8:$J$290</c:f>
              <c:numCache>
                <c:formatCode>0</c:formatCode>
                <c:ptCount val="283"/>
                <c:pt idx="0" formatCode="0.0">
                  <c:v>100</c:v>
                </c:pt>
                <c:pt idx="1">
                  <c:v>100.71245565271592</c:v>
                </c:pt>
                <c:pt idx="2">
                  <c:v>101.3321398674383</c:v>
                </c:pt>
                <c:pt idx="3">
                  <c:v>102.21383091680647</c:v>
                </c:pt>
                <c:pt idx="4">
                  <c:v>102.4049908134533</c:v>
                </c:pt>
                <c:pt idx="5">
                  <c:v>102.05564836725893</c:v>
                </c:pt>
                <c:pt idx="6">
                  <c:v>102.2080327019319</c:v>
                </c:pt>
                <c:pt idx="7">
                  <c:v>102.21038822672469</c:v>
                </c:pt>
                <c:pt idx="8">
                  <c:v>103.46896324294158</c:v>
                </c:pt>
                <c:pt idx="9">
                  <c:v>103.42982529253807</c:v>
                </c:pt>
                <c:pt idx="10">
                  <c:v>103.17126114797408</c:v>
                </c:pt>
                <c:pt idx="11">
                  <c:v>103.62116638339974</c:v>
                </c:pt>
                <c:pt idx="12">
                  <c:v>103.88407918911967</c:v>
                </c:pt>
                <c:pt idx="13">
                  <c:v>103.63366878422308</c:v>
                </c:pt>
                <c:pt idx="14">
                  <c:v>103.21239223474076</c:v>
                </c:pt>
                <c:pt idx="15">
                  <c:v>103.4560984536886</c:v>
                </c:pt>
                <c:pt idx="16">
                  <c:v>104.59309215175382</c:v>
                </c:pt>
                <c:pt idx="17">
                  <c:v>104.8924249946548</c:v>
                </c:pt>
                <c:pt idx="18">
                  <c:v>105.82249489938289</c:v>
                </c:pt>
                <c:pt idx="19">
                  <c:v>105.67391564322138</c:v>
                </c:pt>
                <c:pt idx="20">
                  <c:v>106.25862937448137</c:v>
                </c:pt>
                <c:pt idx="21">
                  <c:v>105.97397326298172</c:v>
                </c:pt>
                <c:pt idx="22">
                  <c:v>106.63605692397458</c:v>
                </c:pt>
                <c:pt idx="23">
                  <c:v>107.64041645678343</c:v>
                </c:pt>
                <c:pt idx="24">
                  <c:v>104.93373727563632</c:v>
                </c:pt>
                <c:pt idx="25">
                  <c:v>103.83189525524834</c:v>
                </c:pt>
                <c:pt idx="26">
                  <c:v>104.09408328410896</c:v>
                </c:pt>
                <c:pt idx="27">
                  <c:v>101.9788220201706</c:v>
                </c:pt>
                <c:pt idx="28">
                  <c:v>103.44885068509537</c:v>
                </c:pt>
                <c:pt idx="29">
                  <c:v>102.46043624319167</c:v>
                </c:pt>
                <c:pt idx="30">
                  <c:v>102.54940260267375</c:v>
                </c:pt>
                <c:pt idx="31">
                  <c:v>103.76575936683498</c:v>
                </c:pt>
                <c:pt idx="32">
                  <c:v>104.30336260223889</c:v>
                </c:pt>
                <c:pt idx="33">
                  <c:v>104.18522397416901</c:v>
                </c:pt>
                <c:pt idx="34">
                  <c:v>103.30933113967544</c:v>
                </c:pt>
                <c:pt idx="35">
                  <c:v>102.74038130510576</c:v>
                </c:pt>
                <c:pt idx="36">
                  <c:v>101.06813989642944</c:v>
                </c:pt>
                <c:pt idx="37">
                  <c:v>101.50681109053556</c:v>
                </c:pt>
                <c:pt idx="38">
                  <c:v>100.01322717768272</c:v>
                </c:pt>
                <c:pt idx="39">
                  <c:v>99.579085838947393</c:v>
                </c:pt>
                <c:pt idx="40">
                  <c:v>100.60138359902449</c:v>
                </c:pt>
                <c:pt idx="41">
                  <c:v>102.22669570605954</c:v>
                </c:pt>
                <c:pt idx="42">
                  <c:v>101.95725990860569</c:v>
                </c:pt>
                <c:pt idx="43">
                  <c:v>102.40154812337157</c:v>
                </c:pt>
                <c:pt idx="44">
                  <c:v>102.91813282985505</c:v>
                </c:pt>
                <c:pt idx="45">
                  <c:v>102.21383091680651</c:v>
                </c:pt>
                <c:pt idx="46">
                  <c:v>103.88462277176417</c:v>
                </c:pt>
                <c:pt idx="47">
                  <c:v>103.22163313969715</c:v>
                </c:pt>
                <c:pt idx="48">
                  <c:v>104.30191304852022</c:v>
                </c:pt>
                <c:pt idx="49">
                  <c:v>105.09445654419149</c:v>
                </c:pt>
                <c:pt idx="50">
                  <c:v>105.9268627671256</c:v>
                </c:pt>
                <c:pt idx="51">
                  <c:v>107.24178918415494</c:v>
                </c:pt>
                <c:pt idx="52">
                  <c:v>106.71252088263329</c:v>
                </c:pt>
                <c:pt idx="53">
                  <c:v>106.3021159860408</c:v>
                </c:pt>
                <c:pt idx="54">
                  <c:v>105.4557578085647</c:v>
                </c:pt>
                <c:pt idx="55">
                  <c:v>105.65670219281239</c:v>
                </c:pt>
                <c:pt idx="56">
                  <c:v>104.84386494508001</c:v>
                </c:pt>
                <c:pt idx="57">
                  <c:v>105.11221357724489</c:v>
                </c:pt>
                <c:pt idx="58">
                  <c:v>104.9741435855436</c:v>
                </c:pt>
                <c:pt idx="59">
                  <c:v>105.07814906485666</c:v>
                </c:pt>
                <c:pt idx="60">
                  <c:v>105.43836316394092</c:v>
                </c:pt>
                <c:pt idx="61">
                  <c:v>103.83733108169324</c:v>
                </c:pt>
                <c:pt idx="62">
                  <c:v>103.55738601977917</c:v>
                </c:pt>
                <c:pt idx="63">
                  <c:v>100.56025251225779</c:v>
                </c:pt>
                <c:pt idx="64">
                  <c:v>100.99928609479358</c:v>
                </c:pt>
                <c:pt idx="65">
                  <c:v>99.837106400866844</c:v>
                </c:pt>
                <c:pt idx="66">
                  <c:v>101.07683721874129</c:v>
                </c:pt>
                <c:pt idx="67">
                  <c:v>102.93444030918984</c:v>
                </c:pt>
                <c:pt idx="68">
                  <c:v>104.89677365581075</c:v>
                </c:pt>
                <c:pt idx="69">
                  <c:v>107.15390998996187</c:v>
                </c:pt>
                <c:pt idx="70">
                  <c:v>107.40432039485849</c:v>
                </c:pt>
                <c:pt idx="71">
                  <c:v>108.80549525814745</c:v>
                </c:pt>
                <c:pt idx="72">
                  <c:v>108.84988784078105</c:v>
                </c:pt>
                <c:pt idx="73">
                  <c:v>109.63862625794087</c:v>
                </c:pt>
                <c:pt idx="74">
                  <c:v>108.95643003910173</c:v>
                </c:pt>
                <c:pt idx="75">
                  <c:v>109.78956103889517</c:v>
                </c:pt>
                <c:pt idx="76">
                  <c:v>111.18240096830192</c:v>
                </c:pt>
                <c:pt idx="77">
                  <c:v>111.04723008403792</c:v>
                </c:pt>
                <c:pt idx="78">
                  <c:v>110.54840241060788</c:v>
                </c:pt>
                <c:pt idx="79">
                  <c:v>110.57648751390668</c:v>
                </c:pt>
                <c:pt idx="80">
                  <c:v>110.44222260071683</c:v>
                </c:pt>
                <c:pt idx="81">
                  <c:v>110.83523285268551</c:v>
                </c:pt>
                <c:pt idx="82">
                  <c:v>112.425755670473</c:v>
                </c:pt>
                <c:pt idx="83">
                  <c:v>112.42901716633997</c:v>
                </c:pt>
                <c:pt idx="84">
                  <c:v>112.57995194729429</c:v>
                </c:pt>
                <c:pt idx="85">
                  <c:v>113.02152224883771</c:v>
                </c:pt>
                <c:pt idx="86">
                  <c:v>112.02622242677042</c:v>
                </c:pt>
                <c:pt idx="87">
                  <c:v>113.23062037275281</c:v>
                </c:pt>
                <c:pt idx="88">
                  <c:v>113.47233345533751</c:v>
                </c:pt>
                <c:pt idx="89">
                  <c:v>113.87983924449267</c:v>
                </c:pt>
                <c:pt idx="90">
                  <c:v>114.71315143850096</c:v>
                </c:pt>
                <c:pt idx="91">
                  <c:v>114.59899908315735</c:v>
                </c:pt>
                <c:pt idx="92">
                  <c:v>114.84198052524587</c:v>
                </c:pt>
                <c:pt idx="93">
                  <c:v>114.31325580636869</c:v>
                </c:pt>
                <c:pt idx="94">
                  <c:v>114.34315285181582</c:v>
                </c:pt>
                <c:pt idx="95">
                  <c:v>114.12227710393668</c:v>
                </c:pt>
                <c:pt idx="96">
                  <c:v>113.94253244282423</c:v>
                </c:pt>
                <c:pt idx="97">
                  <c:v>114.85720083929166</c:v>
                </c:pt>
                <c:pt idx="98">
                  <c:v>115.43847188046985</c:v>
                </c:pt>
                <c:pt idx="99">
                  <c:v>116.30639216951087</c:v>
                </c:pt>
                <c:pt idx="100">
                  <c:v>115.92787745472867</c:v>
                </c:pt>
                <c:pt idx="101">
                  <c:v>114.98584873182175</c:v>
                </c:pt>
                <c:pt idx="102">
                  <c:v>114.81389542194701</c:v>
                </c:pt>
                <c:pt idx="103">
                  <c:v>115.24205735159292</c:v>
                </c:pt>
                <c:pt idx="104">
                  <c:v>115.47471072343606</c:v>
                </c:pt>
                <c:pt idx="105">
                  <c:v>115.5035206035942</c:v>
                </c:pt>
                <c:pt idx="106">
                  <c:v>116.13027139269501</c:v>
                </c:pt>
                <c:pt idx="107">
                  <c:v>116.50788013640303</c:v>
                </c:pt>
                <c:pt idx="108">
                  <c:v>116.92263369415144</c:v>
                </c:pt>
                <c:pt idx="109">
                  <c:v>117.1000228304711</c:v>
                </c:pt>
                <c:pt idx="110">
                  <c:v>117.10600223956052</c:v>
                </c:pt>
                <c:pt idx="111">
                  <c:v>116.50425625210642</c:v>
                </c:pt>
                <c:pt idx="112">
                  <c:v>117.22522803291938</c:v>
                </c:pt>
                <c:pt idx="113">
                  <c:v>117.74815453692197</c:v>
                </c:pt>
                <c:pt idx="114">
                  <c:v>119.14135685475837</c:v>
                </c:pt>
                <c:pt idx="115">
                  <c:v>120.23903140820522</c:v>
                </c:pt>
                <c:pt idx="116">
                  <c:v>119.31331016463308</c:v>
                </c:pt>
                <c:pt idx="117">
                  <c:v>119.52530739598549</c:v>
                </c:pt>
                <c:pt idx="118">
                  <c:v>119.8577987802006</c:v>
                </c:pt>
                <c:pt idx="119">
                  <c:v>119.87048237523877</c:v>
                </c:pt>
                <c:pt idx="120">
                  <c:v>118.83876251599044</c:v>
                </c:pt>
                <c:pt idx="121">
                  <c:v>118.79998695401657</c:v>
                </c:pt>
                <c:pt idx="122">
                  <c:v>119.78532109426816</c:v>
                </c:pt>
                <c:pt idx="123">
                  <c:v>121.11673618484714</c:v>
                </c:pt>
                <c:pt idx="124">
                  <c:v>121.33199491206649</c:v>
                </c:pt>
                <c:pt idx="125">
                  <c:v>120.79946511467784</c:v>
                </c:pt>
                <c:pt idx="126">
                  <c:v>121.05295582122656</c:v>
                </c:pt>
                <c:pt idx="127">
                  <c:v>120.692016945283</c:v>
                </c:pt>
                <c:pt idx="128">
                  <c:v>118.22868159465408</c:v>
                </c:pt>
                <c:pt idx="129">
                  <c:v>118.59088883010146</c:v>
                </c:pt>
                <c:pt idx="130">
                  <c:v>116.49102907442375</c:v>
                </c:pt>
                <c:pt idx="131">
                  <c:v>118.23574816903249</c:v>
                </c:pt>
                <c:pt idx="132">
                  <c:v>119.76375898270325</c:v>
                </c:pt>
                <c:pt idx="133">
                  <c:v>120.12687218922477</c:v>
                </c:pt>
                <c:pt idx="134">
                  <c:v>120.81232990393086</c:v>
                </c:pt>
                <c:pt idx="135">
                  <c:v>121.50141150293356</c:v>
                </c:pt>
                <c:pt idx="136">
                  <c:v>122.40285272171832</c:v>
                </c:pt>
                <c:pt idx="137">
                  <c:v>122.61503114728556</c:v>
                </c:pt>
                <c:pt idx="138">
                  <c:v>122.86073050259654</c:v>
                </c:pt>
                <c:pt idx="139">
                  <c:v>123.1645932008683</c:v>
                </c:pt>
                <c:pt idx="140">
                  <c:v>123.61812232059054</c:v>
                </c:pt>
                <c:pt idx="141">
                  <c:v>124.13307627914054</c:v>
                </c:pt>
                <c:pt idx="142">
                  <c:v>124.12890881219941</c:v>
                </c:pt>
                <c:pt idx="143">
                  <c:v>123.70201524205731</c:v>
                </c:pt>
                <c:pt idx="144">
                  <c:v>122.97144016785829</c:v>
                </c:pt>
                <c:pt idx="145">
                  <c:v>123.16441200665339</c:v>
                </c:pt>
                <c:pt idx="146">
                  <c:v>122.08286373832652</c:v>
                </c:pt>
                <c:pt idx="147">
                  <c:v>122.13106139947159</c:v>
                </c:pt>
                <c:pt idx="148">
                  <c:v>122.37241209362664</c:v>
                </c:pt>
                <c:pt idx="149">
                  <c:v>120.86487622623183</c:v>
                </c:pt>
                <c:pt idx="150">
                  <c:v>119.07105349940383</c:v>
                </c:pt>
                <c:pt idx="151">
                  <c:v>121.49434492855508</c:v>
                </c:pt>
                <c:pt idx="152">
                  <c:v>120.87719743284033</c:v>
                </c:pt>
                <c:pt idx="153">
                  <c:v>120.09606917270341</c:v>
                </c:pt>
                <c:pt idx="154">
                  <c:v>118.38523339626808</c:v>
                </c:pt>
                <c:pt idx="155">
                  <c:v>119.13392789195022</c:v>
                </c:pt>
                <c:pt idx="156">
                  <c:v>118.53453742928889</c:v>
                </c:pt>
                <c:pt idx="157">
                  <c:v>120.13031487930647</c:v>
                </c:pt>
                <c:pt idx="158">
                  <c:v>120.72590026345634</c:v>
                </c:pt>
                <c:pt idx="159">
                  <c:v>122.28000304406275</c:v>
                </c:pt>
                <c:pt idx="160">
                  <c:v>122.20951849449345</c:v>
                </c:pt>
                <c:pt idx="161">
                  <c:v>122.66630911008271</c:v>
                </c:pt>
                <c:pt idx="162">
                  <c:v>122.84188630425405</c:v>
                </c:pt>
                <c:pt idx="163">
                  <c:v>122.88337977945039</c:v>
                </c:pt>
                <c:pt idx="164">
                  <c:v>122.01274157718692</c:v>
                </c:pt>
                <c:pt idx="165">
                  <c:v>121.65470180868064</c:v>
                </c:pt>
                <c:pt idx="166">
                  <c:v>122.15787814326664</c:v>
                </c:pt>
                <c:pt idx="167">
                  <c:v>121.19030103606852</c:v>
                </c:pt>
                <c:pt idx="168">
                  <c:v>120.10150499914837</c:v>
                </c:pt>
                <c:pt idx="169">
                  <c:v>120.27508905695659</c:v>
                </c:pt>
                <c:pt idx="170">
                  <c:v>122.00712455652715</c:v>
                </c:pt>
                <c:pt idx="171">
                  <c:v>121.91344714745945</c:v>
                </c:pt>
                <c:pt idx="172">
                  <c:v>121.78407447807005</c:v>
                </c:pt>
                <c:pt idx="173">
                  <c:v>121.99589051520762</c:v>
                </c:pt>
                <c:pt idx="174">
                  <c:v>123.29795214298396</c:v>
                </c:pt>
                <c:pt idx="175">
                  <c:v>123.39815254378556</c:v>
                </c:pt>
                <c:pt idx="176">
                  <c:v>124.57790807655091</c:v>
                </c:pt>
                <c:pt idx="177">
                  <c:v>124.79896501864486</c:v>
                </c:pt>
                <c:pt idx="178">
                  <c:v>124.88630063019345</c:v>
                </c:pt>
                <c:pt idx="179">
                  <c:v>125.48768422921789</c:v>
                </c:pt>
                <c:pt idx="180">
                  <c:v>125.87743298531961</c:v>
                </c:pt>
                <c:pt idx="181">
                  <c:v>125.67304591099011</c:v>
                </c:pt>
                <c:pt idx="182">
                  <c:v>126.10555650179198</c:v>
                </c:pt>
                <c:pt idx="183">
                  <c:v>126.08236364229359</c:v>
                </c:pt>
                <c:pt idx="184">
                  <c:v>127.20141911309052</c:v>
                </c:pt>
                <c:pt idx="185">
                  <c:v>127.730868608827</c:v>
                </c:pt>
                <c:pt idx="186">
                  <c:v>127.37844586098051</c:v>
                </c:pt>
                <c:pt idx="187">
                  <c:v>126.30015908852057</c:v>
                </c:pt>
                <c:pt idx="188">
                  <c:v>126.81946170822654</c:v>
                </c:pt>
                <c:pt idx="189">
                  <c:v>126.53245007193408</c:v>
                </c:pt>
                <c:pt idx="190">
                  <c:v>127.51017405516274</c:v>
                </c:pt>
                <c:pt idx="191">
                  <c:v>127.98019184843463</c:v>
                </c:pt>
                <c:pt idx="192">
                  <c:v>127.84049110879984</c:v>
                </c:pt>
                <c:pt idx="193">
                  <c:v>127.87201890218044</c:v>
                </c:pt>
                <c:pt idx="194">
                  <c:v>128.29818769546321</c:v>
                </c:pt>
                <c:pt idx="195">
                  <c:v>127.16753579491709</c:v>
                </c:pt>
                <c:pt idx="196">
                  <c:v>127.43624681551161</c:v>
                </c:pt>
                <c:pt idx="197">
                  <c:v>126.40126546039633</c:v>
                </c:pt>
                <c:pt idx="198">
                  <c:v>126.76836493964414</c:v>
                </c:pt>
                <c:pt idx="199">
                  <c:v>127.58573204274728</c:v>
                </c:pt>
                <c:pt idx="200">
                  <c:v>128.71276005899674</c:v>
                </c:pt>
                <c:pt idx="201">
                  <c:v>128.01316919553383</c:v>
                </c:pt>
                <c:pt idx="202">
                  <c:v>126.55020710498746</c:v>
                </c:pt>
                <c:pt idx="203">
                  <c:v>124.43820733691607</c:v>
                </c:pt>
                <c:pt idx="204">
                  <c:v>124.75910229138194</c:v>
                </c:pt>
                <c:pt idx="205">
                  <c:v>126.67849260908788</c:v>
                </c:pt>
                <c:pt idx="206">
                  <c:v>126.55799845622521</c:v>
                </c:pt>
                <c:pt idx="207">
                  <c:v>126.61290030331902</c:v>
                </c:pt>
                <c:pt idx="208">
                  <c:v>125.87525865474157</c:v>
                </c:pt>
                <c:pt idx="209">
                  <c:v>127.07675749328665</c:v>
                </c:pt>
                <c:pt idx="210">
                  <c:v>127.1200629106313</c:v>
                </c:pt>
                <c:pt idx="211">
                  <c:v>127.95899212529933</c:v>
                </c:pt>
                <c:pt idx="212">
                  <c:v>128.15123918723512</c:v>
                </c:pt>
                <c:pt idx="213">
                  <c:v>128.3800874805668</c:v>
                </c:pt>
                <c:pt idx="214">
                  <c:v>128.45147800121026</c:v>
                </c:pt>
                <c:pt idx="215">
                  <c:v>128.85662826557262</c:v>
                </c:pt>
                <c:pt idx="216">
                  <c:v>128.91062414159231</c:v>
                </c:pt>
                <c:pt idx="217">
                  <c:v>129.32845800099281</c:v>
                </c:pt>
                <c:pt idx="218">
                  <c:v>129.44786498856652</c:v>
                </c:pt>
                <c:pt idx="219">
                  <c:v>128.89449785647233</c:v>
                </c:pt>
                <c:pt idx="220">
                  <c:v>129.79159041410117</c:v>
                </c:pt>
                <c:pt idx="221">
                  <c:v>129.91570845126049</c:v>
                </c:pt>
                <c:pt idx="222">
                  <c:v>129.90936665374139</c:v>
                </c:pt>
                <c:pt idx="223">
                  <c:v>129.65696311248163</c:v>
                </c:pt>
                <c:pt idx="224">
                  <c:v>130.1385773355027</c:v>
                </c:pt>
                <c:pt idx="225">
                  <c:v>130.37340503792382</c:v>
                </c:pt>
                <c:pt idx="226">
                  <c:v>130.65951070314213</c:v>
                </c:pt>
                <c:pt idx="227">
                  <c:v>130.50060337673526</c:v>
                </c:pt>
                <c:pt idx="228">
                  <c:v>130.06827398014823</c:v>
                </c:pt>
                <c:pt idx="229">
                  <c:v>129.5304895505295</c:v>
                </c:pt>
                <c:pt idx="230">
                  <c:v>127.91713626167331</c:v>
                </c:pt>
                <c:pt idx="231">
                  <c:v>128.83651570772636</c:v>
                </c:pt>
                <c:pt idx="232">
                  <c:v>129.50765907946081</c:v>
                </c:pt>
                <c:pt idx="233">
                  <c:v>129.55730629432455</c:v>
                </c:pt>
                <c:pt idx="234">
                  <c:v>130.22011473217674</c:v>
                </c:pt>
                <c:pt idx="235">
                  <c:v>130.80555324029606</c:v>
                </c:pt>
                <c:pt idx="236">
                  <c:v>130.8319380170829</c:v>
                </c:pt>
                <c:pt idx="237">
                  <c:v>130.75657191417181</c:v>
                </c:pt>
                <c:pt idx="238">
                  <c:v>130.45439178537899</c:v>
                </c:pt>
                <c:pt idx="239">
                  <c:v>130.78863513645726</c:v>
                </c:pt>
                <c:pt idx="240">
                  <c:v>131.30455993361034</c:v>
                </c:pt>
                <c:pt idx="241">
                  <c:v>131.4342420827187</c:v>
                </c:pt>
                <c:pt idx="242">
                  <c:v>131.06610997764054</c:v>
                </c:pt>
                <c:pt idx="243">
                  <c:v>131.25825122215488</c:v>
                </c:pt>
                <c:pt idx="244">
                  <c:v>129.92600263818767</c:v>
                </c:pt>
                <c:pt idx="245">
                  <c:v>131.11200520389775</c:v>
                </c:pt>
                <c:pt idx="246">
                  <c:v>131.78831931494082</c:v>
                </c:pt>
                <c:pt idx="247">
                  <c:v>131.60579549696129</c:v>
                </c:pt>
                <c:pt idx="248">
                  <c:v>131.56299977894298</c:v>
                </c:pt>
                <c:pt idx="249">
                  <c:v>131.12319702696524</c:v>
                </c:pt>
                <c:pt idx="250">
                  <c:v>130.30982090763797</c:v>
                </c:pt>
                <c:pt idx="251">
                  <c:v>128.18077275708731</c:v>
                </c:pt>
                <c:pt idx="252">
                  <c:v>129.24598020634386</c:v>
                </c:pt>
                <c:pt idx="253">
                  <c:v>130.42069672799477</c:v>
                </c:pt>
                <c:pt idx="254">
                  <c:v>130.96754086835506</c:v>
                </c:pt>
                <c:pt idx="255">
                  <c:v>131.75229301278858</c:v>
                </c:pt>
                <c:pt idx="256">
                  <c:v>131.66912486818109</c:v>
                </c:pt>
                <c:pt idx="257">
                  <c:v>130.8961503477116</c:v>
                </c:pt>
                <c:pt idx="258">
                  <c:v>131.1135834055089</c:v>
                </c:pt>
                <c:pt idx="259">
                  <c:v>132.21306990110406</c:v>
                </c:pt>
                <c:pt idx="260">
                  <c:v>131.22248112862238</c:v>
                </c:pt>
                <c:pt idx="261">
                  <c:v>131.70645087643629</c:v>
                </c:pt>
                <c:pt idx="262">
                  <c:v>132.29931834736368</c:v>
                </c:pt>
                <c:pt idx="263">
                  <c:v>132.1684961242556</c:v>
                </c:pt>
                <c:pt idx="264">
                  <c:v>132.73762715304014</c:v>
                </c:pt>
                <c:pt idx="265">
                  <c:v>132.48794152500287</c:v>
                </c:pt>
                <c:pt idx="266">
                  <c:v>132.47072807459389</c:v>
                </c:pt>
                <c:pt idx="267">
                  <c:v>132.63778914066816</c:v>
                </c:pt>
                <c:pt idx="268">
                  <c:v>132.99800323975239</c:v>
                </c:pt>
                <c:pt idx="269">
                  <c:v>133.13317412401642</c:v>
                </c:pt>
                <c:pt idx="270">
                  <c:v>133.3627471942074</c:v>
                </c:pt>
                <c:pt idx="271">
                  <c:v>133.13806636781683</c:v>
                </c:pt>
                <c:pt idx="272">
                  <c:v>132.11341308294692</c:v>
                </c:pt>
                <c:pt idx="273">
                  <c:v>131.35221618644144</c:v>
                </c:pt>
                <c:pt idx="274">
                  <c:v>130.43809137261852</c:v>
                </c:pt>
                <c:pt idx="275">
                  <c:v>130.92804052952184</c:v>
                </c:pt>
                <c:pt idx="276">
                  <c:v>132.35893124404311</c:v>
                </c:pt>
                <c:pt idx="277">
                  <c:v>133.11161201245153</c:v>
                </c:pt>
                <c:pt idx="278">
                  <c:v>133.32089133058147</c:v>
                </c:pt>
                <c:pt idx="279">
                  <c:v>132.62275002083723</c:v>
                </c:pt>
                <c:pt idx="280">
                  <c:v>133.58380413630144</c:v>
                </c:pt>
                <c:pt idx="281">
                  <c:v>134.22758718159636</c:v>
                </c:pt>
                <c:pt idx="282">
                  <c:v>134.31401682207078</c:v>
                </c:pt>
              </c:numCache>
            </c:numRef>
          </c:val>
          <c:smooth val="0"/>
          <c:extLst>
            <c:ext xmlns:c16="http://schemas.microsoft.com/office/drawing/2014/chart" uri="{C3380CC4-5D6E-409C-BE32-E72D297353CC}">
              <c16:uniqueId val="{00000002-BB1F-4F27-A800-43BB74EC0CD7}"/>
            </c:ext>
          </c:extLst>
        </c:ser>
        <c:ser>
          <c:idx val="3"/>
          <c:order val="3"/>
          <c:tx>
            <c:strRef>
              <c:f>'[2021 09 GMR NEW.XLSX]MSCI Chart'!$K$7</c:f>
              <c:strCache>
                <c:ptCount val="1"/>
                <c:pt idx="0">
                  <c:v>MSCI Emerging Markets</c:v>
                </c:pt>
              </c:strCache>
            </c:strRef>
          </c:tx>
          <c:spPr>
            <a:ln w="28575" cap="rnd">
              <a:solidFill>
                <a:schemeClr val="accent6">
                  <a:lumMod val="60000"/>
                </a:schemeClr>
              </a:solidFill>
              <a:round/>
            </a:ln>
            <a:effectLst/>
          </c:spPr>
          <c:marker>
            <c:symbol val="none"/>
          </c:marker>
          <c:cat>
            <c:numRef>
              <c:f>'[2021 09 GMR NEW.XLSX]MSCI Chart'!$G$8:$G$290</c:f>
              <c:numCache>
                <c:formatCode>m/d/yyyy</c:formatCode>
                <c:ptCount val="283"/>
                <c:pt idx="0">
                  <c:v>44043</c:v>
                </c:pt>
                <c:pt idx="1">
                  <c:v>44046</c:v>
                </c:pt>
                <c:pt idx="2">
                  <c:v>44047</c:v>
                </c:pt>
                <c:pt idx="3">
                  <c:v>44048</c:v>
                </c:pt>
                <c:pt idx="4">
                  <c:v>44049</c:v>
                </c:pt>
                <c:pt idx="5">
                  <c:v>44050</c:v>
                </c:pt>
                <c:pt idx="6">
                  <c:v>44053</c:v>
                </c:pt>
                <c:pt idx="7">
                  <c:v>44054</c:v>
                </c:pt>
                <c:pt idx="8">
                  <c:v>44055</c:v>
                </c:pt>
                <c:pt idx="9">
                  <c:v>44056</c:v>
                </c:pt>
                <c:pt idx="10">
                  <c:v>44057</c:v>
                </c:pt>
                <c:pt idx="11">
                  <c:v>44060</c:v>
                </c:pt>
                <c:pt idx="12">
                  <c:v>44061</c:v>
                </c:pt>
                <c:pt idx="13">
                  <c:v>44062</c:v>
                </c:pt>
                <c:pt idx="14">
                  <c:v>44063</c:v>
                </c:pt>
                <c:pt idx="15">
                  <c:v>44064</c:v>
                </c:pt>
                <c:pt idx="16">
                  <c:v>44067</c:v>
                </c:pt>
                <c:pt idx="17">
                  <c:v>44068</c:v>
                </c:pt>
                <c:pt idx="18">
                  <c:v>44069</c:v>
                </c:pt>
                <c:pt idx="19">
                  <c:v>44070</c:v>
                </c:pt>
                <c:pt idx="20">
                  <c:v>44071</c:v>
                </c:pt>
                <c:pt idx="21">
                  <c:v>44074</c:v>
                </c:pt>
                <c:pt idx="22">
                  <c:v>44075</c:v>
                </c:pt>
                <c:pt idx="23">
                  <c:v>44076</c:v>
                </c:pt>
                <c:pt idx="24">
                  <c:v>44077</c:v>
                </c:pt>
                <c:pt idx="25">
                  <c:v>44078</c:v>
                </c:pt>
                <c:pt idx="26">
                  <c:v>44081</c:v>
                </c:pt>
                <c:pt idx="27">
                  <c:v>44082</c:v>
                </c:pt>
                <c:pt idx="28">
                  <c:v>44083</c:v>
                </c:pt>
                <c:pt idx="29">
                  <c:v>44084</c:v>
                </c:pt>
                <c:pt idx="30">
                  <c:v>44085</c:v>
                </c:pt>
                <c:pt idx="31">
                  <c:v>44088</c:v>
                </c:pt>
                <c:pt idx="32">
                  <c:v>44089</c:v>
                </c:pt>
                <c:pt idx="33">
                  <c:v>44090</c:v>
                </c:pt>
                <c:pt idx="34">
                  <c:v>44091</c:v>
                </c:pt>
                <c:pt idx="35">
                  <c:v>44092</c:v>
                </c:pt>
                <c:pt idx="36">
                  <c:v>44095</c:v>
                </c:pt>
                <c:pt idx="37">
                  <c:v>44096</c:v>
                </c:pt>
                <c:pt idx="38">
                  <c:v>44097</c:v>
                </c:pt>
                <c:pt idx="39">
                  <c:v>44098</c:v>
                </c:pt>
                <c:pt idx="40">
                  <c:v>44099</c:v>
                </c:pt>
                <c:pt idx="41">
                  <c:v>44102</c:v>
                </c:pt>
                <c:pt idx="42">
                  <c:v>44103</c:v>
                </c:pt>
                <c:pt idx="43">
                  <c:v>44104</c:v>
                </c:pt>
                <c:pt idx="44">
                  <c:v>44105</c:v>
                </c:pt>
                <c:pt idx="45">
                  <c:v>44106</c:v>
                </c:pt>
                <c:pt idx="46">
                  <c:v>44109</c:v>
                </c:pt>
                <c:pt idx="47">
                  <c:v>44110</c:v>
                </c:pt>
                <c:pt idx="48">
                  <c:v>44111</c:v>
                </c:pt>
                <c:pt idx="49">
                  <c:v>44112</c:v>
                </c:pt>
                <c:pt idx="50">
                  <c:v>44113</c:v>
                </c:pt>
                <c:pt idx="51">
                  <c:v>44116</c:v>
                </c:pt>
                <c:pt idx="52">
                  <c:v>44117</c:v>
                </c:pt>
                <c:pt idx="53">
                  <c:v>44118</c:v>
                </c:pt>
                <c:pt idx="54">
                  <c:v>44119</c:v>
                </c:pt>
                <c:pt idx="55">
                  <c:v>44120</c:v>
                </c:pt>
                <c:pt idx="56">
                  <c:v>44123</c:v>
                </c:pt>
                <c:pt idx="57">
                  <c:v>44124</c:v>
                </c:pt>
                <c:pt idx="58">
                  <c:v>44125</c:v>
                </c:pt>
                <c:pt idx="59">
                  <c:v>44126</c:v>
                </c:pt>
                <c:pt idx="60">
                  <c:v>44127</c:v>
                </c:pt>
                <c:pt idx="61">
                  <c:v>44130</c:v>
                </c:pt>
                <c:pt idx="62">
                  <c:v>44131</c:v>
                </c:pt>
                <c:pt idx="63">
                  <c:v>44132</c:v>
                </c:pt>
                <c:pt idx="64">
                  <c:v>44133</c:v>
                </c:pt>
                <c:pt idx="65">
                  <c:v>44134</c:v>
                </c:pt>
                <c:pt idx="66">
                  <c:v>44137</c:v>
                </c:pt>
                <c:pt idx="67">
                  <c:v>44138</c:v>
                </c:pt>
                <c:pt idx="68">
                  <c:v>44139</c:v>
                </c:pt>
                <c:pt idx="69">
                  <c:v>44140</c:v>
                </c:pt>
                <c:pt idx="70">
                  <c:v>44141</c:v>
                </c:pt>
                <c:pt idx="71">
                  <c:v>44144</c:v>
                </c:pt>
                <c:pt idx="72">
                  <c:v>44145</c:v>
                </c:pt>
                <c:pt idx="73">
                  <c:v>44146</c:v>
                </c:pt>
                <c:pt idx="74">
                  <c:v>44147</c:v>
                </c:pt>
                <c:pt idx="75">
                  <c:v>44148</c:v>
                </c:pt>
                <c:pt idx="76">
                  <c:v>44151</c:v>
                </c:pt>
                <c:pt idx="77">
                  <c:v>44152</c:v>
                </c:pt>
                <c:pt idx="78">
                  <c:v>44153</c:v>
                </c:pt>
                <c:pt idx="79">
                  <c:v>44154</c:v>
                </c:pt>
                <c:pt idx="80">
                  <c:v>44155</c:v>
                </c:pt>
                <c:pt idx="81">
                  <c:v>44158</c:v>
                </c:pt>
                <c:pt idx="82">
                  <c:v>44159</c:v>
                </c:pt>
                <c:pt idx="83">
                  <c:v>44160</c:v>
                </c:pt>
                <c:pt idx="84">
                  <c:v>44161</c:v>
                </c:pt>
                <c:pt idx="85">
                  <c:v>44162</c:v>
                </c:pt>
                <c:pt idx="86">
                  <c:v>44165</c:v>
                </c:pt>
                <c:pt idx="87">
                  <c:v>44166</c:v>
                </c:pt>
                <c:pt idx="88">
                  <c:v>44167</c:v>
                </c:pt>
                <c:pt idx="89">
                  <c:v>44168</c:v>
                </c:pt>
                <c:pt idx="90">
                  <c:v>44169</c:v>
                </c:pt>
                <c:pt idx="91">
                  <c:v>44172</c:v>
                </c:pt>
                <c:pt idx="92">
                  <c:v>44173</c:v>
                </c:pt>
                <c:pt idx="93">
                  <c:v>44174</c:v>
                </c:pt>
                <c:pt idx="94">
                  <c:v>44175</c:v>
                </c:pt>
                <c:pt idx="95">
                  <c:v>44176</c:v>
                </c:pt>
                <c:pt idx="96">
                  <c:v>44179</c:v>
                </c:pt>
                <c:pt idx="97">
                  <c:v>44180</c:v>
                </c:pt>
                <c:pt idx="98">
                  <c:v>44181</c:v>
                </c:pt>
                <c:pt idx="99">
                  <c:v>44182</c:v>
                </c:pt>
                <c:pt idx="100">
                  <c:v>44183</c:v>
                </c:pt>
                <c:pt idx="101">
                  <c:v>44186</c:v>
                </c:pt>
                <c:pt idx="102">
                  <c:v>44187</c:v>
                </c:pt>
                <c:pt idx="103">
                  <c:v>44188</c:v>
                </c:pt>
                <c:pt idx="104">
                  <c:v>44189</c:v>
                </c:pt>
                <c:pt idx="105">
                  <c:v>44190</c:v>
                </c:pt>
                <c:pt idx="106">
                  <c:v>44193</c:v>
                </c:pt>
                <c:pt idx="107">
                  <c:v>44194</c:v>
                </c:pt>
                <c:pt idx="108">
                  <c:v>44195</c:v>
                </c:pt>
                <c:pt idx="109">
                  <c:v>44196</c:v>
                </c:pt>
                <c:pt idx="110">
                  <c:v>44197</c:v>
                </c:pt>
                <c:pt idx="111">
                  <c:v>44200</c:v>
                </c:pt>
                <c:pt idx="112">
                  <c:v>44201</c:v>
                </c:pt>
                <c:pt idx="113">
                  <c:v>44202</c:v>
                </c:pt>
                <c:pt idx="114">
                  <c:v>44203</c:v>
                </c:pt>
                <c:pt idx="115">
                  <c:v>44204</c:v>
                </c:pt>
                <c:pt idx="116">
                  <c:v>44207</c:v>
                </c:pt>
                <c:pt idx="117">
                  <c:v>44208</c:v>
                </c:pt>
                <c:pt idx="118">
                  <c:v>44209</c:v>
                </c:pt>
                <c:pt idx="119">
                  <c:v>44210</c:v>
                </c:pt>
                <c:pt idx="120">
                  <c:v>44211</c:v>
                </c:pt>
                <c:pt idx="121">
                  <c:v>44214</c:v>
                </c:pt>
                <c:pt idx="122">
                  <c:v>44215</c:v>
                </c:pt>
                <c:pt idx="123">
                  <c:v>44216</c:v>
                </c:pt>
                <c:pt idx="124">
                  <c:v>44217</c:v>
                </c:pt>
                <c:pt idx="125">
                  <c:v>44218</c:v>
                </c:pt>
                <c:pt idx="126">
                  <c:v>44221</c:v>
                </c:pt>
                <c:pt idx="127">
                  <c:v>44222</c:v>
                </c:pt>
                <c:pt idx="128">
                  <c:v>44223</c:v>
                </c:pt>
                <c:pt idx="129">
                  <c:v>44224</c:v>
                </c:pt>
                <c:pt idx="130">
                  <c:v>44225</c:v>
                </c:pt>
                <c:pt idx="131">
                  <c:v>44228</c:v>
                </c:pt>
                <c:pt idx="132">
                  <c:v>44229</c:v>
                </c:pt>
                <c:pt idx="133">
                  <c:v>44230</c:v>
                </c:pt>
                <c:pt idx="134">
                  <c:v>44231</c:v>
                </c:pt>
                <c:pt idx="135">
                  <c:v>44232</c:v>
                </c:pt>
                <c:pt idx="136">
                  <c:v>44235</c:v>
                </c:pt>
                <c:pt idx="137">
                  <c:v>44236</c:v>
                </c:pt>
                <c:pt idx="138">
                  <c:v>44237</c:v>
                </c:pt>
                <c:pt idx="139">
                  <c:v>44238</c:v>
                </c:pt>
                <c:pt idx="140">
                  <c:v>44239</c:v>
                </c:pt>
                <c:pt idx="141">
                  <c:v>44242</c:v>
                </c:pt>
                <c:pt idx="142">
                  <c:v>44243</c:v>
                </c:pt>
                <c:pt idx="143">
                  <c:v>44244</c:v>
                </c:pt>
                <c:pt idx="144">
                  <c:v>44245</c:v>
                </c:pt>
                <c:pt idx="145">
                  <c:v>44246</c:v>
                </c:pt>
                <c:pt idx="146">
                  <c:v>44249</c:v>
                </c:pt>
                <c:pt idx="147">
                  <c:v>44250</c:v>
                </c:pt>
                <c:pt idx="148">
                  <c:v>44251</c:v>
                </c:pt>
                <c:pt idx="149">
                  <c:v>44252</c:v>
                </c:pt>
                <c:pt idx="150">
                  <c:v>44253</c:v>
                </c:pt>
                <c:pt idx="151">
                  <c:v>44256</c:v>
                </c:pt>
                <c:pt idx="152">
                  <c:v>44257</c:v>
                </c:pt>
                <c:pt idx="153">
                  <c:v>44258</c:v>
                </c:pt>
                <c:pt idx="154">
                  <c:v>44259</c:v>
                </c:pt>
                <c:pt idx="155">
                  <c:v>44260</c:v>
                </c:pt>
                <c:pt idx="156">
                  <c:v>44263</c:v>
                </c:pt>
                <c:pt idx="157">
                  <c:v>44264</c:v>
                </c:pt>
                <c:pt idx="158">
                  <c:v>44265</c:v>
                </c:pt>
                <c:pt idx="159">
                  <c:v>44266</c:v>
                </c:pt>
                <c:pt idx="160">
                  <c:v>44267</c:v>
                </c:pt>
                <c:pt idx="161">
                  <c:v>44270</c:v>
                </c:pt>
                <c:pt idx="162">
                  <c:v>44271</c:v>
                </c:pt>
                <c:pt idx="163">
                  <c:v>44272</c:v>
                </c:pt>
                <c:pt idx="164">
                  <c:v>44273</c:v>
                </c:pt>
                <c:pt idx="165">
                  <c:v>44274</c:v>
                </c:pt>
                <c:pt idx="166">
                  <c:v>44277</c:v>
                </c:pt>
                <c:pt idx="167">
                  <c:v>44278</c:v>
                </c:pt>
                <c:pt idx="168">
                  <c:v>44279</c:v>
                </c:pt>
                <c:pt idx="169">
                  <c:v>44280</c:v>
                </c:pt>
                <c:pt idx="170">
                  <c:v>44281</c:v>
                </c:pt>
                <c:pt idx="171">
                  <c:v>44284</c:v>
                </c:pt>
                <c:pt idx="172">
                  <c:v>44285</c:v>
                </c:pt>
                <c:pt idx="173">
                  <c:v>44286</c:v>
                </c:pt>
                <c:pt idx="174">
                  <c:v>44287</c:v>
                </c:pt>
                <c:pt idx="175">
                  <c:v>44288</c:v>
                </c:pt>
                <c:pt idx="176">
                  <c:v>44291</c:v>
                </c:pt>
                <c:pt idx="177">
                  <c:v>44292</c:v>
                </c:pt>
                <c:pt idx="178">
                  <c:v>44293</c:v>
                </c:pt>
                <c:pt idx="179">
                  <c:v>44294</c:v>
                </c:pt>
                <c:pt idx="180">
                  <c:v>44295</c:v>
                </c:pt>
                <c:pt idx="181">
                  <c:v>44298</c:v>
                </c:pt>
                <c:pt idx="182">
                  <c:v>44299</c:v>
                </c:pt>
                <c:pt idx="183">
                  <c:v>44300</c:v>
                </c:pt>
                <c:pt idx="184">
                  <c:v>44301</c:v>
                </c:pt>
                <c:pt idx="185">
                  <c:v>44302</c:v>
                </c:pt>
                <c:pt idx="186">
                  <c:v>44305</c:v>
                </c:pt>
                <c:pt idx="187">
                  <c:v>44306</c:v>
                </c:pt>
                <c:pt idx="188">
                  <c:v>44307</c:v>
                </c:pt>
                <c:pt idx="189">
                  <c:v>44308</c:v>
                </c:pt>
                <c:pt idx="190">
                  <c:v>44309</c:v>
                </c:pt>
                <c:pt idx="191">
                  <c:v>44312</c:v>
                </c:pt>
                <c:pt idx="192">
                  <c:v>44313</c:v>
                </c:pt>
                <c:pt idx="193">
                  <c:v>44314</c:v>
                </c:pt>
                <c:pt idx="194">
                  <c:v>44315</c:v>
                </c:pt>
                <c:pt idx="195">
                  <c:v>44316</c:v>
                </c:pt>
                <c:pt idx="196">
                  <c:v>44319</c:v>
                </c:pt>
                <c:pt idx="197">
                  <c:v>44320</c:v>
                </c:pt>
                <c:pt idx="198">
                  <c:v>44321</c:v>
                </c:pt>
                <c:pt idx="199">
                  <c:v>44322</c:v>
                </c:pt>
                <c:pt idx="200">
                  <c:v>44323</c:v>
                </c:pt>
                <c:pt idx="201">
                  <c:v>44326</c:v>
                </c:pt>
                <c:pt idx="202">
                  <c:v>44327</c:v>
                </c:pt>
                <c:pt idx="203">
                  <c:v>44328</c:v>
                </c:pt>
                <c:pt idx="204">
                  <c:v>44329</c:v>
                </c:pt>
                <c:pt idx="205">
                  <c:v>44330</c:v>
                </c:pt>
                <c:pt idx="206">
                  <c:v>44333</c:v>
                </c:pt>
                <c:pt idx="207">
                  <c:v>44334</c:v>
                </c:pt>
                <c:pt idx="208">
                  <c:v>44335</c:v>
                </c:pt>
                <c:pt idx="209">
                  <c:v>44336</c:v>
                </c:pt>
                <c:pt idx="210">
                  <c:v>44337</c:v>
                </c:pt>
                <c:pt idx="211">
                  <c:v>44340</c:v>
                </c:pt>
                <c:pt idx="212">
                  <c:v>44341</c:v>
                </c:pt>
                <c:pt idx="213">
                  <c:v>44342</c:v>
                </c:pt>
                <c:pt idx="214">
                  <c:v>44343</c:v>
                </c:pt>
                <c:pt idx="215">
                  <c:v>44344</c:v>
                </c:pt>
                <c:pt idx="216">
                  <c:v>44347</c:v>
                </c:pt>
                <c:pt idx="217">
                  <c:v>44348</c:v>
                </c:pt>
                <c:pt idx="218">
                  <c:v>44349</c:v>
                </c:pt>
                <c:pt idx="219">
                  <c:v>44350</c:v>
                </c:pt>
                <c:pt idx="220">
                  <c:v>44351</c:v>
                </c:pt>
                <c:pt idx="221">
                  <c:v>44354</c:v>
                </c:pt>
                <c:pt idx="222">
                  <c:v>44355</c:v>
                </c:pt>
                <c:pt idx="223">
                  <c:v>44356</c:v>
                </c:pt>
                <c:pt idx="224">
                  <c:v>44357</c:v>
                </c:pt>
                <c:pt idx="225">
                  <c:v>44358</c:v>
                </c:pt>
                <c:pt idx="226">
                  <c:v>44361</c:v>
                </c:pt>
                <c:pt idx="227">
                  <c:v>44362</c:v>
                </c:pt>
                <c:pt idx="228">
                  <c:v>44363</c:v>
                </c:pt>
                <c:pt idx="229">
                  <c:v>44364</c:v>
                </c:pt>
                <c:pt idx="230">
                  <c:v>44365</c:v>
                </c:pt>
                <c:pt idx="231">
                  <c:v>44368</c:v>
                </c:pt>
                <c:pt idx="232">
                  <c:v>44369</c:v>
                </c:pt>
                <c:pt idx="233">
                  <c:v>44370</c:v>
                </c:pt>
                <c:pt idx="234">
                  <c:v>44371</c:v>
                </c:pt>
                <c:pt idx="235">
                  <c:v>44372</c:v>
                </c:pt>
                <c:pt idx="236">
                  <c:v>44375</c:v>
                </c:pt>
                <c:pt idx="237">
                  <c:v>44376</c:v>
                </c:pt>
                <c:pt idx="238">
                  <c:v>44377</c:v>
                </c:pt>
                <c:pt idx="239">
                  <c:v>44378</c:v>
                </c:pt>
                <c:pt idx="240">
                  <c:v>44379</c:v>
                </c:pt>
                <c:pt idx="241">
                  <c:v>44382</c:v>
                </c:pt>
                <c:pt idx="242">
                  <c:v>44383</c:v>
                </c:pt>
                <c:pt idx="243">
                  <c:v>44384</c:v>
                </c:pt>
                <c:pt idx="244">
                  <c:v>44385</c:v>
                </c:pt>
                <c:pt idx="245">
                  <c:v>44386</c:v>
                </c:pt>
                <c:pt idx="246">
                  <c:v>44389</c:v>
                </c:pt>
                <c:pt idx="247">
                  <c:v>44390</c:v>
                </c:pt>
                <c:pt idx="248">
                  <c:v>44391</c:v>
                </c:pt>
                <c:pt idx="249">
                  <c:v>44392</c:v>
                </c:pt>
                <c:pt idx="250">
                  <c:v>44393</c:v>
                </c:pt>
                <c:pt idx="251">
                  <c:v>44396</c:v>
                </c:pt>
                <c:pt idx="252">
                  <c:v>44397</c:v>
                </c:pt>
                <c:pt idx="253">
                  <c:v>44398</c:v>
                </c:pt>
                <c:pt idx="254">
                  <c:v>44399</c:v>
                </c:pt>
                <c:pt idx="255">
                  <c:v>44400</c:v>
                </c:pt>
                <c:pt idx="256">
                  <c:v>44403</c:v>
                </c:pt>
                <c:pt idx="257">
                  <c:v>44404</c:v>
                </c:pt>
                <c:pt idx="258">
                  <c:v>44405</c:v>
                </c:pt>
                <c:pt idx="259">
                  <c:v>44406</c:v>
                </c:pt>
                <c:pt idx="260">
                  <c:v>44407</c:v>
                </c:pt>
                <c:pt idx="261">
                  <c:v>44410</c:v>
                </c:pt>
                <c:pt idx="262">
                  <c:v>44411</c:v>
                </c:pt>
                <c:pt idx="263">
                  <c:v>44412</c:v>
                </c:pt>
                <c:pt idx="264">
                  <c:v>44413</c:v>
                </c:pt>
                <c:pt idx="265">
                  <c:v>44414</c:v>
                </c:pt>
                <c:pt idx="266">
                  <c:v>44417</c:v>
                </c:pt>
                <c:pt idx="267">
                  <c:v>44418</c:v>
                </c:pt>
                <c:pt idx="268">
                  <c:v>44419</c:v>
                </c:pt>
                <c:pt idx="269">
                  <c:v>44420</c:v>
                </c:pt>
                <c:pt idx="270">
                  <c:v>44421</c:v>
                </c:pt>
                <c:pt idx="271">
                  <c:v>44424</c:v>
                </c:pt>
                <c:pt idx="272">
                  <c:v>44425</c:v>
                </c:pt>
                <c:pt idx="273">
                  <c:v>44426</c:v>
                </c:pt>
                <c:pt idx="274">
                  <c:v>44427</c:v>
                </c:pt>
                <c:pt idx="275">
                  <c:v>44428</c:v>
                </c:pt>
                <c:pt idx="276">
                  <c:v>44431</c:v>
                </c:pt>
                <c:pt idx="277">
                  <c:v>44432</c:v>
                </c:pt>
                <c:pt idx="278">
                  <c:v>44433</c:v>
                </c:pt>
                <c:pt idx="279">
                  <c:v>44434</c:v>
                </c:pt>
                <c:pt idx="280">
                  <c:v>44435</c:v>
                </c:pt>
                <c:pt idx="281">
                  <c:v>44438</c:v>
                </c:pt>
                <c:pt idx="282">
                  <c:v>44439</c:v>
                </c:pt>
              </c:numCache>
            </c:numRef>
          </c:cat>
          <c:val>
            <c:numRef>
              <c:f>'[2021 09 GMR NEW.XLSX]MSCI Chart'!$K$8:$K$290</c:f>
              <c:numCache>
                <c:formatCode>0</c:formatCode>
                <c:ptCount val="283"/>
                <c:pt idx="0" formatCode="0.0">
                  <c:v>100</c:v>
                </c:pt>
                <c:pt idx="1">
                  <c:v>99.902494997307485</c:v>
                </c:pt>
                <c:pt idx="2">
                  <c:v>100.9883040339451</c:v>
                </c:pt>
                <c:pt idx="3">
                  <c:v>102.23436606455166</c:v>
                </c:pt>
                <c:pt idx="4">
                  <c:v>102.56386253277586</c:v>
                </c:pt>
                <c:pt idx="5">
                  <c:v>100.96392778327196</c:v>
                </c:pt>
                <c:pt idx="6">
                  <c:v>100.69773541850685</c:v>
                </c:pt>
                <c:pt idx="7">
                  <c:v>101.14095682808443</c:v>
                </c:pt>
                <c:pt idx="8">
                  <c:v>101.39556352237753</c:v>
                </c:pt>
                <c:pt idx="9">
                  <c:v>101.60012012023148</c:v>
                </c:pt>
                <c:pt idx="10">
                  <c:v>101.31946883871728</c:v>
                </c:pt>
                <c:pt idx="11">
                  <c:v>101.95037810994154</c:v>
                </c:pt>
                <c:pt idx="12">
                  <c:v>102.41371224345852</c:v>
                </c:pt>
                <c:pt idx="13">
                  <c:v>101.89940115986467</c:v>
                </c:pt>
                <c:pt idx="14">
                  <c:v>100.14996491858983</c:v>
                </c:pt>
                <c:pt idx="15">
                  <c:v>101.19851443898941</c:v>
                </c:pt>
                <c:pt idx="16">
                  <c:v>102.71670069764276</c:v>
                </c:pt>
                <c:pt idx="17">
                  <c:v>103.31859945000507</c:v>
                </c:pt>
                <c:pt idx="18">
                  <c:v>103.74624971846822</c:v>
                </c:pt>
                <c:pt idx="19">
                  <c:v>103.54984943262657</c:v>
                </c:pt>
                <c:pt idx="20">
                  <c:v>103.95590401132988</c:v>
                </c:pt>
                <c:pt idx="21">
                  <c:v>102.0928355140655</c:v>
                </c:pt>
                <c:pt idx="22">
                  <c:v>103.80909039510847</c:v>
                </c:pt>
                <c:pt idx="23">
                  <c:v>103.70556084377048</c:v>
                </c:pt>
                <c:pt idx="24">
                  <c:v>102.77435099391153</c:v>
                </c:pt>
                <c:pt idx="25">
                  <c:v>101.90746478651319</c:v>
                </c:pt>
                <c:pt idx="26">
                  <c:v>101.44996983091413</c:v>
                </c:pt>
                <c:pt idx="27">
                  <c:v>100.79588921874583</c:v>
                </c:pt>
                <c:pt idx="28">
                  <c:v>100.63285566386358</c:v>
                </c:pt>
                <c:pt idx="29">
                  <c:v>100.59272290134851</c:v>
                </c:pt>
                <c:pt idx="30">
                  <c:v>101.19304600252663</c:v>
                </c:pt>
                <c:pt idx="31">
                  <c:v>102.3492959156341</c:v>
                </c:pt>
                <c:pt idx="32">
                  <c:v>103.12349675925628</c:v>
                </c:pt>
                <c:pt idx="33">
                  <c:v>103.52899522577695</c:v>
                </c:pt>
                <c:pt idx="34">
                  <c:v>102.58592164935463</c:v>
                </c:pt>
                <c:pt idx="35">
                  <c:v>102.74469167750317</c:v>
                </c:pt>
                <c:pt idx="36">
                  <c:v>101.0594863933252</c:v>
                </c:pt>
                <c:pt idx="37">
                  <c:v>100.36573644546073</c:v>
                </c:pt>
                <c:pt idx="38">
                  <c:v>99.886831170829367</c:v>
                </c:pt>
                <c:pt idx="39">
                  <c:v>98.037202051312505</c:v>
                </c:pt>
                <c:pt idx="40">
                  <c:v>98.163254146048089</c:v>
                </c:pt>
                <c:pt idx="41">
                  <c:v>99.161938940736093</c:v>
                </c:pt>
                <c:pt idx="42">
                  <c:v>99.06100457958388</c:v>
                </c:pt>
                <c:pt idx="43">
                  <c:v>100.28519286433928</c:v>
                </c:pt>
                <c:pt idx="44">
                  <c:v>100.54832661209976</c:v>
                </c:pt>
                <c:pt idx="45">
                  <c:v>100.25831410884416</c:v>
                </c:pt>
                <c:pt idx="46">
                  <c:v>101.15504500337843</c:v>
                </c:pt>
                <c:pt idx="47">
                  <c:v>102.18283300229216</c:v>
                </c:pt>
                <c:pt idx="48">
                  <c:v>102.68602184223286</c:v>
                </c:pt>
                <c:pt idx="49">
                  <c:v>103.56996215656601</c:v>
                </c:pt>
                <c:pt idx="50">
                  <c:v>104.03978426554733</c:v>
                </c:pt>
                <c:pt idx="51">
                  <c:v>105.39873706923322</c:v>
                </c:pt>
                <c:pt idx="52">
                  <c:v>105.32903767567356</c:v>
                </c:pt>
                <c:pt idx="53">
                  <c:v>105.24951363355363</c:v>
                </c:pt>
                <c:pt idx="54">
                  <c:v>103.85775021109096</c:v>
                </c:pt>
                <c:pt idx="55">
                  <c:v>104.18585639885852</c:v>
                </c:pt>
                <c:pt idx="56">
                  <c:v>104.48207882148711</c:v>
                </c:pt>
                <c:pt idx="57">
                  <c:v>105.09973408569138</c:v>
                </c:pt>
                <c:pt idx="58">
                  <c:v>105.46741692379135</c:v>
                </c:pt>
                <c:pt idx="59">
                  <c:v>105.34080871687313</c:v>
                </c:pt>
                <c:pt idx="60">
                  <c:v>105.33191092195062</c:v>
                </c:pt>
                <c:pt idx="61">
                  <c:v>104.79424312668517</c:v>
                </c:pt>
                <c:pt idx="62">
                  <c:v>105.10427566851639</c:v>
                </c:pt>
                <c:pt idx="63">
                  <c:v>103.87721413748393</c:v>
                </c:pt>
                <c:pt idx="64">
                  <c:v>103.81733939248454</c:v>
                </c:pt>
                <c:pt idx="65">
                  <c:v>102.27440614170298</c:v>
                </c:pt>
                <c:pt idx="66">
                  <c:v>103.32175075237348</c:v>
                </c:pt>
                <c:pt idx="67">
                  <c:v>103.88935592013863</c:v>
                </c:pt>
                <c:pt idx="68">
                  <c:v>105.22180070978456</c:v>
                </c:pt>
                <c:pt idx="69">
                  <c:v>108.09217374056814</c:v>
                </c:pt>
                <c:pt idx="70">
                  <c:v>109.03144721707565</c:v>
                </c:pt>
                <c:pt idx="71">
                  <c:v>110.51552526185935</c:v>
                </c:pt>
                <c:pt idx="72">
                  <c:v>109.36159248284628</c:v>
                </c:pt>
                <c:pt idx="73">
                  <c:v>109.26269719969713</c:v>
                </c:pt>
                <c:pt idx="74">
                  <c:v>109.56327583442318</c:v>
                </c:pt>
                <c:pt idx="75">
                  <c:v>110.1422813019328</c:v>
                </c:pt>
                <c:pt idx="76">
                  <c:v>111.5043854079871</c:v>
                </c:pt>
                <c:pt idx="77">
                  <c:v>111.3548839162162</c:v>
                </c:pt>
                <c:pt idx="78">
                  <c:v>111.92193297179867</c:v>
                </c:pt>
                <c:pt idx="79">
                  <c:v>111.26358883289667</c:v>
                </c:pt>
                <c:pt idx="80">
                  <c:v>112.08051762921967</c:v>
                </c:pt>
                <c:pt idx="81">
                  <c:v>113.12406213997534</c:v>
                </c:pt>
                <c:pt idx="82">
                  <c:v>113.6316998773773</c:v>
                </c:pt>
                <c:pt idx="83">
                  <c:v>112.91728109339074</c:v>
                </c:pt>
                <c:pt idx="84">
                  <c:v>113.96416227724234</c:v>
                </c:pt>
                <c:pt idx="85">
                  <c:v>114.06991627731092</c:v>
                </c:pt>
                <c:pt idx="86">
                  <c:v>111.69216595499758</c:v>
                </c:pt>
                <c:pt idx="87">
                  <c:v>113.44716331809897</c:v>
                </c:pt>
                <c:pt idx="88">
                  <c:v>113.88334064002954</c:v>
                </c:pt>
                <c:pt idx="89">
                  <c:v>114.8798936713507</c:v>
                </c:pt>
                <c:pt idx="90">
                  <c:v>115.9528194424234</c:v>
                </c:pt>
                <c:pt idx="91">
                  <c:v>116.1709081033887</c:v>
                </c:pt>
                <c:pt idx="92">
                  <c:v>116.24885649432443</c:v>
                </c:pt>
                <c:pt idx="93">
                  <c:v>116.39919215436935</c:v>
                </c:pt>
                <c:pt idx="94">
                  <c:v>116.32272672925403</c:v>
                </c:pt>
                <c:pt idx="95">
                  <c:v>116.56676729207663</c:v>
                </c:pt>
                <c:pt idx="96">
                  <c:v>115.89804239243171</c:v>
                </c:pt>
                <c:pt idx="97">
                  <c:v>115.87626133194432</c:v>
                </c:pt>
                <c:pt idx="98">
                  <c:v>117.13743107684638</c:v>
                </c:pt>
                <c:pt idx="99">
                  <c:v>117.98466798712418</c:v>
                </c:pt>
                <c:pt idx="100">
                  <c:v>117.55868605520899</c:v>
                </c:pt>
                <c:pt idx="101">
                  <c:v>116.50615106416704</c:v>
                </c:pt>
                <c:pt idx="102">
                  <c:v>115.73667717409742</c:v>
                </c:pt>
                <c:pt idx="103">
                  <c:v>116.60699273995549</c:v>
                </c:pt>
                <c:pt idx="104">
                  <c:v>116.18397673968113</c:v>
                </c:pt>
                <c:pt idx="105">
                  <c:v>116.33885398255109</c:v>
                </c:pt>
                <c:pt idx="106">
                  <c:v>116.07238356169466</c:v>
                </c:pt>
                <c:pt idx="107">
                  <c:v>117.41076021462227</c:v>
                </c:pt>
                <c:pt idx="108">
                  <c:v>119.47458520982582</c:v>
                </c:pt>
                <c:pt idx="109">
                  <c:v>119.68127357104662</c:v>
                </c:pt>
                <c:pt idx="110">
                  <c:v>119.72659671393315</c:v>
                </c:pt>
                <c:pt idx="111">
                  <c:v>120.90138369979586</c:v>
                </c:pt>
                <c:pt idx="112">
                  <c:v>122.34199230896854</c:v>
                </c:pt>
                <c:pt idx="113">
                  <c:v>121.91137610886454</c:v>
                </c:pt>
                <c:pt idx="114">
                  <c:v>122.55748577974811</c:v>
                </c:pt>
                <c:pt idx="115">
                  <c:v>125.45251311729615</c:v>
                </c:pt>
                <c:pt idx="116">
                  <c:v>125.08770352547323</c:v>
                </c:pt>
                <c:pt idx="117">
                  <c:v>125.45631321721096</c:v>
                </c:pt>
                <c:pt idx="118">
                  <c:v>126.42941685149678</c:v>
                </c:pt>
                <c:pt idx="119">
                  <c:v>127.04901850834035</c:v>
                </c:pt>
                <c:pt idx="120">
                  <c:v>125.86950456892505</c:v>
                </c:pt>
                <c:pt idx="121">
                  <c:v>125.95737029378486</c:v>
                </c:pt>
                <c:pt idx="122">
                  <c:v>128.02703446690629</c:v>
                </c:pt>
                <c:pt idx="123">
                  <c:v>129.84932140410919</c:v>
                </c:pt>
                <c:pt idx="124">
                  <c:v>130.32164601791246</c:v>
                </c:pt>
                <c:pt idx="125">
                  <c:v>129.09708699170196</c:v>
                </c:pt>
                <c:pt idx="126">
                  <c:v>130.70489999712683</c:v>
                </c:pt>
                <c:pt idx="127">
                  <c:v>128.71763311240238</c:v>
                </c:pt>
                <c:pt idx="128">
                  <c:v>127.11009816306883</c:v>
                </c:pt>
                <c:pt idx="129">
                  <c:v>125.17974009170294</c:v>
                </c:pt>
                <c:pt idx="130">
                  <c:v>123.23130837440071</c:v>
                </c:pt>
                <c:pt idx="131">
                  <c:v>126.15321446744385</c:v>
                </c:pt>
                <c:pt idx="132">
                  <c:v>128.01591222325317</c:v>
                </c:pt>
                <c:pt idx="133">
                  <c:v>129.07725232385383</c:v>
                </c:pt>
                <c:pt idx="134">
                  <c:v>128.61150837087868</c:v>
                </c:pt>
                <c:pt idx="135">
                  <c:v>129.32852234505097</c:v>
                </c:pt>
                <c:pt idx="136">
                  <c:v>129.74236249431149</c:v>
                </c:pt>
                <c:pt idx="137">
                  <c:v>130.60619008470522</c:v>
                </c:pt>
                <c:pt idx="138">
                  <c:v>131.88617495845384</c:v>
                </c:pt>
                <c:pt idx="139">
                  <c:v>132.34413334087182</c:v>
                </c:pt>
                <c:pt idx="140">
                  <c:v>132.43533573882755</c:v>
                </c:pt>
                <c:pt idx="141">
                  <c:v>133.2556012082465</c:v>
                </c:pt>
                <c:pt idx="142">
                  <c:v>133.66777302095903</c:v>
                </c:pt>
                <c:pt idx="143">
                  <c:v>133.92386268107256</c:v>
                </c:pt>
                <c:pt idx="144">
                  <c:v>132.08841442221345</c:v>
                </c:pt>
                <c:pt idx="145">
                  <c:v>132.54248001935284</c:v>
                </c:pt>
                <c:pt idx="146">
                  <c:v>129.54308896219283</c:v>
                </c:pt>
                <c:pt idx="147">
                  <c:v>129.59286100254062</c:v>
                </c:pt>
                <c:pt idx="148">
                  <c:v>127.60577948854373</c:v>
                </c:pt>
                <c:pt idx="149">
                  <c:v>128.25902593243805</c:v>
                </c:pt>
                <c:pt idx="150">
                  <c:v>124.12970760548302</c:v>
                </c:pt>
                <c:pt idx="151">
                  <c:v>126.28056415727237</c:v>
                </c:pt>
                <c:pt idx="152">
                  <c:v>126.01946948751495</c:v>
                </c:pt>
                <c:pt idx="153">
                  <c:v>127.72219230544663</c:v>
                </c:pt>
                <c:pt idx="154">
                  <c:v>124.78619803710953</c:v>
                </c:pt>
                <c:pt idx="155">
                  <c:v>124.13480530049074</c:v>
                </c:pt>
                <c:pt idx="156">
                  <c:v>121.24533908476924</c:v>
                </c:pt>
                <c:pt idx="157">
                  <c:v>122.14577739385456</c:v>
                </c:pt>
                <c:pt idx="158">
                  <c:v>122.79874578165752</c:v>
                </c:pt>
                <c:pt idx="159">
                  <c:v>125.82937180641008</c:v>
                </c:pt>
                <c:pt idx="160">
                  <c:v>124.95868549909692</c:v>
                </c:pt>
                <c:pt idx="161">
                  <c:v>124.22128074489387</c:v>
                </c:pt>
                <c:pt idx="162">
                  <c:v>125.03876565339952</c:v>
                </c:pt>
                <c:pt idx="163">
                  <c:v>124.45781379325061</c:v>
                </c:pt>
                <c:pt idx="164">
                  <c:v>124.87758580579279</c:v>
                </c:pt>
                <c:pt idx="165">
                  <c:v>123.90540902514475</c:v>
                </c:pt>
                <c:pt idx="166">
                  <c:v>123.85285642388368</c:v>
                </c:pt>
                <c:pt idx="167">
                  <c:v>122.69382594986293</c:v>
                </c:pt>
                <c:pt idx="168">
                  <c:v>120.3462910561406</c:v>
                </c:pt>
                <c:pt idx="169">
                  <c:v>119.41749102573979</c:v>
                </c:pt>
                <c:pt idx="170">
                  <c:v>121.18388868858568</c:v>
                </c:pt>
                <c:pt idx="171">
                  <c:v>121.42829999286337</c:v>
                </c:pt>
                <c:pt idx="172">
                  <c:v>122.297966761175</c:v>
                </c:pt>
                <c:pt idx="173">
                  <c:v>122.01333000901843</c:v>
                </c:pt>
                <c:pt idx="174">
                  <c:v>123.75683438701159</c:v>
                </c:pt>
                <c:pt idx="175">
                  <c:v>124.03396362470228</c:v>
                </c:pt>
                <c:pt idx="176">
                  <c:v>124.0859601137807</c:v>
                </c:pt>
                <c:pt idx="177">
                  <c:v>124.83856526764302</c:v>
                </c:pt>
                <c:pt idx="178">
                  <c:v>124.08336492359496</c:v>
                </c:pt>
                <c:pt idx="179">
                  <c:v>124.50943954087391</c:v>
                </c:pt>
                <c:pt idx="180">
                  <c:v>123.3051786093304</c:v>
                </c:pt>
                <c:pt idx="181">
                  <c:v>122.55924680165994</c:v>
                </c:pt>
                <c:pt idx="182">
                  <c:v>122.71032394461506</c:v>
                </c:pt>
                <c:pt idx="183">
                  <c:v>123.88205231347317</c:v>
                </c:pt>
                <c:pt idx="184">
                  <c:v>124.29913645046585</c:v>
                </c:pt>
                <c:pt idx="185">
                  <c:v>125.00410132734724</c:v>
                </c:pt>
                <c:pt idx="186">
                  <c:v>124.9910326910548</c:v>
                </c:pt>
                <c:pt idx="187">
                  <c:v>124.90335233692257</c:v>
                </c:pt>
                <c:pt idx="188">
                  <c:v>123.90781884460293</c:v>
                </c:pt>
                <c:pt idx="189">
                  <c:v>124.33055678878594</c:v>
                </c:pt>
                <c:pt idx="190">
                  <c:v>125.40515089640664</c:v>
                </c:pt>
                <c:pt idx="191">
                  <c:v>126.11122799765333</c:v>
                </c:pt>
                <c:pt idx="192">
                  <c:v>126.2334799924741</c:v>
                </c:pt>
                <c:pt idx="193">
                  <c:v>126.51190682525765</c:v>
                </c:pt>
                <c:pt idx="194">
                  <c:v>126.47279360174412</c:v>
                </c:pt>
                <c:pt idx="195">
                  <c:v>124.90390844910523</c:v>
                </c:pt>
                <c:pt idx="196">
                  <c:v>124.09559939161343</c:v>
                </c:pt>
                <c:pt idx="197">
                  <c:v>123.73384841679511</c:v>
                </c:pt>
                <c:pt idx="198">
                  <c:v>123.55413149643316</c:v>
                </c:pt>
                <c:pt idx="199">
                  <c:v>124.27225769497076</c:v>
                </c:pt>
                <c:pt idx="200">
                  <c:v>124.99270102760278</c:v>
                </c:pt>
                <c:pt idx="201">
                  <c:v>124.78731026147483</c:v>
                </c:pt>
                <c:pt idx="202">
                  <c:v>123.18635597296938</c:v>
                </c:pt>
                <c:pt idx="203">
                  <c:v>121.90433202121768</c:v>
                </c:pt>
                <c:pt idx="204">
                  <c:v>119.82196995325891</c:v>
                </c:pt>
                <c:pt idx="205">
                  <c:v>121.18926443968471</c:v>
                </c:pt>
                <c:pt idx="206">
                  <c:v>121.5525910656872</c:v>
                </c:pt>
                <c:pt idx="207">
                  <c:v>123.56645864981539</c:v>
                </c:pt>
                <c:pt idx="208">
                  <c:v>123.04334245666278</c:v>
                </c:pt>
                <c:pt idx="209">
                  <c:v>123.20721017981901</c:v>
                </c:pt>
                <c:pt idx="210">
                  <c:v>123.27533392219448</c:v>
                </c:pt>
                <c:pt idx="211">
                  <c:v>122.96363304381531</c:v>
                </c:pt>
                <c:pt idx="212">
                  <c:v>124.70750816326354</c:v>
                </c:pt>
                <c:pt idx="213">
                  <c:v>125.30616292789368</c:v>
                </c:pt>
                <c:pt idx="214">
                  <c:v>125.52508575713294</c:v>
                </c:pt>
                <c:pt idx="215">
                  <c:v>126.12457469003705</c:v>
                </c:pt>
                <c:pt idx="216">
                  <c:v>127.55433911164796</c:v>
                </c:pt>
                <c:pt idx="217">
                  <c:v>128.91106746660324</c:v>
                </c:pt>
                <c:pt idx="218">
                  <c:v>128.69047630081599</c:v>
                </c:pt>
                <c:pt idx="219">
                  <c:v>128.23696681585929</c:v>
                </c:pt>
                <c:pt idx="220">
                  <c:v>128.05029849321411</c:v>
                </c:pt>
                <c:pt idx="221">
                  <c:v>127.96067174644259</c:v>
                </c:pt>
                <c:pt idx="222">
                  <c:v>127.66778599690994</c:v>
                </c:pt>
                <c:pt idx="223">
                  <c:v>127.23883813335394</c:v>
                </c:pt>
                <c:pt idx="224">
                  <c:v>127.79921384274452</c:v>
                </c:pt>
                <c:pt idx="225">
                  <c:v>128.09043125572919</c:v>
                </c:pt>
                <c:pt idx="226">
                  <c:v>128.20156100689678</c:v>
                </c:pt>
                <c:pt idx="227">
                  <c:v>127.74517827566302</c:v>
                </c:pt>
                <c:pt idx="228">
                  <c:v>126.97894837332558</c:v>
                </c:pt>
                <c:pt idx="229">
                  <c:v>126.31949201005827</c:v>
                </c:pt>
                <c:pt idx="230">
                  <c:v>126.16758069882917</c:v>
                </c:pt>
                <c:pt idx="231">
                  <c:v>125.1737155430575</c:v>
                </c:pt>
                <c:pt idx="232">
                  <c:v>124.83235534826994</c:v>
                </c:pt>
                <c:pt idx="233">
                  <c:v>126.09797399063326</c:v>
                </c:pt>
                <c:pt idx="234">
                  <c:v>126.73741031532492</c:v>
                </c:pt>
                <c:pt idx="235">
                  <c:v>127.86743027048375</c:v>
                </c:pt>
                <c:pt idx="236">
                  <c:v>127.98940420921316</c:v>
                </c:pt>
                <c:pt idx="237">
                  <c:v>127.64155603896126</c:v>
                </c:pt>
                <c:pt idx="238">
                  <c:v>127.40873040515557</c:v>
                </c:pt>
                <c:pt idx="239">
                  <c:v>126.81387574044024</c:v>
                </c:pt>
                <c:pt idx="240">
                  <c:v>125.62416641100957</c:v>
                </c:pt>
                <c:pt idx="241">
                  <c:v>125.53908124706305</c:v>
                </c:pt>
                <c:pt idx="242">
                  <c:v>124.80807178296057</c:v>
                </c:pt>
                <c:pt idx="243">
                  <c:v>124.26141350740885</c:v>
                </c:pt>
                <c:pt idx="244">
                  <c:v>121.99683201426618</c:v>
                </c:pt>
                <c:pt idx="245">
                  <c:v>122.1755293956266</c:v>
                </c:pt>
                <c:pt idx="246">
                  <c:v>122.97762853374539</c:v>
                </c:pt>
                <c:pt idx="247">
                  <c:v>124.15334237324583</c:v>
                </c:pt>
                <c:pt idx="248">
                  <c:v>124.02525120050721</c:v>
                </c:pt>
                <c:pt idx="249">
                  <c:v>124.98473008631791</c:v>
                </c:pt>
                <c:pt idx="250">
                  <c:v>124.20598765987071</c:v>
                </c:pt>
                <c:pt idx="251">
                  <c:v>122.08701487322037</c:v>
                </c:pt>
                <c:pt idx="252">
                  <c:v>121.51737062745215</c:v>
                </c:pt>
                <c:pt idx="253">
                  <c:v>121.61710007887528</c:v>
                </c:pt>
                <c:pt idx="254">
                  <c:v>122.93573474931856</c:v>
                </c:pt>
                <c:pt idx="255">
                  <c:v>121.53850289039309</c:v>
                </c:pt>
                <c:pt idx="256">
                  <c:v>118.63606072374297</c:v>
                </c:pt>
                <c:pt idx="257">
                  <c:v>116.08220821025492</c:v>
                </c:pt>
                <c:pt idx="258">
                  <c:v>117.5442271384599</c:v>
                </c:pt>
                <c:pt idx="259">
                  <c:v>120.06573245999006</c:v>
                </c:pt>
                <c:pt idx="260">
                  <c:v>118.43382125998339</c:v>
                </c:pt>
                <c:pt idx="261">
                  <c:v>119.85246343794114</c:v>
                </c:pt>
                <c:pt idx="262">
                  <c:v>119.95135872109029</c:v>
                </c:pt>
                <c:pt idx="263">
                  <c:v>120.86088019582564</c:v>
                </c:pt>
                <c:pt idx="264">
                  <c:v>120.49959264782622</c:v>
                </c:pt>
                <c:pt idx="265">
                  <c:v>119.79861324158719</c:v>
                </c:pt>
                <c:pt idx="266">
                  <c:v>119.95376854054845</c:v>
                </c:pt>
                <c:pt idx="267">
                  <c:v>120.52174444976872</c:v>
                </c:pt>
                <c:pt idx="268">
                  <c:v>120.26704507011186</c:v>
                </c:pt>
                <c:pt idx="269">
                  <c:v>119.64864832299739</c:v>
                </c:pt>
                <c:pt idx="270">
                  <c:v>118.71725310241085</c:v>
                </c:pt>
                <c:pt idx="271">
                  <c:v>117.91311488628897</c:v>
                </c:pt>
                <c:pt idx="272">
                  <c:v>116.39224075208614</c:v>
                </c:pt>
                <c:pt idx="273">
                  <c:v>116.93185493999088</c:v>
                </c:pt>
                <c:pt idx="274">
                  <c:v>114.22664722745641</c:v>
                </c:pt>
                <c:pt idx="275">
                  <c:v>113.14825301992092</c:v>
                </c:pt>
                <c:pt idx="276">
                  <c:v>114.70101091926274</c:v>
                </c:pt>
                <c:pt idx="277">
                  <c:v>117.71143153471209</c:v>
                </c:pt>
                <c:pt idx="278">
                  <c:v>118.20220053590681</c:v>
                </c:pt>
                <c:pt idx="279">
                  <c:v>117.35209037935195</c:v>
                </c:pt>
                <c:pt idx="280">
                  <c:v>117.95815997308419</c:v>
                </c:pt>
                <c:pt idx="281">
                  <c:v>119.1368397442255</c:v>
                </c:pt>
                <c:pt idx="282">
                  <c:v>121.29455501293428</c:v>
                </c:pt>
              </c:numCache>
            </c:numRef>
          </c:val>
          <c:smooth val="0"/>
          <c:extLst>
            <c:ext xmlns:c16="http://schemas.microsoft.com/office/drawing/2014/chart" uri="{C3380CC4-5D6E-409C-BE32-E72D297353CC}">
              <c16:uniqueId val="{00000003-BB1F-4F27-A800-43BB74EC0CD7}"/>
            </c:ext>
          </c:extLst>
        </c:ser>
        <c:dLbls>
          <c:showLegendKey val="0"/>
          <c:showVal val="0"/>
          <c:showCatName val="0"/>
          <c:showSerName val="0"/>
          <c:showPercent val="0"/>
          <c:showBubbleSize val="0"/>
        </c:dLbls>
        <c:smooth val="0"/>
        <c:axId val="601503152"/>
        <c:axId val="601503936"/>
      </c:lineChart>
      <c:dateAx>
        <c:axId val="601503152"/>
        <c:scaling>
          <c:orientation val="minMax"/>
        </c:scaling>
        <c:delete val="0"/>
        <c:axPos val="b"/>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sz="900" b="0" i="0" u="none" strike="noStrike" kern="1200" baseline="0">
                <a:solidFill>
                  <a:schemeClr val="tx1"/>
                </a:solidFill>
                <a:latin typeface="+mn-lt"/>
                <a:ea typeface="+mn-ea"/>
                <a:cs typeface="+mn-cs"/>
              </a:defRPr>
            </a:pPr>
            <a:endParaRPr lang="en-US"/>
          </a:p>
        </c:txPr>
        <c:crossAx val="601503936"/>
        <c:crosses val="autoZero"/>
        <c:auto val="1"/>
        <c:lblOffset val="100"/>
        <c:baseTimeUnit val="days"/>
      </c:dateAx>
      <c:valAx>
        <c:axId val="601503936"/>
        <c:scaling>
          <c:orientation val="minMax"/>
          <c:min val="80"/>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601503152"/>
        <c:crosses val="autoZero"/>
        <c:crossBetween val="between"/>
        <c:majorUnit val="20"/>
      </c:valAx>
      <c:spPr>
        <a:noFill/>
        <a:ln>
          <a:noFill/>
        </a:ln>
        <a:effectLst/>
      </c:spPr>
    </c:plotArea>
    <c:legend>
      <c:legendPos val="b"/>
      <c:layout>
        <c:manualLayout>
          <c:xMode val="edge"/>
          <c:yMode val="edge"/>
          <c:x val="4.808223972003501E-2"/>
          <c:y val="0.87789393939393956"/>
          <c:w val="0.89827996500437446"/>
          <c:h val="9.432828282828281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9247594050743664E-2"/>
          <c:y val="5.0925925925925923E-2"/>
          <c:w val="0.86984470691163607"/>
          <c:h val="0.60706765820939046"/>
        </c:manualLayout>
      </c:layout>
      <c:lineChart>
        <c:grouping val="standard"/>
        <c:varyColors val="0"/>
        <c:ser>
          <c:idx val="2"/>
          <c:order val="2"/>
          <c:tx>
            <c:strRef>
              <c:f>'[2021 09 GMR NEW.XLSX]Currency Chart'!$R$5</c:f>
              <c:strCache>
                <c:ptCount val="1"/>
                <c:pt idx="0">
                  <c:v>USD-INR</c:v>
                </c:pt>
              </c:strCache>
            </c:strRef>
          </c:tx>
          <c:spPr>
            <a:ln w="28575" cap="rnd">
              <a:solidFill>
                <a:schemeClr val="tx1"/>
              </a:solidFill>
              <a:round/>
            </a:ln>
            <a:effectLst/>
          </c:spPr>
          <c:marker>
            <c:symbol val="none"/>
          </c:marker>
          <c:cat>
            <c:numRef>
              <c:f>'[2021 09 GMR NEW.XLSX]Currency Chart'!$O$6:$O$290</c:f>
              <c:numCache>
                <c:formatCode>m/d/yyyy</c:formatCode>
                <c:ptCount val="285"/>
                <c:pt idx="0">
                  <c:v>44043</c:v>
                </c:pt>
                <c:pt idx="1">
                  <c:v>44046</c:v>
                </c:pt>
                <c:pt idx="2">
                  <c:v>44047</c:v>
                </c:pt>
                <c:pt idx="3">
                  <c:v>44048</c:v>
                </c:pt>
                <c:pt idx="4">
                  <c:v>44049</c:v>
                </c:pt>
                <c:pt idx="5">
                  <c:v>44050</c:v>
                </c:pt>
                <c:pt idx="6">
                  <c:v>44053</c:v>
                </c:pt>
                <c:pt idx="7">
                  <c:v>44054</c:v>
                </c:pt>
                <c:pt idx="8">
                  <c:v>44055</c:v>
                </c:pt>
                <c:pt idx="9">
                  <c:v>44056</c:v>
                </c:pt>
                <c:pt idx="10">
                  <c:v>44057</c:v>
                </c:pt>
                <c:pt idx="11">
                  <c:v>44060</c:v>
                </c:pt>
                <c:pt idx="12">
                  <c:v>44061</c:v>
                </c:pt>
                <c:pt idx="13">
                  <c:v>44062</c:v>
                </c:pt>
                <c:pt idx="14">
                  <c:v>44063</c:v>
                </c:pt>
                <c:pt idx="15">
                  <c:v>44064</c:v>
                </c:pt>
                <c:pt idx="16">
                  <c:v>44067</c:v>
                </c:pt>
                <c:pt idx="17">
                  <c:v>44068</c:v>
                </c:pt>
                <c:pt idx="18">
                  <c:v>44069</c:v>
                </c:pt>
                <c:pt idx="19">
                  <c:v>44070</c:v>
                </c:pt>
                <c:pt idx="20">
                  <c:v>44071</c:v>
                </c:pt>
                <c:pt idx="21">
                  <c:v>44074</c:v>
                </c:pt>
                <c:pt idx="22">
                  <c:v>44075</c:v>
                </c:pt>
                <c:pt idx="23">
                  <c:v>44076</c:v>
                </c:pt>
                <c:pt idx="24">
                  <c:v>44077</c:v>
                </c:pt>
                <c:pt idx="25">
                  <c:v>44078</c:v>
                </c:pt>
                <c:pt idx="26">
                  <c:v>44081</c:v>
                </c:pt>
                <c:pt idx="27">
                  <c:v>44082</c:v>
                </c:pt>
                <c:pt idx="28">
                  <c:v>44083</c:v>
                </c:pt>
                <c:pt idx="29">
                  <c:v>44084</c:v>
                </c:pt>
                <c:pt idx="30">
                  <c:v>44085</c:v>
                </c:pt>
                <c:pt idx="31">
                  <c:v>44088</c:v>
                </c:pt>
                <c:pt idx="32">
                  <c:v>44089</c:v>
                </c:pt>
                <c:pt idx="33">
                  <c:v>44090</c:v>
                </c:pt>
                <c:pt idx="34">
                  <c:v>44091</c:v>
                </c:pt>
                <c:pt idx="35">
                  <c:v>44092</c:v>
                </c:pt>
                <c:pt idx="36">
                  <c:v>44095</c:v>
                </c:pt>
                <c:pt idx="37">
                  <c:v>44096</c:v>
                </c:pt>
                <c:pt idx="38">
                  <c:v>44097</c:v>
                </c:pt>
                <c:pt idx="39">
                  <c:v>44098</c:v>
                </c:pt>
                <c:pt idx="40">
                  <c:v>44099</c:v>
                </c:pt>
                <c:pt idx="41">
                  <c:v>44102</c:v>
                </c:pt>
                <c:pt idx="42">
                  <c:v>44103</c:v>
                </c:pt>
                <c:pt idx="43">
                  <c:v>44104</c:v>
                </c:pt>
                <c:pt idx="44">
                  <c:v>44105</c:v>
                </c:pt>
                <c:pt idx="45">
                  <c:v>44106</c:v>
                </c:pt>
                <c:pt idx="46">
                  <c:v>44109</c:v>
                </c:pt>
                <c:pt idx="47">
                  <c:v>44110</c:v>
                </c:pt>
                <c:pt idx="48">
                  <c:v>44111</c:v>
                </c:pt>
                <c:pt idx="49">
                  <c:v>44112</c:v>
                </c:pt>
                <c:pt idx="50">
                  <c:v>44113</c:v>
                </c:pt>
                <c:pt idx="51">
                  <c:v>44116</c:v>
                </c:pt>
                <c:pt idx="52">
                  <c:v>44117</c:v>
                </c:pt>
                <c:pt idx="53">
                  <c:v>44118</c:v>
                </c:pt>
                <c:pt idx="54">
                  <c:v>44119</c:v>
                </c:pt>
                <c:pt idx="55">
                  <c:v>44120</c:v>
                </c:pt>
                <c:pt idx="56">
                  <c:v>44123</c:v>
                </c:pt>
                <c:pt idx="57">
                  <c:v>44124</c:v>
                </c:pt>
                <c:pt idx="58">
                  <c:v>44125</c:v>
                </c:pt>
                <c:pt idx="59">
                  <c:v>44126</c:v>
                </c:pt>
                <c:pt idx="60">
                  <c:v>44127</c:v>
                </c:pt>
                <c:pt idx="61">
                  <c:v>44130</c:v>
                </c:pt>
                <c:pt idx="62">
                  <c:v>44131</c:v>
                </c:pt>
                <c:pt idx="63">
                  <c:v>44132</c:v>
                </c:pt>
                <c:pt idx="64">
                  <c:v>44133</c:v>
                </c:pt>
                <c:pt idx="65">
                  <c:v>44134</c:v>
                </c:pt>
                <c:pt idx="66">
                  <c:v>44137</c:v>
                </c:pt>
                <c:pt idx="67">
                  <c:v>44138</c:v>
                </c:pt>
                <c:pt idx="68">
                  <c:v>44139</c:v>
                </c:pt>
                <c:pt idx="69">
                  <c:v>44140</c:v>
                </c:pt>
                <c:pt idx="70">
                  <c:v>44141</c:v>
                </c:pt>
                <c:pt idx="71">
                  <c:v>44144</c:v>
                </c:pt>
                <c:pt idx="72">
                  <c:v>44145</c:v>
                </c:pt>
                <c:pt idx="73">
                  <c:v>44146</c:v>
                </c:pt>
                <c:pt idx="74">
                  <c:v>44147</c:v>
                </c:pt>
                <c:pt idx="75">
                  <c:v>44148</c:v>
                </c:pt>
                <c:pt idx="76">
                  <c:v>44151</c:v>
                </c:pt>
                <c:pt idx="77">
                  <c:v>44152</c:v>
                </c:pt>
                <c:pt idx="78">
                  <c:v>44153</c:v>
                </c:pt>
                <c:pt idx="79">
                  <c:v>44154</c:v>
                </c:pt>
                <c:pt idx="80">
                  <c:v>44155</c:v>
                </c:pt>
                <c:pt idx="81">
                  <c:v>44158</c:v>
                </c:pt>
                <c:pt idx="82">
                  <c:v>44159</c:v>
                </c:pt>
                <c:pt idx="83">
                  <c:v>44160</c:v>
                </c:pt>
                <c:pt idx="84">
                  <c:v>44161</c:v>
                </c:pt>
                <c:pt idx="85">
                  <c:v>44162</c:v>
                </c:pt>
                <c:pt idx="86">
                  <c:v>44165</c:v>
                </c:pt>
                <c:pt idx="87">
                  <c:v>44166</c:v>
                </c:pt>
                <c:pt idx="88">
                  <c:v>44167</c:v>
                </c:pt>
                <c:pt idx="89">
                  <c:v>44168</c:v>
                </c:pt>
                <c:pt idx="90">
                  <c:v>44169</c:v>
                </c:pt>
                <c:pt idx="91">
                  <c:v>44172</c:v>
                </c:pt>
                <c:pt idx="92">
                  <c:v>44173</c:v>
                </c:pt>
                <c:pt idx="93">
                  <c:v>44174</c:v>
                </c:pt>
                <c:pt idx="94">
                  <c:v>44175</c:v>
                </c:pt>
                <c:pt idx="95">
                  <c:v>44176</c:v>
                </c:pt>
                <c:pt idx="96">
                  <c:v>44179</c:v>
                </c:pt>
                <c:pt idx="97">
                  <c:v>44180</c:v>
                </c:pt>
                <c:pt idx="98">
                  <c:v>44181</c:v>
                </c:pt>
                <c:pt idx="99">
                  <c:v>44182</c:v>
                </c:pt>
                <c:pt idx="100">
                  <c:v>44183</c:v>
                </c:pt>
                <c:pt idx="101">
                  <c:v>44186</c:v>
                </c:pt>
                <c:pt idx="102">
                  <c:v>44187</c:v>
                </c:pt>
                <c:pt idx="103">
                  <c:v>44188</c:v>
                </c:pt>
                <c:pt idx="104">
                  <c:v>44189</c:v>
                </c:pt>
                <c:pt idx="105">
                  <c:v>44190</c:v>
                </c:pt>
                <c:pt idx="106">
                  <c:v>44193</c:v>
                </c:pt>
                <c:pt idx="107">
                  <c:v>44194</c:v>
                </c:pt>
                <c:pt idx="108">
                  <c:v>44195</c:v>
                </c:pt>
                <c:pt idx="109">
                  <c:v>44196</c:v>
                </c:pt>
                <c:pt idx="110">
                  <c:v>44197</c:v>
                </c:pt>
                <c:pt idx="111">
                  <c:v>44200</c:v>
                </c:pt>
                <c:pt idx="112">
                  <c:v>44201</c:v>
                </c:pt>
                <c:pt idx="113">
                  <c:v>44202</c:v>
                </c:pt>
                <c:pt idx="114">
                  <c:v>44203</c:v>
                </c:pt>
                <c:pt idx="115">
                  <c:v>44204</c:v>
                </c:pt>
                <c:pt idx="116">
                  <c:v>44207</c:v>
                </c:pt>
                <c:pt idx="117">
                  <c:v>44208</c:v>
                </c:pt>
                <c:pt idx="118">
                  <c:v>44209</c:v>
                </c:pt>
                <c:pt idx="119">
                  <c:v>44210</c:v>
                </c:pt>
                <c:pt idx="120">
                  <c:v>44211</c:v>
                </c:pt>
                <c:pt idx="121">
                  <c:v>44214</c:v>
                </c:pt>
                <c:pt idx="122">
                  <c:v>44215</c:v>
                </c:pt>
                <c:pt idx="123">
                  <c:v>44216</c:v>
                </c:pt>
                <c:pt idx="124">
                  <c:v>44217</c:v>
                </c:pt>
                <c:pt idx="125">
                  <c:v>44218</c:v>
                </c:pt>
                <c:pt idx="126">
                  <c:v>44221</c:v>
                </c:pt>
                <c:pt idx="127">
                  <c:v>44222</c:v>
                </c:pt>
                <c:pt idx="128">
                  <c:v>44223</c:v>
                </c:pt>
                <c:pt idx="129">
                  <c:v>44224</c:v>
                </c:pt>
                <c:pt idx="130">
                  <c:v>44225</c:v>
                </c:pt>
                <c:pt idx="131">
                  <c:v>44228</c:v>
                </c:pt>
                <c:pt idx="132">
                  <c:v>44229</c:v>
                </c:pt>
                <c:pt idx="133">
                  <c:v>44230</c:v>
                </c:pt>
                <c:pt idx="134">
                  <c:v>44231</c:v>
                </c:pt>
                <c:pt idx="135">
                  <c:v>44232</c:v>
                </c:pt>
                <c:pt idx="136">
                  <c:v>44235</c:v>
                </c:pt>
                <c:pt idx="137">
                  <c:v>44236</c:v>
                </c:pt>
                <c:pt idx="138">
                  <c:v>44237</c:v>
                </c:pt>
                <c:pt idx="139">
                  <c:v>44238</c:v>
                </c:pt>
                <c:pt idx="140">
                  <c:v>44239</c:v>
                </c:pt>
                <c:pt idx="141">
                  <c:v>44242</c:v>
                </c:pt>
                <c:pt idx="142">
                  <c:v>44243</c:v>
                </c:pt>
                <c:pt idx="143">
                  <c:v>44244</c:v>
                </c:pt>
                <c:pt idx="144">
                  <c:v>44245</c:v>
                </c:pt>
                <c:pt idx="145">
                  <c:v>44246</c:v>
                </c:pt>
                <c:pt idx="146">
                  <c:v>44247</c:v>
                </c:pt>
                <c:pt idx="147">
                  <c:v>44249</c:v>
                </c:pt>
                <c:pt idx="148">
                  <c:v>44250</c:v>
                </c:pt>
                <c:pt idx="149">
                  <c:v>44251</c:v>
                </c:pt>
                <c:pt idx="150">
                  <c:v>44252</c:v>
                </c:pt>
                <c:pt idx="151">
                  <c:v>44253</c:v>
                </c:pt>
                <c:pt idx="152">
                  <c:v>44256</c:v>
                </c:pt>
                <c:pt idx="153">
                  <c:v>44257</c:v>
                </c:pt>
                <c:pt idx="154">
                  <c:v>44258</c:v>
                </c:pt>
                <c:pt idx="155">
                  <c:v>44259</c:v>
                </c:pt>
                <c:pt idx="156">
                  <c:v>44260</c:v>
                </c:pt>
                <c:pt idx="157">
                  <c:v>44263</c:v>
                </c:pt>
                <c:pt idx="158">
                  <c:v>44264</c:v>
                </c:pt>
                <c:pt idx="159">
                  <c:v>44265</c:v>
                </c:pt>
                <c:pt idx="160">
                  <c:v>44266</c:v>
                </c:pt>
                <c:pt idx="161">
                  <c:v>44267</c:v>
                </c:pt>
                <c:pt idx="162">
                  <c:v>44270</c:v>
                </c:pt>
                <c:pt idx="163">
                  <c:v>44271</c:v>
                </c:pt>
                <c:pt idx="164">
                  <c:v>44272</c:v>
                </c:pt>
                <c:pt idx="165">
                  <c:v>44273</c:v>
                </c:pt>
                <c:pt idx="166">
                  <c:v>44274</c:v>
                </c:pt>
                <c:pt idx="167">
                  <c:v>44277</c:v>
                </c:pt>
                <c:pt idx="168">
                  <c:v>44278</c:v>
                </c:pt>
                <c:pt idx="169">
                  <c:v>44279</c:v>
                </c:pt>
                <c:pt idx="170">
                  <c:v>44280</c:v>
                </c:pt>
                <c:pt idx="171">
                  <c:v>44281</c:v>
                </c:pt>
                <c:pt idx="172">
                  <c:v>44284</c:v>
                </c:pt>
                <c:pt idx="173">
                  <c:v>44285</c:v>
                </c:pt>
                <c:pt idx="174">
                  <c:v>44286</c:v>
                </c:pt>
                <c:pt idx="175">
                  <c:v>44287</c:v>
                </c:pt>
                <c:pt idx="176">
                  <c:v>44288</c:v>
                </c:pt>
                <c:pt idx="177">
                  <c:v>44291</c:v>
                </c:pt>
                <c:pt idx="178">
                  <c:v>44292</c:v>
                </c:pt>
                <c:pt idx="179">
                  <c:v>44293</c:v>
                </c:pt>
                <c:pt idx="180">
                  <c:v>44294</c:v>
                </c:pt>
                <c:pt idx="181">
                  <c:v>44295</c:v>
                </c:pt>
                <c:pt idx="182">
                  <c:v>44298</c:v>
                </c:pt>
                <c:pt idx="183">
                  <c:v>44299</c:v>
                </c:pt>
                <c:pt idx="184">
                  <c:v>44300</c:v>
                </c:pt>
                <c:pt idx="185">
                  <c:v>44301</c:v>
                </c:pt>
                <c:pt idx="186">
                  <c:v>44302</c:v>
                </c:pt>
                <c:pt idx="187">
                  <c:v>44305</c:v>
                </c:pt>
                <c:pt idx="188">
                  <c:v>44306</c:v>
                </c:pt>
                <c:pt idx="189">
                  <c:v>44307</c:v>
                </c:pt>
                <c:pt idx="190">
                  <c:v>44308</c:v>
                </c:pt>
                <c:pt idx="191">
                  <c:v>44309</c:v>
                </c:pt>
                <c:pt idx="192">
                  <c:v>44311</c:v>
                </c:pt>
                <c:pt idx="193">
                  <c:v>44312</c:v>
                </c:pt>
                <c:pt idx="194">
                  <c:v>44313</c:v>
                </c:pt>
                <c:pt idx="195">
                  <c:v>44314</c:v>
                </c:pt>
                <c:pt idx="196">
                  <c:v>44315</c:v>
                </c:pt>
                <c:pt idx="197">
                  <c:v>44316</c:v>
                </c:pt>
                <c:pt idx="198">
                  <c:v>44319</c:v>
                </c:pt>
                <c:pt idx="199">
                  <c:v>44320</c:v>
                </c:pt>
                <c:pt idx="200">
                  <c:v>44321</c:v>
                </c:pt>
                <c:pt idx="201">
                  <c:v>44322</c:v>
                </c:pt>
                <c:pt idx="202">
                  <c:v>44323</c:v>
                </c:pt>
                <c:pt idx="203">
                  <c:v>44326</c:v>
                </c:pt>
                <c:pt idx="204">
                  <c:v>44327</c:v>
                </c:pt>
                <c:pt idx="205">
                  <c:v>44328</c:v>
                </c:pt>
                <c:pt idx="206">
                  <c:v>44329</c:v>
                </c:pt>
                <c:pt idx="207">
                  <c:v>44330</c:v>
                </c:pt>
                <c:pt idx="208">
                  <c:v>44333</c:v>
                </c:pt>
                <c:pt idx="209">
                  <c:v>44334</c:v>
                </c:pt>
                <c:pt idx="210">
                  <c:v>44335</c:v>
                </c:pt>
                <c:pt idx="211">
                  <c:v>44336</c:v>
                </c:pt>
                <c:pt idx="212">
                  <c:v>44337</c:v>
                </c:pt>
                <c:pt idx="213">
                  <c:v>44340</c:v>
                </c:pt>
                <c:pt idx="214">
                  <c:v>44341</c:v>
                </c:pt>
                <c:pt idx="215">
                  <c:v>44342</c:v>
                </c:pt>
                <c:pt idx="216">
                  <c:v>44343</c:v>
                </c:pt>
                <c:pt idx="217">
                  <c:v>44344</c:v>
                </c:pt>
                <c:pt idx="218">
                  <c:v>44347</c:v>
                </c:pt>
                <c:pt idx="219">
                  <c:v>44348</c:v>
                </c:pt>
                <c:pt idx="220">
                  <c:v>44349</c:v>
                </c:pt>
                <c:pt idx="221">
                  <c:v>44350</c:v>
                </c:pt>
                <c:pt idx="222">
                  <c:v>44351</c:v>
                </c:pt>
                <c:pt idx="223">
                  <c:v>44354</c:v>
                </c:pt>
                <c:pt idx="224">
                  <c:v>44355</c:v>
                </c:pt>
                <c:pt idx="225">
                  <c:v>44356</c:v>
                </c:pt>
                <c:pt idx="226">
                  <c:v>44357</c:v>
                </c:pt>
                <c:pt idx="227">
                  <c:v>44358</c:v>
                </c:pt>
                <c:pt idx="228">
                  <c:v>44361</c:v>
                </c:pt>
                <c:pt idx="229">
                  <c:v>44362</c:v>
                </c:pt>
                <c:pt idx="230">
                  <c:v>44363</c:v>
                </c:pt>
                <c:pt idx="231">
                  <c:v>44364</c:v>
                </c:pt>
                <c:pt idx="232">
                  <c:v>44365</c:v>
                </c:pt>
                <c:pt idx="233">
                  <c:v>44368</c:v>
                </c:pt>
                <c:pt idx="234">
                  <c:v>44369</c:v>
                </c:pt>
                <c:pt idx="235">
                  <c:v>44370</c:v>
                </c:pt>
                <c:pt idx="236">
                  <c:v>44371</c:v>
                </c:pt>
                <c:pt idx="237">
                  <c:v>44372</c:v>
                </c:pt>
                <c:pt idx="238">
                  <c:v>44375</c:v>
                </c:pt>
                <c:pt idx="239">
                  <c:v>44376</c:v>
                </c:pt>
                <c:pt idx="240">
                  <c:v>44377</c:v>
                </c:pt>
                <c:pt idx="241">
                  <c:v>44378</c:v>
                </c:pt>
                <c:pt idx="242">
                  <c:v>44379</c:v>
                </c:pt>
                <c:pt idx="243">
                  <c:v>44382</c:v>
                </c:pt>
                <c:pt idx="244">
                  <c:v>44383</c:v>
                </c:pt>
                <c:pt idx="245">
                  <c:v>44384</c:v>
                </c:pt>
                <c:pt idx="246">
                  <c:v>44385</c:v>
                </c:pt>
                <c:pt idx="247">
                  <c:v>44386</c:v>
                </c:pt>
                <c:pt idx="248">
                  <c:v>44389</c:v>
                </c:pt>
                <c:pt idx="249">
                  <c:v>44390</c:v>
                </c:pt>
                <c:pt idx="250">
                  <c:v>44391</c:v>
                </c:pt>
                <c:pt idx="251">
                  <c:v>44392</c:v>
                </c:pt>
                <c:pt idx="252">
                  <c:v>44393</c:v>
                </c:pt>
                <c:pt idx="253">
                  <c:v>44396</c:v>
                </c:pt>
                <c:pt idx="254">
                  <c:v>44397</c:v>
                </c:pt>
                <c:pt idx="255">
                  <c:v>44398</c:v>
                </c:pt>
                <c:pt idx="256">
                  <c:v>44399</c:v>
                </c:pt>
                <c:pt idx="257">
                  <c:v>44400</c:v>
                </c:pt>
                <c:pt idx="258">
                  <c:v>44403</c:v>
                </c:pt>
                <c:pt idx="259">
                  <c:v>44404</c:v>
                </c:pt>
                <c:pt idx="260">
                  <c:v>44405</c:v>
                </c:pt>
                <c:pt idx="261">
                  <c:v>44406</c:v>
                </c:pt>
                <c:pt idx="262">
                  <c:v>44407</c:v>
                </c:pt>
                <c:pt idx="263">
                  <c:v>44410</c:v>
                </c:pt>
                <c:pt idx="264">
                  <c:v>44411</c:v>
                </c:pt>
                <c:pt idx="265">
                  <c:v>44412</c:v>
                </c:pt>
                <c:pt idx="266">
                  <c:v>44413</c:v>
                </c:pt>
                <c:pt idx="267">
                  <c:v>44414</c:v>
                </c:pt>
                <c:pt idx="268">
                  <c:v>44417</c:v>
                </c:pt>
                <c:pt idx="269">
                  <c:v>44418</c:v>
                </c:pt>
                <c:pt idx="270">
                  <c:v>44419</c:v>
                </c:pt>
                <c:pt idx="271">
                  <c:v>44420</c:v>
                </c:pt>
                <c:pt idx="272">
                  <c:v>44421</c:v>
                </c:pt>
                <c:pt idx="273">
                  <c:v>44424</c:v>
                </c:pt>
                <c:pt idx="274">
                  <c:v>44425</c:v>
                </c:pt>
                <c:pt idx="275">
                  <c:v>44426</c:v>
                </c:pt>
                <c:pt idx="276">
                  <c:v>44427</c:v>
                </c:pt>
                <c:pt idx="277">
                  <c:v>44428</c:v>
                </c:pt>
                <c:pt idx="278">
                  <c:v>44431</c:v>
                </c:pt>
                <c:pt idx="279">
                  <c:v>44432</c:v>
                </c:pt>
                <c:pt idx="280">
                  <c:v>44433</c:v>
                </c:pt>
                <c:pt idx="281">
                  <c:v>44434</c:v>
                </c:pt>
                <c:pt idx="282">
                  <c:v>44435</c:v>
                </c:pt>
                <c:pt idx="283">
                  <c:v>44438</c:v>
                </c:pt>
                <c:pt idx="284">
                  <c:v>44439</c:v>
                </c:pt>
              </c:numCache>
            </c:numRef>
          </c:cat>
          <c:val>
            <c:numRef>
              <c:f>'[2021 09 GMR NEW.XLSX]Currency Chart'!$R$6:$R$290</c:f>
              <c:numCache>
                <c:formatCode>0</c:formatCode>
                <c:ptCount val="285"/>
                <c:pt idx="0" formatCode="General">
                  <c:v>100</c:v>
                </c:pt>
                <c:pt idx="1">
                  <c:v>100.35239468204391</c:v>
                </c:pt>
                <c:pt idx="2">
                  <c:v>100.19221528111487</c:v>
                </c:pt>
                <c:pt idx="3">
                  <c:v>99.83982059907099</c:v>
                </c:pt>
                <c:pt idx="4">
                  <c:v>99.965294463132054</c:v>
                </c:pt>
                <c:pt idx="5">
                  <c:v>100.12814352074325</c:v>
                </c:pt>
                <c:pt idx="6">
                  <c:v>99.938597896310554</c:v>
                </c:pt>
                <c:pt idx="7">
                  <c:v>99.591542527630963</c:v>
                </c:pt>
                <c:pt idx="8">
                  <c:v>99.831811629024529</c:v>
                </c:pt>
                <c:pt idx="9">
                  <c:v>99.859843024187114</c:v>
                </c:pt>
                <c:pt idx="10">
                  <c:v>99.943937209674843</c:v>
                </c:pt>
                <c:pt idx="11">
                  <c:v>99.769074696993968</c:v>
                </c:pt>
                <c:pt idx="12">
                  <c:v>99.538149393987936</c:v>
                </c:pt>
                <c:pt idx="13">
                  <c:v>99.906562016124752</c:v>
                </c:pt>
                <c:pt idx="14">
                  <c:v>100.12814352074325</c:v>
                </c:pt>
                <c:pt idx="15">
                  <c:v>100.00533931336432</c:v>
                </c:pt>
                <c:pt idx="16">
                  <c:v>99.001548400875677</c:v>
                </c:pt>
                <c:pt idx="17">
                  <c:v>99.046398633135794</c:v>
                </c:pt>
                <c:pt idx="18">
                  <c:v>99.066954989588353</c:v>
                </c:pt>
                <c:pt idx="19">
                  <c:v>98.635805435421034</c:v>
                </c:pt>
                <c:pt idx="20">
                  <c:v>97.594639329382275</c:v>
                </c:pt>
                <c:pt idx="21">
                  <c:v>97.781515297132827</c:v>
                </c:pt>
                <c:pt idx="22">
                  <c:v>97.445138555181828</c:v>
                </c:pt>
                <c:pt idx="23">
                  <c:v>97.80020289390788</c:v>
                </c:pt>
                <c:pt idx="24">
                  <c:v>97.961717123177976</c:v>
                </c:pt>
                <c:pt idx="25">
                  <c:v>97.828234289070451</c:v>
                </c:pt>
                <c:pt idx="26">
                  <c:v>98.035132681937128</c:v>
                </c:pt>
                <c:pt idx="27">
                  <c:v>98.430241870895415</c:v>
                </c:pt>
                <c:pt idx="28">
                  <c:v>97.842917400822259</c:v>
                </c:pt>
                <c:pt idx="29">
                  <c:v>98.016445085162061</c:v>
                </c:pt>
                <c:pt idx="30">
                  <c:v>98.016445085162061</c:v>
                </c:pt>
                <c:pt idx="31">
                  <c:v>97.936355384697535</c:v>
                </c:pt>
                <c:pt idx="32">
                  <c:v>98.243365903144849</c:v>
                </c:pt>
                <c:pt idx="33">
                  <c:v>98.149927919269587</c:v>
                </c:pt>
                <c:pt idx="34">
                  <c:v>98.243365903144849</c:v>
                </c:pt>
                <c:pt idx="35">
                  <c:v>98.160606545998178</c:v>
                </c:pt>
                <c:pt idx="36">
                  <c:v>98.203321052912585</c:v>
                </c:pt>
                <c:pt idx="37">
                  <c:v>98.123231352448087</c:v>
                </c:pt>
                <c:pt idx="38">
                  <c:v>98.203321052912599</c:v>
                </c:pt>
                <c:pt idx="39">
                  <c:v>98.643814405467481</c:v>
                </c:pt>
                <c:pt idx="40">
                  <c:v>98.336803887020139</c:v>
                </c:pt>
                <c:pt idx="41">
                  <c:v>98.443590154306179</c:v>
                </c:pt>
                <c:pt idx="42">
                  <c:v>98.443590154306179</c:v>
                </c:pt>
                <c:pt idx="43">
                  <c:v>98.189972769501864</c:v>
                </c:pt>
                <c:pt idx="44">
                  <c:v>97.700357733995432</c:v>
                </c:pt>
                <c:pt idx="45">
                  <c:v>97.829569117411523</c:v>
                </c:pt>
                <c:pt idx="46">
                  <c:v>97.589300016017958</c:v>
                </c:pt>
                <c:pt idx="47">
                  <c:v>98.021784398526364</c:v>
                </c:pt>
                <c:pt idx="48">
                  <c:v>97.882962251054536</c:v>
                </c:pt>
                <c:pt idx="49">
                  <c:v>97.829569117411538</c:v>
                </c:pt>
                <c:pt idx="50">
                  <c:v>97.455817181910433</c:v>
                </c:pt>
                <c:pt idx="51">
                  <c:v>97.92701158631003</c:v>
                </c:pt>
                <c:pt idx="52">
                  <c:v>97.976400234929827</c:v>
                </c:pt>
                <c:pt idx="53">
                  <c:v>97.762827700357761</c:v>
                </c:pt>
                <c:pt idx="54">
                  <c:v>98.003096801751326</c:v>
                </c:pt>
                <c:pt idx="55">
                  <c:v>98.032463025254984</c:v>
                </c:pt>
                <c:pt idx="56">
                  <c:v>97.909658817876064</c:v>
                </c:pt>
                <c:pt idx="57">
                  <c:v>98.02979336857284</c:v>
                </c:pt>
                <c:pt idx="58">
                  <c:v>98.230017619734141</c:v>
                </c:pt>
                <c:pt idx="59">
                  <c:v>98.323455603609403</c:v>
                </c:pt>
                <c:pt idx="60">
                  <c:v>98.549041593251133</c:v>
                </c:pt>
                <c:pt idx="61">
                  <c:v>98.723904105932007</c:v>
                </c:pt>
                <c:pt idx="62">
                  <c:v>98.272732126648549</c:v>
                </c:pt>
                <c:pt idx="63">
                  <c:v>99.0175663409686</c:v>
                </c:pt>
                <c:pt idx="64">
                  <c:v>99.2711837257729</c:v>
                </c:pt>
                <c:pt idx="65">
                  <c:v>99.516792140530754</c:v>
                </c:pt>
                <c:pt idx="66">
                  <c:v>99.444711410112689</c:v>
                </c:pt>
                <c:pt idx="67">
                  <c:v>99.591542527630978</c:v>
                </c:pt>
                <c:pt idx="68">
                  <c:v>99.264509584067511</c:v>
                </c:pt>
                <c:pt idx="69">
                  <c:v>98.65716268887823</c:v>
                </c:pt>
                <c:pt idx="70">
                  <c:v>98.742591702707074</c:v>
                </c:pt>
                <c:pt idx="71">
                  <c:v>98.817342089807298</c:v>
                </c:pt>
                <c:pt idx="72">
                  <c:v>99.151049175076125</c:v>
                </c:pt>
                <c:pt idx="73">
                  <c:v>99.36328688130709</c:v>
                </c:pt>
                <c:pt idx="74">
                  <c:v>99.684980511506268</c:v>
                </c:pt>
                <c:pt idx="75">
                  <c:v>99.526669870254736</c:v>
                </c:pt>
                <c:pt idx="76">
                  <c:v>99.271183725772914</c:v>
                </c:pt>
                <c:pt idx="77">
                  <c:v>99.40466655988044</c:v>
                </c:pt>
                <c:pt idx="78">
                  <c:v>98.924128357093323</c:v>
                </c:pt>
                <c:pt idx="79">
                  <c:v>98.91078007368256</c:v>
                </c:pt>
                <c:pt idx="80">
                  <c:v>98.924128357093323</c:v>
                </c:pt>
                <c:pt idx="81">
                  <c:v>99.111004324843861</c:v>
                </c:pt>
                <c:pt idx="82">
                  <c:v>98.881413850178902</c:v>
                </c:pt>
                <c:pt idx="83">
                  <c:v>98.468284478616084</c:v>
                </c:pt>
                <c:pt idx="84">
                  <c:v>98.553046078274349</c:v>
                </c:pt>
                <c:pt idx="85">
                  <c:v>98.68786374072296</c:v>
                </c:pt>
                <c:pt idx="86">
                  <c:v>98.763948956164242</c:v>
                </c:pt>
                <c:pt idx="87">
                  <c:v>98.085322227561548</c:v>
                </c:pt>
                <c:pt idx="88">
                  <c:v>98.456938437716943</c:v>
                </c:pt>
                <c:pt idx="89">
                  <c:v>98.590421271824468</c:v>
                </c:pt>
                <c:pt idx="90">
                  <c:v>98.453467884030147</c:v>
                </c:pt>
                <c:pt idx="91">
                  <c:v>98.457338886219262</c:v>
                </c:pt>
                <c:pt idx="92">
                  <c:v>98.40354530407393</c:v>
                </c:pt>
                <c:pt idx="93">
                  <c:v>98.40354530407393</c:v>
                </c:pt>
                <c:pt idx="94">
                  <c:v>98.430241870895429</c:v>
                </c:pt>
                <c:pt idx="95">
                  <c:v>98.424902557531141</c:v>
                </c:pt>
                <c:pt idx="96">
                  <c:v>98.28341075337714</c:v>
                </c:pt>
                <c:pt idx="97">
                  <c:v>98.184633456137561</c:v>
                </c:pt>
                <c:pt idx="98">
                  <c:v>98.28341075337714</c:v>
                </c:pt>
                <c:pt idx="99">
                  <c:v>98.136579635858865</c:v>
                </c:pt>
                <c:pt idx="100">
                  <c:v>98.203321052912628</c:v>
                </c:pt>
                <c:pt idx="101">
                  <c:v>98.812002776442995</c:v>
                </c:pt>
                <c:pt idx="102">
                  <c:v>98.578407816754819</c:v>
                </c:pt>
                <c:pt idx="103">
                  <c:v>98.470286721127707</c:v>
                </c:pt>
                <c:pt idx="104">
                  <c:v>98.163276202680393</c:v>
                </c:pt>
                <c:pt idx="105">
                  <c:v>98.18463345613759</c:v>
                </c:pt>
                <c:pt idx="106">
                  <c:v>98.171285172726854</c:v>
                </c:pt>
                <c:pt idx="107">
                  <c:v>97.963051951519091</c:v>
                </c:pt>
                <c:pt idx="108">
                  <c:v>97.611591649313951</c:v>
                </c:pt>
                <c:pt idx="109">
                  <c:v>97.490789684446625</c:v>
                </c:pt>
                <c:pt idx="110">
                  <c:v>97.602648299428765</c:v>
                </c:pt>
                <c:pt idx="111">
                  <c:v>97.535906882374988</c:v>
                </c:pt>
                <c:pt idx="112">
                  <c:v>97.602648299428765</c:v>
                </c:pt>
                <c:pt idx="113">
                  <c:v>97.600245608414824</c:v>
                </c:pt>
                <c:pt idx="114">
                  <c:v>98.003096801751369</c:v>
                </c:pt>
                <c:pt idx="115">
                  <c:v>97.882962251054579</c:v>
                </c:pt>
                <c:pt idx="116">
                  <c:v>98.050483207859543</c:v>
                </c:pt>
                <c:pt idx="117">
                  <c:v>97.736131133536304</c:v>
                </c:pt>
                <c:pt idx="118">
                  <c:v>97.656041433071778</c:v>
                </c:pt>
                <c:pt idx="119">
                  <c:v>97.535906882374988</c:v>
                </c:pt>
                <c:pt idx="120">
                  <c:v>97.602648299428765</c:v>
                </c:pt>
                <c:pt idx="121">
                  <c:v>97.684072828234349</c:v>
                </c:pt>
                <c:pt idx="122">
                  <c:v>97.696086283304027</c:v>
                </c:pt>
                <c:pt idx="123">
                  <c:v>97.322334347802936</c:v>
                </c:pt>
                <c:pt idx="124">
                  <c:v>97.389075764856699</c:v>
                </c:pt>
                <c:pt idx="125">
                  <c:v>97.415772331678227</c:v>
                </c:pt>
                <c:pt idx="126">
                  <c:v>97.389075764856713</c:v>
                </c:pt>
                <c:pt idx="127">
                  <c:v>97.322334347802951</c:v>
                </c:pt>
                <c:pt idx="128">
                  <c:v>97.522558598964267</c:v>
                </c:pt>
                <c:pt idx="129">
                  <c:v>97.35036574296555</c:v>
                </c:pt>
                <c:pt idx="130">
                  <c:v>97.278285012547485</c:v>
                </c:pt>
                <c:pt idx="131">
                  <c:v>97.589300016018043</c:v>
                </c:pt>
                <c:pt idx="132">
                  <c:v>97.307784718885259</c:v>
                </c:pt>
                <c:pt idx="133">
                  <c:v>97.18885151369544</c:v>
                </c:pt>
                <c:pt idx="134">
                  <c:v>97.375727481445992</c:v>
                </c:pt>
                <c:pt idx="135">
                  <c:v>97.18885151369544</c:v>
                </c:pt>
                <c:pt idx="136">
                  <c:v>97.349030914624478</c:v>
                </c:pt>
                <c:pt idx="137">
                  <c:v>97.247583960702741</c:v>
                </c:pt>
                <c:pt idx="138">
                  <c:v>97.162154946873926</c:v>
                </c:pt>
                <c:pt idx="139">
                  <c:v>97.042020396177136</c:v>
                </c:pt>
                <c:pt idx="140">
                  <c:v>96.881840995248083</c:v>
                </c:pt>
                <c:pt idx="141">
                  <c:v>96.932564472208938</c:v>
                </c:pt>
                <c:pt idx="142">
                  <c:v>97.255592930749174</c:v>
                </c:pt>
                <c:pt idx="143">
                  <c:v>97.195525655400772</c:v>
                </c:pt>
                <c:pt idx="144">
                  <c:v>96.881840995248069</c:v>
                </c:pt>
                <c:pt idx="145">
                  <c:v>96.841796145015806</c:v>
                </c:pt>
                <c:pt idx="146">
                  <c:v>96.841796145015806</c:v>
                </c:pt>
                <c:pt idx="147">
                  <c:v>96.694965027497517</c:v>
                </c:pt>
                <c:pt idx="148">
                  <c:v>96.614875327032991</c:v>
                </c:pt>
                <c:pt idx="149">
                  <c:v>96.614875327032991</c:v>
                </c:pt>
                <c:pt idx="150">
                  <c:v>97.090074216455818</c:v>
                </c:pt>
                <c:pt idx="151">
                  <c:v>98.670510972289023</c:v>
                </c:pt>
                <c:pt idx="152">
                  <c:v>97.971060921565538</c:v>
                </c:pt>
                <c:pt idx="153">
                  <c:v>97.776175983768539</c:v>
                </c:pt>
                <c:pt idx="154">
                  <c:v>97.349030914624436</c:v>
                </c:pt>
                <c:pt idx="155">
                  <c:v>97.086069731432588</c:v>
                </c:pt>
                <c:pt idx="156">
                  <c:v>97.682737999893263</c:v>
                </c:pt>
                <c:pt idx="157">
                  <c:v>97.90965881787605</c:v>
                </c:pt>
                <c:pt idx="158">
                  <c:v>97.130119066688067</c:v>
                </c:pt>
                <c:pt idx="159">
                  <c:v>97.068716962998593</c:v>
                </c:pt>
                <c:pt idx="160">
                  <c:v>97.02867211276633</c:v>
                </c:pt>
                <c:pt idx="161">
                  <c:v>97.015323829355594</c:v>
                </c:pt>
                <c:pt idx="162">
                  <c:v>96.815099578194278</c:v>
                </c:pt>
                <c:pt idx="163">
                  <c:v>96.788403011372779</c:v>
                </c:pt>
                <c:pt idx="164">
                  <c:v>96.851139943403325</c:v>
                </c:pt>
                <c:pt idx="165">
                  <c:v>97.028672112766344</c:v>
                </c:pt>
                <c:pt idx="166">
                  <c:v>96.642506273693257</c:v>
                </c:pt>
                <c:pt idx="167">
                  <c:v>96.601527043622255</c:v>
                </c:pt>
                <c:pt idx="168">
                  <c:v>96.84179614501582</c:v>
                </c:pt>
                <c:pt idx="169">
                  <c:v>96.895189278658847</c:v>
                </c:pt>
                <c:pt idx="170">
                  <c:v>96.988627262534109</c:v>
                </c:pt>
                <c:pt idx="171">
                  <c:v>96.921885845480347</c:v>
                </c:pt>
                <c:pt idx="172">
                  <c:v>97.106092156548755</c:v>
                </c:pt>
                <c:pt idx="173">
                  <c:v>98.029793368572882</c:v>
                </c:pt>
                <c:pt idx="174">
                  <c:v>97.625340381227062</c:v>
                </c:pt>
                <c:pt idx="175">
                  <c:v>97.87361845266706</c:v>
                </c:pt>
                <c:pt idx="176">
                  <c:v>97.93635538469762</c:v>
                </c:pt>
                <c:pt idx="177">
                  <c:v>97.834908430775883</c:v>
                </c:pt>
                <c:pt idx="178">
                  <c:v>98.091195472262356</c:v>
                </c:pt>
                <c:pt idx="179">
                  <c:v>99.247156815633588</c:v>
                </c:pt>
                <c:pt idx="180">
                  <c:v>99.540819050670166</c:v>
                </c:pt>
                <c:pt idx="181">
                  <c:v>99.741043301831454</c:v>
                </c:pt>
                <c:pt idx="182">
                  <c:v>100.0854290138289</c:v>
                </c:pt>
                <c:pt idx="183">
                  <c:v>100.45918094932999</c:v>
                </c:pt>
                <c:pt idx="184">
                  <c:v>100.17886699770416</c:v>
                </c:pt>
                <c:pt idx="185">
                  <c:v>99.738373645149295</c:v>
                </c:pt>
                <c:pt idx="186">
                  <c:v>99.48475626034498</c:v>
                </c:pt>
                <c:pt idx="187">
                  <c:v>99.911901329489083</c:v>
                </c:pt>
                <c:pt idx="188">
                  <c:v>100.61936035025902</c:v>
                </c:pt>
                <c:pt idx="189">
                  <c:v>100.67408831224311</c:v>
                </c:pt>
                <c:pt idx="190">
                  <c:v>100.25895669816867</c:v>
                </c:pt>
                <c:pt idx="191">
                  <c:v>100.00533931336436</c:v>
                </c:pt>
                <c:pt idx="192">
                  <c:v>100.00533931336436</c:v>
                </c:pt>
                <c:pt idx="193">
                  <c:v>99.751721928560045</c:v>
                </c:pt>
                <c:pt idx="194">
                  <c:v>99.551497677398729</c:v>
                </c:pt>
                <c:pt idx="195">
                  <c:v>99.430028298360881</c:v>
                </c:pt>
                <c:pt idx="196">
                  <c:v>98.897431790271824</c:v>
                </c:pt>
                <c:pt idx="197">
                  <c:v>98.844038656628811</c:v>
                </c:pt>
                <c:pt idx="198">
                  <c:v>98.523679854770734</c:v>
                </c:pt>
                <c:pt idx="199">
                  <c:v>98.456938437716971</c:v>
                </c:pt>
                <c:pt idx="200">
                  <c:v>98.510331571359984</c:v>
                </c:pt>
                <c:pt idx="201">
                  <c:v>98.24336590314492</c:v>
                </c:pt>
                <c:pt idx="202">
                  <c:v>97.778845640450697</c:v>
                </c:pt>
                <c:pt idx="203">
                  <c:v>98.043141651983632</c:v>
                </c:pt>
                <c:pt idx="204">
                  <c:v>97.936355384697606</c:v>
                </c:pt>
                <c:pt idx="205">
                  <c:v>98.149927919269643</c:v>
                </c:pt>
                <c:pt idx="206">
                  <c:v>98.069838218805117</c:v>
                </c:pt>
                <c:pt idx="207">
                  <c:v>97.829569117411566</c:v>
                </c:pt>
                <c:pt idx="208">
                  <c:v>97.882962251054579</c:v>
                </c:pt>
                <c:pt idx="209">
                  <c:v>97.509210315553474</c:v>
                </c:pt>
                <c:pt idx="210">
                  <c:v>97.722782850125526</c:v>
                </c:pt>
                <c:pt idx="211">
                  <c:v>97.455817181910476</c:v>
                </c:pt>
                <c:pt idx="212">
                  <c:v>97.198195312082916</c:v>
                </c:pt>
                <c:pt idx="213">
                  <c:v>97.215548080516911</c:v>
                </c:pt>
                <c:pt idx="214">
                  <c:v>97.162154946873898</c:v>
                </c:pt>
                <c:pt idx="215">
                  <c:v>97.068716962998607</c:v>
                </c:pt>
                <c:pt idx="216">
                  <c:v>97.042020396177108</c:v>
                </c:pt>
                <c:pt idx="217">
                  <c:v>96.641571893854504</c:v>
                </c:pt>
                <c:pt idx="218">
                  <c:v>96.789737839713865</c:v>
                </c:pt>
                <c:pt idx="219">
                  <c:v>97.255592930749174</c:v>
                </c:pt>
                <c:pt idx="220">
                  <c:v>97.375727481445963</c:v>
                </c:pt>
                <c:pt idx="221">
                  <c:v>97.495862032142753</c:v>
                </c:pt>
                <c:pt idx="222">
                  <c:v>97.255592930749174</c:v>
                </c:pt>
                <c:pt idx="223">
                  <c:v>97.156815633509595</c:v>
                </c:pt>
                <c:pt idx="224">
                  <c:v>97.375727481445963</c:v>
                </c:pt>
                <c:pt idx="225">
                  <c:v>97.415772331678227</c:v>
                </c:pt>
                <c:pt idx="226">
                  <c:v>97.535906882374988</c:v>
                </c:pt>
                <c:pt idx="227">
                  <c:v>97.762827700357789</c:v>
                </c:pt>
                <c:pt idx="228">
                  <c:v>97.682737999893291</c:v>
                </c:pt>
                <c:pt idx="229">
                  <c:v>97.909658817876078</c:v>
                </c:pt>
                <c:pt idx="230">
                  <c:v>97.802872550590052</c:v>
                </c:pt>
                <c:pt idx="231">
                  <c:v>98.993539430829259</c:v>
                </c:pt>
                <c:pt idx="232">
                  <c:v>98.910780073682574</c:v>
                </c:pt>
                <c:pt idx="233">
                  <c:v>98.950824923914851</c:v>
                </c:pt>
                <c:pt idx="234">
                  <c:v>99.21779059212993</c:v>
                </c:pt>
                <c:pt idx="235">
                  <c:v>98.964173207325615</c:v>
                </c:pt>
                <c:pt idx="236">
                  <c:v>99.017566340968628</c:v>
                </c:pt>
                <c:pt idx="237">
                  <c:v>99.057611191200863</c:v>
                </c:pt>
                <c:pt idx="238">
                  <c:v>99.137700891665375</c:v>
                </c:pt>
                <c:pt idx="239">
                  <c:v>99.164397458486889</c:v>
                </c:pt>
                <c:pt idx="240">
                  <c:v>99.257835442362151</c:v>
                </c:pt>
                <c:pt idx="241">
                  <c:v>99.524801110577229</c:v>
                </c:pt>
                <c:pt idx="242">
                  <c:v>99.460729350205611</c:v>
                </c:pt>
                <c:pt idx="243">
                  <c:v>99.16172780180473</c:v>
                </c:pt>
                <c:pt idx="244">
                  <c:v>99.554167334080873</c:v>
                </c:pt>
                <c:pt idx="245">
                  <c:v>99.831811629024571</c:v>
                </c:pt>
                <c:pt idx="246">
                  <c:v>99.751721928560059</c:v>
                </c:pt>
                <c:pt idx="247">
                  <c:v>99.424688984996592</c:v>
                </c:pt>
                <c:pt idx="248">
                  <c:v>99.48475626034498</c:v>
                </c:pt>
                <c:pt idx="249">
                  <c:v>99.564845960809507</c:v>
                </c:pt>
                <c:pt idx="250">
                  <c:v>99.39131827646969</c:v>
                </c:pt>
                <c:pt idx="251">
                  <c:v>99.49810454375573</c:v>
                </c:pt>
                <c:pt idx="252">
                  <c:v>99.586203214266675</c:v>
                </c:pt>
                <c:pt idx="253">
                  <c:v>99.913236157830141</c:v>
                </c:pt>
                <c:pt idx="254">
                  <c:v>99.484756260344952</c:v>
                </c:pt>
                <c:pt idx="255">
                  <c:v>99.426023813337636</c:v>
                </c:pt>
                <c:pt idx="256">
                  <c:v>99.377969993058926</c:v>
                </c:pt>
                <c:pt idx="257">
                  <c:v>99.344599284532038</c:v>
                </c:pt>
                <c:pt idx="258">
                  <c:v>99.217790592129887</c:v>
                </c:pt>
                <c:pt idx="259">
                  <c:v>99.442041753430559</c:v>
                </c:pt>
                <c:pt idx="260">
                  <c:v>99.431363126701939</c:v>
                </c:pt>
                <c:pt idx="261">
                  <c:v>99.104330183138501</c:v>
                </c:pt>
                <c:pt idx="262">
                  <c:v>99.227134390517435</c:v>
                </c:pt>
                <c:pt idx="263">
                  <c:v>99.249826472315718</c:v>
                </c:pt>
                <c:pt idx="264">
                  <c:v>99.109669496502804</c:v>
                </c:pt>
                <c:pt idx="265">
                  <c:v>98.976186662395278</c:v>
                </c:pt>
                <c:pt idx="266">
                  <c:v>98.908110417000429</c:v>
                </c:pt>
                <c:pt idx="267">
                  <c:v>99.097656041433112</c:v>
                </c:pt>
                <c:pt idx="268">
                  <c:v>99.418014843291203</c:v>
                </c:pt>
                <c:pt idx="269">
                  <c:v>99.351273426237441</c:v>
                </c:pt>
                <c:pt idx="270">
                  <c:v>99.115008809867092</c:v>
                </c:pt>
                <c:pt idx="271">
                  <c:v>99.191094025308388</c:v>
                </c:pt>
                <c:pt idx="272">
                  <c:v>99.09632121309204</c:v>
                </c:pt>
                <c:pt idx="273">
                  <c:v>98.990869774147072</c:v>
                </c:pt>
                <c:pt idx="274">
                  <c:v>99.2711837257729</c:v>
                </c:pt>
                <c:pt idx="275">
                  <c:v>99.151049175076125</c:v>
                </c:pt>
                <c:pt idx="276">
                  <c:v>99.2711837257729</c:v>
                </c:pt>
                <c:pt idx="277">
                  <c:v>99.240482673928156</c:v>
                </c:pt>
                <c:pt idx="278">
                  <c:v>98.937476640504073</c:v>
                </c:pt>
                <c:pt idx="279">
                  <c:v>98.954829408938039</c:v>
                </c:pt>
                <c:pt idx="280">
                  <c:v>98.924128357093309</c:v>
                </c:pt>
                <c:pt idx="281">
                  <c:v>98.977521490736336</c:v>
                </c:pt>
                <c:pt idx="282">
                  <c:v>98.069838218805103</c:v>
                </c:pt>
                <c:pt idx="283">
                  <c:v>97.832238774093696</c:v>
                </c:pt>
                <c:pt idx="284">
                  <c:v>97.371722996422704</c:v>
                </c:pt>
              </c:numCache>
            </c:numRef>
          </c:val>
          <c:smooth val="0"/>
          <c:extLst>
            <c:ext xmlns:c16="http://schemas.microsoft.com/office/drawing/2014/chart" uri="{C3380CC4-5D6E-409C-BE32-E72D297353CC}">
              <c16:uniqueId val="{00000000-A0A6-4952-B73D-3412C30D1F85}"/>
            </c:ext>
          </c:extLst>
        </c:ser>
        <c:ser>
          <c:idx val="10"/>
          <c:order val="10"/>
          <c:tx>
            <c:strRef>
              <c:f>'[2021 09 GMR NEW.XLSX]Currency Chart'!$Z$5</c:f>
              <c:strCache>
                <c:ptCount val="1"/>
                <c:pt idx="0">
                  <c:v>USD Index</c:v>
                </c:pt>
              </c:strCache>
            </c:strRef>
          </c:tx>
          <c:spPr>
            <a:ln w="28575" cap="rnd">
              <a:solidFill>
                <a:schemeClr val="accent5">
                  <a:lumMod val="60000"/>
                </a:schemeClr>
              </a:solidFill>
              <a:round/>
            </a:ln>
            <a:effectLst/>
          </c:spPr>
          <c:marker>
            <c:symbol val="none"/>
          </c:marker>
          <c:cat>
            <c:numRef>
              <c:f>'[2021 09 GMR NEW.XLSX]Currency Chart'!$O$6:$O$290</c:f>
              <c:numCache>
                <c:formatCode>m/d/yyyy</c:formatCode>
                <c:ptCount val="285"/>
                <c:pt idx="0">
                  <c:v>44043</c:v>
                </c:pt>
                <c:pt idx="1">
                  <c:v>44046</c:v>
                </c:pt>
                <c:pt idx="2">
                  <c:v>44047</c:v>
                </c:pt>
                <c:pt idx="3">
                  <c:v>44048</c:v>
                </c:pt>
                <c:pt idx="4">
                  <c:v>44049</c:v>
                </c:pt>
                <c:pt idx="5">
                  <c:v>44050</c:v>
                </c:pt>
                <c:pt idx="6">
                  <c:v>44053</c:v>
                </c:pt>
                <c:pt idx="7">
                  <c:v>44054</c:v>
                </c:pt>
                <c:pt idx="8">
                  <c:v>44055</c:v>
                </c:pt>
                <c:pt idx="9">
                  <c:v>44056</c:v>
                </c:pt>
                <c:pt idx="10">
                  <c:v>44057</c:v>
                </c:pt>
                <c:pt idx="11">
                  <c:v>44060</c:v>
                </c:pt>
                <c:pt idx="12">
                  <c:v>44061</c:v>
                </c:pt>
                <c:pt idx="13">
                  <c:v>44062</c:v>
                </c:pt>
                <c:pt idx="14">
                  <c:v>44063</c:v>
                </c:pt>
                <c:pt idx="15">
                  <c:v>44064</c:v>
                </c:pt>
                <c:pt idx="16">
                  <c:v>44067</c:v>
                </c:pt>
                <c:pt idx="17">
                  <c:v>44068</c:v>
                </c:pt>
                <c:pt idx="18">
                  <c:v>44069</c:v>
                </c:pt>
                <c:pt idx="19">
                  <c:v>44070</c:v>
                </c:pt>
                <c:pt idx="20">
                  <c:v>44071</c:v>
                </c:pt>
                <c:pt idx="21">
                  <c:v>44074</c:v>
                </c:pt>
                <c:pt idx="22">
                  <c:v>44075</c:v>
                </c:pt>
                <c:pt idx="23">
                  <c:v>44076</c:v>
                </c:pt>
                <c:pt idx="24">
                  <c:v>44077</c:v>
                </c:pt>
                <c:pt idx="25">
                  <c:v>44078</c:v>
                </c:pt>
                <c:pt idx="26">
                  <c:v>44081</c:v>
                </c:pt>
                <c:pt idx="27">
                  <c:v>44082</c:v>
                </c:pt>
                <c:pt idx="28">
                  <c:v>44083</c:v>
                </c:pt>
                <c:pt idx="29">
                  <c:v>44084</c:v>
                </c:pt>
                <c:pt idx="30">
                  <c:v>44085</c:v>
                </c:pt>
                <c:pt idx="31">
                  <c:v>44088</c:v>
                </c:pt>
                <c:pt idx="32">
                  <c:v>44089</c:v>
                </c:pt>
                <c:pt idx="33">
                  <c:v>44090</c:v>
                </c:pt>
                <c:pt idx="34">
                  <c:v>44091</c:v>
                </c:pt>
                <c:pt idx="35">
                  <c:v>44092</c:v>
                </c:pt>
                <c:pt idx="36">
                  <c:v>44095</c:v>
                </c:pt>
                <c:pt idx="37">
                  <c:v>44096</c:v>
                </c:pt>
                <c:pt idx="38">
                  <c:v>44097</c:v>
                </c:pt>
                <c:pt idx="39">
                  <c:v>44098</c:v>
                </c:pt>
                <c:pt idx="40">
                  <c:v>44099</c:v>
                </c:pt>
                <c:pt idx="41">
                  <c:v>44102</c:v>
                </c:pt>
                <c:pt idx="42">
                  <c:v>44103</c:v>
                </c:pt>
                <c:pt idx="43">
                  <c:v>44104</c:v>
                </c:pt>
                <c:pt idx="44">
                  <c:v>44105</c:v>
                </c:pt>
                <c:pt idx="45">
                  <c:v>44106</c:v>
                </c:pt>
                <c:pt idx="46">
                  <c:v>44109</c:v>
                </c:pt>
                <c:pt idx="47">
                  <c:v>44110</c:v>
                </c:pt>
                <c:pt idx="48">
                  <c:v>44111</c:v>
                </c:pt>
                <c:pt idx="49">
                  <c:v>44112</c:v>
                </c:pt>
                <c:pt idx="50">
                  <c:v>44113</c:v>
                </c:pt>
                <c:pt idx="51">
                  <c:v>44116</c:v>
                </c:pt>
                <c:pt idx="52">
                  <c:v>44117</c:v>
                </c:pt>
                <c:pt idx="53">
                  <c:v>44118</c:v>
                </c:pt>
                <c:pt idx="54">
                  <c:v>44119</c:v>
                </c:pt>
                <c:pt idx="55">
                  <c:v>44120</c:v>
                </c:pt>
                <c:pt idx="56">
                  <c:v>44123</c:v>
                </c:pt>
                <c:pt idx="57">
                  <c:v>44124</c:v>
                </c:pt>
                <c:pt idx="58">
                  <c:v>44125</c:v>
                </c:pt>
                <c:pt idx="59">
                  <c:v>44126</c:v>
                </c:pt>
                <c:pt idx="60">
                  <c:v>44127</c:v>
                </c:pt>
                <c:pt idx="61">
                  <c:v>44130</c:v>
                </c:pt>
                <c:pt idx="62">
                  <c:v>44131</c:v>
                </c:pt>
                <c:pt idx="63">
                  <c:v>44132</c:v>
                </c:pt>
                <c:pt idx="64">
                  <c:v>44133</c:v>
                </c:pt>
                <c:pt idx="65">
                  <c:v>44134</c:v>
                </c:pt>
                <c:pt idx="66">
                  <c:v>44137</c:v>
                </c:pt>
                <c:pt idx="67">
                  <c:v>44138</c:v>
                </c:pt>
                <c:pt idx="68">
                  <c:v>44139</c:v>
                </c:pt>
                <c:pt idx="69">
                  <c:v>44140</c:v>
                </c:pt>
                <c:pt idx="70">
                  <c:v>44141</c:v>
                </c:pt>
                <c:pt idx="71">
                  <c:v>44144</c:v>
                </c:pt>
                <c:pt idx="72">
                  <c:v>44145</c:v>
                </c:pt>
                <c:pt idx="73">
                  <c:v>44146</c:v>
                </c:pt>
                <c:pt idx="74">
                  <c:v>44147</c:v>
                </c:pt>
                <c:pt idx="75">
                  <c:v>44148</c:v>
                </c:pt>
                <c:pt idx="76">
                  <c:v>44151</c:v>
                </c:pt>
                <c:pt idx="77">
                  <c:v>44152</c:v>
                </c:pt>
                <c:pt idx="78">
                  <c:v>44153</c:v>
                </c:pt>
                <c:pt idx="79">
                  <c:v>44154</c:v>
                </c:pt>
                <c:pt idx="80">
                  <c:v>44155</c:v>
                </c:pt>
                <c:pt idx="81">
                  <c:v>44158</c:v>
                </c:pt>
                <c:pt idx="82">
                  <c:v>44159</c:v>
                </c:pt>
                <c:pt idx="83">
                  <c:v>44160</c:v>
                </c:pt>
                <c:pt idx="84">
                  <c:v>44161</c:v>
                </c:pt>
                <c:pt idx="85">
                  <c:v>44162</c:v>
                </c:pt>
                <c:pt idx="86">
                  <c:v>44165</c:v>
                </c:pt>
                <c:pt idx="87">
                  <c:v>44166</c:v>
                </c:pt>
                <c:pt idx="88">
                  <c:v>44167</c:v>
                </c:pt>
                <c:pt idx="89">
                  <c:v>44168</c:v>
                </c:pt>
                <c:pt idx="90">
                  <c:v>44169</c:v>
                </c:pt>
                <c:pt idx="91">
                  <c:v>44172</c:v>
                </c:pt>
                <c:pt idx="92">
                  <c:v>44173</c:v>
                </c:pt>
                <c:pt idx="93">
                  <c:v>44174</c:v>
                </c:pt>
                <c:pt idx="94">
                  <c:v>44175</c:v>
                </c:pt>
                <c:pt idx="95">
                  <c:v>44176</c:v>
                </c:pt>
                <c:pt idx="96">
                  <c:v>44179</c:v>
                </c:pt>
                <c:pt idx="97">
                  <c:v>44180</c:v>
                </c:pt>
                <c:pt idx="98">
                  <c:v>44181</c:v>
                </c:pt>
                <c:pt idx="99">
                  <c:v>44182</c:v>
                </c:pt>
                <c:pt idx="100">
                  <c:v>44183</c:v>
                </c:pt>
                <c:pt idx="101">
                  <c:v>44186</c:v>
                </c:pt>
                <c:pt idx="102">
                  <c:v>44187</c:v>
                </c:pt>
                <c:pt idx="103">
                  <c:v>44188</c:v>
                </c:pt>
                <c:pt idx="104">
                  <c:v>44189</c:v>
                </c:pt>
                <c:pt idx="105">
                  <c:v>44190</c:v>
                </c:pt>
                <c:pt idx="106">
                  <c:v>44193</c:v>
                </c:pt>
                <c:pt idx="107">
                  <c:v>44194</c:v>
                </c:pt>
                <c:pt idx="108">
                  <c:v>44195</c:v>
                </c:pt>
                <c:pt idx="109">
                  <c:v>44196</c:v>
                </c:pt>
                <c:pt idx="110">
                  <c:v>44197</c:v>
                </c:pt>
                <c:pt idx="111">
                  <c:v>44200</c:v>
                </c:pt>
                <c:pt idx="112">
                  <c:v>44201</c:v>
                </c:pt>
                <c:pt idx="113">
                  <c:v>44202</c:v>
                </c:pt>
                <c:pt idx="114">
                  <c:v>44203</c:v>
                </c:pt>
                <c:pt idx="115">
                  <c:v>44204</c:v>
                </c:pt>
                <c:pt idx="116">
                  <c:v>44207</c:v>
                </c:pt>
                <c:pt idx="117">
                  <c:v>44208</c:v>
                </c:pt>
                <c:pt idx="118">
                  <c:v>44209</c:v>
                </c:pt>
                <c:pt idx="119">
                  <c:v>44210</c:v>
                </c:pt>
                <c:pt idx="120">
                  <c:v>44211</c:v>
                </c:pt>
                <c:pt idx="121">
                  <c:v>44214</c:v>
                </c:pt>
                <c:pt idx="122">
                  <c:v>44215</c:v>
                </c:pt>
                <c:pt idx="123">
                  <c:v>44216</c:v>
                </c:pt>
                <c:pt idx="124">
                  <c:v>44217</c:v>
                </c:pt>
                <c:pt idx="125">
                  <c:v>44218</c:v>
                </c:pt>
                <c:pt idx="126">
                  <c:v>44221</c:v>
                </c:pt>
                <c:pt idx="127">
                  <c:v>44222</c:v>
                </c:pt>
                <c:pt idx="128">
                  <c:v>44223</c:v>
                </c:pt>
                <c:pt idx="129">
                  <c:v>44224</c:v>
                </c:pt>
                <c:pt idx="130">
                  <c:v>44225</c:v>
                </c:pt>
                <c:pt idx="131">
                  <c:v>44228</c:v>
                </c:pt>
                <c:pt idx="132">
                  <c:v>44229</c:v>
                </c:pt>
                <c:pt idx="133">
                  <c:v>44230</c:v>
                </c:pt>
                <c:pt idx="134">
                  <c:v>44231</c:v>
                </c:pt>
                <c:pt idx="135">
                  <c:v>44232</c:v>
                </c:pt>
                <c:pt idx="136">
                  <c:v>44235</c:v>
                </c:pt>
                <c:pt idx="137">
                  <c:v>44236</c:v>
                </c:pt>
                <c:pt idx="138">
                  <c:v>44237</c:v>
                </c:pt>
                <c:pt idx="139">
                  <c:v>44238</c:v>
                </c:pt>
                <c:pt idx="140">
                  <c:v>44239</c:v>
                </c:pt>
                <c:pt idx="141">
                  <c:v>44242</c:v>
                </c:pt>
                <c:pt idx="142">
                  <c:v>44243</c:v>
                </c:pt>
                <c:pt idx="143">
                  <c:v>44244</c:v>
                </c:pt>
                <c:pt idx="144">
                  <c:v>44245</c:v>
                </c:pt>
                <c:pt idx="145">
                  <c:v>44246</c:v>
                </c:pt>
                <c:pt idx="146">
                  <c:v>44247</c:v>
                </c:pt>
                <c:pt idx="147">
                  <c:v>44249</c:v>
                </c:pt>
                <c:pt idx="148">
                  <c:v>44250</c:v>
                </c:pt>
                <c:pt idx="149">
                  <c:v>44251</c:v>
                </c:pt>
                <c:pt idx="150">
                  <c:v>44252</c:v>
                </c:pt>
                <c:pt idx="151">
                  <c:v>44253</c:v>
                </c:pt>
                <c:pt idx="152">
                  <c:v>44256</c:v>
                </c:pt>
                <c:pt idx="153">
                  <c:v>44257</c:v>
                </c:pt>
                <c:pt idx="154">
                  <c:v>44258</c:v>
                </c:pt>
                <c:pt idx="155">
                  <c:v>44259</c:v>
                </c:pt>
                <c:pt idx="156">
                  <c:v>44260</c:v>
                </c:pt>
                <c:pt idx="157">
                  <c:v>44263</c:v>
                </c:pt>
                <c:pt idx="158">
                  <c:v>44264</c:v>
                </c:pt>
                <c:pt idx="159">
                  <c:v>44265</c:v>
                </c:pt>
                <c:pt idx="160">
                  <c:v>44266</c:v>
                </c:pt>
                <c:pt idx="161">
                  <c:v>44267</c:v>
                </c:pt>
                <c:pt idx="162">
                  <c:v>44270</c:v>
                </c:pt>
                <c:pt idx="163">
                  <c:v>44271</c:v>
                </c:pt>
                <c:pt idx="164">
                  <c:v>44272</c:v>
                </c:pt>
                <c:pt idx="165">
                  <c:v>44273</c:v>
                </c:pt>
                <c:pt idx="166">
                  <c:v>44274</c:v>
                </c:pt>
                <c:pt idx="167">
                  <c:v>44277</c:v>
                </c:pt>
                <c:pt idx="168">
                  <c:v>44278</c:v>
                </c:pt>
                <c:pt idx="169">
                  <c:v>44279</c:v>
                </c:pt>
                <c:pt idx="170">
                  <c:v>44280</c:v>
                </c:pt>
                <c:pt idx="171">
                  <c:v>44281</c:v>
                </c:pt>
                <c:pt idx="172">
                  <c:v>44284</c:v>
                </c:pt>
                <c:pt idx="173">
                  <c:v>44285</c:v>
                </c:pt>
                <c:pt idx="174">
                  <c:v>44286</c:v>
                </c:pt>
                <c:pt idx="175">
                  <c:v>44287</c:v>
                </c:pt>
                <c:pt idx="176">
                  <c:v>44288</c:v>
                </c:pt>
                <c:pt idx="177">
                  <c:v>44291</c:v>
                </c:pt>
                <c:pt idx="178">
                  <c:v>44292</c:v>
                </c:pt>
                <c:pt idx="179">
                  <c:v>44293</c:v>
                </c:pt>
                <c:pt idx="180">
                  <c:v>44294</c:v>
                </c:pt>
                <c:pt idx="181">
                  <c:v>44295</c:v>
                </c:pt>
                <c:pt idx="182">
                  <c:v>44298</c:v>
                </c:pt>
                <c:pt idx="183">
                  <c:v>44299</c:v>
                </c:pt>
                <c:pt idx="184">
                  <c:v>44300</c:v>
                </c:pt>
                <c:pt idx="185">
                  <c:v>44301</c:v>
                </c:pt>
                <c:pt idx="186">
                  <c:v>44302</c:v>
                </c:pt>
                <c:pt idx="187">
                  <c:v>44305</c:v>
                </c:pt>
                <c:pt idx="188">
                  <c:v>44306</c:v>
                </c:pt>
                <c:pt idx="189">
                  <c:v>44307</c:v>
                </c:pt>
                <c:pt idx="190">
                  <c:v>44308</c:v>
                </c:pt>
                <c:pt idx="191">
                  <c:v>44309</c:v>
                </c:pt>
                <c:pt idx="192">
                  <c:v>44311</c:v>
                </c:pt>
                <c:pt idx="193">
                  <c:v>44312</c:v>
                </c:pt>
                <c:pt idx="194">
                  <c:v>44313</c:v>
                </c:pt>
                <c:pt idx="195">
                  <c:v>44314</c:v>
                </c:pt>
                <c:pt idx="196">
                  <c:v>44315</c:v>
                </c:pt>
                <c:pt idx="197">
                  <c:v>44316</c:v>
                </c:pt>
                <c:pt idx="198">
                  <c:v>44319</c:v>
                </c:pt>
                <c:pt idx="199">
                  <c:v>44320</c:v>
                </c:pt>
                <c:pt idx="200">
                  <c:v>44321</c:v>
                </c:pt>
                <c:pt idx="201">
                  <c:v>44322</c:v>
                </c:pt>
                <c:pt idx="202">
                  <c:v>44323</c:v>
                </c:pt>
                <c:pt idx="203">
                  <c:v>44326</c:v>
                </c:pt>
                <c:pt idx="204">
                  <c:v>44327</c:v>
                </c:pt>
                <c:pt idx="205">
                  <c:v>44328</c:v>
                </c:pt>
                <c:pt idx="206">
                  <c:v>44329</c:v>
                </c:pt>
                <c:pt idx="207">
                  <c:v>44330</c:v>
                </c:pt>
                <c:pt idx="208">
                  <c:v>44333</c:v>
                </c:pt>
                <c:pt idx="209">
                  <c:v>44334</c:v>
                </c:pt>
                <c:pt idx="210">
                  <c:v>44335</c:v>
                </c:pt>
                <c:pt idx="211">
                  <c:v>44336</c:v>
                </c:pt>
                <c:pt idx="212">
                  <c:v>44337</c:v>
                </c:pt>
                <c:pt idx="213">
                  <c:v>44340</c:v>
                </c:pt>
                <c:pt idx="214">
                  <c:v>44341</c:v>
                </c:pt>
                <c:pt idx="215">
                  <c:v>44342</c:v>
                </c:pt>
                <c:pt idx="216">
                  <c:v>44343</c:v>
                </c:pt>
                <c:pt idx="217">
                  <c:v>44344</c:v>
                </c:pt>
                <c:pt idx="218">
                  <c:v>44347</c:v>
                </c:pt>
                <c:pt idx="219">
                  <c:v>44348</c:v>
                </c:pt>
                <c:pt idx="220">
                  <c:v>44349</c:v>
                </c:pt>
                <c:pt idx="221">
                  <c:v>44350</c:v>
                </c:pt>
                <c:pt idx="222">
                  <c:v>44351</c:v>
                </c:pt>
                <c:pt idx="223">
                  <c:v>44354</c:v>
                </c:pt>
                <c:pt idx="224">
                  <c:v>44355</c:v>
                </c:pt>
                <c:pt idx="225">
                  <c:v>44356</c:v>
                </c:pt>
                <c:pt idx="226">
                  <c:v>44357</c:v>
                </c:pt>
                <c:pt idx="227">
                  <c:v>44358</c:v>
                </c:pt>
                <c:pt idx="228">
                  <c:v>44361</c:v>
                </c:pt>
                <c:pt idx="229">
                  <c:v>44362</c:v>
                </c:pt>
                <c:pt idx="230">
                  <c:v>44363</c:v>
                </c:pt>
                <c:pt idx="231">
                  <c:v>44364</c:v>
                </c:pt>
                <c:pt idx="232">
                  <c:v>44365</c:v>
                </c:pt>
                <c:pt idx="233">
                  <c:v>44368</c:v>
                </c:pt>
                <c:pt idx="234">
                  <c:v>44369</c:v>
                </c:pt>
                <c:pt idx="235">
                  <c:v>44370</c:v>
                </c:pt>
                <c:pt idx="236">
                  <c:v>44371</c:v>
                </c:pt>
                <c:pt idx="237">
                  <c:v>44372</c:v>
                </c:pt>
                <c:pt idx="238">
                  <c:v>44375</c:v>
                </c:pt>
                <c:pt idx="239">
                  <c:v>44376</c:v>
                </c:pt>
                <c:pt idx="240">
                  <c:v>44377</c:v>
                </c:pt>
                <c:pt idx="241">
                  <c:v>44378</c:v>
                </c:pt>
                <c:pt idx="242">
                  <c:v>44379</c:v>
                </c:pt>
                <c:pt idx="243">
                  <c:v>44382</c:v>
                </c:pt>
                <c:pt idx="244">
                  <c:v>44383</c:v>
                </c:pt>
                <c:pt idx="245">
                  <c:v>44384</c:v>
                </c:pt>
                <c:pt idx="246">
                  <c:v>44385</c:v>
                </c:pt>
                <c:pt idx="247">
                  <c:v>44386</c:v>
                </c:pt>
                <c:pt idx="248">
                  <c:v>44389</c:v>
                </c:pt>
                <c:pt idx="249">
                  <c:v>44390</c:v>
                </c:pt>
                <c:pt idx="250">
                  <c:v>44391</c:v>
                </c:pt>
                <c:pt idx="251">
                  <c:v>44392</c:v>
                </c:pt>
                <c:pt idx="252">
                  <c:v>44393</c:v>
                </c:pt>
                <c:pt idx="253">
                  <c:v>44396</c:v>
                </c:pt>
                <c:pt idx="254">
                  <c:v>44397</c:v>
                </c:pt>
                <c:pt idx="255">
                  <c:v>44398</c:v>
                </c:pt>
                <c:pt idx="256">
                  <c:v>44399</c:v>
                </c:pt>
                <c:pt idx="257">
                  <c:v>44400</c:v>
                </c:pt>
                <c:pt idx="258">
                  <c:v>44403</c:v>
                </c:pt>
                <c:pt idx="259">
                  <c:v>44404</c:v>
                </c:pt>
                <c:pt idx="260">
                  <c:v>44405</c:v>
                </c:pt>
                <c:pt idx="261">
                  <c:v>44406</c:v>
                </c:pt>
                <c:pt idx="262">
                  <c:v>44407</c:v>
                </c:pt>
                <c:pt idx="263">
                  <c:v>44410</c:v>
                </c:pt>
                <c:pt idx="264">
                  <c:v>44411</c:v>
                </c:pt>
                <c:pt idx="265">
                  <c:v>44412</c:v>
                </c:pt>
                <c:pt idx="266">
                  <c:v>44413</c:v>
                </c:pt>
                <c:pt idx="267">
                  <c:v>44414</c:v>
                </c:pt>
                <c:pt idx="268">
                  <c:v>44417</c:v>
                </c:pt>
                <c:pt idx="269">
                  <c:v>44418</c:v>
                </c:pt>
                <c:pt idx="270">
                  <c:v>44419</c:v>
                </c:pt>
                <c:pt idx="271">
                  <c:v>44420</c:v>
                </c:pt>
                <c:pt idx="272">
                  <c:v>44421</c:v>
                </c:pt>
                <c:pt idx="273">
                  <c:v>44424</c:v>
                </c:pt>
                <c:pt idx="274">
                  <c:v>44425</c:v>
                </c:pt>
                <c:pt idx="275">
                  <c:v>44426</c:v>
                </c:pt>
                <c:pt idx="276">
                  <c:v>44427</c:v>
                </c:pt>
                <c:pt idx="277">
                  <c:v>44428</c:v>
                </c:pt>
                <c:pt idx="278">
                  <c:v>44431</c:v>
                </c:pt>
                <c:pt idx="279">
                  <c:v>44432</c:v>
                </c:pt>
                <c:pt idx="280">
                  <c:v>44433</c:v>
                </c:pt>
                <c:pt idx="281">
                  <c:v>44434</c:v>
                </c:pt>
                <c:pt idx="282">
                  <c:v>44435</c:v>
                </c:pt>
                <c:pt idx="283">
                  <c:v>44438</c:v>
                </c:pt>
                <c:pt idx="284">
                  <c:v>44439</c:v>
                </c:pt>
              </c:numCache>
            </c:numRef>
          </c:cat>
          <c:val>
            <c:numRef>
              <c:f>'[2021 09 GMR NEW.XLSX]Currency Chart'!$Z$6:$Z$290</c:f>
              <c:numCache>
                <c:formatCode>0</c:formatCode>
                <c:ptCount val="285"/>
                <c:pt idx="0" formatCode="General">
                  <c:v>100</c:v>
                </c:pt>
                <c:pt idx="1">
                  <c:v>100.20675100965195</c:v>
                </c:pt>
                <c:pt idx="2">
                  <c:v>100.03535120890422</c:v>
                </c:pt>
                <c:pt idx="3">
                  <c:v>99.484729349002123</c:v>
                </c:pt>
                <c:pt idx="4">
                  <c:v>99.399029448628255</c:v>
                </c:pt>
                <c:pt idx="5">
                  <c:v>100.0921273929019</c:v>
                </c:pt>
                <c:pt idx="6">
                  <c:v>100.24960095983887</c:v>
                </c:pt>
                <c:pt idx="7">
                  <c:v>100.29887840255384</c:v>
                </c:pt>
                <c:pt idx="8">
                  <c:v>100.10069738293927</c:v>
                </c:pt>
                <c:pt idx="9">
                  <c:v>99.985002517434552</c:v>
                </c:pt>
                <c:pt idx="10">
                  <c:v>99.728974065067646</c:v>
                </c:pt>
                <c:pt idx="11">
                  <c:v>99.46651812017268</c:v>
                </c:pt>
                <c:pt idx="12">
                  <c:v>98.845193842462152</c:v>
                </c:pt>
                <c:pt idx="13">
                  <c:v>99.505083075340906</c:v>
                </c:pt>
                <c:pt idx="14">
                  <c:v>99.404385692401618</c:v>
                </c:pt>
                <c:pt idx="15">
                  <c:v>99.890732627023297</c:v>
                </c:pt>
                <c:pt idx="16">
                  <c:v>99.945366313511641</c:v>
                </c:pt>
                <c:pt idx="17">
                  <c:v>99.646487910957788</c:v>
                </c:pt>
                <c:pt idx="18">
                  <c:v>99.632561677147024</c:v>
                </c:pt>
                <c:pt idx="19">
                  <c:v>99.627205433373661</c:v>
                </c:pt>
                <c:pt idx="20">
                  <c:v>98.952318717929458</c:v>
                </c:pt>
                <c:pt idx="21">
                  <c:v>98.709145250618633</c:v>
                </c:pt>
                <c:pt idx="22">
                  <c:v>98.916967509025241</c:v>
                </c:pt>
                <c:pt idx="23">
                  <c:v>99.462233125153972</c:v>
                </c:pt>
                <c:pt idx="24">
                  <c:v>99.346538259649265</c:v>
                </c:pt>
                <c:pt idx="25">
                  <c:v>99.325113284555783</c:v>
                </c:pt>
                <c:pt idx="26">
                  <c:v>99.325113284555783</c:v>
                </c:pt>
                <c:pt idx="27">
                  <c:v>100.10283988044861</c:v>
                </c:pt>
                <c:pt idx="28">
                  <c:v>99.899302617060684</c:v>
                </c:pt>
                <c:pt idx="29">
                  <c:v>99.986073766189222</c:v>
                </c:pt>
                <c:pt idx="30">
                  <c:v>99.982860019925198</c:v>
                </c:pt>
                <c:pt idx="31">
                  <c:v>99.681839119862005</c:v>
                </c:pt>
                <c:pt idx="32">
                  <c:v>99.679696622352651</c:v>
                </c:pt>
                <c:pt idx="33">
                  <c:v>99.855381418119066</c:v>
                </c:pt>
                <c:pt idx="34">
                  <c:v>99.593996721978769</c:v>
                </c:pt>
                <c:pt idx="35">
                  <c:v>99.546861776773142</c:v>
                </c:pt>
                <c:pt idx="36">
                  <c:v>100.32887336768466</c:v>
                </c:pt>
                <c:pt idx="37">
                  <c:v>100.6845279542362</c:v>
                </c:pt>
                <c:pt idx="38">
                  <c:v>101.11409870486021</c:v>
                </c:pt>
                <c:pt idx="39">
                  <c:v>101.07660499844665</c:v>
                </c:pt>
                <c:pt idx="40">
                  <c:v>101.38512463979256</c:v>
                </c:pt>
                <c:pt idx="41">
                  <c:v>100.99519009309149</c:v>
                </c:pt>
                <c:pt idx="42">
                  <c:v>100.58061682503292</c:v>
                </c:pt>
                <c:pt idx="43">
                  <c:v>100.57526058125954</c:v>
                </c:pt>
                <c:pt idx="44">
                  <c:v>100.3877920491917</c:v>
                </c:pt>
                <c:pt idx="45">
                  <c:v>100.53026813356324</c:v>
                </c:pt>
                <c:pt idx="46">
                  <c:v>100.17568479576639</c:v>
                </c:pt>
                <c:pt idx="47">
                  <c:v>100.36101083032487</c:v>
                </c:pt>
                <c:pt idx="48">
                  <c:v>100.30102090006315</c:v>
                </c:pt>
                <c:pt idx="49">
                  <c:v>100.27423968119633</c:v>
                </c:pt>
                <c:pt idx="50">
                  <c:v>99.687195363635354</c:v>
                </c:pt>
                <c:pt idx="51">
                  <c:v>99.695765353672741</c:v>
                </c:pt>
                <c:pt idx="52">
                  <c:v>100.19496727335053</c:v>
                </c:pt>
                <c:pt idx="53">
                  <c:v>100.0353512089042</c:v>
                </c:pt>
                <c:pt idx="54">
                  <c:v>100.54312311861935</c:v>
                </c:pt>
                <c:pt idx="55">
                  <c:v>100.35672583530619</c:v>
                </c:pt>
                <c:pt idx="56">
                  <c:v>100.0835574028645</c:v>
                </c:pt>
                <c:pt idx="57">
                  <c:v>99.697907851182094</c:v>
                </c:pt>
                <c:pt idx="58">
                  <c:v>99.209418419051076</c:v>
                </c:pt>
                <c:pt idx="59">
                  <c:v>99.57364299564</c:v>
                </c:pt>
                <c:pt idx="60">
                  <c:v>99.377604473534788</c:v>
                </c:pt>
                <c:pt idx="61">
                  <c:v>99.674340378579288</c:v>
                </c:pt>
                <c:pt idx="62">
                  <c:v>99.56185925933859</c:v>
                </c:pt>
                <c:pt idx="63">
                  <c:v>100.05998993026169</c:v>
                </c:pt>
                <c:pt idx="64">
                  <c:v>100.64917674533201</c:v>
                </c:pt>
                <c:pt idx="65">
                  <c:v>100.73809039196991</c:v>
                </c:pt>
                <c:pt idx="66">
                  <c:v>100.83557402864518</c:v>
                </c:pt>
                <c:pt idx="67">
                  <c:v>100.21853474595333</c:v>
                </c:pt>
                <c:pt idx="68">
                  <c:v>100.06213242777103</c:v>
                </c:pt>
                <c:pt idx="69">
                  <c:v>99.117291026149175</c:v>
                </c:pt>
                <c:pt idx="70">
                  <c:v>98.800201394765864</c:v>
                </c:pt>
                <c:pt idx="71">
                  <c:v>99.331540777083831</c:v>
                </c:pt>
                <c:pt idx="72">
                  <c:v>99.357250747196005</c:v>
                </c:pt>
                <c:pt idx="73">
                  <c:v>99.672197881069977</c:v>
                </c:pt>
                <c:pt idx="74">
                  <c:v>99.586497980696095</c:v>
                </c:pt>
                <c:pt idx="75">
                  <c:v>99.363678239724038</c:v>
                </c:pt>
                <c:pt idx="76">
                  <c:v>99.242627130445953</c:v>
                </c:pt>
                <c:pt idx="77">
                  <c:v>99.000524911889784</c:v>
                </c:pt>
                <c:pt idx="78">
                  <c:v>98.893400036422449</c:v>
                </c:pt>
                <c:pt idx="79">
                  <c:v>98.869832563819628</c:v>
                </c:pt>
                <c:pt idx="80">
                  <c:v>98.974814941777609</c:v>
                </c:pt>
                <c:pt idx="81">
                  <c:v>99.095866051055694</c:v>
                </c:pt>
                <c:pt idx="82">
                  <c:v>98.79698764850184</c:v>
                </c:pt>
                <c:pt idx="83">
                  <c:v>98.548457937417623</c:v>
                </c:pt>
                <c:pt idx="84">
                  <c:v>98.548457937417623</c:v>
                </c:pt>
                <c:pt idx="85">
                  <c:v>98.329923191464275</c:v>
                </c:pt>
                <c:pt idx="86">
                  <c:v>98.414551843083458</c:v>
                </c:pt>
                <c:pt idx="87">
                  <c:v>97.818937535485105</c:v>
                </c:pt>
                <c:pt idx="88">
                  <c:v>97.610044028323799</c:v>
                </c:pt>
                <c:pt idx="89">
                  <c:v>97.17725953143578</c:v>
                </c:pt>
                <c:pt idx="90">
                  <c:v>97.16333329762503</c:v>
                </c:pt>
                <c:pt idx="91">
                  <c:v>97.260816934300308</c:v>
                </c:pt>
                <c:pt idx="92">
                  <c:v>97.446142968858794</c:v>
                </c:pt>
                <c:pt idx="93">
                  <c:v>97.57683531692895</c:v>
                </c:pt>
                <c:pt idx="94">
                  <c:v>97.29509689444987</c:v>
                </c:pt>
                <c:pt idx="95">
                  <c:v>97.457926705160205</c:v>
                </c:pt>
                <c:pt idx="96">
                  <c:v>97.174045785171771</c:v>
                </c:pt>
                <c:pt idx="97">
                  <c:v>96.919088581559521</c:v>
                </c:pt>
                <c:pt idx="98">
                  <c:v>96.894449860202045</c:v>
                </c:pt>
                <c:pt idx="99">
                  <c:v>96.221705642267196</c:v>
                </c:pt>
                <c:pt idx="100">
                  <c:v>96.429527900673833</c:v>
                </c:pt>
                <c:pt idx="101">
                  <c:v>96.458451617050002</c:v>
                </c:pt>
                <c:pt idx="102">
                  <c:v>97.112984606155393</c:v>
                </c:pt>
                <c:pt idx="103">
                  <c:v>96.85481365627912</c:v>
                </c:pt>
                <c:pt idx="104">
                  <c:v>96.758401268358526</c:v>
                </c:pt>
                <c:pt idx="105">
                  <c:v>96.758401268358526</c:v>
                </c:pt>
                <c:pt idx="106">
                  <c:v>96.773398750923974</c:v>
                </c:pt>
                <c:pt idx="107">
                  <c:v>96.405960428071026</c:v>
                </c:pt>
                <c:pt idx="108">
                  <c:v>96.069588319103602</c:v>
                </c:pt>
                <c:pt idx="109">
                  <c:v>96.344899249054635</c:v>
                </c:pt>
                <c:pt idx="110">
                  <c:v>96.344899249054635</c:v>
                </c:pt>
                <c:pt idx="111">
                  <c:v>96.272054333736847</c:v>
                </c:pt>
                <c:pt idx="112">
                  <c:v>95.808203622963305</c:v>
                </c:pt>
                <c:pt idx="113">
                  <c:v>95.908901005902592</c:v>
                </c:pt>
                <c:pt idx="114">
                  <c:v>96.225990637285889</c:v>
                </c:pt>
                <c:pt idx="115">
                  <c:v>96.51737029855704</c:v>
                </c:pt>
                <c:pt idx="116">
                  <c:v>96.910518591522148</c:v>
                </c:pt>
                <c:pt idx="117">
                  <c:v>96.512014054783677</c:v>
                </c:pt>
                <c:pt idx="118">
                  <c:v>96.792681228508087</c:v>
                </c:pt>
                <c:pt idx="119">
                  <c:v>96.668416372965993</c:v>
                </c:pt>
                <c:pt idx="120">
                  <c:v>97.239391959206884</c:v>
                </c:pt>
                <c:pt idx="121">
                  <c:v>97.231893217924167</c:v>
                </c:pt>
                <c:pt idx="122">
                  <c:v>96.945869800426394</c:v>
                </c:pt>
                <c:pt idx="123">
                  <c:v>96.921231079068889</c:v>
                </c:pt>
                <c:pt idx="124">
                  <c:v>96.552721507461271</c:v>
                </c:pt>
                <c:pt idx="125">
                  <c:v>96.667345124211323</c:v>
                </c:pt>
                <c:pt idx="126">
                  <c:v>96.831246183676356</c:v>
                </c:pt>
                <c:pt idx="127">
                  <c:v>96.59450020889355</c:v>
                </c:pt>
                <c:pt idx="128">
                  <c:v>97.105485864872733</c:v>
                </c:pt>
                <c:pt idx="129">
                  <c:v>96.89980610397545</c:v>
                </c:pt>
                <c:pt idx="130">
                  <c:v>97.037997193328309</c:v>
                </c:pt>
                <c:pt idx="131">
                  <c:v>97.462211700178941</c:v>
                </c:pt>
                <c:pt idx="132">
                  <c:v>97.694672679943054</c:v>
                </c:pt>
                <c:pt idx="133">
                  <c:v>97.666820212321554</c:v>
                </c:pt>
                <c:pt idx="134">
                  <c:v>98.050327266494591</c:v>
                </c:pt>
                <c:pt idx="135">
                  <c:v>97.528629122968695</c:v>
                </c:pt>
                <c:pt idx="136">
                  <c:v>97.412934257463974</c:v>
                </c:pt>
                <c:pt idx="137">
                  <c:v>96.882666123900677</c:v>
                </c:pt>
                <c:pt idx="138">
                  <c:v>96.809821208582903</c:v>
                </c:pt>
                <c:pt idx="139">
                  <c:v>96.859098651297884</c:v>
                </c:pt>
                <c:pt idx="140">
                  <c:v>96.926587322842309</c:v>
                </c:pt>
                <c:pt idx="141">
                  <c:v>96.926587322842309</c:v>
                </c:pt>
                <c:pt idx="142">
                  <c:v>96.957653536727832</c:v>
                </c:pt>
                <c:pt idx="143">
                  <c:v>97.431145486293431</c:v>
                </c:pt>
                <c:pt idx="144">
                  <c:v>97.04656718336571</c:v>
                </c:pt>
                <c:pt idx="145">
                  <c:v>96.802322467300201</c:v>
                </c:pt>
                <c:pt idx="146">
                  <c:v>96.802322467300201</c:v>
                </c:pt>
                <c:pt idx="147">
                  <c:v>96.423100408145842</c:v>
                </c:pt>
                <c:pt idx="148">
                  <c:v>96.59342896013888</c:v>
                </c:pt>
                <c:pt idx="149">
                  <c:v>96.600927701421597</c:v>
                </c:pt>
                <c:pt idx="150">
                  <c:v>96.555935253725323</c:v>
                </c:pt>
                <c:pt idx="151">
                  <c:v>97.35401557595695</c:v>
                </c:pt>
                <c:pt idx="152">
                  <c:v>97.525415376704686</c:v>
                </c:pt>
                <c:pt idx="153">
                  <c:v>97.253318193017662</c:v>
                </c:pt>
                <c:pt idx="154">
                  <c:v>97.426860491274752</c:v>
                </c:pt>
                <c:pt idx="155">
                  <c:v>98.159594639471294</c:v>
                </c:pt>
                <c:pt idx="156">
                  <c:v>98.530246708588265</c:v>
                </c:pt>
                <c:pt idx="157">
                  <c:v>98.890186290158496</c:v>
                </c:pt>
                <c:pt idx="158">
                  <c:v>98.509892982249454</c:v>
                </c:pt>
                <c:pt idx="159">
                  <c:v>98.365274400368548</c:v>
                </c:pt>
                <c:pt idx="160">
                  <c:v>97.9335611522352</c:v>
                </c:pt>
                <c:pt idx="161">
                  <c:v>98.211014579695586</c:v>
                </c:pt>
                <c:pt idx="162">
                  <c:v>98.375986887915275</c:v>
                </c:pt>
                <c:pt idx="163">
                  <c:v>98.410266848064822</c:v>
                </c:pt>
                <c:pt idx="164">
                  <c:v>97.957128624838006</c:v>
                </c:pt>
                <c:pt idx="165">
                  <c:v>98.407053101800798</c:v>
                </c:pt>
                <c:pt idx="166">
                  <c:v>98.46811428081719</c:v>
                </c:pt>
                <c:pt idx="167">
                  <c:v>98.278503251240011</c:v>
                </c:pt>
                <c:pt idx="168">
                  <c:v>98.914825011515958</c:v>
                </c:pt>
                <c:pt idx="169">
                  <c:v>99.120504772413256</c:v>
                </c:pt>
                <c:pt idx="170">
                  <c:v>99.120504772413256</c:v>
                </c:pt>
                <c:pt idx="171">
                  <c:v>99.375461976025505</c:v>
                </c:pt>
                <c:pt idx="172">
                  <c:v>99.566144254357354</c:v>
                </c:pt>
                <c:pt idx="173">
                  <c:v>99.944295064757043</c:v>
                </c:pt>
                <c:pt idx="174">
                  <c:v>99.874663895703279</c:v>
                </c:pt>
                <c:pt idx="175">
                  <c:v>99.550075523037265</c:v>
                </c:pt>
                <c:pt idx="176">
                  <c:v>99.649701657221897</c:v>
                </c:pt>
                <c:pt idx="177">
                  <c:v>99.192278438976373</c:v>
                </c:pt>
                <c:pt idx="178">
                  <c:v>98.913753762761303</c:v>
                </c:pt>
                <c:pt idx="179">
                  <c:v>99.042303613322119</c:v>
                </c:pt>
                <c:pt idx="180">
                  <c:v>98.618089106471473</c:v>
                </c:pt>
                <c:pt idx="181">
                  <c:v>98.729498976957487</c:v>
                </c:pt>
                <c:pt idx="182">
                  <c:v>98.702717758090671</c:v>
                </c:pt>
                <c:pt idx="183">
                  <c:v>98.3963406142541</c:v>
                </c:pt>
                <c:pt idx="184">
                  <c:v>98.222798315997011</c:v>
                </c:pt>
                <c:pt idx="185">
                  <c:v>98.222798315997011</c:v>
                </c:pt>
                <c:pt idx="186">
                  <c:v>98.079250982870789</c:v>
                </c:pt>
                <c:pt idx="187">
                  <c:v>97.557552839344893</c:v>
                </c:pt>
                <c:pt idx="188">
                  <c:v>97.741807625148695</c:v>
                </c:pt>
                <c:pt idx="189">
                  <c:v>97.649680232246794</c:v>
                </c:pt>
                <c:pt idx="190">
                  <c:v>97.840362510578643</c:v>
                </c:pt>
                <c:pt idx="191">
                  <c:v>97.332590600863483</c:v>
                </c:pt>
                <c:pt idx="192">
                  <c:v>97.332590600863483</c:v>
                </c:pt>
                <c:pt idx="193">
                  <c:v>97.276885665620483</c:v>
                </c:pt>
                <c:pt idx="194">
                  <c:v>97.386153038597158</c:v>
                </c:pt>
                <c:pt idx="195">
                  <c:v>97.064778412195139</c:v>
                </c:pt>
                <c:pt idx="196">
                  <c:v>97.070134655968502</c:v>
                </c:pt>
                <c:pt idx="197">
                  <c:v>97.783586326580931</c:v>
                </c:pt>
                <c:pt idx="198">
                  <c:v>97.42471799376537</c:v>
                </c:pt>
                <c:pt idx="199">
                  <c:v>97.792156316618318</c:v>
                </c:pt>
                <c:pt idx="200">
                  <c:v>97.813581291711799</c:v>
                </c:pt>
                <c:pt idx="201">
                  <c:v>97.431145486293403</c:v>
                </c:pt>
                <c:pt idx="202">
                  <c:v>96.661988880437974</c:v>
                </c:pt>
                <c:pt idx="203">
                  <c:v>96.639492656589837</c:v>
                </c:pt>
                <c:pt idx="204">
                  <c:v>96.56343399500804</c:v>
                </c:pt>
                <c:pt idx="205">
                  <c:v>97.176188282681167</c:v>
                </c:pt>
                <c:pt idx="206">
                  <c:v>97.217966984113431</c:v>
                </c:pt>
                <c:pt idx="207">
                  <c:v>96.756258770849229</c:v>
                </c:pt>
                <c:pt idx="208">
                  <c:v>96.588072716365517</c:v>
                </c:pt>
                <c:pt idx="209">
                  <c:v>96.144575731930757</c:v>
                </c:pt>
                <c:pt idx="210">
                  <c:v>96.616996432741686</c:v>
                </c:pt>
                <c:pt idx="211">
                  <c:v>96.206708159701805</c:v>
                </c:pt>
                <c:pt idx="212">
                  <c:v>96.430599149428517</c:v>
                </c:pt>
                <c:pt idx="213">
                  <c:v>96.245273114870031</c:v>
                </c:pt>
                <c:pt idx="214">
                  <c:v>96.025667120161998</c:v>
                </c:pt>
                <c:pt idx="215">
                  <c:v>96.457380368295347</c:v>
                </c:pt>
                <c:pt idx="216">
                  <c:v>96.381321706713535</c:v>
                </c:pt>
                <c:pt idx="217">
                  <c:v>96.445596631993951</c:v>
                </c:pt>
                <c:pt idx="218">
                  <c:v>96.445596631993951</c:v>
                </c:pt>
                <c:pt idx="219">
                  <c:v>96.231346881059295</c:v>
                </c:pt>
                <c:pt idx="220">
                  <c:v>96.314904283923823</c:v>
                </c:pt>
                <c:pt idx="221">
                  <c:v>96.960867282991828</c:v>
                </c:pt>
                <c:pt idx="222">
                  <c:v>96.558077751234663</c:v>
                </c:pt>
                <c:pt idx="223">
                  <c:v>96.358825482865427</c:v>
                </c:pt>
                <c:pt idx="224">
                  <c:v>96.493802825954262</c:v>
                </c:pt>
                <c:pt idx="225">
                  <c:v>96.540937771159889</c:v>
                </c:pt>
                <c:pt idx="226">
                  <c:v>96.492731577199592</c:v>
                </c:pt>
                <c:pt idx="227">
                  <c:v>97.006930979442785</c:v>
                </c:pt>
                <c:pt idx="228">
                  <c:v>96.971579770538554</c:v>
                </c:pt>
                <c:pt idx="229">
                  <c:v>96.986577253103974</c:v>
                </c:pt>
                <c:pt idx="230">
                  <c:v>97.621827764625252</c:v>
                </c:pt>
                <c:pt idx="231">
                  <c:v>98.435976818176954</c:v>
                </c:pt>
                <c:pt idx="232">
                  <c:v>98.795916399747185</c:v>
                </c:pt>
                <c:pt idx="233">
                  <c:v>98.446689305723694</c:v>
                </c:pt>
                <c:pt idx="234">
                  <c:v>98.293500733805402</c:v>
                </c:pt>
                <c:pt idx="235">
                  <c:v>98.342778176520369</c:v>
                </c:pt>
                <c:pt idx="236">
                  <c:v>98.355633161576435</c:v>
                </c:pt>
                <c:pt idx="237">
                  <c:v>98.39526936549936</c:v>
                </c:pt>
                <c:pt idx="238">
                  <c:v>98.433834320667614</c:v>
                </c:pt>
                <c:pt idx="239">
                  <c:v>98.607376618924704</c:v>
                </c:pt>
                <c:pt idx="240">
                  <c:v>99.021949886983279</c:v>
                </c:pt>
                <c:pt idx="241">
                  <c:v>99.19442093648567</c:v>
                </c:pt>
                <c:pt idx="242">
                  <c:v>98.796987648501869</c:v>
                </c:pt>
                <c:pt idx="243">
                  <c:v>98.781990165936449</c:v>
                </c:pt>
                <c:pt idx="244">
                  <c:v>99.13978724999734</c:v>
                </c:pt>
                <c:pt idx="245">
                  <c:v>99.244769627955321</c:v>
                </c:pt>
                <c:pt idx="246">
                  <c:v>99.001596160644482</c:v>
                </c:pt>
                <c:pt idx="247">
                  <c:v>98.694147768053227</c:v>
                </c:pt>
                <c:pt idx="248">
                  <c:v>98.83448135491544</c:v>
                </c:pt>
                <c:pt idx="249">
                  <c:v>99.360464493460043</c:v>
                </c:pt>
                <c:pt idx="250">
                  <c:v>98.994097419361765</c:v>
                </c:pt>
                <c:pt idx="251">
                  <c:v>99.223344652861854</c:v>
                </c:pt>
                <c:pt idx="252">
                  <c:v>99.290833324406279</c:v>
                </c:pt>
                <c:pt idx="253">
                  <c:v>99.509368070359656</c:v>
                </c:pt>
                <c:pt idx="254">
                  <c:v>99.597210468242864</c:v>
                </c:pt>
                <c:pt idx="255">
                  <c:v>99.362606990969411</c:v>
                </c:pt>
                <c:pt idx="256">
                  <c:v>99.435451906287199</c:v>
                </c:pt>
                <c:pt idx="257">
                  <c:v>99.531864294207793</c:v>
                </c:pt>
                <c:pt idx="258">
                  <c:v>99.250125871728699</c:v>
                </c:pt>
                <c:pt idx="259">
                  <c:v>99.017664891964586</c:v>
                </c:pt>
                <c:pt idx="260">
                  <c:v>98.899827528950524</c:v>
                </c:pt>
                <c:pt idx="261">
                  <c:v>98.409195599310152</c:v>
                </c:pt>
                <c:pt idx="262">
                  <c:v>98.741282713258897</c:v>
                </c:pt>
                <c:pt idx="263">
                  <c:v>98.606305370170048</c:v>
                </c:pt>
                <c:pt idx="264">
                  <c:v>98.641656579074279</c:v>
                </c:pt>
                <c:pt idx="265">
                  <c:v>98.844122593707525</c:v>
                </c:pt>
                <c:pt idx="266">
                  <c:v>98.816270126086025</c:v>
                </c:pt>
                <c:pt idx="267">
                  <c:v>99.411884433684392</c:v>
                </c:pt>
                <c:pt idx="268">
                  <c:v>99.56721550311201</c:v>
                </c:pt>
                <c:pt idx="269">
                  <c:v>99.6850528661261</c:v>
                </c:pt>
                <c:pt idx="270">
                  <c:v>99.542576781754533</c:v>
                </c:pt>
                <c:pt idx="271">
                  <c:v>99.663627891032618</c:v>
                </c:pt>
                <c:pt idx="272">
                  <c:v>99.109792284866515</c:v>
                </c:pt>
                <c:pt idx="273">
                  <c:v>99.227629647880576</c:v>
                </c:pt>
                <c:pt idx="274">
                  <c:v>99.765396522726576</c:v>
                </c:pt>
                <c:pt idx="275">
                  <c:v>99.771824015254609</c:v>
                </c:pt>
                <c:pt idx="276">
                  <c:v>100.23460347727348</c:v>
                </c:pt>
                <c:pt idx="277">
                  <c:v>100.157473566937</c:v>
                </c:pt>
                <c:pt idx="278">
                  <c:v>99.58114173692276</c:v>
                </c:pt>
                <c:pt idx="279">
                  <c:v>99.511510567868996</c:v>
                </c:pt>
                <c:pt idx="280">
                  <c:v>99.438665652551208</c:v>
                </c:pt>
                <c:pt idx="281">
                  <c:v>99.692551607408788</c:v>
                </c:pt>
                <c:pt idx="282">
                  <c:v>99.289762075651637</c:v>
                </c:pt>
                <c:pt idx="283">
                  <c:v>99.254410866747421</c:v>
                </c:pt>
                <c:pt idx="284">
                  <c:v>99.225487150371251</c:v>
                </c:pt>
              </c:numCache>
            </c:numRef>
          </c:val>
          <c:smooth val="0"/>
          <c:extLst>
            <c:ext xmlns:c16="http://schemas.microsoft.com/office/drawing/2014/chart" uri="{C3380CC4-5D6E-409C-BE32-E72D297353CC}">
              <c16:uniqueId val="{00000001-A0A6-4952-B73D-3412C30D1F85}"/>
            </c:ext>
          </c:extLst>
        </c:ser>
        <c:ser>
          <c:idx val="11"/>
          <c:order val="11"/>
          <c:tx>
            <c:strRef>
              <c:f>'[2021 09 GMR NEW.XLSX]Currency Chart'!$AA$5</c:f>
              <c:strCache>
                <c:ptCount val="1"/>
                <c:pt idx="0">
                  <c:v>MSCI EM Currency Index</c:v>
                </c:pt>
              </c:strCache>
            </c:strRef>
          </c:tx>
          <c:spPr>
            <a:ln w="28575" cap="rnd">
              <a:solidFill>
                <a:schemeClr val="accent6">
                  <a:lumMod val="60000"/>
                </a:schemeClr>
              </a:solidFill>
              <a:round/>
            </a:ln>
            <a:effectLst/>
          </c:spPr>
          <c:marker>
            <c:symbol val="none"/>
          </c:marker>
          <c:cat>
            <c:numRef>
              <c:f>'[2021 09 GMR NEW.XLSX]Currency Chart'!$O$6:$O$290</c:f>
              <c:numCache>
                <c:formatCode>m/d/yyyy</c:formatCode>
                <c:ptCount val="285"/>
                <c:pt idx="0">
                  <c:v>44043</c:v>
                </c:pt>
                <c:pt idx="1">
                  <c:v>44046</c:v>
                </c:pt>
                <c:pt idx="2">
                  <c:v>44047</c:v>
                </c:pt>
                <c:pt idx="3">
                  <c:v>44048</c:v>
                </c:pt>
                <c:pt idx="4">
                  <c:v>44049</c:v>
                </c:pt>
                <c:pt idx="5">
                  <c:v>44050</c:v>
                </c:pt>
                <c:pt idx="6">
                  <c:v>44053</c:v>
                </c:pt>
                <c:pt idx="7">
                  <c:v>44054</c:v>
                </c:pt>
                <c:pt idx="8">
                  <c:v>44055</c:v>
                </c:pt>
                <c:pt idx="9">
                  <c:v>44056</c:v>
                </c:pt>
                <c:pt idx="10">
                  <c:v>44057</c:v>
                </c:pt>
                <c:pt idx="11">
                  <c:v>44060</c:v>
                </c:pt>
                <c:pt idx="12">
                  <c:v>44061</c:v>
                </c:pt>
                <c:pt idx="13">
                  <c:v>44062</c:v>
                </c:pt>
                <c:pt idx="14">
                  <c:v>44063</c:v>
                </c:pt>
                <c:pt idx="15">
                  <c:v>44064</c:v>
                </c:pt>
                <c:pt idx="16">
                  <c:v>44067</c:v>
                </c:pt>
                <c:pt idx="17">
                  <c:v>44068</c:v>
                </c:pt>
                <c:pt idx="18">
                  <c:v>44069</c:v>
                </c:pt>
                <c:pt idx="19">
                  <c:v>44070</c:v>
                </c:pt>
                <c:pt idx="20">
                  <c:v>44071</c:v>
                </c:pt>
                <c:pt idx="21">
                  <c:v>44074</c:v>
                </c:pt>
                <c:pt idx="22">
                  <c:v>44075</c:v>
                </c:pt>
                <c:pt idx="23">
                  <c:v>44076</c:v>
                </c:pt>
                <c:pt idx="24">
                  <c:v>44077</c:v>
                </c:pt>
                <c:pt idx="25">
                  <c:v>44078</c:v>
                </c:pt>
                <c:pt idx="26">
                  <c:v>44081</c:v>
                </c:pt>
                <c:pt idx="27">
                  <c:v>44082</c:v>
                </c:pt>
                <c:pt idx="28">
                  <c:v>44083</c:v>
                </c:pt>
                <c:pt idx="29">
                  <c:v>44084</c:v>
                </c:pt>
                <c:pt idx="30">
                  <c:v>44085</c:v>
                </c:pt>
                <c:pt idx="31">
                  <c:v>44088</c:v>
                </c:pt>
                <c:pt idx="32">
                  <c:v>44089</c:v>
                </c:pt>
                <c:pt idx="33">
                  <c:v>44090</c:v>
                </c:pt>
                <c:pt idx="34">
                  <c:v>44091</c:v>
                </c:pt>
                <c:pt idx="35">
                  <c:v>44092</c:v>
                </c:pt>
                <c:pt idx="36">
                  <c:v>44095</c:v>
                </c:pt>
                <c:pt idx="37">
                  <c:v>44096</c:v>
                </c:pt>
                <c:pt idx="38">
                  <c:v>44097</c:v>
                </c:pt>
                <c:pt idx="39">
                  <c:v>44098</c:v>
                </c:pt>
                <c:pt idx="40">
                  <c:v>44099</c:v>
                </c:pt>
                <c:pt idx="41">
                  <c:v>44102</c:v>
                </c:pt>
                <c:pt idx="42">
                  <c:v>44103</c:v>
                </c:pt>
                <c:pt idx="43">
                  <c:v>44104</c:v>
                </c:pt>
                <c:pt idx="44">
                  <c:v>44105</c:v>
                </c:pt>
                <c:pt idx="45">
                  <c:v>44106</c:v>
                </c:pt>
                <c:pt idx="46">
                  <c:v>44109</c:v>
                </c:pt>
                <c:pt idx="47">
                  <c:v>44110</c:v>
                </c:pt>
                <c:pt idx="48">
                  <c:v>44111</c:v>
                </c:pt>
                <c:pt idx="49">
                  <c:v>44112</c:v>
                </c:pt>
                <c:pt idx="50">
                  <c:v>44113</c:v>
                </c:pt>
                <c:pt idx="51">
                  <c:v>44116</c:v>
                </c:pt>
                <c:pt idx="52">
                  <c:v>44117</c:v>
                </c:pt>
                <c:pt idx="53">
                  <c:v>44118</c:v>
                </c:pt>
                <c:pt idx="54">
                  <c:v>44119</c:v>
                </c:pt>
                <c:pt idx="55">
                  <c:v>44120</c:v>
                </c:pt>
                <c:pt idx="56">
                  <c:v>44123</c:v>
                </c:pt>
                <c:pt idx="57">
                  <c:v>44124</c:v>
                </c:pt>
                <c:pt idx="58">
                  <c:v>44125</c:v>
                </c:pt>
                <c:pt idx="59">
                  <c:v>44126</c:v>
                </c:pt>
                <c:pt idx="60">
                  <c:v>44127</c:v>
                </c:pt>
                <c:pt idx="61">
                  <c:v>44130</c:v>
                </c:pt>
                <c:pt idx="62">
                  <c:v>44131</c:v>
                </c:pt>
                <c:pt idx="63">
                  <c:v>44132</c:v>
                </c:pt>
                <c:pt idx="64">
                  <c:v>44133</c:v>
                </c:pt>
                <c:pt idx="65">
                  <c:v>44134</c:v>
                </c:pt>
                <c:pt idx="66">
                  <c:v>44137</c:v>
                </c:pt>
                <c:pt idx="67">
                  <c:v>44138</c:v>
                </c:pt>
                <c:pt idx="68">
                  <c:v>44139</c:v>
                </c:pt>
                <c:pt idx="69">
                  <c:v>44140</c:v>
                </c:pt>
                <c:pt idx="70">
                  <c:v>44141</c:v>
                </c:pt>
                <c:pt idx="71">
                  <c:v>44144</c:v>
                </c:pt>
                <c:pt idx="72">
                  <c:v>44145</c:v>
                </c:pt>
                <c:pt idx="73">
                  <c:v>44146</c:v>
                </c:pt>
                <c:pt idx="74">
                  <c:v>44147</c:v>
                </c:pt>
                <c:pt idx="75">
                  <c:v>44148</c:v>
                </c:pt>
                <c:pt idx="76">
                  <c:v>44151</c:v>
                </c:pt>
                <c:pt idx="77">
                  <c:v>44152</c:v>
                </c:pt>
                <c:pt idx="78">
                  <c:v>44153</c:v>
                </c:pt>
                <c:pt idx="79">
                  <c:v>44154</c:v>
                </c:pt>
                <c:pt idx="80">
                  <c:v>44155</c:v>
                </c:pt>
                <c:pt idx="81">
                  <c:v>44158</c:v>
                </c:pt>
                <c:pt idx="82">
                  <c:v>44159</c:v>
                </c:pt>
                <c:pt idx="83">
                  <c:v>44160</c:v>
                </c:pt>
                <c:pt idx="84">
                  <c:v>44161</c:v>
                </c:pt>
                <c:pt idx="85">
                  <c:v>44162</c:v>
                </c:pt>
                <c:pt idx="86">
                  <c:v>44165</c:v>
                </c:pt>
                <c:pt idx="87">
                  <c:v>44166</c:v>
                </c:pt>
                <c:pt idx="88">
                  <c:v>44167</c:v>
                </c:pt>
                <c:pt idx="89">
                  <c:v>44168</c:v>
                </c:pt>
                <c:pt idx="90">
                  <c:v>44169</c:v>
                </c:pt>
                <c:pt idx="91">
                  <c:v>44172</c:v>
                </c:pt>
                <c:pt idx="92">
                  <c:v>44173</c:v>
                </c:pt>
                <c:pt idx="93">
                  <c:v>44174</c:v>
                </c:pt>
                <c:pt idx="94">
                  <c:v>44175</c:v>
                </c:pt>
                <c:pt idx="95">
                  <c:v>44176</c:v>
                </c:pt>
                <c:pt idx="96">
                  <c:v>44179</c:v>
                </c:pt>
                <c:pt idx="97">
                  <c:v>44180</c:v>
                </c:pt>
                <c:pt idx="98">
                  <c:v>44181</c:v>
                </c:pt>
                <c:pt idx="99">
                  <c:v>44182</c:v>
                </c:pt>
                <c:pt idx="100">
                  <c:v>44183</c:v>
                </c:pt>
                <c:pt idx="101">
                  <c:v>44186</c:v>
                </c:pt>
                <c:pt idx="102">
                  <c:v>44187</c:v>
                </c:pt>
                <c:pt idx="103">
                  <c:v>44188</c:v>
                </c:pt>
                <c:pt idx="104">
                  <c:v>44189</c:v>
                </c:pt>
                <c:pt idx="105">
                  <c:v>44190</c:v>
                </c:pt>
                <c:pt idx="106">
                  <c:v>44193</c:v>
                </c:pt>
                <c:pt idx="107">
                  <c:v>44194</c:v>
                </c:pt>
                <c:pt idx="108">
                  <c:v>44195</c:v>
                </c:pt>
                <c:pt idx="109">
                  <c:v>44196</c:v>
                </c:pt>
                <c:pt idx="110">
                  <c:v>44197</c:v>
                </c:pt>
                <c:pt idx="111">
                  <c:v>44200</c:v>
                </c:pt>
                <c:pt idx="112">
                  <c:v>44201</c:v>
                </c:pt>
                <c:pt idx="113">
                  <c:v>44202</c:v>
                </c:pt>
                <c:pt idx="114">
                  <c:v>44203</c:v>
                </c:pt>
                <c:pt idx="115">
                  <c:v>44204</c:v>
                </c:pt>
                <c:pt idx="116">
                  <c:v>44207</c:v>
                </c:pt>
                <c:pt idx="117">
                  <c:v>44208</c:v>
                </c:pt>
                <c:pt idx="118">
                  <c:v>44209</c:v>
                </c:pt>
                <c:pt idx="119">
                  <c:v>44210</c:v>
                </c:pt>
                <c:pt idx="120">
                  <c:v>44211</c:v>
                </c:pt>
                <c:pt idx="121">
                  <c:v>44214</c:v>
                </c:pt>
                <c:pt idx="122">
                  <c:v>44215</c:v>
                </c:pt>
                <c:pt idx="123">
                  <c:v>44216</c:v>
                </c:pt>
                <c:pt idx="124">
                  <c:v>44217</c:v>
                </c:pt>
                <c:pt idx="125">
                  <c:v>44218</c:v>
                </c:pt>
                <c:pt idx="126">
                  <c:v>44221</c:v>
                </c:pt>
                <c:pt idx="127">
                  <c:v>44222</c:v>
                </c:pt>
                <c:pt idx="128">
                  <c:v>44223</c:v>
                </c:pt>
                <c:pt idx="129">
                  <c:v>44224</c:v>
                </c:pt>
                <c:pt idx="130">
                  <c:v>44225</c:v>
                </c:pt>
                <c:pt idx="131">
                  <c:v>44228</c:v>
                </c:pt>
                <c:pt idx="132">
                  <c:v>44229</c:v>
                </c:pt>
                <c:pt idx="133">
                  <c:v>44230</c:v>
                </c:pt>
                <c:pt idx="134">
                  <c:v>44231</c:v>
                </c:pt>
                <c:pt idx="135">
                  <c:v>44232</c:v>
                </c:pt>
                <c:pt idx="136">
                  <c:v>44235</c:v>
                </c:pt>
                <c:pt idx="137">
                  <c:v>44236</c:v>
                </c:pt>
                <c:pt idx="138">
                  <c:v>44237</c:v>
                </c:pt>
                <c:pt idx="139">
                  <c:v>44238</c:v>
                </c:pt>
                <c:pt idx="140">
                  <c:v>44239</c:v>
                </c:pt>
                <c:pt idx="141">
                  <c:v>44242</c:v>
                </c:pt>
                <c:pt idx="142">
                  <c:v>44243</c:v>
                </c:pt>
                <c:pt idx="143">
                  <c:v>44244</c:v>
                </c:pt>
                <c:pt idx="144">
                  <c:v>44245</c:v>
                </c:pt>
                <c:pt idx="145">
                  <c:v>44246</c:v>
                </c:pt>
                <c:pt idx="146">
                  <c:v>44247</c:v>
                </c:pt>
                <c:pt idx="147">
                  <c:v>44249</c:v>
                </c:pt>
                <c:pt idx="148">
                  <c:v>44250</c:v>
                </c:pt>
                <c:pt idx="149">
                  <c:v>44251</c:v>
                </c:pt>
                <c:pt idx="150">
                  <c:v>44252</c:v>
                </c:pt>
                <c:pt idx="151">
                  <c:v>44253</c:v>
                </c:pt>
                <c:pt idx="152">
                  <c:v>44256</c:v>
                </c:pt>
                <c:pt idx="153">
                  <c:v>44257</c:v>
                </c:pt>
                <c:pt idx="154">
                  <c:v>44258</c:v>
                </c:pt>
                <c:pt idx="155">
                  <c:v>44259</c:v>
                </c:pt>
                <c:pt idx="156">
                  <c:v>44260</c:v>
                </c:pt>
                <c:pt idx="157">
                  <c:v>44263</c:v>
                </c:pt>
                <c:pt idx="158">
                  <c:v>44264</c:v>
                </c:pt>
                <c:pt idx="159">
                  <c:v>44265</c:v>
                </c:pt>
                <c:pt idx="160">
                  <c:v>44266</c:v>
                </c:pt>
                <c:pt idx="161">
                  <c:v>44267</c:v>
                </c:pt>
                <c:pt idx="162">
                  <c:v>44270</c:v>
                </c:pt>
                <c:pt idx="163">
                  <c:v>44271</c:v>
                </c:pt>
                <c:pt idx="164">
                  <c:v>44272</c:v>
                </c:pt>
                <c:pt idx="165">
                  <c:v>44273</c:v>
                </c:pt>
                <c:pt idx="166">
                  <c:v>44274</c:v>
                </c:pt>
                <c:pt idx="167">
                  <c:v>44277</c:v>
                </c:pt>
                <c:pt idx="168">
                  <c:v>44278</c:v>
                </c:pt>
                <c:pt idx="169">
                  <c:v>44279</c:v>
                </c:pt>
                <c:pt idx="170">
                  <c:v>44280</c:v>
                </c:pt>
                <c:pt idx="171">
                  <c:v>44281</c:v>
                </c:pt>
                <c:pt idx="172">
                  <c:v>44284</c:v>
                </c:pt>
                <c:pt idx="173">
                  <c:v>44285</c:v>
                </c:pt>
                <c:pt idx="174">
                  <c:v>44286</c:v>
                </c:pt>
                <c:pt idx="175">
                  <c:v>44287</c:v>
                </c:pt>
                <c:pt idx="176">
                  <c:v>44288</c:v>
                </c:pt>
                <c:pt idx="177">
                  <c:v>44291</c:v>
                </c:pt>
                <c:pt idx="178">
                  <c:v>44292</c:v>
                </c:pt>
                <c:pt idx="179">
                  <c:v>44293</c:v>
                </c:pt>
                <c:pt idx="180">
                  <c:v>44294</c:v>
                </c:pt>
                <c:pt idx="181">
                  <c:v>44295</c:v>
                </c:pt>
                <c:pt idx="182">
                  <c:v>44298</c:v>
                </c:pt>
                <c:pt idx="183">
                  <c:v>44299</c:v>
                </c:pt>
                <c:pt idx="184">
                  <c:v>44300</c:v>
                </c:pt>
                <c:pt idx="185">
                  <c:v>44301</c:v>
                </c:pt>
                <c:pt idx="186">
                  <c:v>44302</c:v>
                </c:pt>
                <c:pt idx="187">
                  <c:v>44305</c:v>
                </c:pt>
                <c:pt idx="188">
                  <c:v>44306</c:v>
                </c:pt>
                <c:pt idx="189">
                  <c:v>44307</c:v>
                </c:pt>
                <c:pt idx="190">
                  <c:v>44308</c:v>
                </c:pt>
                <c:pt idx="191">
                  <c:v>44309</c:v>
                </c:pt>
                <c:pt idx="192">
                  <c:v>44311</c:v>
                </c:pt>
                <c:pt idx="193">
                  <c:v>44312</c:v>
                </c:pt>
                <c:pt idx="194">
                  <c:v>44313</c:v>
                </c:pt>
                <c:pt idx="195">
                  <c:v>44314</c:v>
                </c:pt>
                <c:pt idx="196">
                  <c:v>44315</c:v>
                </c:pt>
                <c:pt idx="197">
                  <c:v>44316</c:v>
                </c:pt>
                <c:pt idx="198">
                  <c:v>44319</c:v>
                </c:pt>
                <c:pt idx="199">
                  <c:v>44320</c:v>
                </c:pt>
                <c:pt idx="200">
                  <c:v>44321</c:v>
                </c:pt>
                <c:pt idx="201">
                  <c:v>44322</c:v>
                </c:pt>
                <c:pt idx="202">
                  <c:v>44323</c:v>
                </c:pt>
                <c:pt idx="203">
                  <c:v>44326</c:v>
                </c:pt>
                <c:pt idx="204">
                  <c:v>44327</c:v>
                </c:pt>
                <c:pt idx="205">
                  <c:v>44328</c:v>
                </c:pt>
                <c:pt idx="206">
                  <c:v>44329</c:v>
                </c:pt>
                <c:pt idx="207">
                  <c:v>44330</c:v>
                </c:pt>
                <c:pt idx="208">
                  <c:v>44333</c:v>
                </c:pt>
                <c:pt idx="209">
                  <c:v>44334</c:v>
                </c:pt>
                <c:pt idx="210">
                  <c:v>44335</c:v>
                </c:pt>
                <c:pt idx="211">
                  <c:v>44336</c:v>
                </c:pt>
                <c:pt idx="212">
                  <c:v>44337</c:v>
                </c:pt>
                <c:pt idx="213">
                  <c:v>44340</c:v>
                </c:pt>
                <c:pt idx="214">
                  <c:v>44341</c:v>
                </c:pt>
                <c:pt idx="215">
                  <c:v>44342</c:v>
                </c:pt>
                <c:pt idx="216">
                  <c:v>44343</c:v>
                </c:pt>
                <c:pt idx="217">
                  <c:v>44344</c:v>
                </c:pt>
                <c:pt idx="218">
                  <c:v>44347</c:v>
                </c:pt>
                <c:pt idx="219">
                  <c:v>44348</c:v>
                </c:pt>
                <c:pt idx="220">
                  <c:v>44349</c:v>
                </c:pt>
                <c:pt idx="221">
                  <c:v>44350</c:v>
                </c:pt>
                <c:pt idx="222">
                  <c:v>44351</c:v>
                </c:pt>
                <c:pt idx="223">
                  <c:v>44354</c:v>
                </c:pt>
                <c:pt idx="224">
                  <c:v>44355</c:v>
                </c:pt>
                <c:pt idx="225">
                  <c:v>44356</c:v>
                </c:pt>
                <c:pt idx="226">
                  <c:v>44357</c:v>
                </c:pt>
                <c:pt idx="227">
                  <c:v>44358</c:v>
                </c:pt>
                <c:pt idx="228">
                  <c:v>44361</c:v>
                </c:pt>
                <c:pt idx="229">
                  <c:v>44362</c:v>
                </c:pt>
                <c:pt idx="230">
                  <c:v>44363</c:v>
                </c:pt>
                <c:pt idx="231">
                  <c:v>44364</c:v>
                </c:pt>
                <c:pt idx="232">
                  <c:v>44365</c:v>
                </c:pt>
                <c:pt idx="233">
                  <c:v>44368</c:v>
                </c:pt>
                <c:pt idx="234">
                  <c:v>44369</c:v>
                </c:pt>
                <c:pt idx="235">
                  <c:v>44370</c:v>
                </c:pt>
                <c:pt idx="236">
                  <c:v>44371</c:v>
                </c:pt>
                <c:pt idx="237">
                  <c:v>44372</c:v>
                </c:pt>
                <c:pt idx="238">
                  <c:v>44375</c:v>
                </c:pt>
                <c:pt idx="239">
                  <c:v>44376</c:v>
                </c:pt>
                <c:pt idx="240">
                  <c:v>44377</c:v>
                </c:pt>
                <c:pt idx="241">
                  <c:v>44378</c:v>
                </c:pt>
                <c:pt idx="242">
                  <c:v>44379</c:v>
                </c:pt>
                <c:pt idx="243">
                  <c:v>44382</c:v>
                </c:pt>
                <c:pt idx="244">
                  <c:v>44383</c:v>
                </c:pt>
                <c:pt idx="245">
                  <c:v>44384</c:v>
                </c:pt>
                <c:pt idx="246">
                  <c:v>44385</c:v>
                </c:pt>
                <c:pt idx="247">
                  <c:v>44386</c:v>
                </c:pt>
                <c:pt idx="248">
                  <c:v>44389</c:v>
                </c:pt>
                <c:pt idx="249">
                  <c:v>44390</c:v>
                </c:pt>
                <c:pt idx="250">
                  <c:v>44391</c:v>
                </c:pt>
                <c:pt idx="251">
                  <c:v>44392</c:v>
                </c:pt>
                <c:pt idx="252">
                  <c:v>44393</c:v>
                </c:pt>
                <c:pt idx="253">
                  <c:v>44396</c:v>
                </c:pt>
                <c:pt idx="254">
                  <c:v>44397</c:v>
                </c:pt>
                <c:pt idx="255">
                  <c:v>44398</c:v>
                </c:pt>
                <c:pt idx="256">
                  <c:v>44399</c:v>
                </c:pt>
                <c:pt idx="257">
                  <c:v>44400</c:v>
                </c:pt>
                <c:pt idx="258">
                  <c:v>44403</c:v>
                </c:pt>
                <c:pt idx="259">
                  <c:v>44404</c:v>
                </c:pt>
                <c:pt idx="260">
                  <c:v>44405</c:v>
                </c:pt>
                <c:pt idx="261">
                  <c:v>44406</c:v>
                </c:pt>
                <c:pt idx="262">
                  <c:v>44407</c:v>
                </c:pt>
                <c:pt idx="263">
                  <c:v>44410</c:v>
                </c:pt>
                <c:pt idx="264">
                  <c:v>44411</c:v>
                </c:pt>
                <c:pt idx="265">
                  <c:v>44412</c:v>
                </c:pt>
                <c:pt idx="266">
                  <c:v>44413</c:v>
                </c:pt>
                <c:pt idx="267">
                  <c:v>44414</c:v>
                </c:pt>
                <c:pt idx="268">
                  <c:v>44417</c:v>
                </c:pt>
                <c:pt idx="269">
                  <c:v>44418</c:v>
                </c:pt>
                <c:pt idx="270">
                  <c:v>44419</c:v>
                </c:pt>
                <c:pt idx="271">
                  <c:v>44420</c:v>
                </c:pt>
                <c:pt idx="272">
                  <c:v>44421</c:v>
                </c:pt>
                <c:pt idx="273">
                  <c:v>44424</c:v>
                </c:pt>
                <c:pt idx="274">
                  <c:v>44425</c:v>
                </c:pt>
                <c:pt idx="275">
                  <c:v>44426</c:v>
                </c:pt>
                <c:pt idx="276">
                  <c:v>44427</c:v>
                </c:pt>
                <c:pt idx="277">
                  <c:v>44428</c:v>
                </c:pt>
                <c:pt idx="278">
                  <c:v>44431</c:v>
                </c:pt>
                <c:pt idx="279">
                  <c:v>44432</c:v>
                </c:pt>
                <c:pt idx="280">
                  <c:v>44433</c:v>
                </c:pt>
                <c:pt idx="281">
                  <c:v>44434</c:v>
                </c:pt>
                <c:pt idx="282">
                  <c:v>44435</c:v>
                </c:pt>
                <c:pt idx="283">
                  <c:v>44438</c:v>
                </c:pt>
                <c:pt idx="284">
                  <c:v>44439</c:v>
                </c:pt>
              </c:numCache>
            </c:numRef>
          </c:cat>
          <c:val>
            <c:numRef>
              <c:f>'[2021 09 GMR NEW.XLSX]Currency Chart'!$AA$6:$AA$290</c:f>
              <c:numCache>
                <c:formatCode>0</c:formatCode>
                <c:ptCount val="285"/>
                <c:pt idx="0" formatCode="General">
                  <c:v>100</c:v>
                </c:pt>
                <c:pt idx="1">
                  <c:v>99.448661714580595</c:v>
                </c:pt>
                <c:pt idx="2">
                  <c:v>99.718898953000448</c:v>
                </c:pt>
                <c:pt idx="3">
                  <c:v>100.7713304091582</c:v>
                </c:pt>
                <c:pt idx="4">
                  <c:v>101.25205393880961</c:v>
                </c:pt>
                <c:pt idx="5">
                  <c:v>100.03259142573908</c:v>
                </c:pt>
                <c:pt idx="6">
                  <c:v>99.754885318920699</c:v>
                </c:pt>
                <c:pt idx="7">
                  <c:v>100.47393364928912</c:v>
                </c:pt>
                <c:pt idx="8">
                  <c:v>100.31844538899227</c:v>
                </c:pt>
                <c:pt idx="9">
                  <c:v>100.68441994052066</c:v>
                </c:pt>
                <c:pt idx="10">
                  <c:v>100.6918888089192</c:v>
                </c:pt>
                <c:pt idx="11">
                  <c:v>101.34575428780944</c:v>
                </c:pt>
                <c:pt idx="12">
                  <c:v>101.80814514048262</c:v>
                </c:pt>
                <c:pt idx="13">
                  <c:v>101.03749371936065</c:v>
                </c:pt>
                <c:pt idx="14">
                  <c:v>99.736552641942453</c:v>
                </c:pt>
                <c:pt idx="15">
                  <c:v>100.64503863441927</c:v>
                </c:pt>
                <c:pt idx="16">
                  <c:v>101.8448104944391</c:v>
                </c:pt>
                <c:pt idx="17">
                  <c:v>102.09875201998943</c:v>
                </c:pt>
                <c:pt idx="18">
                  <c:v>102.24880837599645</c:v>
                </c:pt>
                <c:pt idx="19">
                  <c:v>102.70169339616238</c:v>
                </c:pt>
                <c:pt idx="20">
                  <c:v>103.04797729464011</c:v>
                </c:pt>
                <c:pt idx="21">
                  <c:v>101.28125042436757</c:v>
                </c:pt>
                <c:pt idx="22">
                  <c:v>102.73564279797394</c:v>
                </c:pt>
                <c:pt idx="23">
                  <c:v>102.92847540026349</c:v>
                </c:pt>
                <c:pt idx="24">
                  <c:v>102.57132769320609</c:v>
                </c:pt>
                <c:pt idx="25">
                  <c:v>101.46457719414987</c:v>
                </c:pt>
                <c:pt idx="26">
                  <c:v>101.46457719414987</c:v>
                </c:pt>
                <c:pt idx="27">
                  <c:v>100.48479745786884</c:v>
                </c:pt>
                <c:pt idx="28">
                  <c:v>99.989815179456585</c:v>
                </c:pt>
                <c:pt idx="29">
                  <c:v>100.04209725824636</c:v>
                </c:pt>
                <c:pt idx="30">
                  <c:v>100.86570974619431</c:v>
                </c:pt>
                <c:pt idx="31">
                  <c:v>102.46676353562653</c:v>
                </c:pt>
                <c:pt idx="32">
                  <c:v>102.94952402938664</c:v>
                </c:pt>
                <c:pt idx="33">
                  <c:v>103.30259780822665</c:v>
                </c:pt>
                <c:pt idx="34">
                  <c:v>102.55706894444522</c:v>
                </c:pt>
                <c:pt idx="35">
                  <c:v>102.70916226456093</c:v>
                </c:pt>
                <c:pt idx="36">
                  <c:v>100.97774277217238</c:v>
                </c:pt>
                <c:pt idx="37">
                  <c:v>100.59139857955705</c:v>
                </c:pt>
                <c:pt idx="38">
                  <c:v>100.22746099213735</c:v>
                </c:pt>
                <c:pt idx="39">
                  <c:v>98.516411140835729</c:v>
                </c:pt>
                <c:pt idx="40">
                  <c:v>99.305395238935915</c:v>
                </c:pt>
                <c:pt idx="41">
                  <c:v>99.92191637583349</c:v>
                </c:pt>
                <c:pt idx="42">
                  <c:v>99.807167397710472</c:v>
                </c:pt>
                <c:pt idx="43">
                  <c:v>100.6430016703106</c:v>
                </c:pt>
                <c:pt idx="44">
                  <c:v>101.53043903366425</c:v>
                </c:pt>
                <c:pt idx="45">
                  <c:v>101.44624451717164</c:v>
                </c:pt>
                <c:pt idx="46">
                  <c:v>102.59101834625677</c:v>
                </c:pt>
                <c:pt idx="47">
                  <c:v>103.4356794633279</c:v>
                </c:pt>
                <c:pt idx="48">
                  <c:v>103.90350222029092</c:v>
                </c:pt>
                <c:pt idx="49">
                  <c:v>105.13858145819475</c:v>
                </c:pt>
                <c:pt idx="50">
                  <c:v>105.65732831787508</c:v>
                </c:pt>
                <c:pt idx="51">
                  <c:v>106.51896413585199</c:v>
                </c:pt>
                <c:pt idx="52">
                  <c:v>106.31798367712767</c:v>
                </c:pt>
                <c:pt idx="53">
                  <c:v>106.31526772498275</c:v>
                </c:pt>
                <c:pt idx="54">
                  <c:v>104.900935645514</c:v>
                </c:pt>
                <c:pt idx="55">
                  <c:v>104.93013213107193</c:v>
                </c:pt>
                <c:pt idx="56">
                  <c:v>105.03062236043408</c:v>
                </c:pt>
                <c:pt idx="57">
                  <c:v>105.88343133393998</c:v>
                </c:pt>
                <c:pt idx="58">
                  <c:v>105.68177188717944</c:v>
                </c:pt>
                <c:pt idx="59">
                  <c:v>105.74152283436774</c:v>
                </c:pt>
                <c:pt idx="60">
                  <c:v>105.25129347220911</c:v>
                </c:pt>
                <c:pt idx="61">
                  <c:v>104.61032876600724</c:v>
                </c:pt>
                <c:pt idx="62">
                  <c:v>104.65649995247094</c:v>
                </c:pt>
                <c:pt idx="63">
                  <c:v>103.90146525618229</c:v>
                </c:pt>
                <c:pt idx="64">
                  <c:v>103.70591670174781</c:v>
                </c:pt>
                <c:pt idx="65">
                  <c:v>102.48984912885845</c:v>
                </c:pt>
                <c:pt idx="66">
                  <c:v>102.54348918372069</c:v>
                </c:pt>
                <c:pt idx="67">
                  <c:v>103.68215212047976</c:v>
                </c:pt>
                <c:pt idx="68">
                  <c:v>104.87513410013727</c:v>
                </c:pt>
                <c:pt idx="69">
                  <c:v>107.71398307961826</c:v>
                </c:pt>
                <c:pt idx="70">
                  <c:v>108.09557435597996</c:v>
                </c:pt>
                <c:pt idx="71">
                  <c:v>110.03951710370877</c:v>
                </c:pt>
                <c:pt idx="72">
                  <c:v>109.15615366857251</c:v>
                </c:pt>
                <c:pt idx="73">
                  <c:v>109.00406034845682</c:v>
                </c:pt>
                <c:pt idx="74">
                  <c:v>109.1894240823478</c:v>
                </c:pt>
                <c:pt idx="75">
                  <c:v>109.55675660994866</c:v>
                </c:pt>
                <c:pt idx="76">
                  <c:v>110.93102839527981</c:v>
                </c:pt>
                <c:pt idx="77">
                  <c:v>110.98942136639567</c:v>
                </c:pt>
                <c:pt idx="78">
                  <c:v>111.30311383913428</c:v>
                </c:pt>
                <c:pt idx="79">
                  <c:v>110.67097597740342</c:v>
                </c:pt>
                <c:pt idx="80">
                  <c:v>111.24607884409092</c:v>
                </c:pt>
                <c:pt idx="81">
                  <c:v>111.73019731392347</c:v>
                </c:pt>
                <c:pt idx="82">
                  <c:v>111.58828881435123</c:v>
                </c:pt>
                <c:pt idx="83">
                  <c:v>110.03069025923776</c:v>
                </c:pt>
                <c:pt idx="84">
                  <c:v>110.89232607721465</c:v>
                </c:pt>
                <c:pt idx="85">
                  <c:v>110.68727169027295</c:v>
                </c:pt>
                <c:pt idx="86">
                  <c:v>109.0040603484568</c:v>
                </c:pt>
                <c:pt idx="87">
                  <c:v>110.80541560857712</c:v>
                </c:pt>
                <c:pt idx="88">
                  <c:v>111.40020912831531</c:v>
                </c:pt>
                <c:pt idx="89">
                  <c:v>112.1009247817055</c:v>
                </c:pt>
                <c:pt idx="90">
                  <c:v>112.95780768342877</c:v>
                </c:pt>
                <c:pt idx="91">
                  <c:v>113.11804885997924</c:v>
                </c:pt>
                <c:pt idx="92">
                  <c:v>113.85678784339835</c:v>
                </c:pt>
                <c:pt idx="93">
                  <c:v>114.05029943372415</c:v>
                </c:pt>
                <c:pt idx="94">
                  <c:v>113.949809204362</c:v>
                </c:pt>
                <c:pt idx="95">
                  <c:v>114.002770271188</c:v>
                </c:pt>
                <c:pt idx="96">
                  <c:v>114.06387919444879</c:v>
                </c:pt>
                <c:pt idx="97">
                  <c:v>113.92943956327508</c:v>
                </c:pt>
                <c:pt idx="98">
                  <c:v>115.45240972854077</c:v>
                </c:pt>
                <c:pt idx="99">
                  <c:v>115.89103599994587</c:v>
                </c:pt>
                <c:pt idx="100">
                  <c:v>115.81023642363442</c:v>
                </c:pt>
                <c:pt idx="101">
                  <c:v>114.67700539116521</c:v>
                </c:pt>
                <c:pt idx="102">
                  <c:v>115.0782873205776</c:v>
                </c:pt>
                <c:pt idx="103">
                  <c:v>115.77900297396779</c:v>
                </c:pt>
                <c:pt idx="104">
                  <c:v>116.01596979861235</c:v>
                </c:pt>
                <c:pt idx="105">
                  <c:v>116.01596979861235</c:v>
                </c:pt>
                <c:pt idx="106">
                  <c:v>116.26380043183659</c:v>
                </c:pt>
                <c:pt idx="107">
                  <c:v>116.83958228656032</c:v>
                </c:pt>
                <c:pt idx="108">
                  <c:v>118.26681513871745</c:v>
                </c:pt>
                <c:pt idx="109">
                  <c:v>118.73735384782539</c:v>
                </c:pt>
                <c:pt idx="110">
                  <c:v>118.971604720325</c:v>
                </c:pt>
                <c:pt idx="111">
                  <c:v>120.32211192438807</c:v>
                </c:pt>
                <c:pt idx="112">
                  <c:v>121.71267942258876</c:v>
                </c:pt>
                <c:pt idx="113">
                  <c:v>122.11871426825479</c:v>
                </c:pt>
                <c:pt idx="114">
                  <c:v>121.57959776748753</c:v>
                </c:pt>
                <c:pt idx="115">
                  <c:v>123.88815709067225</c:v>
                </c:pt>
                <c:pt idx="116">
                  <c:v>124.57461399530159</c:v>
                </c:pt>
                <c:pt idx="117">
                  <c:v>124.96639009220675</c:v>
                </c:pt>
                <c:pt idx="118">
                  <c:v>125.55778867176379</c:v>
                </c:pt>
                <c:pt idx="119">
                  <c:v>125.41859612433647</c:v>
                </c:pt>
                <c:pt idx="120">
                  <c:v>124.1916647428674</c:v>
                </c:pt>
                <c:pt idx="121">
                  <c:v>124.29690788848316</c:v>
                </c:pt>
                <c:pt idx="122">
                  <c:v>125.69154931490124</c:v>
                </c:pt>
                <c:pt idx="123">
                  <c:v>126.67676095547213</c:v>
                </c:pt>
                <c:pt idx="124">
                  <c:v>127.11131329865984</c:v>
                </c:pt>
                <c:pt idx="125">
                  <c:v>127.16902728173946</c:v>
                </c:pt>
                <c:pt idx="126">
                  <c:v>128.34028164423759</c:v>
                </c:pt>
                <c:pt idx="127">
                  <c:v>126.86076671329067</c:v>
                </c:pt>
                <c:pt idx="128">
                  <c:v>126.28973777482057</c:v>
                </c:pt>
                <c:pt idx="129">
                  <c:v>123.65594318228129</c:v>
                </c:pt>
                <c:pt idx="130">
                  <c:v>122.34549627235585</c:v>
                </c:pt>
                <c:pt idx="131">
                  <c:v>124.064014992056</c:v>
                </c:pt>
                <c:pt idx="132">
                  <c:v>126.16276701204539</c:v>
                </c:pt>
                <c:pt idx="133">
                  <c:v>126.80033677806613</c:v>
                </c:pt>
                <c:pt idx="134">
                  <c:v>126.63262673311711</c:v>
                </c:pt>
                <c:pt idx="135">
                  <c:v>127.11946115509458</c:v>
                </c:pt>
                <c:pt idx="136">
                  <c:v>128.02726815953517</c:v>
                </c:pt>
                <c:pt idx="137">
                  <c:v>128.73545268132389</c:v>
                </c:pt>
                <c:pt idx="138">
                  <c:v>129.72813319029331</c:v>
                </c:pt>
                <c:pt idx="139">
                  <c:v>129.92368174472779</c:v>
                </c:pt>
                <c:pt idx="140">
                  <c:v>129.94676733795964</c:v>
                </c:pt>
                <c:pt idx="141">
                  <c:v>130.17490731813319</c:v>
                </c:pt>
                <c:pt idx="142">
                  <c:v>129.90331210364087</c:v>
                </c:pt>
                <c:pt idx="143">
                  <c:v>130.16743844973465</c:v>
                </c:pt>
                <c:pt idx="144">
                  <c:v>128.79859856869336</c:v>
                </c:pt>
                <c:pt idx="145">
                  <c:v>129.16253615611308</c:v>
                </c:pt>
                <c:pt idx="146">
                  <c:v>129.16253615611308</c:v>
                </c:pt>
                <c:pt idx="147">
                  <c:v>126.229307839596</c:v>
                </c:pt>
                <c:pt idx="148">
                  <c:v>126.22523391137862</c:v>
                </c:pt>
                <c:pt idx="149">
                  <c:v>124.45035918467131</c:v>
                </c:pt>
                <c:pt idx="150">
                  <c:v>124.47751870612053</c:v>
                </c:pt>
                <c:pt idx="151">
                  <c:v>120.59031219869919</c:v>
                </c:pt>
                <c:pt idx="152">
                  <c:v>122.09562867502288</c:v>
                </c:pt>
                <c:pt idx="153">
                  <c:v>122.44530751368173</c:v>
                </c:pt>
                <c:pt idx="154">
                  <c:v>124.33628919458451</c:v>
                </c:pt>
                <c:pt idx="155">
                  <c:v>121.58367169570484</c:v>
                </c:pt>
                <c:pt idx="156">
                  <c:v>120.94406496557542</c:v>
                </c:pt>
                <c:pt idx="157">
                  <c:v>118.60698814486901</c:v>
                </c:pt>
                <c:pt idx="158">
                  <c:v>119.01234400249881</c:v>
                </c:pt>
                <c:pt idx="159">
                  <c:v>120.74851641114098</c:v>
                </c:pt>
                <c:pt idx="160">
                  <c:v>122.74609921373199</c:v>
                </c:pt>
                <c:pt idx="161">
                  <c:v>122.10173956734896</c:v>
                </c:pt>
                <c:pt idx="162">
                  <c:v>121.2034383954156</c:v>
                </c:pt>
                <c:pt idx="163">
                  <c:v>122.37469275791375</c:v>
                </c:pt>
                <c:pt idx="164">
                  <c:v>122.00328630209549</c:v>
                </c:pt>
                <c:pt idx="165">
                  <c:v>122.19204497616765</c:v>
                </c:pt>
                <c:pt idx="166">
                  <c:v>121.62373198984248</c:v>
                </c:pt>
                <c:pt idx="167">
                  <c:v>121.74323388421911</c:v>
                </c:pt>
                <c:pt idx="168">
                  <c:v>121.225166012575</c:v>
                </c:pt>
                <c:pt idx="169">
                  <c:v>119.78027947147585</c:v>
                </c:pt>
                <c:pt idx="170">
                  <c:v>118.76858729749196</c:v>
                </c:pt>
                <c:pt idx="171">
                  <c:v>120.58216434226442</c:v>
                </c:pt>
                <c:pt idx="172">
                  <c:v>120.46198345985157</c:v>
                </c:pt>
                <c:pt idx="173">
                  <c:v>121.91162291720433</c:v>
                </c:pt>
                <c:pt idx="174">
                  <c:v>121.6244109778787</c:v>
                </c:pt>
                <c:pt idx="175">
                  <c:v>122.93893181602152</c:v>
                </c:pt>
                <c:pt idx="176">
                  <c:v>123.35107755401363</c:v>
                </c:pt>
                <c:pt idx="177">
                  <c:v>123.29268458289778</c:v>
                </c:pt>
                <c:pt idx="178">
                  <c:v>123.71569412946957</c:v>
                </c:pt>
                <c:pt idx="179">
                  <c:v>122.88121783294191</c:v>
                </c:pt>
                <c:pt idx="180">
                  <c:v>124.02395469791836</c:v>
                </c:pt>
                <c:pt idx="181">
                  <c:v>122.83912057469561</c:v>
                </c:pt>
                <c:pt idx="182">
                  <c:v>121.06967775227814</c:v>
                </c:pt>
                <c:pt idx="183">
                  <c:v>120.46402042396026</c:v>
                </c:pt>
                <c:pt idx="184">
                  <c:v>121.5585491383643</c:v>
                </c:pt>
                <c:pt idx="185">
                  <c:v>122.27148657640664</c:v>
                </c:pt>
                <c:pt idx="186">
                  <c:v>123.48008528089746</c:v>
                </c:pt>
                <c:pt idx="187">
                  <c:v>123.30626434362237</c:v>
                </c:pt>
                <c:pt idx="188">
                  <c:v>123.31033827183975</c:v>
                </c:pt>
                <c:pt idx="189">
                  <c:v>122.34278032021086</c:v>
                </c:pt>
                <c:pt idx="190">
                  <c:v>122.52610708999318</c:v>
                </c:pt>
                <c:pt idx="191">
                  <c:v>123.52897241950608</c:v>
                </c:pt>
                <c:pt idx="192">
                  <c:v>123.52897241950608</c:v>
                </c:pt>
                <c:pt idx="193">
                  <c:v>124.19098575483112</c:v>
                </c:pt>
                <c:pt idx="194">
                  <c:v>124.45782805306982</c:v>
                </c:pt>
                <c:pt idx="195">
                  <c:v>124.93719360664875</c:v>
                </c:pt>
                <c:pt idx="196">
                  <c:v>124.95213134344584</c:v>
                </c:pt>
                <c:pt idx="197">
                  <c:v>123.90309482746926</c:v>
                </c:pt>
                <c:pt idx="198">
                  <c:v>123.46446855606415</c:v>
                </c:pt>
                <c:pt idx="199">
                  <c:v>123.32731297274553</c:v>
                </c:pt>
                <c:pt idx="200">
                  <c:v>122.7773326633986</c:v>
                </c:pt>
                <c:pt idx="201">
                  <c:v>123.27299392984709</c:v>
                </c:pt>
                <c:pt idx="202">
                  <c:v>123.50520783823804</c:v>
                </c:pt>
                <c:pt idx="203">
                  <c:v>123.29607952307896</c:v>
                </c:pt>
                <c:pt idx="204">
                  <c:v>121.96526297206657</c:v>
                </c:pt>
                <c:pt idx="205">
                  <c:v>121.65768139165402</c:v>
                </c:pt>
                <c:pt idx="206">
                  <c:v>120.87005526962631</c:v>
                </c:pt>
                <c:pt idx="207">
                  <c:v>122.05353141677659</c:v>
                </c:pt>
                <c:pt idx="208">
                  <c:v>122.83979956273187</c:v>
                </c:pt>
                <c:pt idx="209">
                  <c:v>124.58208286370011</c:v>
                </c:pt>
                <c:pt idx="210">
                  <c:v>124.12308695120809</c:v>
                </c:pt>
                <c:pt idx="211">
                  <c:v>123.8806882222737</c:v>
                </c:pt>
                <c:pt idx="212">
                  <c:v>124.44560626841772</c:v>
                </c:pt>
                <c:pt idx="213">
                  <c:v>124.79256915493166</c:v>
                </c:pt>
                <c:pt idx="214">
                  <c:v>126.93477640923984</c:v>
                </c:pt>
                <c:pt idx="215">
                  <c:v>127.61851736172426</c:v>
                </c:pt>
                <c:pt idx="216">
                  <c:v>128.30904819457101</c:v>
                </c:pt>
                <c:pt idx="217">
                  <c:v>128.12096850853507</c:v>
                </c:pt>
                <c:pt idx="218">
                  <c:v>129.326851260881</c:v>
                </c:pt>
                <c:pt idx="219">
                  <c:v>129.2059913904319</c:v>
                </c:pt>
                <c:pt idx="220">
                  <c:v>128.77008107117172</c:v>
                </c:pt>
                <c:pt idx="221">
                  <c:v>128.70218226754864</c:v>
                </c:pt>
                <c:pt idx="222">
                  <c:v>128.33349176387532</c:v>
                </c:pt>
                <c:pt idx="223">
                  <c:v>128.77551297546157</c:v>
                </c:pt>
                <c:pt idx="224">
                  <c:v>127.982454949144</c:v>
                </c:pt>
                <c:pt idx="225">
                  <c:v>127.8615950786949</c:v>
                </c:pt>
                <c:pt idx="226">
                  <c:v>128.73748964543265</c:v>
                </c:pt>
                <c:pt idx="227">
                  <c:v>128.94390200844683</c:v>
                </c:pt>
                <c:pt idx="228">
                  <c:v>129.17136300058417</c:v>
                </c:pt>
                <c:pt idx="229">
                  <c:v>129.035565393338</c:v>
                </c:pt>
                <c:pt idx="230">
                  <c:v>128.04016893222365</c:v>
                </c:pt>
                <c:pt idx="231">
                  <c:v>127.35235405152183</c:v>
                </c:pt>
                <c:pt idx="232">
                  <c:v>127.27834435557268</c:v>
                </c:pt>
                <c:pt idx="233">
                  <c:v>126.24899849264679</c:v>
                </c:pt>
                <c:pt idx="234">
                  <c:v>126.20350629421934</c:v>
                </c:pt>
                <c:pt idx="235">
                  <c:v>126.99113241624705</c:v>
                </c:pt>
                <c:pt idx="236">
                  <c:v>127.93424679857164</c:v>
                </c:pt>
                <c:pt idx="237">
                  <c:v>128.57589049280975</c:v>
                </c:pt>
                <c:pt idx="238">
                  <c:v>128.66959084180959</c:v>
                </c:pt>
                <c:pt idx="239">
                  <c:v>128.45638859843314</c:v>
                </c:pt>
                <c:pt idx="240">
                  <c:v>128.16985564714375</c:v>
                </c:pt>
                <c:pt idx="241">
                  <c:v>127.89011257621665</c:v>
                </c:pt>
                <c:pt idx="242">
                  <c:v>126.69237768030553</c:v>
                </c:pt>
                <c:pt idx="243">
                  <c:v>127.25729572644956</c:v>
                </c:pt>
                <c:pt idx="244">
                  <c:v>125.91289941471257</c:v>
                </c:pt>
                <c:pt idx="245">
                  <c:v>126.6299107809723</c:v>
                </c:pt>
                <c:pt idx="246">
                  <c:v>125.03768383601106</c:v>
                </c:pt>
                <c:pt idx="247">
                  <c:v>124.89170140822144</c:v>
                </c:pt>
                <c:pt idx="248">
                  <c:v>125.65692092505356</c:v>
                </c:pt>
                <c:pt idx="249">
                  <c:v>126.2089381985092</c:v>
                </c:pt>
                <c:pt idx="250">
                  <c:v>126.60886215184917</c:v>
                </c:pt>
                <c:pt idx="251">
                  <c:v>127.6327761104852</c:v>
                </c:pt>
                <c:pt idx="252">
                  <c:v>126.50090305408844</c:v>
                </c:pt>
                <c:pt idx="253">
                  <c:v>125.29977321799616</c:v>
                </c:pt>
                <c:pt idx="254">
                  <c:v>125.36291910536562</c:v>
                </c:pt>
                <c:pt idx="255">
                  <c:v>125.66982169774194</c:v>
                </c:pt>
                <c:pt idx="256">
                  <c:v>126.31621830823366</c:v>
                </c:pt>
                <c:pt idx="257">
                  <c:v>125.27125572047446</c:v>
                </c:pt>
                <c:pt idx="258">
                  <c:v>124.20592349162831</c:v>
                </c:pt>
                <c:pt idx="259">
                  <c:v>122.35364412879068</c:v>
                </c:pt>
                <c:pt idx="260">
                  <c:v>123.43051915425272</c:v>
                </c:pt>
                <c:pt idx="261">
                  <c:v>124.85028313801133</c:v>
                </c:pt>
                <c:pt idx="262">
                  <c:v>123.25194530072402</c:v>
                </c:pt>
                <c:pt idx="263">
                  <c:v>125.02614103939509</c:v>
                </c:pt>
                <c:pt idx="264">
                  <c:v>126.30195955947279</c:v>
                </c:pt>
                <c:pt idx="265">
                  <c:v>127.03594562663828</c:v>
                </c:pt>
                <c:pt idx="266">
                  <c:v>126.93885033745728</c:v>
                </c:pt>
                <c:pt idx="267">
                  <c:v>125.67117967381436</c:v>
                </c:pt>
                <c:pt idx="268">
                  <c:v>125.60803378644492</c:v>
                </c:pt>
                <c:pt idx="269">
                  <c:v>126.28158991838586</c:v>
                </c:pt>
                <c:pt idx="270">
                  <c:v>125.93326905579946</c:v>
                </c:pt>
                <c:pt idx="271">
                  <c:v>125.85179049145175</c:v>
                </c:pt>
                <c:pt idx="272">
                  <c:v>125.9237632232922</c:v>
                </c:pt>
                <c:pt idx="273">
                  <c:v>125.87012316842997</c:v>
                </c:pt>
                <c:pt idx="274">
                  <c:v>125.64673610451003</c:v>
                </c:pt>
                <c:pt idx="275">
                  <c:v>125.75130026208956</c:v>
                </c:pt>
                <c:pt idx="276">
                  <c:v>124.1740110539254</c:v>
                </c:pt>
                <c:pt idx="277">
                  <c:v>123.00683061964465</c:v>
                </c:pt>
                <c:pt idx="278">
                  <c:v>124.5114681079321</c:v>
                </c:pt>
                <c:pt idx="279">
                  <c:v>125.47766808348855</c:v>
                </c:pt>
                <c:pt idx="280">
                  <c:v>125.98011923029934</c:v>
                </c:pt>
                <c:pt idx="281">
                  <c:v>124.6214641698015</c:v>
                </c:pt>
                <c:pt idx="282">
                  <c:v>125.26446584011207</c:v>
                </c:pt>
                <c:pt idx="283">
                  <c:v>126.43979413082761</c:v>
                </c:pt>
                <c:pt idx="284">
                  <c:v>127.6517877754996</c:v>
                </c:pt>
              </c:numCache>
            </c:numRef>
          </c:val>
          <c:smooth val="0"/>
          <c:extLst>
            <c:ext xmlns:c16="http://schemas.microsoft.com/office/drawing/2014/chart" uri="{C3380CC4-5D6E-409C-BE32-E72D297353CC}">
              <c16:uniqueId val="{00000002-A0A6-4952-B73D-3412C30D1F85}"/>
            </c:ext>
          </c:extLst>
        </c:ser>
        <c:dLbls>
          <c:showLegendKey val="0"/>
          <c:showVal val="0"/>
          <c:showCatName val="0"/>
          <c:showSerName val="0"/>
          <c:showPercent val="0"/>
          <c:showBubbleSize val="0"/>
        </c:dLbls>
        <c:smooth val="0"/>
        <c:axId val="601505112"/>
        <c:axId val="601504328"/>
        <c:extLst>
          <c:ext xmlns:c15="http://schemas.microsoft.com/office/drawing/2012/chart" uri="{02D57815-91ED-43cb-92C2-25804820EDAC}">
            <c15:filteredLineSeries>
              <c15:ser>
                <c:idx val="0"/>
                <c:order val="0"/>
                <c:tx>
                  <c:strRef>
                    <c:extLst>
                      <c:ext uri="{02D57815-91ED-43cb-92C2-25804820EDAC}">
                        <c15:formulaRef>
                          <c15:sqref>'[2021 09 GMR NEW.XLSX]Currency Chart'!$P$5</c15:sqref>
                        </c15:formulaRef>
                      </c:ext>
                    </c:extLst>
                    <c:strCache>
                      <c:ptCount val="1"/>
                      <c:pt idx="0">
                        <c:v>Real</c:v>
                      </c:pt>
                    </c:strCache>
                  </c:strRef>
                </c:tx>
                <c:spPr>
                  <a:ln w="28575" cap="rnd">
                    <a:solidFill>
                      <a:schemeClr val="accent1"/>
                    </a:solidFill>
                    <a:round/>
                  </a:ln>
                  <a:effectLst/>
                </c:spPr>
                <c:marker>
                  <c:symbol val="none"/>
                </c:marker>
                <c:cat>
                  <c:numRef>
                    <c:extLst>
                      <c:ext uri="{02D57815-91ED-43cb-92C2-25804820EDAC}">
                        <c15:formulaRef>
                          <c15:sqref>'[2021 09 GMR NEW.XLSX]Currency Chart'!$O$6:$O$290</c15:sqref>
                        </c15:formulaRef>
                      </c:ext>
                    </c:extLst>
                    <c:numCache>
                      <c:formatCode>m/d/yyyy</c:formatCode>
                      <c:ptCount val="285"/>
                      <c:pt idx="0">
                        <c:v>44043</c:v>
                      </c:pt>
                      <c:pt idx="1">
                        <c:v>44046</c:v>
                      </c:pt>
                      <c:pt idx="2">
                        <c:v>44047</c:v>
                      </c:pt>
                      <c:pt idx="3">
                        <c:v>44048</c:v>
                      </c:pt>
                      <c:pt idx="4">
                        <c:v>44049</c:v>
                      </c:pt>
                      <c:pt idx="5">
                        <c:v>44050</c:v>
                      </c:pt>
                      <c:pt idx="6">
                        <c:v>44053</c:v>
                      </c:pt>
                      <c:pt idx="7">
                        <c:v>44054</c:v>
                      </c:pt>
                      <c:pt idx="8">
                        <c:v>44055</c:v>
                      </c:pt>
                      <c:pt idx="9">
                        <c:v>44056</c:v>
                      </c:pt>
                      <c:pt idx="10">
                        <c:v>44057</c:v>
                      </c:pt>
                      <c:pt idx="11">
                        <c:v>44060</c:v>
                      </c:pt>
                      <c:pt idx="12">
                        <c:v>44061</c:v>
                      </c:pt>
                      <c:pt idx="13">
                        <c:v>44062</c:v>
                      </c:pt>
                      <c:pt idx="14">
                        <c:v>44063</c:v>
                      </c:pt>
                      <c:pt idx="15">
                        <c:v>44064</c:v>
                      </c:pt>
                      <c:pt idx="16">
                        <c:v>44067</c:v>
                      </c:pt>
                      <c:pt idx="17">
                        <c:v>44068</c:v>
                      </c:pt>
                      <c:pt idx="18">
                        <c:v>44069</c:v>
                      </c:pt>
                      <c:pt idx="19">
                        <c:v>44070</c:v>
                      </c:pt>
                      <c:pt idx="20">
                        <c:v>44071</c:v>
                      </c:pt>
                      <c:pt idx="21">
                        <c:v>44074</c:v>
                      </c:pt>
                      <c:pt idx="22">
                        <c:v>44075</c:v>
                      </c:pt>
                      <c:pt idx="23">
                        <c:v>44076</c:v>
                      </c:pt>
                      <c:pt idx="24">
                        <c:v>44077</c:v>
                      </c:pt>
                      <c:pt idx="25">
                        <c:v>44078</c:v>
                      </c:pt>
                      <c:pt idx="26">
                        <c:v>44081</c:v>
                      </c:pt>
                      <c:pt idx="27">
                        <c:v>44082</c:v>
                      </c:pt>
                      <c:pt idx="28">
                        <c:v>44083</c:v>
                      </c:pt>
                      <c:pt idx="29">
                        <c:v>44084</c:v>
                      </c:pt>
                      <c:pt idx="30">
                        <c:v>44085</c:v>
                      </c:pt>
                      <c:pt idx="31">
                        <c:v>44088</c:v>
                      </c:pt>
                      <c:pt idx="32">
                        <c:v>44089</c:v>
                      </c:pt>
                      <c:pt idx="33">
                        <c:v>44090</c:v>
                      </c:pt>
                      <c:pt idx="34">
                        <c:v>44091</c:v>
                      </c:pt>
                      <c:pt idx="35">
                        <c:v>44092</c:v>
                      </c:pt>
                      <c:pt idx="36">
                        <c:v>44095</c:v>
                      </c:pt>
                      <c:pt idx="37">
                        <c:v>44096</c:v>
                      </c:pt>
                      <c:pt idx="38">
                        <c:v>44097</c:v>
                      </c:pt>
                      <c:pt idx="39">
                        <c:v>44098</c:v>
                      </c:pt>
                      <c:pt idx="40">
                        <c:v>44099</c:v>
                      </c:pt>
                      <c:pt idx="41">
                        <c:v>44102</c:v>
                      </c:pt>
                      <c:pt idx="42">
                        <c:v>44103</c:v>
                      </c:pt>
                      <c:pt idx="43">
                        <c:v>44104</c:v>
                      </c:pt>
                      <c:pt idx="44">
                        <c:v>44105</c:v>
                      </c:pt>
                      <c:pt idx="45">
                        <c:v>44106</c:v>
                      </c:pt>
                      <c:pt idx="46">
                        <c:v>44109</c:v>
                      </c:pt>
                      <c:pt idx="47">
                        <c:v>44110</c:v>
                      </c:pt>
                      <c:pt idx="48">
                        <c:v>44111</c:v>
                      </c:pt>
                      <c:pt idx="49">
                        <c:v>44112</c:v>
                      </c:pt>
                      <c:pt idx="50">
                        <c:v>44113</c:v>
                      </c:pt>
                      <c:pt idx="51">
                        <c:v>44116</c:v>
                      </c:pt>
                      <c:pt idx="52">
                        <c:v>44117</c:v>
                      </c:pt>
                      <c:pt idx="53">
                        <c:v>44118</c:v>
                      </c:pt>
                      <c:pt idx="54">
                        <c:v>44119</c:v>
                      </c:pt>
                      <c:pt idx="55">
                        <c:v>44120</c:v>
                      </c:pt>
                      <c:pt idx="56">
                        <c:v>44123</c:v>
                      </c:pt>
                      <c:pt idx="57">
                        <c:v>44124</c:v>
                      </c:pt>
                      <c:pt idx="58">
                        <c:v>44125</c:v>
                      </c:pt>
                      <c:pt idx="59">
                        <c:v>44126</c:v>
                      </c:pt>
                      <c:pt idx="60">
                        <c:v>44127</c:v>
                      </c:pt>
                      <c:pt idx="61">
                        <c:v>44130</c:v>
                      </c:pt>
                      <c:pt idx="62">
                        <c:v>44131</c:v>
                      </c:pt>
                      <c:pt idx="63">
                        <c:v>44132</c:v>
                      </c:pt>
                      <c:pt idx="64">
                        <c:v>44133</c:v>
                      </c:pt>
                      <c:pt idx="65">
                        <c:v>44134</c:v>
                      </c:pt>
                      <c:pt idx="66">
                        <c:v>44137</c:v>
                      </c:pt>
                      <c:pt idx="67">
                        <c:v>44138</c:v>
                      </c:pt>
                      <c:pt idx="68">
                        <c:v>44139</c:v>
                      </c:pt>
                      <c:pt idx="69">
                        <c:v>44140</c:v>
                      </c:pt>
                      <c:pt idx="70">
                        <c:v>44141</c:v>
                      </c:pt>
                      <c:pt idx="71">
                        <c:v>44144</c:v>
                      </c:pt>
                      <c:pt idx="72">
                        <c:v>44145</c:v>
                      </c:pt>
                      <c:pt idx="73">
                        <c:v>44146</c:v>
                      </c:pt>
                      <c:pt idx="74">
                        <c:v>44147</c:v>
                      </c:pt>
                      <c:pt idx="75">
                        <c:v>44148</c:v>
                      </c:pt>
                      <c:pt idx="76">
                        <c:v>44151</c:v>
                      </c:pt>
                      <c:pt idx="77">
                        <c:v>44152</c:v>
                      </c:pt>
                      <c:pt idx="78">
                        <c:v>44153</c:v>
                      </c:pt>
                      <c:pt idx="79">
                        <c:v>44154</c:v>
                      </c:pt>
                      <c:pt idx="80">
                        <c:v>44155</c:v>
                      </c:pt>
                      <c:pt idx="81">
                        <c:v>44158</c:v>
                      </c:pt>
                      <c:pt idx="82">
                        <c:v>44159</c:v>
                      </c:pt>
                      <c:pt idx="83">
                        <c:v>44160</c:v>
                      </c:pt>
                      <c:pt idx="84">
                        <c:v>44161</c:v>
                      </c:pt>
                      <c:pt idx="85">
                        <c:v>44162</c:v>
                      </c:pt>
                      <c:pt idx="86">
                        <c:v>44165</c:v>
                      </c:pt>
                      <c:pt idx="87">
                        <c:v>44166</c:v>
                      </c:pt>
                      <c:pt idx="88">
                        <c:v>44167</c:v>
                      </c:pt>
                      <c:pt idx="89">
                        <c:v>44168</c:v>
                      </c:pt>
                      <c:pt idx="90">
                        <c:v>44169</c:v>
                      </c:pt>
                      <c:pt idx="91">
                        <c:v>44172</c:v>
                      </c:pt>
                      <c:pt idx="92">
                        <c:v>44173</c:v>
                      </c:pt>
                      <c:pt idx="93">
                        <c:v>44174</c:v>
                      </c:pt>
                      <c:pt idx="94">
                        <c:v>44175</c:v>
                      </c:pt>
                      <c:pt idx="95">
                        <c:v>44176</c:v>
                      </c:pt>
                      <c:pt idx="96">
                        <c:v>44179</c:v>
                      </c:pt>
                      <c:pt idx="97">
                        <c:v>44180</c:v>
                      </c:pt>
                      <c:pt idx="98">
                        <c:v>44181</c:v>
                      </c:pt>
                      <c:pt idx="99">
                        <c:v>44182</c:v>
                      </c:pt>
                      <c:pt idx="100">
                        <c:v>44183</c:v>
                      </c:pt>
                      <c:pt idx="101">
                        <c:v>44186</c:v>
                      </c:pt>
                      <c:pt idx="102">
                        <c:v>44187</c:v>
                      </c:pt>
                      <c:pt idx="103">
                        <c:v>44188</c:v>
                      </c:pt>
                      <c:pt idx="104">
                        <c:v>44189</c:v>
                      </c:pt>
                      <c:pt idx="105">
                        <c:v>44190</c:v>
                      </c:pt>
                      <c:pt idx="106">
                        <c:v>44193</c:v>
                      </c:pt>
                      <c:pt idx="107">
                        <c:v>44194</c:v>
                      </c:pt>
                      <c:pt idx="108">
                        <c:v>44195</c:v>
                      </c:pt>
                      <c:pt idx="109">
                        <c:v>44196</c:v>
                      </c:pt>
                      <c:pt idx="110">
                        <c:v>44197</c:v>
                      </c:pt>
                      <c:pt idx="111">
                        <c:v>44200</c:v>
                      </c:pt>
                      <c:pt idx="112">
                        <c:v>44201</c:v>
                      </c:pt>
                      <c:pt idx="113">
                        <c:v>44202</c:v>
                      </c:pt>
                      <c:pt idx="114">
                        <c:v>44203</c:v>
                      </c:pt>
                      <c:pt idx="115">
                        <c:v>44204</c:v>
                      </c:pt>
                      <c:pt idx="116">
                        <c:v>44207</c:v>
                      </c:pt>
                      <c:pt idx="117">
                        <c:v>44208</c:v>
                      </c:pt>
                      <c:pt idx="118">
                        <c:v>44209</c:v>
                      </c:pt>
                      <c:pt idx="119">
                        <c:v>44210</c:v>
                      </c:pt>
                      <c:pt idx="120">
                        <c:v>44211</c:v>
                      </c:pt>
                      <c:pt idx="121">
                        <c:v>44214</c:v>
                      </c:pt>
                      <c:pt idx="122">
                        <c:v>44215</c:v>
                      </c:pt>
                      <c:pt idx="123">
                        <c:v>44216</c:v>
                      </c:pt>
                      <c:pt idx="124">
                        <c:v>44217</c:v>
                      </c:pt>
                      <c:pt idx="125">
                        <c:v>44218</c:v>
                      </c:pt>
                      <c:pt idx="126">
                        <c:v>44221</c:v>
                      </c:pt>
                      <c:pt idx="127">
                        <c:v>44222</c:v>
                      </c:pt>
                      <c:pt idx="128">
                        <c:v>44223</c:v>
                      </c:pt>
                      <c:pt idx="129">
                        <c:v>44224</c:v>
                      </c:pt>
                      <c:pt idx="130">
                        <c:v>44225</c:v>
                      </c:pt>
                      <c:pt idx="131">
                        <c:v>44228</c:v>
                      </c:pt>
                      <c:pt idx="132">
                        <c:v>44229</c:v>
                      </c:pt>
                      <c:pt idx="133">
                        <c:v>44230</c:v>
                      </c:pt>
                      <c:pt idx="134">
                        <c:v>44231</c:v>
                      </c:pt>
                      <c:pt idx="135">
                        <c:v>44232</c:v>
                      </c:pt>
                      <c:pt idx="136">
                        <c:v>44235</c:v>
                      </c:pt>
                      <c:pt idx="137">
                        <c:v>44236</c:v>
                      </c:pt>
                      <c:pt idx="138">
                        <c:v>44237</c:v>
                      </c:pt>
                      <c:pt idx="139">
                        <c:v>44238</c:v>
                      </c:pt>
                      <c:pt idx="140">
                        <c:v>44239</c:v>
                      </c:pt>
                      <c:pt idx="141">
                        <c:v>44242</c:v>
                      </c:pt>
                      <c:pt idx="142">
                        <c:v>44243</c:v>
                      </c:pt>
                      <c:pt idx="143">
                        <c:v>44244</c:v>
                      </c:pt>
                      <c:pt idx="144">
                        <c:v>44245</c:v>
                      </c:pt>
                      <c:pt idx="145">
                        <c:v>44246</c:v>
                      </c:pt>
                      <c:pt idx="146">
                        <c:v>44247</c:v>
                      </c:pt>
                      <c:pt idx="147">
                        <c:v>44249</c:v>
                      </c:pt>
                      <c:pt idx="148">
                        <c:v>44250</c:v>
                      </c:pt>
                      <c:pt idx="149">
                        <c:v>44251</c:v>
                      </c:pt>
                      <c:pt idx="150">
                        <c:v>44252</c:v>
                      </c:pt>
                      <c:pt idx="151">
                        <c:v>44253</c:v>
                      </c:pt>
                      <c:pt idx="152">
                        <c:v>44256</c:v>
                      </c:pt>
                      <c:pt idx="153">
                        <c:v>44257</c:v>
                      </c:pt>
                      <c:pt idx="154">
                        <c:v>44258</c:v>
                      </c:pt>
                      <c:pt idx="155">
                        <c:v>44259</c:v>
                      </c:pt>
                      <c:pt idx="156">
                        <c:v>44260</c:v>
                      </c:pt>
                      <c:pt idx="157">
                        <c:v>44263</c:v>
                      </c:pt>
                      <c:pt idx="158">
                        <c:v>44264</c:v>
                      </c:pt>
                      <c:pt idx="159">
                        <c:v>44265</c:v>
                      </c:pt>
                      <c:pt idx="160">
                        <c:v>44266</c:v>
                      </c:pt>
                      <c:pt idx="161">
                        <c:v>44267</c:v>
                      </c:pt>
                      <c:pt idx="162">
                        <c:v>44270</c:v>
                      </c:pt>
                      <c:pt idx="163">
                        <c:v>44271</c:v>
                      </c:pt>
                      <c:pt idx="164">
                        <c:v>44272</c:v>
                      </c:pt>
                      <c:pt idx="165">
                        <c:v>44273</c:v>
                      </c:pt>
                      <c:pt idx="166">
                        <c:v>44274</c:v>
                      </c:pt>
                      <c:pt idx="167">
                        <c:v>44277</c:v>
                      </c:pt>
                      <c:pt idx="168">
                        <c:v>44278</c:v>
                      </c:pt>
                      <c:pt idx="169">
                        <c:v>44279</c:v>
                      </c:pt>
                      <c:pt idx="170">
                        <c:v>44280</c:v>
                      </c:pt>
                      <c:pt idx="171">
                        <c:v>44281</c:v>
                      </c:pt>
                      <c:pt idx="172">
                        <c:v>44284</c:v>
                      </c:pt>
                      <c:pt idx="173">
                        <c:v>44285</c:v>
                      </c:pt>
                      <c:pt idx="174">
                        <c:v>44286</c:v>
                      </c:pt>
                      <c:pt idx="175">
                        <c:v>44287</c:v>
                      </c:pt>
                      <c:pt idx="176">
                        <c:v>44288</c:v>
                      </c:pt>
                      <c:pt idx="177">
                        <c:v>44291</c:v>
                      </c:pt>
                      <c:pt idx="178">
                        <c:v>44292</c:v>
                      </c:pt>
                      <c:pt idx="179">
                        <c:v>44293</c:v>
                      </c:pt>
                      <c:pt idx="180">
                        <c:v>44294</c:v>
                      </c:pt>
                      <c:pt idx="181">
                        <c:v>44295</c:v>
                      </c:pt>
                      <c:pt idx="182">
                        <c:v>44298</c:v>
                      </c:pt>
                      <c:pt idx="183">
                        <c:v>44299</c:v>
                      </c:pt>
                      <c:pt idx="184">
                        <c:v>44300</c:v>
                      </c:pt>
                      <c:pt idx="185">
                        <c:v>44301</c:v>
                      </c:pt>
                      <c:pt idx="186">
                        <c:v>44302</c:v>
                      </c:pt>
                      <c:pt idx="187">
                        <c:v>44305</c:v>
                      </c:pt>
                      <c:pt idx="188">
                        <c:v>44306</c:v>
                      </c:pt>
                      <c:pt idx="189">
                        <c:v>44307</c:v>
                      </c:pt>
                      <c:pt idx="190">
                        <c:v>44308</c:v>
                      </c:pt>
                      <c:pt idx="191">
                        <c:v>44309</c:v>
                      </c:pt>
                      <c:pt idx="192">
                        <c:v>44311</c:v>
                      </c:pt>
                      <c:pt idx="193">
                        <c:v>44312</c:v>
                      </c:pt>
                      <c:pt idx="194">
                        <c:v>44313</c:v>
                      </c:pt>
                      <c:pt idx="195">
                        <c:v>44314</c:v>
                      </c:pt>
                      <c:pt idx="196">
                        <c:v>44315</c:v>
                      </c:pt>
                      <c:pt idx="197">
                        <c:v>44316</c:v>
                      </c:pt>
                      <c:pt idx="198">
                        <c:v>44319</c:v>
                      </c:pt>
                      <c:pt idx="199">
                        <c:v>44320</c:v>
                      </c:pt>
                      <c:pt idx="200">
                        <c:v>44321</c:v>
                      </c:pt>
                      <c:pt idx="201">
                        <c:v>44322</c:v>
                      </c:pt>
                      <c:pt idx="202">
                        <c:v>44323</c:v>
                      </c:pt>
                      <c:pt idx="203">
                        <c:v>44326</c:v>
                      </c:pt>
                      <c:pt idx="204">
                        <c:v>44327</c:v>
                      </c:pt>
                      <c:pt idx="205">
                        <c:v>44328</c:v>
                      </c:pt>
                      <c:pt idx="206">
                        <c:v>44329</c:v>
                      </c:pt>
                      <c:pt idx="207">
                        <c:v>44330</c:v>
                      </c:pt>
                      <c:pt idx="208">
                        <c:v>44333</c:v>
                      </c:pt>
                      <c:pt idx="209">
                        <c:v>44334</c:v>
                      </c:pt>
                      <c:pt idx="210">
                        <c:v>44335</c:v>
                      </c:pt>
                      <c:pt idx="211">
                        <c:v>44336</c:v>
                      </c:pt>
                      <c:pt idx="212">
                        <c:v>44337</c:v>
                      </c:pt>
                      <c:pt idx="213">
                        <c:v>44340</c:v>
                      </c:pt>
                      <c:pt idx="214">
                        <c:v>44341</c:v>
                      </c:pt>
                      <c:pt idx="215">
                        <c:v>44342</c:v>
                      </c:pt>
                      <c:pt idx="216">
                        <c:v>44343</c:v>
                      </c:pt>
                      <c:pt idx="217">
                        <c:v>44344</c:v>
                      </c:pt>
                      <c:pt idx="218">
                        <c:v>44347</c:v>
                      </c:pt>
                      <c:pt idx="219">
                        <c:v>44348</c:v>
                      </c:pt>
                      <c:pt idx="220">
                        <c:v>44349</c:v>
                      </c:pt>
                      <c:pt idx="221">
                        <c:v>44350</c:v>
                      </c:pt>
                      <c:pt idx="222">
                        <c:v>44351</c:v>
                      </c:pt>
                      <c:pt idx="223">
                        <c:v>44354</c:v>
                      </c:pt>
                      <c:pt idx="224">
                        <c:v>44355</c:v>
                      </c:pt>
                      <c:pt idx="225">
                        <c:v>44356</c:v>
                      </c:pt>
                      <c:pt idx="226">
                        <c:v>44357</c:v>
                      </c:pt>
                      <c:pt idx="227">
                        <c:v>44358</c:v>
                      </c:pt>
                      <c:pt idx="228">
                        <c:v>44361</c:v>
                      </c:pt>
                      <c:pt idx="229">
                        <c:v>44362</c:v>
                      </c:pt>
                      <c:pt idx="230">
                        <c:v>44363</c:v>
                      </c:pt>
                      <c:pt idx="231">
                        <c:v>44364</c:v>
                      </c:pt>
                      <c:pt idx="232">
                        <c:v>44365</c:v>
                      </c:pt>
                      <c:pt idx="233">
                        <c:v>44368</c:v>
                      </c:pt>
                      <c:pt idx="234">
                        <c:v>44369</c:v>
                      </c:pt>
                      <c:pt idx="235">
                        <c:v>44370</c:v>
                      </c:pt>
                      <c:pt idx="236">
                        <c:v>44371</c:v>
                      </c:pt>
                      <c:pt idx="237">
                        <c:v>44372</c:v>
                      </c:pt>
                      <c:pt idx="238">
                        <c:v>44375</c:v>
                      </c:pt>
                      <c:pt idx="239">
                        <c:v>44376</c:v>
                      </c:pt>
                      <c:pt idx="240">
                        <c:v>44377</c:v>
                      </c:pt>
                      <c:pt idx="241">
                        <c:v>44378</c:v>
                      </c:pt>
                      <c:pt idx="242">
                        <c:v>44379</c:v>
                      </c:pt>
                      <c:pt idx="243">
                        <c:v>44382</c:v>
                      </c:pt>
                      <c:pt idx="244">
                        <c:v>44383</c:v>
                      </c:pt>
                      <c:pt idx="245">
                        <c:v>44384</c:v>
                      </c:pt>
                      <c:pt idx="246">
                        <c:v>44385</c:v>
                      </c:pt>
                      <c:pt idx="247">
                        <c:v>44386</c:v>
                      </c:pt>
                      <c:pt idx="248">
                        <c:v>44389</c:v>
                      </c:pt>
                      <c:pt idx="249">
                        <c:v>44390</c:v>
                      </c:pt>
                      <c:pt idx="250">
                        <c:v>44391</c:v>
                      </c:pt>
                      <c:pt idx="251">
                        <c:v>44392</c:v>
                      </c:pt>
                      <c:pt idx="252">
                        <c:v>44393</c:v>
                      </c:pt>
                      <c:pt idx="253">
                        <c:v>44396</c:v>
                      </c:pt>
                      <c:pt idx="254">
                        <c:v>44397</c:v>
                      </c:pt>
                      <c:pt idx="255">
                        <c:v>44398</c:v>
                      </c:pt>
                      <c:pt idx="256">
                        <c:v>44399</c:v>
                      </c:pt>
                      <c:pt idx="257">
                        <c:v>44400</c:v>
                      </c:pt>
                      <c:pt idx="258">
                        <c:v>44403</c:v>
                      </c:pt>
                      <c:pt idx="259">
                        <c:v>44404</c:v>
                      </c:pt>
                      <c:pt idx="260">
                        <c:v>44405</c:v>
                      </c:pt>
                      <c:pt idx="261">
                        <c:v>44406</c:v>
                      </c:pt>
                      <c:pt idx="262">
                        <c:v>44407</c:v>
                      </c:pt>
                      <c:pt idx="263">
                        <c:v>44410</c:v>
                      </c:pt>
                      <c:pt idx="264">
                        <c:v>44411</c:v>
                      </c:pt>
                      <c:pt idx="265">
                        <c:v>44412</c:v>
                      </c:pt>
                      <c:pt idx="266">
                        <c:v>44413</c:v>
                      </c:pt>
                      <c:pt idx="267">
                        <c:v>44414</c:v>
                      </c:pt>
                      <c:pt idx="268">
                        <c:v>44417</c:v>
                      </c:pt>
                      <c:pt idx="269">
                        <c:v>44418</c:v>
                      </c:pt>
                      <c:pt idx="270">
                        <c:v>44419</c:v>
                      </c:pt>
                      <c:pt idx="271">
                        <c:v>44420</c:v>
                      </c:pt>
                      <c:pt idx="272">
                        <c:v>44421</c:v>
                      </c:pt>
                      <c:pt idx="273">
                        <c:v>44424</c:v>
                      </c:pt>
                      <c:pt idx="274">
                        <c:v>44425</c:v>
                      </c:pt>
                      <c:pt idx="275">
                        <c:v>44426</c:v>
                      </c:pt>
                      <c:pt idx="276">
                        <c:v>44427</c:v>
                      </c:pt>
                      <c:pt idx="277">
                        <c:v>44428</c:v>
                      </c:pt>
                      <c:pt idx="278">
                        <c:v>44431</c:v>
                      </c:pt>
                      <c:pt idx="279">
                        <c:v>44432</c:v>
                      </c:pt>
                      <c:pt idx="280">
                        <c:v>44433</c:v>
                      </c:pt>
                      <c:pt idx="281">
                        <c:v>44434</c:v>
                      </c:pt>
                      <c:pt idx="282">
                        <c:v>44435</c:v>
                      </c:pt>
                      <c:pt idx="283">
                        <c:v>44438</c:v>
                      </c:pt>
                      <c:pt idx="284">
                        <c:v>44439</c:v>
                      </c:pt>
                    </c:numCache>
                  </c:numRef>
                </c:cat>
                <c:val>
                  <c:numRef>
                    <c:extLst>
                      <c:ext uri="{02D57815-91ED-43cb-92C2-25804820EDAC}">
                        <c15:formulaRef>
                          <c15:sqref>'[2021 09 GMR NEW.XLSX]Currency Chart'!$P$6:$P$290</c15:sqref>
                        </c15:formulaRef>
                      </c:ext>
                    </c:extLst>
                    <c:numCache>
                      <c:formatCode>0</c:formatCode>
                      <c:ptCount val="285"/>
                      <c:pt idx="0" formatCode="General">
                        <c:v>100</c:v>
                      </c:pt>
                      <c:pt idx="1">
                        <c:v>101.86255742725881</c:v>
                      </c:pt>
                      <c:pt idx="2">
                        <c:v>101.26339969372128</c:v>
                      </c:pt>
                      <c:pt idx="3">
                        <c:v>101.26722817764163</c:v>
                      </c:pt>
                      <c:pt idx="4">
                        <c:v>102.05781010719754</c:v>
                      </c:pt>
                      <c:pt idx="5">
                        <c:v>104.10222052067381</c:v>
                      </c:pt>
                      <c:pt idx="6">
                        <c:v>104.92343032159265</c:v>
                      </c:pt>
                      <c:pt idx="7">
                        <c:v>102.98621745788667</c:v>
                      </c:pt>
                      <c:pt idx="8">
                        <c:v>104.00650842266461</c:v>
                      </c:pt>
                      <c:pt idx="9">
                        <c:v>102.77565084226644</c:v>
                      </c:pt>
                      <c:pt idx="10">
                        <c:v>103.7595712098009</c:v>
                      </c:pt>
                      <c:pt idx="11">
                        <c:v>105.45558958652373</c:v>
                      </c:pt>
                      <c:pt idx="12">
                        <c:v>104.6439509954058</c:v>
                      </c:pt>
                      <c:pt idx="13">
                        <c:v>106.38399693721284</c:v>
                      </c:pt>
                      <c:pt idx="14">
                        <c:v>106.37059724349156</c:v>
                      </c:pt>
                      <c:pt idx="15">
                        <c:v>107.56508422664622</c:v>
                      </c:pt>
                      <c:pt idx="16">
                        <c:v>107.38897396630931</c:v>
                      </c:pt>
                      <c:pt idx="17">
                        <c:v>105.42687595712094</c:v>
                      </c:pt>
                      <c:pt idx="18">
                        <c:v>107.30091883614087</c:v>
                      </c:pt>
                      <c:pt idx="19">
                        <c:v>106.60604900459414</c:v>
                      </c:pt>
                      <c:pt idx="20">
                        <c:v>103.14127105666152</c:v>
                      </c:pt>
                      <c:pt idx="21">
                        <c:v>105.11868300153135</c:v>
                      </c:pt>
                      <c:pt idx="22">
                        <c:v>103.29249617151605</c:v>
                      </c:pt>
                      <c:pt idx="23">
                        <c:v>102.22626339969369</c:v>
                      </c:pt>
                      <c:pt idx="24">
                        <c:v>101.29019908116383</c:v>
                      </c:pt>
                      <c:pt idx="25">
                        <c:v>101.47779479326182</c:v>
                      </c:pt>
                      <c:pt idx="26">
                        <c:v>101.4452526799387</c:v>
                      </c:pt>
                      <c:pt idx="27">
                        <c:v>102.67611026033687</c:v>
                      </c:pt>
                      <c:pt idx="28">
                        <c:v>101.60413476263396</c:v>
                      </c:pt>
                      <c:pt idx="29">
                        <c:v>101.85681470137821</c:v>
                      </c:pt>
                      <c:pt idx="30">
                        <c:v>101.81661562021436</c:v>
                      </c:pt>
                      <c:pt idx="31">
                        <c:v>100.89203675344561</c:v>
                      </c:pt>
                      <c:pt idx="32">
                        <c:v>100.97243491577332</c:v>
                      </c:pt>
                      <c:pt idx="33">
                        <c:v>100.26225114854515</c:v>
                      </c:pt>
                      <c:pt idx="34">
                        <c:v>100.29479326186826</c:v>
                      </c:pt>
                      <c:pt idx="35">
                        <c:v>103.13169984686061</c:v>
                      </c:pt>
                      <c:pt idx="36">
                        <c:v>103.61983154670746</c:v>
                      </c:pt>
                      <c:pt idx="37">
                        <c:v>104.71669218989275</c:v>
                      </c:pt>
                      <c:pt idx="38">
                        <c:v>107.08843797856044</c:v>
                      </c:pt>
                      <c:pt idx="39">
                        <c:v>105.45367534456349</c:v>
                      </c:pt>
                      <c:pt idx="40">
                        <c:v>106.47779479326182</c:v>
                      </c:pt>
                      <c:pt idx="41">
                        <c:v>108.39777947932615</c:v>
                      </c:pt>
                      <c:pt idx="42">
                        <c:v>107.85604900459414</c:v>
                      </c:pt>
                      <c:pt idx="43">
                        <c:v>107.4119448698315</c:v>
                      </c:pt>
                      <c:pt idx="44">
                        <c:v>108.03407350689122</c:v>
                      </c:pt>
                      <c:pt idx="45">
                        <c:v>108.82656967840731</c:v>
                      </c:pt>
                      <c:pt idx="46">
                        <c:v>106.70558958652369</c:v>
                      </c:pt>
                      <c:pt idx="47">
                        <c:v>107.06355283307806</c:v>
                      </c:pt>
                      <c:pt idx="48">
                        <c:v>107.38323124042874</c:v>
                      </c:pt>
                      <c:pt idx="49">
                        <c:v>107.17266462480852</c:v>
                      </c:pt>
                      <c:pt idx="50">
                        <c:v>105.89203675344558</c:v>
                      </c:pt>
                      <c:pt idx="51">
                        <c:v>105.88820826952522</c:v>
                      </c:pt>
                      <c:pt idx="52">
                        <c:v>106.60987748851451</c:v>
                      </c:pt>
                      <c:pt idx="53">
                        <c:v>107.02909647779477</c:v>
                      </c:pt>
                      <c:pt idx="54">
                        <c:v>107.4387442572741</c:v>
                      </c:pt>
                      <c:pt idx="55">
                        <c:v>108.01684532924961</c:v>
                      </c:pt>
                      <c:pt idx="56">
                        <c:v>107.32963246554364</c:v>
                      </c:pt>
                      <c:pt idx="57">
                        <c:v>107.30091883614088</c:v>
                      </c:pt>
                      <c:pt idx="58">
                        <c:v>107.32388973966307</c:v>
                      </c:pt>
                      <c:pt idx="59">
                        <c:v>106.99272588055128</c:v>
                      </c:pt>
                      <c:pt idx="60">
                        <c:v>107.5325421133231</c:v>
                      </c:pt>
                      <c:pt idx="61">
                        <c:v>107.63591117917302</c:v>
                      </c:pt>
                      <c:pt idx="62">
                        <c:v>109.2170750382848</c:v>
                      </c:pt>
                      <c:pt idx="63">
                        <c:v>109.98660030627867</c:v>
                      </c:pt>
                      <c:pt idx="64">
                        <c:v>110.62404287901985</c:v>
                      </c:pt>
                      <c:pt idx="65">
                        <c:v>109.96554364471665</c:v>
                      </c:pt>
                      <c:pt idx="66">
                        <c:v>109.92534456355278</c:v>
                      </c:pt>
                      <c:pt idx="67">
                        <c:v>110.1837672281776</c:v>
                      </c:pt>
                      <c:pt idx="68">
                        <c:v>108.41309341500761</c:v>
                      </c:pt>
                      <c:pt idx="69">
                        <c:v>105.76186830015311</c:v>
                      </c:pt>
                      <c:pt idx="70">
                        <c:v>102.69333843797853</c:v>
                      </c:pt>
                      <c:pt idx="71">
                        <c:v>103.09724349157729</c:v>
                      </c:pt>
                      <c:pt idx="72">
                        <c:v>103.65045941807041</c:v>
                      </c:pt>
                      <c:pt idx="73">
                        <c:v>103.19678407350686</c:v>
                      </c:pt>
                      <c:pt idx="74">
                        <c:v>104.48124042879017</c:v>
                      </c:pt>
                      <c:pt idx="75">
                        <c:v>104.48315467075035</c:v>
                      </c:pt>
                      <c:pt idx="76">
                        <c:v>103.66003062787134</c:v>
                      </c:pt>
                      <c:pt idx="77">
                        <c:v>101.99272588055129</c:v>
                      </c:pt>
                      <c:pt idx="78">
                        <c:v>102.65888208269523</c:v>
                      </c:pt>
                      <c:pt idx="79">
                        <c:v>101.55819295558956</c:v>
                      </c:pt>
                      <c:pt idx="80">
                        <c:v>102.9804747320061</c:v>
                      </c:pt>
                      <c:pt idx="81">
                        <c:v>104.11562021439509</c:v>
                      </c:pt>
                      <c:pt idx="82">
                        <c:v>102.8637059724349</c:v>
                      </c:pt>
                      <c:pt idx="83">
                        <c:v>101.90849923430321</c:v>
                      </c:pt>
                      <c:pt idx="84">
                        <c:v>102.15352220520674</c:v>
                      </c:pt>
                      <c:pt idx="85">
                        <c:v>102.29326186830015</c:v>
                      </c:pt>
                      <c:pt idx="86">
                        <c:v>102.06546707503828</c:v>
                      </c:pt>
                      <c:pt idx="87">
                        <c:v>99.657350689127099</c:v>
                      </c:pt>
                      <c:pt idx="88">
                        <c:v>99.87557427258804</c:v>
                      </c:pt>
                      <c:pt idx="89">
                        <c:v>98.612174578866757</c:v>
                      </c:pt>
                      <c:pt idx="90">
                        <c:v>98.692572741194468</c:v>
                      </c:pt>
                      <c:pt idx="91">
                        <c:v>97.607197549770277</c:v>
                      </c:pt>
                      <c:pt idx="92">
                        <c:v>98.013016845329233</c:v>
                      </c:pt>
                      <c:pt idx="93">
                        <c:v>98.981623277182223</c:v>
                      </c:pt>
                      <c:pt idx="94">
                        <c:v>96.202143950995392</c:v>
                      </c:pt>
                      <c:pt idx="95">
                        <c:v>96.967840735068904</c:v>
                      </c:pt>
                      <c:pt idx="96">
                        <c:v>97.988131699846861</c:v>
                      </c:pt>
                      <c:pt idx="97">
                        <c:v>97.323889739663088</c:v>
                      </c:pt>
                      <c:pt idx="98">
                        <c:v>97.316232771822357</c:v>
                      </c:pt>
                      <c:pt idx="99">
                        <c:v>96.826186830015317</c:v>
                      </c:pt>
                      <c:pt idx="100">
                        <c:v>97.668453292496167</c:v>
                      </c:pt>
                      <c:pt idx="101">
                        <c:v>98.051301684532945</c:v>
                      </c:pt>
                      <c:pt idx="102">
                        <c:v>98.769142419601863</c:v>
                      </c:pt>
                      <c:pt idx="103">
                        <c:v>99.854517611026054</c:v>
                      </c:pt>
                      <c:pt idx="104">
                        <c:v>99.856431852986233</c:v>
                      </c:pt>
                      <c:pt idx="105">
                        <c:v>99.856431852986233</c:v>
                      </c:pt>
                      <c:pt idx="106">
                        <c:v>100.42304747320063</c:v>
                      </c:pt>
                      <c:pt idx="107">
                        <c:v>99.730091883614108</c:v>
                      </c:pt>
                      <c:pt idx="108">
                        <c:v>99.419984686064325</c:v>
                      </c:pt>
                      <c:pt idx="109">
                        <c:v>99.419984686064325</c:v>
                      </c:pt>
                      <c:pt idx="110">
                        <c:v>99.419984686064325</c:v>
                      </c:pt>
                      <c:pt idx="111">
                        <c:v>101.3935681470138</c:v>
                      </c:pt>
                      <c:pt idx="112">
                        <c:v>101.17534456355284</c:v>
                      </c:pt>
                      <c:pt idx="113">
                        <c:v>101.72090352220522</c:v>
                      </c:pt>
                      <c:pt idx="114">
                        <c:v>103.56240428790198</c:v>
                      </c:pt>
                      <c:pt idx="115">
                        <c:v>103.70980091883614</c:v>
                      </c:pt>
                      <c:pt idx="116">
                        <c:v>105.07274119448699</c:v>
                      </c:pt>
                      <c:pt idx="117">
                        <c:v>101.88744257274121</c:v>
                      </c:pt>
                      <c:pt idx="118">
                        <c:v>101.43568147013784</c:v>
                      </c:pt>
                      <c:pt idx="119">
                        <c:v>99.477411944869829</c:v>
                      </c:pt>
                      <c:pt idx="120">
                        <c:v>101.31508422664625</c:v>
                      </c:pt>
                      <c:pt idx="121">
                        <c:v>101.37251148545177</c:v>
                      </c:pt>
                      <c:pt idx="122">
                        <c:v>102.56125574272588</c:v>
                      </c:pt>
                      <c:pt idx="123">
                        <c:v>101.2959418070444</c:v>
                      </c:pt>
                      <c:pt idx="124">
                        <c:v>102.42343032159265</c:v>
                      </c:pt>
                      <c:pt idx="125">
                        <c:v>104.64395099540582</c:v>
                      </c:pt>
                      <c:pt idx="126">
                        <c:v>104.64203675344564</c:v>
                      </c:pt>
                      <c:pt idx="127">
                        <c:v>102.5114854517611</c:v>
                      </c:pt>
                      <c:pt idx="128">
                        <c:v>103.63323124042878</c:v>
                      </c:pt>
                      <c:pt idx="129">
                        <c:v>104.15390505359876</c:v>
                      </c:pt>
                      <c:pt idx="130">
                        <c:v>104.56546707503828</c:v>
                      </c:pt>
                      <c:pt idx="131">
                        <c:v>103.9854517611026</c:v>
                      </c:pt>
                      <c:pt idx="132">
                        <c:v>102.75650842266462</c:v>
                      </c:pt>
                      <c:pt idx="133">
                        <c:v>102.47702909647779</c:v>
                      </c:pt>
                      <c:pt idx="134">
                        <c:v>103.8782542113323</c:v>
                      </c:pt>
                      <c:pt idx="135">
                        <c:v>102.80245022970902</c:v>
                      </c:pt>
                      <c:pt idx="136">
                        <c:v>102.71248085758039</c:v>
                      </c:pt>
                      <c:pt idx="137">
                        <c:v>102.94984686064316</c:v>
                      </c:pt>
                      <c:pt idx="138">
                        <c:v>103.10107197549769</c:v>
                      </c:pt>
                      <c:pt idx="139">
                        <c:v>102.72779479326186</c:v>
                      </c:pt>
                      <c:pt idx="140">
                        <c:v>102.79096477794792</c:v>
                      </c:pt>
                      <c:pt idx="141">
                        <c:v>102.79096477794792</c:v>
                      </c:pt>
                      <c:pt idx="142">
                        <c:v>102.78522205206738</c:v>
                      </c:pt>
                      <c:pt idx="143">
                        <c:v>103.57006125574271</c:v>
                      </c:pt>
                      <c:pt idx="144">
                        <c:v>103.88591117917302</c:v>
                      </c:pt>
                      <c:pt idx="145">
                        <c:v>103.03024502297089</c:v>
                      </c:pt>
                      <c:pt idx="146">
                        <c:v>103.03024502297089</c:v>
                      </c:pt>
                      <c:pt idx="147">
                        <c:v>104.63055130168453</c:v>
                      </c:pt>
                      <c:pt idx="148">
                        <c:v>104.15199081163858</c:v>
                      </c:pt>
                      <c:pt idx="149">
                        <c:v>103.48774885145481</c:v>
                      </c:pt>
                      <c:pt idx="150">
                        <c:v>105.87289433384379</c:v>
                      </c:pt>
                      <c:pt idx="151">
                        <c:v>107.17075038284838</c:v>
                      </c:pt>
                      <c:pt idx="152">
                        <c:v>107.99770290964777</c:v>
                      </c:pt>
                      <c:pt idx="153">
                        <c:v>108.65428790199081</c:v>
                      </c:pt>
                      <c:pt idx="154">
                        <c:v>107.56699846860644</c:v>
                      </c:pt>
                      <c:pt idx="155">
                        <c:v>108.52411944869833</c:v>
                      </c:pt>
                      <c:pt idx="156">
                        <c:v>108.93568147013785</c:v>
                      </c:pt>
                      <c:pt idx="157">
                        <c:v>112.47128637059726</c:v>
                      </c:pt>
                      <c:pt idx="158">
                        <c:v>111.07388973966312</c:v>
                      </c:pt>
                      <c:pt idx="159">
                        <c:v>108.5758039816233</c:v>
                      </c:pt>
                      <c:pt idx="160">
                        <c:v>105.96669218989283</c:v>
                      </c:pt>
                      <c:pt idx="161">
                        <c:v>106.2748851454824</c:v>
                      </c:pt>
                      <c:pt idx="162">
                        <c:v>107.49617151607964</c:v>
                      </c:pt>
                      <c:pt idx="163">
                        <c:v>107.66845329249618</c:v>
                      </c:pt>
                      <c:pt idx="164">
                        <c:v>106.87595712098009</c:v>
                      </c:pt>
                      <c:pt idx="165">
                        <c:v>106.4395099540582</c:v>
                      </c:pt>
                      <c:pt idx="166">
                        <c:v>105.12442572741195</c:v>
                      </c:pt>
                      <c:pt idx="167">
                        <c:v>105.36944869831547</c:v>
                      </c:pt>
                      <c:pt idx="168">
                        <c:v>105.69295558958652</c:v>
                      </c:pt>
                      <c:pt idx="169">
                        <c:v>107.59762633996935</c:v>
                      </c:pt>
                      <c:pt idx="170">
                        <c:v>108.10681470137823</c:v>
                      </c:pt>
                      <c:pt idx="171">
                        <c:v>110.19525267993872</c:v>
                      </c:pt>
                      <c:pt idx="172">
                        <c:v>110.64127105666154</c:v>
                      </c:pt>
                      <c:pt idx="173">
                        <c:v>110.53790199081162</c:v>
                      </c:pt>
                      <c:pt idx="174">
                        <c:v>107.80053598774884</c:v>
                      </c:pt>
                      <c:pt idx="175">
                        <c:v>109.24770290964777</c:v>
                      </c:pt>
                      <c:pt idx="176">
                        <c:v>109.25535987748852</c:v>
                      </c:pt>
                      <c:pt idx="177">
                        <c:v>108.40735068912711</c:v>
                      </c:pt>
                      <c:pt idx="178">
                        <c:v>107.01378254211333</c:v>
                      </c:pt>
                      <c:pt idx="179">
                        <c:v>107.47128637059726</c:v>
                      </c:pt>
                      <c:pt idx="180">
                        <c:v>106.66156202143952</c:v>
                      </c:pt>
                      <c:pt idx="181">
                        <c:v>108.76914241960185</c:v>
                      </c:pt>
                      <c:pt idx="182">
                        <c:v>109.74923430321594</c:v>
                      </c:pt>
                      <c:pt idx="183">
                        <c:v>109.42955589586526</c:v>
                      </c:pt>
                      <c:pt idx="184">
                        <c:v>108.20444104134765</c:v>
                      </c:pt>
                      <c:pt idx="185">
                        <c:v>107.50765696784076</c:v>
                      </c:pt>
                      <c:pt idx="186">
                        <c:v>106.97358346094948</c:v>
                      </c:pt>
                      <c:pt idx="187">
                        <c:v>106.16577335375193</c:v>
                      </c:pt>
                      <c:pt idx="188">
                        <c:v>106.59839203675347</c:v>
                      </c:pt>
                      <c:pt idx="189">
                        <c:v>106.60413476263402</c:v>
                      </c:pt>
                      <c:pt idx="190">
                        <c:v>104.22664624808577</c:v>
                      </c:pt>
                      <c:pt idx="191">
                        <c:v>104.80666156202146</c:v>
                      </c:pt>
                      <c:pt idx="192">
                        <c:v>104.80666156202146</c:v>
                      </c:pt>
                      <c:pt idx="193">
                        <c:v>104.06584992343033</c:v>
                      </c:pt>
                      <c:pt idx="194">
                        <c:v>104.3070444104135</c:v>
                      </c:pt>
                      <c:pt idx="195">
                        <c:v>102.2779479326187</c:v>
                      </c:pt>
                      <c:pt idx="196">
                        <c:v>102.1726646248086</c:v>
                      </c:pt>
                      <c:pt idx="197">
                        <c:v>104.06967840735072</c:v>
                      </c:pt>
                      <c:pt idx="198">
                        <c:v>104.17304747320064</c:v>
                      </c:pt>
                      <c:pt idx="199">
                        <c:v>104.20176110260338</c:v>
                      </c:pt>
                      <c:pt idx="200">
                        <c:v>102.49234303215927</c:v>
                      </c:pt>
                      <c:pt idx="201">
                        <c:v>100.99540581929556</c:v>
                      </c:pt>
                      <c:pt idx="202">
                        <c:v>100.24502297090352</c:v>
                      </c:pt>
                      <c:pt idx="203">
                        <c:v>100.06125574272588</c:v>
                      </c:pt>
                      <c:pt idx="204">
                        <c:v>99.938744257274109</c:v>
                      </c:pt>
                      <c:pt idx="205">
                        <c:v>101.57159264931086</c:v>
                      </c:pt>
                      <c:pt idx="206">
                        <c:v>101.62710566615618</c:v>
                      </c:pt>
                      <c:pt idx="207">
                        <c:v>100.93415007656967</c:v>
                      </c:pt>
                      <c:pt idx="208">
                        <c:v>100.93606431852986</c:v>
                      </c:pt>
                      <c:pt idx="209">
                        <c:v>100.69869831546707</c:v>
                      </c:pt>
                      <c:pt idx="210">
                        <c:v>101.63476263399693</c:v>
                      </c:pt>
                      <c:pt idx="211">
                        <c:v>101.11983154670749</c:v>
                      </c:pt>
                      <c:pt idx="212">
                        <c:v>102.63591117917302</c:v>
                      </c:pt>
                      <c:pt idx="213">
                        <c:v>101.7898162327718</c:v>
                      </c:pt>
                      <c:pt idx="214">
                        <c:v>102.05206738131696</c:v>
                      </c:pt>
                      <c:pt idx="215">
                        <c:v>101.67496171516075</c:v>
                      </c:pt>
                      <c:pt idx="216">
                        <c:v>100.27373660030624</c:v>
                      </c:pt>
                      <c:pt idx="217">
                        <c:v>100.0076569678407</c:v>
                      </c:pt>
                      <c:pt idx="218">
                        <c:v>99.869831546707474</c:v>
                      </c:pt>
                      <c:pt idx="219">
                        <c:v>98.600689127105639</c:v>
                      </c:pt>
                      <c:pt idx="220">
                        <c:v>97.155436447166892</c:v>
                      </c:pt>
                      <c:pt idx="221">
                        <c:v>97.19563552833074</c:v>
                      </c:pt>
                      <c:pt idx="222">
                        <c:v>96.659647779479286</c:v>
                      </c:pt>
                      <c:pt idx="223">
                        <c:v>96.575421133231188</c:v>
                      </c:pt>
                      <c:pt idx="224">
                        <c:v>96.334226646248041</c:v>
                      </c:pt>
                      <c:pt idx="225">
                        <c:v>96.900842266462448</c:v>
                      </c:pt>
                      <c:pt idx="226">
                        <c:v>96.76875957120977</c:v>
                      </c:pt>
                      <c:pt idx="227">
                        <c:v>97.953675344563521</c:v>
                      </c:pt>
                      <c:pt idx="228">
                        <c:v>96.862557427258793</c:v>
                      </c:pt>
                      <c:pt idx="229">
                        <c:v>96.548621745788651</c:v>
                      </c:pt>
                      <c:pt idx="230">
                        <c:v>96.755359877488488</c:v>
                      </c:pt>
                      <c:pt idx="231">
                        <c:v>95.825038284839167</c:v>
                      </c:pt>
                      <c:pt idx="232">
                        <c:v>97.423430321592619</c:v>
                      </c:pt>
                      <c:pt idx="233">
                        <c:v>95.960949464012202</c:v>
                      </c:pt>
                      <c:pt idx="234">
                        <c:v>94.896630934150025</c:v>
                      </c:pt>
                      <c:pt idx="235">
                        <c:v>95.074655436447117</c:v>
                      </c:pt>
                      <c:pt idx="236">
                        <c:v>94.060107197549726</c:v>
                      </c:pt>
                      <c:pt idx="237">
                        <c:v>94.439127105666117</c:v>
                      </c:pt>
                      <c:pt idx="238">
                        <c:v>94.264931087289398</c:v>
                      </c:pt>
                      <c:pt idx="239">
                        <c:v>94.867917304747266</c:v>
                      </c:pt>
                      <c:pt idx="240">
                        <c:v>95.111026033690621</c:v>
                      </c:pt>
                      <c:pt idx="241">
                        <c:v>96.623277182235796</c:v>
                      </c:pt>
                      <c:pt idx="242">
                        <c:v>96.812787136293991</c:v>
                      </c:pt>
                      <c:pt idx="243">
                        <c:v>97.454058192955543</c:v>
                      </c:pt>
                      <c:pt idx="244">
                        <c:v>99.481240428790144</c:v>
                      </c:pt>
                      <c:pt idx="245">
                        <c:v>100.14356814701371</c:v>
                      </c:pt>
                      <c:pt idx="246">
                        <c:v>100.64892802450223</c:v>
                      </c:pt>
                      <c:pt idx="247">
                        <c:v>100.64892802450223</c:v>
                      </c:pt>
                      <c:pt idx="248">
                        <c:v>99.023736600306208</c:v>
                      </c:pt>
                      <c:pt idx="249">
                        <c:v>98.816998468606357</c:v>
                      </c:pt>
                      <c:pt idx="250">
                        <c:v>97.06355283307802</c:v>
                      </c:pt>
                      <c:pt idx="251">
                        <c:v>97.817764165390443</c:v>
                      </c:pt>
                      <c:pt idx="252">
                        <c:v>97.907733537519064</c:v>
                      </c:pt>
                      <c:pt idx="253">
                        <c:v>100.53407350689119</c:v>
                      </c:pt>
                      <c:pt idx="254">
                        <c:v>99.933001531393487</c:v>
                      </c:pt>
                      <c:pt idx="255">
                        <c:v>99.299387442572666</c:v>
                      </c:pt>
                      <c:pt idx="256">
                        <c:v>99.546324655436379</c:v>
                      </c:pt>
                      <c:pt idx="257">
                        <c:v>99.552067381316917</c:v>
                      </c:pt>
                      <c:pt idx="258">
                        <c:v>99.083078101071891</c:v>
                      </c:pt>
                      <c:pt idx="259">
                        <c:v>98.947166921898841</c:v>
                      </c:pt>
                      <c:pt idx="260">
                        <c:v>97.926875957120913</c:v>
                      </c:pt>
                      <c:pt idx="261">
                        <c:v>97.266462480857498</c:v>
                      </c:pt>
                      <c:pt idx="262">
                        <c:v>99.776033690658409</c:v>
                      </c:pt>
                      <c:pt idx="263">
                        <c:v>99.056278713629311</c:v>
                      </c:pt>
                      <c:pt idx="264">
                        <c:v>99.477411944869743</c:v>
                      </c:pt>
                      <c:pt idx="265">
                        <c:v>98.937595712097917</c:v>
                      </c:pt>
                      <c:pt idx="266">
                        <c:v>100.47473200612549</c:v>
                      </c:pt>
                      <c:pt idx="267">
                        <c:v>100.11676875957113</c:v>
                      </c:pt>
                      <c:pt idx="268">
                        <c:v>100.17419601837663</c:v>
                      </c:pt>
                      <c:pt idx="269">
                        <c:v>99.3395865237365</c:v>
                      </c:pt>
                      <c:pt idx="270">
                        <c:v>99.894716692189789</c:v>
                      </c:pt>
                      <c:pt idx="271">
                        <c:v>100.5436447166921</c:v>
                      </c:pt>
                      <c:pt idx="272">
                        <c:v>100.43261868300144</c:v>
                      </c:pt>
                      <c:pt idx="273">
                        <c:v>100.67955589586515</c:v>
                      </c:pt>
                      <c:pt idx="274">
                        <c:v>101.35528330781003</c:v>
                      </c:pt>
                      <c:pt idx="275">
                        <c:v>102.97473200612549</c:v>
                      </c:pt>
                      <c:pt idx="276">
                        <c:v>103.64088820826944</c:v>
                      </c:pt>
                      <c:pt idx="277">
                        <c:v>102.92879019908108</c:v>
                      </c:pt>
                      <c:pt idx="278">
                        <c:v>102.99004594180697</c:v>
                      </c:pt>
                      <c:pt idx="279">
                        <c:v>100.4268759571209</c:v>
                      </c:pt>
                      <c:pt idx="280">
                        <c:v>99.764548238897333</c:v>
                      </c:pt>
                      <c:pt idx="281">
                        <c:v>100.53981623277176</c:v>
                      </c:pt>
                      <c:pt idx="282">
                        <c:v>99.532924961715096</c:v>
                      </c:pt>
                      <c:pt idx="283">
                        <c:v>99.234303215926431</c:v>
                      </c:pt>
                      <c:pt idx="284">
                        <c:v>98.568147013782493</c:v>
                      </c:pt>
                    </c:numCache>
                  </c:numRef>
                </c:val>
                <c:smooth val="0"/>
                <c:extLst>
                  <c:ext xmlns:c16="http://schemas.microsoft.com/office/drawing/2014/chart" uri="{C3380CC4-5D6E-409C-BE32-E72D297353CC}">
                    <c16:uniqueId val="{00000003-A0A6-4952-B73D-3412C30D1F85}"/>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'[2021 09 GMR NEW.XLSX]Currency Chart'!$Q$5</c15:sqref>
                        </c15:formulaRef>
                      </c:ext>
                    </c:extLst>
                    <c:strCache>
                      <c:ptCount val="1"/>
                      <c:pt idx="0">
                        <c:v>Rouble</c:v>
                      </c:pt>
                    </c:strCache>
                  </c:strRef>
                </c:tx>
                <c:spPr>
                  <a:ln w="28575" cap="rnd">
                    <a:solidFill>
                      <a:schemeClr val="accent2"/>
                    </a:solidFill>
                    <a:round/>
                  </a:ln>
                  <a:effectLst/>
                </c:spPr>
                <c:marker>
                  <c:symbol val="none"/>
                </c:marker>
                <c:cat>
                  <c:numRef>
                    <c:extLst xmlns:c15="http://schemas.microsoft.com/office/drawing/2012/chart">
                      <c:ext xmlns:c15="http://schemas.microsoft.com/office/drawing/2012/chart" uri="{02D57815-91ED-43cb-92C2-25804820EDAC}">
                        <c15:formulaRef>
                          <c15:sqref>'[2021 09 GMR NEW.XLSX]Currency Chart'!$O$6:$O$290</c15:sqref>
                        </c15:formulaRef>
                      </c:ext>
                    </c:extLst>
                    <c:numCache>
                      <c:formatCode>m/d/yyyy</c:formatCode>
                      <c:ptCount val="285"/>
                      <c:pt idx="0">
                        <c:v>44043</c:v>
                      </c:pt>
                      <c:pt idx="1">
                        <c:v>44046</c:v>
                      </c:pt>
                      <c:pt idx="2">
                        <c:v>44047</c:v>
                      </c:pt>
                      <c:pt idx="3">
                        <c:v>44048</c:v>
                      </c:pt>
                      <c:pt idx="4">
                        <c:v>44049</c:v>
                      </c:pt>
                      <c:pt idx="5">
                        <c:v>44050</c:v>
                      </c:pt>
                      <c:pt idx="6">
                        <c:v>44053</c:v>
                      </c:pt>
                      <c:pt idx="7">
                        <c:v>44054</c:v>
                      </c:pt>
                      <c:pt idx="8">
                        <c:v>44055</c:v>
                      </c:pt>
                      <c:pt idx="9">
                        <c:v>44056</c:v>
                      </c:pt>
                      <c:pt idx="10">
                        <c:v>44057</c:v>
                      </c:pt>
                      <c:pt idx="11">
                        <c:v>44060</c:v>
                      </c:pt>
                      <c:pt idx="12">
                        <c:v>44061</c:v>
                      </c:pt>
                      <c:pt idx="13">
                        <c:v>44062</c:v>
                      </c:pt>
                      <c:pt idx="14">
                        <c:v>44063</c:v>
                      </c:pt>
                      <c:pt idx="15">
                        <c:v>44064</c:v>
                      </c:pt>
                      <c:pt idx="16">
                        <c:v>44067</c:v>
                      </c:pt>
                      <c:pt idx="17">
                        <c:v>44068</c:v>
                      </c:pt>
                      <c:pt idx="18">
                        <c:v>44069</c:v>
                      </c:pt>
                      <c:pt idx="19">
                        <c:v>44070</c:v>
                      </c:pt>
                      <c:pt idx="20">
                        <c:v>44071</c:v>
                      </c:pt>
                      <c:pt idx="21">
                        <c:v>44074</c:v>
                      </c:pt>
                      <c:pt idx="22">
                        <c:v>44075</c:v>
                      </c:pt>
                      <c:pt idx="23">
                        <c:v>44076</c:v>
                      </c:pt>
                      <c:pt idx="24">
                        <c:v>44077</c:v>
                      </c:pt>
                      <c:pt idx="25">
                        <c:v>44078</c:v>
                      </c:pt>
                      <c:pt idx="26">
                        <c:v>44081</c:v>
                      </c:pt>
                      <c:pt idx="27">
                        <c:v>44082</c:v>
                      </c:pt>
                      <c:pt idx="28">
                        <c:v>44083</c:v>
                      </c:pt>
                      <c:pt idx="29">
                        <c:v>44084</c:v>
                      </c:pt>
                      <c:pt idx="30">
                        <c:v>44085</c:v>
                      </c:pt>
                      <c:pt idx="31">
                        <c:v>44088</c:v>
                      </c:pt>
                      <c:pt idx="32">
                        <c:v>44089</c:v>
                      </c:pt>
                      <c:pt idx="33">
                        <c:v>44090</c:v>
                      </c:pt>
                      <c:pt idx="34">
                        <c:v>44091</c:v>
                      </c:pt>
                      <c:pt idx="35">
                        <c:v>44092</c:v>
                      </c:pt>
                      <c:pt idx="36">
                        <c:v>44095</c:v>
                      </c:pt>
                      <c:pt idx="37">
                        <c:v>44096</c:v>
                      </c:pt>
                      <c:pt idx="38">
                        <c:v>44097</c:v>
                      </c:pt>
                      <c:pt idx="39">
                        <c:v>44098</c:v>
                      </c:pt>
                      <c:pt idx="40">
                        <c:v>44099</c:v>
                      </c:pt>
                      <c:pt idx="41">
                        <c:v>44102</c:v>
                      </c:pt>
                      <c:pt idx="42">
                        <c:v>44103</c:v>
                      </c:pt>
                      <c:pt idx="43">
                        <c:v>44104</c:v>
                      </c:pt>
                      <c:pt idx="44">
                        <c:v>44105</c:v>
                      </c:pt>
                      <c:pt idx="45">
                        <c:v>44106</c:v>
                      </c:pt>
                      <c:pt idx="46">
                        <c:v>44109</c:v>
                      </c:pt>
                      <c:pt idx="47">
                        <c:v>44110</c:v>
                      </c:pt>
                      <c:pt idx="48">
                        <c:v>44111</c:v>
                      </c:pt>
                      <c:pt idx="49">
                        <c:v>44112</c:v>
                      </c:pt>
                      <c:pt idx="50">
                        <c:v>44113</c:v>
                      </c:pt>
                      <c:pt idx="51">
                        <c:v>44116</c:v>
                      </c:pt>
                      <c:pt idx="52">
                        <c:v>44117</c:v>
                      </c:pt>
                      <c:pt idx="53">
                        <c:v>44118</c:v>
                      </c:pt>
                      <c:pt idx="54">
                        <c:v>44119</c:v>
                      </c:pt>
                      <c:pt idx="55">
                        <c:v>44120</c:v>
                      </c:pt>
                      <c:pt idx="56">
                        <c:v>44123</c:v>
                      </c:pt>
                      <c:pt idx="57">
                        <c:v>44124</c:v>
                      </c:pt>
                      <c:pt idx="58">
                        <c:v>44125</c:v>
                      </c:pt>
                      <c:pt idx="59">
                        <c:v>44126</c:v>
                      </c:pt>
                      <c:pt idx="60">
                        <c:v>44127</c:v>
                      </c:pt>
                      <c:pt idx="61">
                        <c:v>44130</c:v>
                      </c:pt>
                      <c:pt idx="62">
                        <c:v>44131</c:v>
                      </c:pt>
                      <c:pt idx="63">
                        <c:v>44132</c:v>
                      </c:pt>
                      <c:pt idx="64">
                        <c:v>44133</c:v>
                      </c:pt>
                      <c:pt idx="65">
                        <c:v>44134</c:v>
                      </c:pt>
                      <c:pt idx="66">
                        <c:v>44137</c:v>
                      </c:pt>
                      <c:pt idx="67">
                        <c:v>44138</c:v>
                      </c:pt>
                      <c:pt idx="68">
                        <c:v>44139</c:v>
                      </c:pt>
                      <c:pt idx="69">
                        <c:v>44140</c:v>
                      </c:pt>
                      <c:pt idx="70">
                        <c:v>44141</c:v>
                      </c:pt>
                      <c:pt idx="71">
                        <c:v>44144</c:v>
                      </c:pt>
                      <c:pt idx="72">
                        <c:v>44145</c:v>
                      </c:pt>
                      <c:pt idx="73">
                        <c:v>44146</c:v>
                      </c:pt>
                      <c:pt idx="74">
                        <c:v>44147</c:v>
                      </c:pt>
                      <c:pt idx="75">
                        <c:v>44148</c:v>
                      </c:pt>
                      <c:pt idx="76">
                        <c:v>44151</c:v>
                      </c:pt>
                      <c:pt idx="77">
                        <c:v>44152</c:v>
                      </c:pt>
                      <c:pt idx="78">
                        <c:v>44153</c:v>
                      </c:pt>
                      <c:pt idx="79">
                        <c:v>44154</c:v>
                      </c:pt>
                      <c:pt idx="80">
                        <c:v>44155</c:v>
                      </c:pt>
                      <c:pt idx="81">
                        <c:v>44158</c:v>
                      </c:pt>
                      <c:pt idx="82">
                        <c:v>44159</c:v>
                      </c:pt>
                      <c:pt idx="83">
                        <c:v>44160</c:v>
                      </c:pt>
                      <c:pt idx="84">
                        <c:v>44161</c:v>
                      </c:pt>
                      <c:pt idx="85">
                        <c:v>44162</c:v>
                      </c:pt>
                      <c:pt idx="86">
                        <c:v>44165</c:v>
                      </c:pt>
                      <c:pt idx="87">
                        <c:v>44166</c:v>
                      </c:pt>
                      <c:pt idx="88">
                        <c:v>44167</c:v>
                      </c:pt>
                      <c:pt idx="89">
                        <c:v>44168</c:v>
                      </c:pt>
                      <c:pt idx="90">
                        <c:v>44169</c:v>
                      </c:pt>
                      <c:pt idx="91">
                        <c:v>44172</c:v>
                      </c:pt>
                      <c:pt idx="92">
                        <c:v>44173</c:v>
                      </c:pt>
                      <c:pt idx="93">
                        <c:v>44174</c:v>
                      </c:pt>
                      <c:pt idx="94">
                        <c:v>44175</c:v>
                      </c:pt>
                      <c:pt idx="95">
                        <c:v>44176</c:v>
                      </c:pt>
                      <c:pt idx="96">
                        <c:v>44179</c:v>
                      </c:pt>
                      <c:pt idx="97">
                        <c:v>44180</c:v>
                      </c:pt>
                      <c:pt idx="98">
                        <c:v>44181</c:v>
                      </c:pt>
                      <c:pt idx="99">
                        <c:v>44182</c:v>
                      </c:pt>
                      <c:pt idx="100">
                        <c:v>44183</c:v>
                      </c:pt>
                      <c:pt idx="101">
                        <c:v>44186</c:v>
                      </c:pt>
                      <c:pt idx="102">
                        <c:v>44187</c:v>
                      </c:pt>
                      <c:pt idx="103">
                        <c:v>44188</c:v>
                      </c:pt>
                      <c:pt idx="104">
                        <c:v>44189</c:v>
                      </c:pt>
                      <c:pt idx="105">
                        <c:v>44190</c:v>
                      </c:pt>
                      <c:pt idx="106">
                        <c:v>44193</c:v>
                      </c:pt>
                      <c:pt idx="107">
                        <c:v>44194</c:v>
                      </c:pt>
                      <c:pt idx="108">
                        <c:v>44195</c:v>
                      </c:pt>
                      <c:pt idx="109">
                        <c:v>44196</c:v>
                      </c:pt>
                      <c:pt idx="110">
                        <c:v>44197</c:v>
                      </c:pt>
                      <c:pt idx="111">
                        <c:v>44200</c:v>
                      </c:pt>
                      <c:pt idx="112">
                        <c:v>44201</c:v>
                      </c:pt>
                      <c:pt idx="113">
                        <c:v>44202</c:v>
                      </c:pt>
                      <c:pt idx="114">
                        <c:v>44203</c:v>
                      </c:pt>
                      <c:pt idx="115">
                        <c:v>44204</c:v>
                      </c:pt>
                      <c:pt idx="116">
                        <c:v>44207</c:v>
                      </c:pt>
                      <c:pt idx="117">
                        <c:v>44208</c:v>
                      </c:pt>
                      <c:pt idx="118">
                        <c:v>44209</c:v>
                      </c:pt>
                      <c:pt idx="119">
                        <c:v>44210</c:v>
                      </c:pt>
                      <c:pt idx="120">
                        <c:v>44211</c:v>
                      </c:pt>
                      <c:pt idx="121">
                        <c:v>44214</c:v>
                      </c:pt>
                      <c:pt idx="122">
                        <c:v>44215</c:v>
                      </c:pt>
                      <c:pt idx="123">
                        <c:v>44216</c:v>
                      </c:pt>
                      <c:pt idx="124">
                        <c:v>44217</c:v>
                      </c:pt>
                      <c:pt idx="125">
                        <c:v>44218</c:v>
                      </c:pt>
                      <c:pt idx="126">
                        <c:v>44221</c:v>
                      </c:pt>
                      <c:pt idx="127">
                        <c:v>44222</c:v>
                      </c:pt>
                      <c:pt idx="128">
                        <c:v>44223</c:v>
                      </c:pt>
                      <c:pt idx="129">
                        <c:v>44224</c:v>
                      </c:pt>
                      <c:pt idx="130">
                        <c:v>44225</c:v>
                      </c:pt>
                      <c:pt idx="131">
                        <c:v>44228</c:v>
                      </c:pt>
                      <c:pt idx="132">
                        <c:v>44229</c:v>
                      </c:pt>
                      <c:pt idx="133">
                        <c:v>44230</c:v>
                      </c:pt>
                      <c:pt idx="134">
                        <c:v>44231</c:v>
                      </c:pt>
                      <c:pt idx="135">
                        <c:v>44232</c:v>
                      </c:pt>
                      <c:pt idx="136">
                        <c:v>44235</c:v>
                      </c:pt>
                      <c:pt idx="137">
                        <c:v>44236</c:v>
                      </c:pt>
                      <c:pt idx="138">
                        <c:v>44237</c:v>
                      </c:pt>
                      <c:pt idx="139">
                        <c:v>44238</c:v>
                      </c:pt>
                      <c:pt idx="140">
                        <c:v>44239</c:v>
                      </c:pt>
                      <c:pt idx="141">
                        <c:v>44242</c:v>
                      </c:pt>
                      <c:pt idx="142">
                        <c:v>44243</c:v>
                      </c:pt>
                      <c:pt idx="143">
                        <c:v>44244</c:v>
                      </c:pt>
                      <c:pt idx="144">
                        <c:v>44245</c:v>
                      </c:pt>
                      <c:pt idx="145">
                        <c:v>44246</c:v>
                      </c:pt>
                      <c:pt idx="146">
                        <c:v>44247</c:v>
                      </c:pt>
                      <c:pt idx="147">
                        <c:v>44249</c:v>
                      </c:pt>
                      <c:pt idx="148">
                        <c:v>44250</c:v>
                      </c:pt>
                      <c:pt idx="149">
                        <c:v>44251</c:v>
                      </c:pt>
                      <c:pt idx="150">
                        <c:v>44252</c:v>
                      </c:pt>
                      <c:pt idx="151">
                        <c:v>44253</c:v>
                      </c:pt>
                      <c:pt idx="152">
                        <c:v>44256</c:v>
                      </c:pt>
                      <c:pt idx="153">
                        <c:v>44257</c:v>
                      </c:pt>
                      <c:pt idx="154">
                        <c:v>44258</c:v>
                      </c:pt>
                      <c:pt idx="155">
                        <c:v>44259</c:v>
                      </c:pt>
                      <c:pt idx="156">
                        <c:v>44260</c:v>
                      </c:pt>
                      <c:pt idx="157">
                        <c:v>44263</c:v>
                      </c:pt>
                      <c:pt idx="158">
                        <c:v>44264</c:v>
                      </c:pt>
                      <c:pt idx="159">
                        <c:v>44265</c:v>
                      </c:pt>
                      <c:pt idx="160">
                        <c:v>44266</c:v>
                      </c:pt>
                      <c:pt idx="161">
                        <c:v>44267</c:v>
                      </c:pt>
                      <c:pt idx="162">
                        <c:v>44270</c:v>
                      </c:pt>
                      <c:pt idx="163">
                        <c:v>44271</c:v>
                      </c:pt>
                      <c:pt idx="164">
                        <c:v>44272</c:v>
                      </c:pt>
                      <c:pt idx="165">
                        <c:v>44273</c:v>
                      </c:pt>
                      <c:pt idx="166">
                        <c:v>44274</c:v>
                      </c:pt>
                      <c:pt idx="167">
                        <c:v>44277</c:v>
                      </c:pt>
                      <c:pt idx="168">
                        <c:v>44278</c:v>
                      </c:pt>
                      <c:pt idx="169">
                        <c:v>44279</c:v>
                      </c:pt>
                      <c:pt idx="170">
                        <c:v>44280</c:v>
                      </c:pt>
                      <c:pt idx="171">
                        <c:v>44281</c:v>
                      </c:pt>
                      <c:pt idx="172">
                        <c:v>44284</c:v>
                      </c:pt>
                      <c:pt idx="173">
                        <c:v>44285</c:v>
                      </c:pt>
                      <c:pt idx="174">
                        <c:v>44286</c:v>
                      </c:pt>
                      <c:pt idx="175">
                        <c:v>44287</c:v>
                      </c:pt>
                      <c:pt idx="176">
                        <c:v>44288</c:v>
                      </c:pt>
                      <c:pt idx="177">
                        <c:v>44291</c:v>
                      </c:pt>
                      <c:pt idx="178">
                        <c:v>44292</c:v>
                      </c:pt>
                      <c:pt idx="179">
                        <c:v>44293</c:v>
                      </c:pt>
                      <c:pt idx="180">
                        <c:v>44294</c:v>
                      </c:pt>
                      <c:pt idx="181">
                        <c:v>44295</c:v>
                      </c:pt>
                      <c:pt idx="182">
                        <c:v>44298</c:v>
                      </c:pt>
                      <c:pt idx="183">
                        <c:v>44299</c:v>
                      </c:pt>
                      <c:pt idx="184">
                        <c:v>44300</c:v>
                      </c:pt>
                      <c:pt idx="185">
                        <c:v>44301</c:v>
                      </c:pt>
                      <c:pt idx="186">
                        <c:v>44302</c:v>
                      </c:pt>
                      <c:pt idx="187">
                        <c:v>44305</c:v>
                      </c:pt>
                      <c:pt idx="188">
                        <c:v>44306</c:v>
                      </c:pt>
                      <c:pt idx="189">
                        <c:v>44307</c:v>
                      </c:pt>
                      <c:pt idx="190">
                        <c:v>44308</c:v>
                      </c:pt>
                      <c:pt idx="191">
                        <c:v>44309</c:v>
                      </c:pt>
                      <c:pt idx="192">
                        <c:v>44311</c:v>
                      </c:pt>
                      <c:pt idx="193">
                        <c:v>44312</c:v>
                      </c:pt>
                      <c:pt idx="194">
                        <c:v>44313</c:v>
                      </c:pt>
                      <c:pt idx="195">
                        <c:v>44314</c:v>
                      </c:pt>
                      <c:pt idx="196">
                        <c:v>44315</c:v>
                      </c:pt>
                      <c:pt idx="197">
                        <c:v>44316</c:v>
                      </c:pt>
                      <c:pt idx="198">
                        <c:v>44319</c:v>
                      </c:pt>
                      <c:pt idx="199">
                        <c:v>44320</c:v>
                      </c:pt>
                      <c:pt idx="200">
                        <c:v>44321</c:v>
                      </c:pt>
                      <c:pt idx="201">
                        <c:v>44322</c:v>
                      </c:pt>
                      <c:pt idx="202">
                        <c:v>44323</c:v>
                      </c:pt>
                      <c:pt idx="203">
                        <c:v>44326</c:v>
                      </c:pt>
                      <c:pt idx="204">
                        <c:v>44327</c:v>
                      </c:pt>
                      <c:pt idx="205">
                        <c:v>44328</c:v>
                      </c:pt>
                      <c:pt idx="206">
                        <c:v>44329</c:v>
                      </c:pt>
                      <c:pt idx="207">
                        <c:v>44330</c:v>
                      </c:pt>
                      <c:pt idx="208">
                        <c:v>44333</c:v>
                      </c:pt>
                      <c:pt idx="209">
                        <c:v>44334</c:v>
                      </c:pt>
                      <c:pt idx="210">
                        <c:v>44335</c:v>
                      </c:pt>
                      <c:pt idx="211">
                        <c:v>44336</c:v>
                      </c:pt>
                      <c:pt idx="212">
                        <c:v>44337</c:v>
                      </c:pt>
                      <c:pt idx="213">
                        <c:v>44340</c:v>
                      </c:pt>
                      <c:pt idx="214">
                        <c:v>44341</c:v>
                      </c:pt>
                      <c:pt idx="215">
                        <c:v>44342</c:v>
                      </c:pt>
                      <c:pt idx="216">
                        <c:v>44343</c:v>
                      </c:pt>
                      <c:pt idx="217">
                        <c:v>44344</c:v>
                      </c:pt>
                      <c:pt idx="218">
                        <c:v>44347</c:v>
                      </c:pt>
                      <c:pt idx="219">
                        <c:v>44348</c:v>
                      </c:pt>
                      <c:pt idx="220">
                        <c:v>44349</c:v>
                      </c:pt>
                      <c:pt idx="221">
                        <c:v>44350</c:v>
                      </c:pt>
                      <c:pt idx="222">
                        <c:v>44351</c:v>
                      </c:pt>
                      <c:pt idx="223">
                        <c:v>44354</c:v>
                      </c:pt>
                      <c:pt idx="224">
                        <c:v>44355</c:v>
                      </c:pt>
                      <c:pt idx="225">
                        <c:v>44356</c:v>
                      </c:pt>
                      <c:pt idx="226">
                        <c:v>44357</c:v>
                      </c:pt>
                      <c:pt idx="227">
                        <c:v>44358</c:v>
                      </c:pt>
                      <c:pt idx="228">
                        <c:v>44361</c:v>
                      </c:pt>
                      <c:pt idx="229">
                        <c:v>44362</c:v>
                      </c:pt>
                      <c:pt idx="230">
                        <c:v>44363</c:v>
                      </c:pt>
                      <c:pt idx="231">
                        <c:v>44364</c:v>
                      </c:pt>
                      <c:pt idx="232">
                        <c:v>44365</c:v>
                      </c:pt>
                      <c:pt idx="233">
                        <c:v>44368</c:v>
                      </c:pt>
                      <c:pt idx="234">
                        <c:v>44369</c:v>
                      </c:pt>
                      <c:pt idx="235">
                        <c:v>44370</c:v>
                      </c:pt>
                      <c:pt idx="236">
                        <c:v>44371</c:v>
                      </c:pt>
                      <c:pt idx="237">
                        <c:v>44372</c:v>
                      </c:pt>
                      <c:pt idx="238">
                        <c:v>44375</c:v>
                      </c:pt>
                      <c:pt idx="239">
                        <c:v>44376</c:v>
                      </c:pt>
                      <c:pt idx="240">
                        <c:v>44377</c:v>
                      </c:pt>
                      <c:pt idx="241">
                        <c:v>44378</c:v>
                      </c:pt>
                      <c:pt idx="242">
                        <c:v>44379</c:v>
                      </c:pt>
                      <c:pt idx="243">
                        <c:v>44382</c:v>
                      </c:pt>
                      <c:pt idx="244">
                        <c:v>44383</c:v>
                      </c:pt>
                      <c:pt idx="245">
                        <c:v>44384</c:v>
                      </c:pt>
                      <c:pt idx="246">
                        <c:v>44385</c:v>
                      </c:pt>
                      <c:pt idx="247">
                        <c:v>44386</c:v>
                      </c:pt>
                      <c:pt idx="248">
                        <c:v>44389</c:v>
                      </c:pt>
                      <c:pt idx="249">
                        <c:v>44390</c:v>
                      </c:pt>
                      <c:pt idx="250">
                        <c:v>44391</c:v>
                      </c:pt>
                      <c:pt idx="251">
                        <c:v>44392</c:v>
                      </c:pt>
                      <c:pt idx="252">
                        <c:v>44393</c:v>
                      </c:pt>
                      <c:pt idx="253">
                        <c:v>44396</c:v>
                      </c:pt>
                      <c:pt idx="254">
                        <c:v>44397</c:v>
                      </c:pt>
                      <c:pt idx="255">
                        <c:v>44398</c:v>
                      </c:pt>
                      <c:pt idx="256">
                        <c:v>44399</c:v>
                      </c:pt>
                      <c:pt idx="257">
                        <c:v>44400</c:v>
                      </c:pt>
                      <c:pt idx="258">
                        <c:v>44403</c:v>
                      </c:pt>
                      <c:pt idx="259">
                        <c:v>44404</c:v>
                      </c:pt>
                      <c:pt idx="260">
                        <c:v>44405</c:v>
                      </c:pt>
                      <c:pt idx="261">
                        <c:v>44406</c:v>
                      </c:pt>
                      <c:pt idx="262">
                        <c:v>44407</c:v>
                      </c:pt>
                      <c:pt idx="263">
                        <c:v>44410</c:v>
                      </c:pt>
                      <c:pt idx="264">
                        <c:v>44411</c:v>
                      </c:pt>
                      <c:pt idx="265">
                        <c:v>44412</c:v>
                      </c:pt>
                      <c:pt idx="266">
                        <c:v>44413</c:v>
                      </c:pt>
                      <c:pt idx="267">
                        <c:v>44414</c:v>
                      </c:pt>
                      <c:pt idx="268">
                        <c:v>44417</c:v>
                      </c:pt>
                      <c:pt idx="269">
                        <c:v>44418</c:v>
                      </c:pt>
                      <c:pt idx="270">
                        <c:v>44419</c:v>
                      </c:pt>
                      <c:pt idx="271">
                        <c:v>44420</c:v>
                      </c:pt>
                      <c:pt idx="272">
                        <c:v>44421</c:v>
                      </c:pt>
                      <c:pt idx="273">
                        <c:v>44424</c:v>
                      </c:pt>
                      <c:pt idx="274">
                        <c:v>44425</c:v>
                      </c:pt>
                      <c:pt idx="275">
                        <c:v>44426</c:v>
                      </c:pt>
                      <c:pt idx="276">
                        <c:v>44427</c:v>
                      </c:pt>
                      <c:pt idx="277">
                        <c:v>44428</c:v>
                      </c:pt>
                      <c:pt idx="278">
                        <c:v>44431</c:v>
                      </c:pt>
                      <c:pt idx="279">
                        <c:v>44432</c:v>
                      </c:pt>
                      <c:pt idx="280">
                        <c:v>44433</c:v>
                      </c:pt>
                      <c:pt idx="281">
                        <c:v>44434</c:v>
                      </c:pt>
                      <c:pt idx="282">
                        <c:v>44435</c:v>
                      </c:pt>
                      <c:pt idx="283">
                        <c:v>44438</c:v>
                      </c:pt>
                      <c:pt idx="284">
                        <c:v>44439</c:v>
                      </c:pt>
                    </c:numCache>
                  </c:numRef>
                </c:cat>
                <c:val>
                  <c:numRef>
                    <c:extLst xmlns:c15="http://schemas.microsoft.com/office/drawing/2012/chart">
                      <c:ext xmlns:c15="http://schemas.microsoft.com/office/drawing/2012/chart" uri="{02D57815-91ED-43cb-92C2-25804820EDAC}">
                        <c15:formulaRef>
                          <c15:sqref>'[2021 09 GMR NEW.XLSX]Currency Chart'!$Q$6:$Q$290</c15:sqref>
                        </c15:formulaRef>
                      </c:ext>
                    </c:extLst>
                    <c:numCache>
                      <c:formatCode>0</c:formatCode>
                      <c:ptCount val="285"/>
                      <c:pt idx="0" formatCode="General">
                        <c:v>100</c:v>
                      </c:pt>
                      <c:pt idx="1">
                        <c:v>98.28927512799784</c:v>
                      </c:pt>
                      <c:pt idx="2">
                        <c:v>98.768391269199668</c:v>
                      </c:pt>
                      <c:pt idx="3">
                        <c:v>98.26866073834546</c:v>
                      </c:pt>
                      <c:pt idx="4">
                        <c:v>98.760441929399079</c:v>
                      </c:pt>
                      <c:pt idx="5">
                        <c:v>99.151172190784152</c:v>
                      </c:pt>
                      <c:pt idx="6">
                        <c:v>98.885206143896511</c:v>
                      </c:pt>
                      <c:pt idx="7">
                        <c:v>98.341147938561008</c:v>
                      </c:pt>
                      <c:pt idx="8">
                        <c:v>99.188224198329266</c:v>
                      </c:pt>
                      <c:pt idx="9">
                        <c:v>98.11290757208296</c:v>
                      </c:pt>
                      <c:pt idx="10">
                        <c:v>98.026138507140885</c:v>
                      </c:pt>
                      <c:pt idx="11">
                        <c:v>99.133656696308222</c:v>
                      </c:pt>
                      <c:pt idx="12">
                        <c:v>98.339396389113404</c:v>
                      </c:pt>
                      <c:pt idx="13">
                        <c:v>98.695904068984063</c:v>
                      </c:pt>
                      <c:pt idx="14">
                        <c:v>99.387361897062746</c:v>
                      </c:pt>
                      <c:pt idx="15">
                        <c:v>100.70735650767985</c:v>
                      </c:pt>
                      <c:pt idx="16">
                        <c:v>100.35030988951763</c:v>
                      </c:pt>
                      <c:pt idx="17">
                        <c:v>101.20991646456477</c:v>
                      </c:pt>
                      <c:pt idx="18">
                        <c:v>101.65588790083532</c:v>
                      </c:pt>
                      <c:pt idx="19">
                        <c:v>100.650094314201</c:v>
                      </c:pt>
                      <c:pt idx="20">
                        <c:v>99.706278631096708</c:v>
                      </c:pt>
                      <c:pt idx="21">
                        <c:v>99.445567232551838</c:v>
                      </c:pt>
                      <c:pt idx="22">
                        <c:v>98.82592293182428</c:v>
                      </c:pt>
                      <c:pt idx="23">
                        <c:v>101.24804634869302</c:v>
                      </c:pt>
                      <c:pt idx="24">
                        <c:v>101.34397736459171</c:v>
                      </c:pt>
                      <c:pt idx="25">
                        <c:v>101.32983023443811</c:v>
                      </c:pt>
                      <c:pt idx="26">
                        <c:v>101.86566963082723</c:v>
                      </c:pt>
                      <c:pt idx="27">
                        <c:v>102.66383724063593</c:v>
                      </c:pt>
                      <c:pt idx="28">
                        <c:v>101.32215036378334</c:v>
                      </c:pt>
                      <c:pt idx="29">
                        <c:v>101.04810024252222</c:v>
                      </c:pt>
                      <c:pt idx="30">
                        <c:v>100.74104015090271</c:v>
                      </c:pt>
                      <c:pt idx="31">
                        <c:v>101.29345189975747</c:v>
                      </c:pt>
                      <c:pt idx="32">
                        <c:v>100.9027216383724</c:v>
                      </c:pt>
                      <c:pt idx="33">
                        <c:v>100.4951495553759</c:v>
                      </c:pt>
                      <c:pt idx="34">
                        <c:v>100.95607652923738</c:v>
                      </c:pt>
                      <c:pt idx="35">
                        <c:v>101.94556723255187</c:v>
                      </c:pt>
                      <c:pt idx="36">
                        <c:v>102.55456750202102</c:v>
                      </c:pt>
                      <c:pt idx="37">
                        <c:v>102.24373484236055</c:v>
                      </c:pt>
                      <c:pt idx="38">
                        <c:v>103.73080032336298</c:v>
                      </c:pt>
                      <c:pt idx="39">
                        <c:v>103.5218270008084</c:v>
                      </c:pt>
                      <c:pt idx="40">
                        <c:v>105.18054432767447</c:v>
                      </c:pt>
                      <c:pt idx="41">
                        <c:v>106.47130153597411</c:v>
                      </c:pt>
                      <c:pt idx="42">
                        <c:v>106.37254109404472</c:v>
                      </c:pt>
                      <c:pt idx="43">
                        <c:v>104.45634599838317</c:v>
                      </c:pt>
                      <c:pt idx="44">
                        <c:v>103.66316356777148</c:v>
                      </c:pt>
                      <c:pt idx="45">
                        <c:v>105.17515494475882</c:v>
                      </c:pt>
                      <c:pt idx="46">
                        <c:v>105.17933171651843</c:v>
                      </c:pt>
                      <c:pt idx="47">
                        <c:v>105.58528698464022</c:v>
                      </c:pt>
                      <c:pt idx="48">
                        <c:v>105.0357046618162</c:v>
                      </c:pt>
                      <c:pt idx="49">
                        <c:v>104.0466181622204</c:v>
                      </c:pt>
                      <c:pt idx="50">
                        <c:v>103.2740501212611</c:v>
                      </c:pt>
                      <c:pt idx="51">
                        <c:v>103.44058205335486</c:v>
                      </c:pt>
                      <c:pt idx="52">
                        <c:v>103.59741309620046</c:v>
                      </c:pt>
                      <c:pt idx="53">
                        <c:v>104.53516572352463</c:v>
                      </c:pt>
                      <c:pt idx="54">
                        <c:v>104.8504446240905</c:v>
                      </c:pt>
                      <c:pt idx="55">
                        <c:v>104.73996227431955</c:v>
                      </c:pt>
                      <c:pt idx="56">
                        <c:v>104.37348423605492</c:v>
                      </c:pt>
                      <c:pt idx="57">
                        <c:v>103.93694421988677</c:v>
                      </c:pt>
                      <c:pt idx="58">
                        <c:v>103.18148746968467</c:v>
                      </c:pt>
                      <c:pt idx="59">
                        <c:v>102.91525195365126</c:v>
                      </c:pt>
                      <c:pt idx="60">
                        <c:v>102.53300997035834</c:v>
                      </c:pt>
                      <c:pt idx="61">
                        <c:v>102.75869037995145</c:v>
                      </c:pt>
                      <c:pt idx="62">
                        <c:v>103.81932093775258</c:v>
                      </c:pt>
                      <c:pt idx="63">
                        <c:v>106.30126650498514</c:v>
                      </c:pt>
                      <c:pt idx="64">
                        <c:v>106.11964430072753</c:v>
                      </c:pt>
                      <c:pt idx="65">
                        <c:v>106.91727297224463</c:v>
                      </c:pt>
                      <c:pt idx="66">
                        <c:v>108.26232821341952</c:v>
                      </c:pt>
                      <c:pt idx="67">
                        <c:v>106.48208030180541</c:v>
                      </c:pt>
                      <c:pt idx="68">
                        <c:v>104.36162759364049</c:v>
                      </c:pt>
                      <c:pt idx="69">
                        <c:v>103.36162759364049</c:v>
                      </c:pt>
                      <c:pt idx="70">
                        <c:v>104.04068984101316</c:v>
                      </c:pt>
                      <c:pt idx="71">
                        <c:v>102.76071139854484</c:v>
                      </c:pt>
                      <c:pt idx="72">
                        <c:v>102.91363513877657</c:v>
                      </c:pt>
                      <c:pt idx="73">
                        <c:v>103.75909458367013</c:v>
                      </c:pt>
                      <c:pt idx="74">
                        <c:v>103.86149285906758</c:v>
                      </c:pt>
                      <c:pt idx="75">
                        <c:v>103.94907033144699</c:v>
                      </c:pt>
                      <c:pt idx="76">
                        <c:v>102.54082457558604</c:v>
                      </c:pt>
                      <c:pt idx="77">
                        <c:v>102.61250336836427</c:v>
                      </c:pt>
                      <c:pt idx="78">
                        <c:v>102.19523039611958</c:v>
                      </c:pt>
                      <c:pt idx="79">
                        <c:v>102.47911614120177</c:v>
                      </c:pt>
                      <c:pt idx="80">
                        <c:v>102.46564268391262</c:v>
                      </c:pt>
                      <c:pt idx="81">
                        <c:v>102.45890595526805</c:v>
                      </c:pt>
                      <c:pt idx="82">
                        <c:v>101.56965777418479</c:v>
                      </c:pt>
                      <c:pt idx="83">
                        <c:v>101.67205604958225</c:v>
                      </c:pt>
                      <c:pt idx="84">
                        <c:v>101.85623821072481</c:v>
                      </c:pt>
                      <c:pt idx="85">
                        <c:v>102.13554298032871</c:v>
                      </c:pt>
                      <c:pt idx="86">
                        <c:v>102.84047426569653</c:v>
                      </c:pt>
                      <c:pt idx="87">
                        <c:v>102.08124494745347</c:v>
                      </c:pt>
                      <c:pt idx="88">
                        <c:v>101.00040420371863</c:v>
                      </c:pt>
                      <c:pt idx="89">
                        <c:v>100.05052546483422</c:v>
                      </c:pt>
                      <c:pt idx="90">
                        <c:v>99.700889248181056</c:v>
                      </c:pt>
                      <c:pt idx="91">
                        <c:v>99.221907841552095</c:v>
                      </c:pt>
                      <c:pt idx="92">
                        <c:v>98.803556992724282</c:v>
                      </c:pt>
                      <c:pt idx="93">
                        <c:v>99.129614659121486</c:v>
                      </c:pt>
                      <c:pt idx="94">
                        <c:v>98.35623821072484</c:v>
                      </c:pt>
                      <c:pt idx="95">
                        <c:v>98.225680409593053</c:v>
                      </c:pt>
                      <c:pt idx="96">
                        <c:v>99.226084613311727</c:v>
                      </c:pt>
                      <c:pt idx="97">
                        <c:v>98.138102937213631</c:v>
                      </c:pt>
                      <c:pt idx="98">
                        <c:v>98.580840743734811</c:v>
                      </c:pt>
                      <c:pt idx="99">
                        <c:v>98.160873080032303</c:v>
                      </c:pt>
                      <c:pt idx="100">
                        <c:v>98.571813527351068</c:v>
                      </c:pt>
                      <c:pt idx="101">
                        <c:v>100.45540285637291</c:v>
                      </c:pt>
                      <c:pt idx="102">
                        <c:v>102.18539477229852</c:v>
                      </c:pt>
                      <c:pt idx="103">
                        <c:v>100.90676367555911</c:v>
                      </c:pt>
                      <c:pt idx="104">
                        <c:v>99.455672325518691</c:v>
                      </c:pt>
                      <c:pt idx="105">
                        <c:v>99.717057396928013</c:v>
                      </c:pt>
                      <c:pt idx="106">
                        <c:v>99.008757747237908</c:v>
                      </c:pt>
                      <c:pt idx="107">
                        <c:v>99.516302883319838</c:v>
                      </c:pt>
                      <c:pt idx="108">
                        <c:v>99.888978711937469</c:v>
                      </c:pt>
                      <c:pt idx="109">
                        <c:v>99.420641336566945</c:v>
                      </c:pt>
                      <c:pt idx="110">
                        <c:v>99.420641336566945</c:v>
                      </c:pt>
                      <c:pt idx="111">
                        <c:v>100.08218808946373</c:v>
                      </c:pt>
                      <c:pt idx="112">
                        <c:v>99.851791969819431</c:v>
                      </c:pt>
                      <c:pt idx="113">
                        <c:v>99.309485313931518</c:v>
                      </c:pt>
                      <c:pt idx="114">
                        <c:v>100.29385610347613</c:v>
                      </c:pt>
                      <c:pt idx="115">
                        <c:v>99.454324979789789</c:v>
                      </c:pt>
                      <c:pt idx="116">
                        <c:v>100.46766370250603</c:v>
                      </c:pt>
                      <c:pt idx="117">
                        <c:v>98.957962813257865</c:v>
                      </c:pt>
                      <c:pt idx="118">
                        <c:v>99.349905685798944</c:v>
                      </c:pt>
                      <c:pt idx="119">
                        <c:v>98.517380759902977</c:v>
                      </c:pt>
                      <c:pt idx="120">
                        <c:v>98.773915386688216</c:v>
                      </c:pt>
                      <c:pt idx="121">
                        <c:v>99.436809485313916</c:v>
                      </c:pt>
                      <c:pt idx="122">
                        <c:v>99.225276205874394</c:v>
                      </c:pt>
                      <c:pt idx="123">
                        <c:v>98.866882241983276</c:v>
                      </c:pt>
                      <c:pt idx="124">
                        <c:v>99.356642414443527</c:v>
                      </c:pt>
                      <c:pt idx="125">
                        <c:v>101.25303152789003</c:v>
                      </c:pt>
                      <c:pt idx="126">
                        <c:v>101.50579358663428</c:v>
                      </c:pt>
                      <c:pt idx="127">
                        <c:v>101.05766639719748</c:v>
                      </c:pt>
                      <c:pt idx="128">
                        <c:v>102.01738075990295</c:v>
                      </c:pt>
                      <c:pt idx="129">
                        <c:v>102.2392886014551</c:v>
                      </c:pt>
                      <c:pt idx="130">
                        <c:v>102.06143896523844</c:v>
                      </c:pt>
                      <c:pt idx="131">
                        <c:v>102.40770681756935</c:v>
                      </c:pt>
                      <c:pt idx="132">
                        <c:v>102.58286176232818</c:v>
                      </c:pt>
                      <c:pt idx="133">
                        <c:v>102.17731069792505</c:v>
                      </c:pt>
                      <c:pt idx="134">
                        <c:v>101.5901374292643</c:v>
                      </c:pt>
                      <c:pt idx="135">
                        <c:v>100.44731878199943</c:v>
                      </c:pt>
                      <c:pt idx="136">
                        <c:v>100.04190245216918</c:v>
                      </c:pt>
                      <c:pt idx="137">
                        <c:v>99.435462139584985</c:v>
                      </c:pt>
                      <c:pt idx="138">
                        <c:v>99.521692266235476</c:v>
                      </c:pt>
                      <c:pt idx="139">
                        <c:v>99.115063325249224</c:v>
                      </c:pt>
                      <c:pt idx="140">
                        <c:v>99.056857989760147</c:v>
                      </c:pt>
                      <c:pt idx="141">
                        <c:v>98.690245216922648</c:v>
                      </c:pt>
                      <c:pt idx="142">
                        <c:v>99.126919967663682</c:v>
                      </c:pt>
                      <c:pt idx="143">
                        <c:v>99.271085960657487</c:v>
                      </c:pt>
                      <c:pt idx="144">
                        <c:v>99.461061708434343</c:v>
                      </c:pt>
                      <c:pt idx="145">
                        <c:v>99.636216653193188</c:v>
                      </c:pt>
                      <c:pt idx="146">
                        <c:v>99.768256534626758</c:v>
                      </c:pt>
                      <c:pt idx="147">
                        <c:v>100.0668283481541</c:v>
                      </c:pt>
                      <c:pt idx="148">
                        <c:v>99.625437887361855</c:v>
                      </c:pt>
                      <c:pt idx="149">
                        <c:v>98.920776071139812</c:v>
                      </c:pt>
                      <c:pt idx="150">
                        <c:v>100.56857989760167</c:v>
                      </c:pt>
                      <c:pt idx="151">
                        <c:v>99.913769873349452</c:v>
                      </c:pt>
                      <c:pt idx="152">
                        <c:v>100.00808407437343</c:v>
                      </c:pt>
                      <c:pt idx="153">
                        <c:v>99.306116949609219</c:v>
                      </c:pt>
                      <c:pt idx="154">
                        <c:v>99.626785233090757</c:v>
                      </c:pt>
                      <c:pt idx="155">
                        <c:v>100.42131500943137</c:v>
                      </c:pt>
                      <c:pt idx="156">
                        <c:v>99.851791969819402</c:v>
                      </c:pt>
                      <c:pt idx="157">
                        <c:v>100.17178658043647</c:v>
                      </c:pt>
                      <c:pt idx="158">
                        <c:v>99.498787388843908</c:v>
                      </c:pt>
                      <c:pt idx="159">
                        <c:v>98.908649959579563</c:v>
                      </c:pt>
                      <c:pt idx="160">
                        <c:v>98.734842360549663</c:v>
                      </c:pt>
                      <c:pt idx="161">
                        <c:v>98.298976017245948</c:v>
                      </c:pt>
                      <c:pt idx="162">
                        <c:v>97.955402856372871</c:v>
                      </c:pt>
                      <c:pt idx="163">
                        <c:v>97.762597682565271</c:v>
                      </c:pt>
                      <c:pt idx="164">
                        <c:v>99.272433306386361</c:v>
                      </c:pt>
                      <c:pt idx="165">
                        <c:v>99.909054163298237</c:v>
                      </c:pt>
                      <c:pt idx="166">
                        <c:v>99.79924548639174</c:v>
                      </c:pt>
                      <c:pt idx="167">
                        <c:v>100.55510644031253</c:v>
                      </c:pt>
                      <c:pt idx="168">
                        <c:v>102.86243600107782</c:v>
                      </c:pt>
                      <c:pt idx="169">
                        <c:v>103.12139585017511</c:v>
                      </c:pt>
                      <c:pt idx="170">
                        <c:v>102.4273780652115</c:v>
                      </c:pt>
                      <c:pt idx="171">
                        <c:v>101.9240097008892</c:v>
                      </c:pt>
                      <c:pt idx="172">
                        <c:v>101.70304500134731</c:v>
                      </c:pt>
                      <c:pt idx="173">
                        <c:v>102.02411748854753</c:v>
                      </c:pt>
                      <c:pt idx="174">
                        <c:v>101.8472109943411</c:v>
                      </c:pt>
                      <c:pt idx="175">
                        <c:v>102.67448127189432</c:v>
                      </c:pt>
                      <c:pt idx="176">
                        <c:v>103.0450013473457</c:v>
                      </c:pt>
                      <c:pt idx="177">
                        <c:v>102.86095392077604</c:v>
                      </c:pt>
                      <c:pt idx="178">
                        <c:v>103.85340878469411</c:v>
                      </c:pt>
                      <c:pt idx="179">
                        <c:v>103.61088655348959</c:v>
                      </c:pt>
                      <c:pt idx="180">
                        <c:v>103.33602802479112</c:v>
                      </c:pt>
                      <c:pt idx="181">
                        <c:v>104.21719213150091</c:v>
                      </c:pt>
                      <c:pt idx="182">
                        <c:v>104.08515225006732</c:v>
                      </c:pt>
                      <c:pt idx="183">
                        <c:v>102.26354082457556</c:v>
                      </c:pt>
                      <c:pt idx="184">
                        <c:v>101.89706278631093</c:v>
                      </c:pt>
                      <c:pt idx="185">
                        <c:v>102.81325788197249</c:v>
                      </c:pt>
                      <c:pt idx="186">
                        <c:v>102.13217461600642</c:v>
                      </c:pt>
                      <c:pt idx="187">
                        <c:v>102.76340609000266</c:v>
                      </c:pt>
                      <c:pt idx="188">
                        <c:v>103.42764753435726</c:v>
                      </c:pt>
                      <c:pt idx="189">
                        <c:v>103.01131770412282</c:v>
                      </c:pt>
                      <c:pt idx="190">
                        <c:v>101.34060900026942</c:v>
                      </c:pt>
                      <c:pt idx="191">
                        <c:v>100.65750471570999</c:v>
                      </c:pt>
                      <c:pt idx="192">
                        <c:v>100.65750471570999</c:v>
                      </c:pt>
                      <c:pt idx="193">
                        <c:v>100.98356238210719</c:v>
                      </c:pt>
                      <c:pt idx="194">
                        <c:v>100.89867960118561</c:v>
                      </c:pt>
                      <c:pt idx="195">
                        <c:v>100.14093236324436</c:v>
                      </c:pt>
                      <c:pt idx="196">
                        <c:v>100.34020479655072</c:v>
                      </c:pt>
                      <c:pt idx="197">
                        <c:v>101.26650498517913</c:v>
                      </c:pt>
                      <c:pt idx="198">
                        <c:v>100.85152250067361</c:v>
                      </c:pt>
                      <c:pt idx="199">
                        <c:v>100.45136081918615</c:v>
                      </c:pt>
                      <c:pt idx="200">
                        <c:v>100.6494206413365</c:v>
                      </c:pt>
                      <c:pt idx="201">
                        <c:v>99.938022096469908</c:v>
                      </c:pt>
                      <c:pt idx="202">
                        <c:v>99.110751818916683</c:v>
                      </c:pt>
                      <c:pt idx="203">
                        <c:v>100.01684182161138</c:v>
                      </c:pt>
                      <c:pt idx="204">
                        <c:v>99.636216653193159</c:v>
                      </c:pt>
                      <c:pt idx="205">
                        <c:v>100.3503098895176</c:v>
                      </c:pt>
                      <c:pt idx="206">
                        <c:v>99.676637025060586</c:v>
                      </c:pt>
                      <c:pt idx="207">
                        <c:v>99.504176771759589</c:v>
                      </c:pt>
                      <c:pt idx="208">
                        <c:v>99.390999730530808</c:v>
                      </c:pt>
                      <c:pt idx="209">
                        <c:v>99.099973053085378</c:v>
                      </c:pt>
                      <c:pt idx="210">
                        <c:v>99.295742387496574</c:v>
                      </c:pt>
                      <c:pt idx="211">
                        <c:v>98.962543788736127</c:v>
                      </c:pt>
                      <c:pt idx="212">
                        <c:v>99.033953112368565</c:v>
                      </c:pt>
                      <c:pt idx="213">
                        <c:v>98.897871193748259</c:v>
                      </c:pt>
                      <c:pt idx="214">
                        <c:v>98.962004850444572</c:v>
                      </c:pt>
                      <c:pt idx="215">
                        <c:v>98.947722985718073</c:v>
                      </c:pt>
                      <c:pt idx="216">
                        <c:v>98.790083535435144</c:v>
                      </c:pt>
                      <c:pt idx="217">
                        <c:v>98.360280247911561</c:v>
                      </c:pt>
                      <c:pt idx="218">
                        <c:v>98.69307464295332</c:v>
                      </c:pt>
                      <c:pt idx="219">
                        <c:v>98.94907033144699</c:v>
                      </c:pt>
                      <c:pt idx="220">
                        <c:v>98.426300188628346</c:v>
                      </c:pt>
                      <c:pt idx="221">
                        <c:v>98.274858528698402</c:v>
                      </c:pt>
                      <c:pt idx="222">
                        <c:v>98.005928321207151</c:v>
                      </c:pt>
                      <c:pt idx="223">
                        <c:v>97.990164376178868</c:v>
                      </c:pt>
                      <c:pt idx="224">
                        <c:v>97.292912961465859</c:v>
                      </c:pt>
                      <c:pt idx="225">
                        <c:v>97.357855025599505</c:v>
                      </c:pt>
                      <c:pt idx="226">
                        <c:v>96.645109135003977</c:v>
                      </c:pt>
                      <c:pt idx="227">
                        <c:v>96.74346537321469</c:v>
                      </c:pt>
                      <c:pt idx="228">
                        <c:v>96.973861492858987</c:v>
                      </c:pt>
                      <c:pt idx="229">
                        <c:v>97.244677984370711</c:v>
                      </c:pt>
                      <c:pt idx="230">
                        <c:v>97.820533548908585</c:v>
                      </c:pt>
                      <c:pt idx="231">
                        <c:v>97.347076259768187</c:v>
                      </c:pt>
                      <c:pt idx="232">
                        <c:v>97.935866343303616</c:v>
                      </c:pt>
                      <c:pt idx="233">
                        <c:v>98.358932902182616</c:v>
                      </c:pt>
                      <c:pt idx="234">
                        <c:v>98.046348693074549</c:v>
                      </c:pt>
                      <c:pt idx="235">
                        <c:v>97.597682565346176</c:v>
                      </c:pt>
                      <c:pt idx="236">
                        <c:v>97.214362705470137</c:v>
                      </c:pt>
                      <c:pt idx="237">
                        <c:v>97.126111560226278</c:v>
                      </c:pt>
                      <c:pt idx="238">
                        <c:v>97.149016437617803</c:v>
                      </c:pt>
                      <c:pt idx="239">
                        <c:v>97.960118566424072</c:v>
                      </c:pt>
                      <c:pt idx="240">
                        <c:v>98.322554567501939</c:v>
                      </c:pt>
                      <c:pt idx="241">
                        <c:v>98.756265157639376</c:v>
                      </c:pt>
                      <c:pt idx="242">
                        <c:v>98.477499326327077</c:v>
                      </c:pt>
                      <c:pt idx="243">
                        <c:v>98.786041498248395</c:v>
                      </c:pt>
                      <c:pt idx="244">
                        <c:v>100.15494475882504</c:v>
                      </c:pt>
                      <c:pt idx="245">
                        <c:v>100.3705200754513</c:v>
                      </c:pt>
                      <c:pt idx="246">
                        <c:v>100.48504446240899</c:v>
                      </c:pt>
                      <c:pt idx="247">
                        <c:v>100.133926165454</c:v>
                      </c:pt>
                      <c:pt idx="248">
                        <c:v>100.1666666666666</c:v>
                      </c:pt>
                      <c:pt idx="249">
                        <c:v>100.11856642414439</c:v>
                      </c:pt>
                      <c:pt idx="250">
                        <c:v>99.758825114524328</c:v>
                      </c:pt>
                      <c:pt idx="251">
                        <c:v>99.997709512260798</c:v>
                      </c:pt>
                      <c:pt idx="252">
                        <c:v>99.692805173807557</c:v>
                      </c:pt>
                      <c:pt idx="253">
                        <c:v>100.49312853678248</c:v>
                      </c:pt>
                      <c:pt idx="254">
                        <c:v>100.03098895176495</c:v>
                      </c:pt>
                      <c:pt idx="255">
                        <c:v>99.528428994880031</c:v>
                      </c:pt>
                      <c:pt idx="256">
                        <c:v>99.105362436001016</c:v>
                      </c:pt>
                      <c:pt idx="257">
                        <c:v>99.31420102398269</c:v>
                      </c:pt>
                      <c:pt idx="258">
                        <c:v>99.141067097817228</c:v>
                      </c:pt>
                      <c:pt idx="259">
                        <c:v>99.300727566693539</c:v>
                      </c:pt>
                      <c:pt idx="260">
                        <c:v>98.861492859067567</c:v>
                      </c:pt>
                      <c:pt idx="261">
                        <c:v>98.467394233360196</c:v>
                      </c:pt>
                      <c:pt idx="262">
                        <c:v>98.453920776071072</c:v>
                      </c:pt>
                      <c:pt idx="263">
                        <c:v>98.120452708164848</c:v>
                      </c:pt>
                      <c:pt idx="264">
                        <c:v>98.260307194826112</c:v>
                      </c:pt>
                      <c:pt idx="265">
                        <c:v>98.445163028833122</c:v>
                      </c:pt>
                      <c:pt idx="266">
                        <c:v>98.428455941794581</c:v>
                      </c:pt>
                      <c:pt idx="267">
                        <c:v>99.023174346537246</c:v>
                      </c:pt>
                      <c:pt idx="268">
                        <c:v>99.168687685259954</c:v>
                      </c:pt>
                      <c:pt idx="269">
                        <c:v>99.524386957693281</c:v>
                      </c:pt>
                      <c:pt idx="270">
                        <c:v>98.879008353543455</c:v>
                      </c:pt>
                      <c:pt idx="271">
                        <c:v>99.073026138507061</c:v>
                      </c:pt>
                      <c:pt idx="272">
                        <c:v>98.561034761519736</c:v>
                      </c:pt>
                      <c:pt idx="273">
                        <c:v>98.544866612772765</c:v>
                      </c:pt>
                      <c:pt idx="274">
                        <c:v>98.990703314470409</c:v>
                      </c:pt>
                      <c:pt idx="275">
                        <c:v>98.97251414713007</c:v>
                      </c:pt>
                      <c:pt idx="276">
                        <c:v>99.632848288870832</c:v>
                      </c:pt>
                      <c:pt idx="277">
                        <c:v>100.06063055780105</c:v>
                      </c:pt>
                      <c:pt idx="278">
                        <c:v>99.565750471570922</c:v>
                      </c:pt>
                      <c:pt idx="279">
                        <c:v>99.120856911883507</c:v>
                      </c:pt>
                      <c:pt idx="280">
                        <c:v>99.373484236054878</c:v>
                      </c:pt>
                      <c:pt idx="281">
                        <c:v>99.859876044192845</c:v>
                      </c:pt>
                      <c:pt idx="282">
                        <c:v>98.958501751549363</c:v>
                      </c:pt>
                      <c:pt idx="283">
                        <c:v>98.898005928321126</c:v>
                      </c:pt>
                      <c:pt idx="284">
                        <c:v>98.514551333872191</c:v>
                      </c:pt>
                    </c:numCache>
                  </c:numRef>
                </c:val>
                <c:smooth val="0"/>
                <c:extLst xmlns:c15="http://schemas.microsoft.com/office/drawing/2012/chart">
                  <c:ext xmlns:c16="http://schemas.microsoft.com/office/drawing/2014/chart" uri="{C3380CC4-5D6E-409C-BE32-E72D297353CC}">
                    <c16:uniqueId val="{00000004-A0A6-4952-B73D-3412C30D1F85}"/>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'[2021 09 GMR NEW.XLSX]Currency Chart'!$S$5</c15:sqref>
                        </c15:formulaRef>
                      </c:ext>
                    </c:extLst>
                    <c:strCache>
                      <c:ptCount val="1"/>
                      <c:pt idx="0">
                        <c:v>Renminbi</c:v>
                      </c:pt>
                    </c:strCache>
                  </c:strRef>
                </c:tx>
                <c:spPr>
                  <a:ln w="28575" cap="rnd">
                    <a:solidFill>
                      <a:schemeClr val="accent4"/>
                    </a:solidFill>
                    <a:round/>
                  </a:ln>
                  <a:effectLst/>
                </c:spPr>
                <c:marker>
                  <c:symbol val="none"/>
                </c:marker>
                <c:cat>
                  <c:numRef>
                    <c:extLst xmlns:c15="http://schemas.microsoft.com/office/drawing/2012/chart">
                      <c:ext xmlns:c15="http://schemas.microsoft.com/office/drawing/2012/chart" uri="{02D57815-91ED-43cb-92C2-25804820EDAC}">
                        <c15:formulaRef>
                          <c15:sqref>'[2021 09 GMR NEW.XLSX]Currency Chart'!$O$6:$O$290</c15:sqref>
                        </c15:formulaRef>
                      </c:ext>
                    </c:extLst>
                    <c:numCache>
                      <c:formatCode>m/d/yyyy</c:formatCode>
                      <c:ptCount val="285"/>
                      <c:pt idx="0">
                        <c:v>44043</c:v>
                      </c:pt>
                      <c:pt idx="1">
                        <c:v>44046</c:v>
                      </c:pt>
                      <c:pt idx="2">
                        <c:v>44047</c:v>
                      </c:pt>
                      <c:pt idx="3">
                        <c:v>44048</c:v>
                      </c:pt>
                      <c:pt idx="4">
                        <c:v>44049</c:v>
                      </c:pt>
                      <c:pt idx="5">
                        <c:v>44050</c:v>
                      </c:pt>
                      <c:pt idx="6">
                        <c:v>44053</c:v>
                      </c:pt>
                      <c:pt idx="7">
                        <c:v>44054</c:v>
                      </c:pt>
                      <c:pt idx="8">
                        <c:v>44055</c:v>
                      </c:pt>
                      <c:pt idx="9">
                        <c:v>44056</c:v>
                      </c:pt>
                      <c:pt idx="10">
                        <c:v>44057</c:v>
                      </c:pt>
                      <c:pt idx="11">
                        <c:v>44060</c:v>
                      </c:pt>
                      <c:pt idx="12">
                        <c:v>44061</c:v>
                      </c:pt>
                      <c:pt idx="13">
                        <c:v>44062</c:v>
                      </c:pt>
                      <c:pt idx="14">
                        <c:v>44063</c:v>
                      </c:pt>
                      <c:pt idx="15">
                        <c:v>44064</c:v>
                      </c:pt>
                      <c:pt idx="16">
                        <c:v>44067</c:v>
                      </c:pt>
                      <c:pt idx="17">
                        <c:v>44068</c:v>
                      </c:pt>
                      <c:pt idx="18">
                        <c:v>44069</c:v>
                      </c:pt>
                      <c:pt idx="19">
                        <c:v>44070</c:v>
                      </c:pt>
                      <c:pt idx="20">
                        <c:v>44071</c:v>
                      </c:pt>
                      <c:pt idx="21">
                        <c:v>44074</c:v>
                      </c:pt>
                      <c:pt idx="22">
                        <c:v>44075</c:v>
                      </c:pt>
                      <c:pt idx="23">
                        <c:v>44076</c:v>
                      </c:pt>
                      <c:pt idx="24">
                        <c:v>44077</c:v>
                      </c:pt>
                      <c:pt idx="25">
                        <c:v>44078</c:v>
                      </c:pt>
                      <c:pt idx="26">
                        <c:v>44081</c:v>
                      </c:pt>
                      <c:pt idx="27">
                        <c:v>44082</c:v>
                      </c:pt>
                      <c:pt idx="28">
                        <c:v>44083</c:v>
                      </c:pt>
                      <c:pt idx="29">
                        <c:v>44084</c:v>
                      </c:pt>
                      <c:pt idx="30">
                        <c:v>44085</c:v>
                      </c:pt>
                      <c:pt idx="31">
                        <c:v>44088</c:v>
                      </c:pt>
                      <c:pt idx="32">
                        <c:v>44089</c:v>
                      </c:pt>
                      <c:pt idx="33">
                        <c:v>44090</c:v>
                      </c:pt>
                      <c:pt idx="34">
                        <c:v>44091</c:v>
                      </c:pt>
                      <c:pt idx="35">
                        <c:v>44092</c:v>
                      </c:pt>
                      <c:pt idx="36">
                        <c:v>44095</c:v>
                      </c:pt>
                      <c:pt idx="37">
                        <c:v>44096</c:v>
                      </c:pt>
                      <c:pt idx="38">
                        <c:v>44097</c:v>
                      </c:pt>
                      <c:pt idx="39">
                        <c:v>44098</c:v>
                      </c:pt>
                      <c:pt idx="40">
                        <c:v>44099</c:v>
                      </c:pt>
                      <c:pt idx="41">
                        <c:v>44102</c:v>
                      </c:pt>
                      <c:pt idx="42">
                        <c:v>44103</c:v>
                      </c:pt>
                      <c:pt idx="43">
                        <c:v>44104</c:v>
                      </c:pt>
                      <c:pt idx="44">
                        <c:v>44105</c:v>
                      </c:pt>
                      <c:pt idx="45">
                        <c:v>44106</c:v>
                      </c:pt>
                      <c:pt idx="46">
                        <c:v>44109</c:v>
                      </c:pt>
                      <c:pt idx="47">
                        <c:v>44110</c:v>
                      </c:pt>
                      <c:pt idx="48">
                        <c:v>44111</c:v>
                      </c:pt>
                      <c:pt idx="49">
                        <c:v>44112</c:v>
                      </c:pt>
                      <c:pt idx="50">
                        <c:v>44113</c:v>
                      </c:pt>
                      <c:pt idx="51">
                        <c:v>44116</c:v>
                      </c:pt>
                      <c:pt idx="52">
                        <c:v>44117</c:v>
                      </c:pt>
                      <c:pt idx="53">
                        <c:v>44118</c:v>
                      </c:pt>
                      <c:pt idx="54">
                        <c:v>44119</c:v>
                      </c:pt>
                      <c:pt idx="55">
                        <c:v>44120</c:v>
                      </c:pt>
                      <c:pt idx="56">
                        <c:v>44123</c:v>
                      </c:pt>
                      <c:pt idx="57">
                        <c:v>44124</c:v>
                      </c:pt>
                      <c:pt idx="58">
                        <c:v>44125</c:v>
                      </c:pt>
                      <c:pt idx="59">
                        <c:v>44126</c:v>
                      </c:pt>
                      <c:pt idx="60">
                        <c:v>44127</c:v>
                      </c:pt>
                      <c:pt idx="61">
                        <c:v>44130</c:v>
                      </c:pt>
                      <c:pt idx="62">
                        <c:v>44131</c:v>
                      </c:pt>
                      <c:pt idx="63">
                        <c:v>44132</c:v>
                      </c:pt>
                      <c:pt idx="64">
                        <c:v>44133</c:v>
                      </c:pt>
                      <c:pt idx="65">
                        <c:v>44134</c:v>
                      </c:pt>
                      <c:pt idx="66">
                        <c:v>44137</c:v>
                      </c:pt>
                      <c:pt idx="67">
                        <c:v>44138</c:v>
                      </c:pt>
                      <c:pt idx="68">
                        <c:v>44139</c:v>
                      </c:pt>
                      <c:pt idx="69">
                        <c:v>44140</c:v>
                      </c:pt>
                      <c:pt idx="70">
                        <c:v>44141</c:v>
                      </c:pt>
                      <c:pt idx="71">
                        <c:v>44144</c:v>
                      </c:pt>
                      <c:pt idx="72">
                        <c:v>44145</c:v>
                      </c:pt>
                      <c:pt idx="73">
                        <c:v>44146</c:v>
                      </c:pt>
                      <c:pt idx="74">
                        <c:v>44147</c:v>
                      </c:pt>
                      <c:pt idx="75">
                        <c:v>44148</c:v>
                      </c:pt>
                      <c:pt idx="76">
                        <c:v>44151</c:v>
                      </c:pt>
                      <c:pt idx="77">
                        <c:v>44152</c:v>
                      </c:pt>
                      <c:pt idx="78">
                        <c:v>44153</c:v>
                      </c:pt>
                      <c:pt idx="79">
                        <c:v>44154</c:v>
                      </c:pt>
                      <c:pt idx="80">
                        <c:v>44155</c:v>
                      </c:pt>
                      <c:pt idx="81">
                        <c:v>44158</c:v>
                      </c:pt>
                      <c:pt idx="82">
                        <c:v>44159</c:v>
                      </c:pt>
                      <c:pt idx="83">
                        <c:v>44160</c:v>
                      </c:pt>
                      <c:pt idx="84">
                        <c:v>44161</c:v>
                      </c:pt>
                      <c:pt idx="85">
                        <c:v>44162</c:v>
                      </c:pt>
                      <c:pt idx="86">
                        <c:v>44165</c:v>
                      </c:pt>
                      <c:pt idx="87">
                        <c:v>44166</c:v>
                      </c:pt>
                      <c:pt idx="88">
                        <c:v>44167</c:v>
                      </c:pt>
                      <c:pt idx="89">
                        <c:v>44168</c:v>
                      </c:pt>
                      <c:pt idx="90">
                        <c:v>44169</c:v>
                      </c:pt>
                      <c:pt idx="91">
                        <c:v>44172</c:v>
                      </c:pt>
                      <c:pt idx="92">
                        <c:v>44173</c:v>
                      </c:pt>
                      <c:pt idx="93">
                        <c:v>44174</c:v>
                      </c:pt>
                      <c:pt idx="94">
                        <c:v>44175</c:v>
                      </c:pt>
                      <c:pt idx="95">
                        <c:v>44176</c:v>
                      </c:pt>
                      <c:pt idx="96">
                        <c:v>44179</c:v>
                      </c:pt>
                      <c:pt idx="97">
                        <c:v>44180</c:v>
                      </c:pt>
                      <c:pt idx="98">
                        <c:v>44181</c:v>
                      </c:pt>
                      <c:pt idx="99">
                        <c:v>44182</c:v>
                      </c:pt>
                      <c:pt idx="100">
                        <c:v>44183</c:v>
                      </c:pt>
                      <c:pt idx="101">
                        <c:v>44186</c:v>
                      </c:pt>
                      <c:pt idx="102">
                        <c:v>44187</c:v>
                      </c:pt>
                      <c:pt idx="103">
                        <c:v>44188</c:v>
                      </c:pt>
                      <c:pt idx="104">
                        <c:v>44189</c:v>
                      </c:pt>
                      <c:pt idx="105">
                        <c:v>44190</c:v>
                      </c:pt>
                      <c:pt idx="106">
                        <c:v>44193</c:v>
                      </c:pt>
                      <c:pt idx="107">
                        <c:v>44194</c:v>
                      </c:pt>
                      <c:pt idx="108">
                        <c:v>44195</c:v>
                      </c:pt>
                      <c:pt idx="109">
                        <c:v>44196</c:v>
                      </c:pt>
                      <c:pt idx="110">
                        <c:v>44197</c:v>
                      </c:pt>
                      <c:pt idx="111">
                        <c:v>44200</c:v>
                      </c:pt>
                      <c:pt idx="112">
                        <c:v>44201</c:v>
                      </c:pt>
                      <c:pt idx="113">
                        <c:v>44202</c:v>
                      </c:pt>
                      <c:pt idx="114">
                        <c:v>44203</c:v>
                      </c:pt>
                      <c:pt idx="115">
                        <c:v>44204</c:v>
                      </c:pt>
                      <c:pt idx="116">
                        <c:v>44207</c:v>
                      </c:pt>
                      <c:pt idx="117">
                        <c:v>44208</c:v>
                      </c:pt>
                      <c:pt idx="118">
                        <c:v>44209</c:v>
                      </c:pt>
                      <c:pt idx="119">
                        <c:v>44210</c:v>
                      </c:pt>
                      <c:pt idx="120">
                        <c:v>44211</c:v>
                      </c:pt>
                      <c:pt idx="121">
                        <c:v>44214</c:v>
                      </c:pt>
                      <c:pt idx="122">
                        <c:v>44215</c:v>
                      </c:pt>
                      <c:pt idx="123">
                        <c:v>44216</c:v>
                      </c:pt>
                      <c:pt idx="124">
                        <c:v>44217</c:v>
                      </c:pt>
                      <c:pt idx="125">
                        <c:v>44218</c:v>
                      </c:pt>
                      <c:pt idx="126">
                        <c:v>44221</c:v>
                      </c:pt>
                      <c:pt idx="127">
                        <c:v>44222</c:v>
                      </c:pt>
                      <c:pt idx="128">
                        <c:v>44223</c:v>
                      </c:pt>
                      <c:pt idx="129">
                        <c:v>44224</c:v>
                      </c:pt>
                      <c:pt idx="130">
                        <c:v>44225</c:v>
                      </c:pt>
                      <c:pt idx="131">
                        <c:v>44228</c:v>
                      </c:pt>
                      <c:pt idx="132">
                        <c:v>44229</c:v>
                      </c:pt>
                      <c:pt idx="133">
                        <c:v>44230</c:v>
                      </c:pt>
                      <c:pt idx="134">
                        <c:v>44231</c:v>
                      </c:pt>
                      <c:pt idx="135">
                        <c:v>44232</c:v>
                      </c:pt>
                      <c:pt idx="136">
                        <c:v>44235</c:v>
                      </c:pt>
                      <c:pt idx="137">
                        <c:v>44236</c:v>
                      </c:pt>
                      <c:pt idx="138">
                        <c:v>44237</c:v>
                      </c:pt>
                      <c:pt idx="139">
                        <c:v>44238</c:v>
                      </c:pt>
                      <c:pt idx="140">
                        <c:v>44239</c:v>
                      </c:pt>
                      <c:pt idx="141">
                        <c:v>44242</c:v>
                      </c:pt>
                      <c:pt idx="142">
                        <c:v>44243</c:v>
                      </c:pt>
                      <c:pt idx="143">
                        <c:v>44244</c:v>
                      </c:pt>
                      <c:pt idx="144">
                        <c:v>44245</c:v>
                      </c:pt>
                      <c:pt idx="145">
                        <c:v>44246</c:v>
                      </c:pt>
                      <c:pt idx="146">
                        <c:v>44247</c:v>
                      </c:pt>
                      <c:pt idx="147">
                        <c:v>44249</c:v>
                      </c:pt>
                      <c:pt idx="148">
                        <c:v>44250</c:v>
                      </c:pt>
                      <c:pt idx="149">
                        <c:v>44251</c:v>
                      </c:pt>
                      <c:pt idx="150">
                        <c:v>44252</c:v>
                      </c:pt>
                      <c:pt idx="151">
                        <c:v>44253</c:v>
                      </c:pt>
                      <c:pt idx="152">
                        <c:v>44256</c:v>
                      </c:pt>
                      <c:pt idx="153">
                        <c:v>44257</c:v>
                      </c:pt>
                      <c:pt idx="154">
                        <c:v>44258</c:v>
                      </c:pt>
                      <c:pt idx="155">
                        <c:v>44259</c:v>
                      </c:pt>
                      <c:pt idx="156">
                        <c:v>44260</c:v>
                      </c:pt>
                      <c:pt idx="157">
                        <c:v>44263</c:v>
                      </c:pt>
                      <c:pt idx="158">
                        <c:v>44264</c:v>
                      </c:pt>
                      <c:pt idx="159">
                        <c:v>44265</c:v>
                      </c:pt>
                      <c:pt idx="160">
                        <c:v>44266</c:v>
                      </c:pt>
                      <c:pt idx="161">
                        <c:v>44267</c:v>
                      </c:pt>
                      <c:pt idx="162">
                        <c:v>44270</c:v>
                      </c:pt>
                      <c:pt idx="163">
                        <c:v>44271</c:v>
                      </c:pt>
                      <c:pt idx="164">
                        <c:v>44272</c:v>
                      </c:pt>
                      <c:pt idx="165">
                        <c:v>44273</c:v>
                      </c:pt>
                      <c:pt idx="166">
                        <c:v>44274</c:v>
                      </c:pt>
                      <c:pt idx="167">
                        <c:v>44277</c:v>
                      </c:pt>
                      <c:pt idx="168">
                        <c:v>44278</c:v>
                      </c:pt>
                      <c:pt idx="169">
                        <c:v>44279</c:v>
                      </c:pt>
                      <c:pt idx="170">
                        <c:v>44280</c:v>
                      </c:pt>
                      <c:pt idx="171">
                        <c:v>44281</c:v>
                      </c:pt>
                      <c:pt idx="172">
                        <c:v>44284</c:v>
                      </c:pt>
                      <c:pt idx="173">
                        <c:v>44285</c:v>
                      </c:pt>
                      <c:pt idx="174">
                        <c:v>44286</c:v>
                      </c:pt>
                      <c:pt idx="175">
                        <c:v>44287</c:v>
                      </c:pt>
                      <c:pt idx="176">
                        <c:v>44288</c:v>
                      </c:pt>
                      <c:pt idx="177">
                        <c:v>44291</c:v>
                      </c:pt>
                      <c:pt idx="178">
                        <c:v>44292</c:v>
                      </c:pt>
                      <c:pt idx="179">
                        <c:v>44293</c:v>
                      </c:pt>
                      <c:pt idx="180">
                        <c:v>44294</c:v>
                      </c:pt>
                      <c:pt idx="181">
                        <c:v>44295</c:v>
                      </c:pt>
                      <c:pt idx="182">
                        <c:v>44298</c:v>
                      </c:pt>
                      <c:pt idx="183">
                        <c:v>44299</c:v>
                      </c:pt>
                      <c:pt idx="184">
                        <c:v>44300</c:v>
                      </c:pt>
                      <c:pt idx="185">
                        <c:v>44301</c:v>
                      </c:pt>
                      <c:pt idx="186">
                        <c:v>44302</c:v>
                      </c:pt>
                      <c:pt idx="187">
                        <c:v>44305</c:v>
                      </c:pt>
                      <c:pt idx="188">
                        <c:v>44306</c:v>
                      </c:pt>
                      <c:pt idx="189">
                        <c:v>44307</c:v>
                      </c:pt>
                      <c:pt idx="190">
                        <c:v>44308</c:v>
                      </c:pt>
                      <c:pt idx="191">
                        <c:v>44309</c:v>
                      </c:pt>
                      <c:pt idx="192">
                        <c:v>44311</c:v>
                      </c:pt>
                      <c:pt idx="193">
                        <c:v>44312</c:v>
                      </c:pt>
                      <c:pt idx="194">
                        <c:v>44313</c:v>
                      </c:pt>
                      <c:pt idx="195">
                        <c:v>44314</c:v>
                      </c:pt>
                      <c:pt idx="196">
                        <c:v>44315</c:v>
                      </c:pt>
                      <c:pt idx="197">
                        <c:v>44316</c:v>
                      </c:pt>
                      <c:pt idx="198">
                        <c:v>44319</c:v>
                      </c:pt>
                      <c:pt idx="199">
                        <c:v>44320</c:v>
                      </c:pt>
                      <c:pt idx="200">
                        <c:v>44321</c:v>
                      </c:pt>
                      <c:pt idx="201">
                        <c:v>44322</c:v>
                      </c:pt>
                      <c:pt idx="202">
                        <c:v>44323</c:v>
                      </c:pt>
                      <c:pt idx="203">
                        <c:v>44326</c:v>
                      </c:pt>
                      <c:pt idx="204">
                        <c:v>44327</c:v>
                      </c:pt>
                      <c:pt idx="205">
                        <c:v>44328</c:v>
                      </c:pt>
                      <c:pt idx="206">
                        <c:v>44329</c:v>
                      </c:pt>
                      <c:pt idx="207">
                        <c:v>44330</c:v>
                      </c:pt>
                      <c:pt idx="208">
                        <c:v>44333</c:v>
                      </c:pt>
                      <c:pt idx="209">
                        <c:v>44334</c:v>
                      </c:pt>
                      <c:pt idx="210">
                        <c:v>44335</c:v>
                      </c:pt>
                      <c:pt idx="211">
                        <c:v>44336</c:v>
                      </c:pt>
                      <c:pt idx="212">
                        <c:v>44337</c:v>
                      </c:pt>
                      <c:pt idx="213">
                        <c:v>44340</c:v>
                      </c:pt>
                      <c:pt idx="214">
                        <c:v>44341</c:v>
                      </c:pt>
                      <c:pt idx="215">
                        <c:v>44342</c:v>
                      </c:pt>
                      <c:pt idx="216">
                        <c:v>44343</c:v>
                      </c:pt>
                      <c:pt idx="217">
                        <c:v>44344</c:v>
                      </c:pt>
                      <c:pt idx="218">
                        <c:v>44347</c:v>
                      </c:pt>
                      <c:pt idx="219">
                        <c:v>44348</c:v>
                      </c:pt>
                      <c:pt idx="220">
                        <c:v>44349</c:v>
                      </c:pt>
                      <c:pt idx="221">
                        <c:v>44350</c:v>
                      </c:pt>
                      <c:pt idx="222">
                        <c:v>44351</c:v>
                      </c:pt>
                      <c:pt idx="223">
                        <c:v>44354</c:v>
                      </c:pt>
                      <c:pt idx="224">
                        <c:v>44355</c:v>
                      </c:pt>
                      <c:pt idx="225">
                        <c:v>44356</c:v>
                      </c:pt>
                      <c:pt idx="226">
                        <c:v>44357</c:v>
                      </c:pt>
                      <c:pt idx="227">
                        <c:v>44358</c:v>
                      </c:pt>
                      <c:pt idx="228">
                        <c:v>44361</c:v>
                      </c:pt>
                      <c:pt idx="229">
                        <c:v>44362</c:v>
                      </c:pt>
                      <c:pt idx="230">
                        <c:v>44363</c:v>
                      </c:pt>
                      <c:pt idx="231">
                        <c:v>44364</c:v>
                      </c:pt>
                      <c:pt idx="232">
                        <c:v>44365</c:v>
                      </c:pt>
                      <c:pt idx="233">
                        <c:v>44368</c:v>
                      </c:pt>
                      <c:pt idx="234">
                        <c:v>44369</c:v>
                      </c:pt>
                      <c:pt idx="235">
                        <c:v>44370</c:v>
                      </c:pt>
                      <c:pt idx="236">
                        <c:v>44371</c:v>
                      </c:pt>
                      <c:pt idx="237">
                        <c:v>44372</c:v>
                      </c:pt>
                      <c:pt idx="238">
                        <c:v>44375</c:v>
                      </c:pt>
                      <c:pt idx="239">
                        <c:v>44376</c:v>
                      </c:pt>
                      <c:pt idx="240">
                        <c:v>44377</c:v>
                      </c:pt>
                      <c:pt idx="241">
                        <c:v>44378</c:v>
                      </c:pt>
                      <c:pt idx="242">
                        <c:v>44379</c:v>
                      </c:pt>
                      <c:pt idx="243">
                        <c:v>44382</c:v>
                      </c:pt>
                      <c:pt idx="244">
                        <c:v>44383</c:v>
                      </c:pt>
                      <c:pt idx="245">
                        <c:v>44384</c:v>
                      </c:pt>
                      <c:pt idx="246">
                        <c:v>44385</c:v>
                      </c:pt>
                      <c:pt idx="247">
                        <c:v>44386</c:v>
                      </c:pt>
                      <c:pt idx="248">
                        <c:v>44389</c:v>
                      </c:pt>
                      <c:pt idx="249">
                        <c:v>44390</c:v>
                      </c:pt>
                      <c:pt idx="250">
                        <c:v>44391</c:v>
                      </c:pt>
                      <c:pt idx="251">
                        <c:v>44392</c:v>
                      </c:pt>
                      <c:pt idx="252">
                        <c:v>44393</c:v>
                      </c:pt>
                      <c:pt idx="253">
                        <c:v>44396</c:v>
                      </c:pt>
                      <c:pt idx="254">
                        <c:v>44397</c:v>
                      </c:pt>
                      <c:pt idx="255">
                        <c:v>44398</c:v>
                      </c:pt>
                      <c:pt idx="256">
                        <c:v>44399</c:v>
                      </c:pt>
                      <c:pt idx="257">
                        <c:v>44400</c:v>
                      </c:pt>
                      <c:pt idx="258">
                        <c:v>44403</c:v>
                      </c:pt>
                      <c:pt idx="259">
                        <c:v>44404</c:v>
                      </c:pt>
                      <c:pt idx="260">
                        <c:v>44405</c:v>
                      </c:pt>
                      <c:pt idx="261">
                        <c:v>44406</c:v>
                      </c:pt>
                      <c:pt idx="262">
                        <c:v>44407</c:v>
                      </c:pt>
                      <c:pt idx="263">
                        <c:v>44410</c:v>
                      </c:pt>
                      <c:pt idx="264">
                        <c:v>44411</c:v>
                      </c:pt>
                      <c:pt idx="265">
                        <c:v>44412</c:v>
                      </c:pt>
                      <c:pt idx="266">
                        <c:v>44413</c:v>
                      </c:pt>
                      <c:pt idx="267">
                        <c:v>44414</c:v>
                      </c:pt>
                      <c:pt idx="268">
                        <c:v>44417</c:v>
                      </c:pt>
                      <c:pt idx="269">
                        <c:v>44418</c:v>
                      </c:pt>
                      <c:pt idx="270">
                        <c:v>44419</c:v>
                      </c:pt>
                      <c:pt idx="271">
                        <c:v>44420</c:v>
                      </c:pt>
                      <c:pt idx="272">
                        <c:v>44421</c:v>
                      </c:pt>
                      <c:pt idx="273">
                        <c:v>44424</c:v>
                      </c:pt>
                      <c:pt idx="274">
                        <c:v>44425</c:v>
                      </c:pt>
                      <c:pt idx="275">
                        <c:v>44426</c:v>
                      </c:pt>
                      <c:pt idx="276">
                        <c:v>44427</c:v>
                      </c:pt>
                      <c:pt idx="277">
                        <c:v>44428</c:v>
                      </c:pt>
                      <c:pt idx="278">
                        <c:v>44431</c:v>
                      </c:pt>
                      <c:pt idx="279">
                        <c:v>44432</c:v>
                      </c:pt>
                      <c:pt idx="280">
                        <c:v>44433</c:v>
                      </c:pt>
                      <c:pt idx="281">
                        <c:v>44434</c:v>
                      </c:pt>
                      <c:pt idx="282">
                        <c:v>44435</c:v>
                      </c:pt>
                      <c:pt idx="283">
                        <c:v>44438</c:v>
                      </c:pt>
                      <c:pt idx="284">
                        <c:v>44439</c:v>
                      </c:pt>
                    </c:numCache>
                  </c:numRef>
                </c:cat>
                <c:val>
                  <c:numRef>
                    <c:extLst xmlns:c15="http://schemas.microsoft.com/office/drawing/2012/chart">
                      <c:ext xmlns:c15="http://schemas.microsoft.com/office/drawing/2012/chart" uri="{02D57815-91ED-43cb-92C2-25804820EDAC}">
                        <c15:formulaRef>
                          <c15:sqref>'[2021 09 GMR NEW.XLSX]Currency Chart'!$S$6:$S$290</c15:sqref>
                        </c15:formulaRef>
                      </c:ext>
                    </c:extLst>
                    <c:numCache>
                      <c:formatCode>0</c:formatCode>
                      <c:ptCount val="285"/>
                      <c:pt idx="0" formatCode="General">
                        <c:v>100</c:v>
                      </c:pt>
                      <c:pt idx="1">
                        <c:v>100.07885983023628</c:v>
                      </c:pt>
                      <c:pt idx="2">
                        <c:v>99.96558843771507</c:v>
                      </c:pt>
                      <c:pt idx="3">
                        <c:v>99.439378297774709</c:v>
                      </c:pt>
                      <c:pt idx="4">
                        <c:v>99.678825418674009</c:v>
                      </c:pt>
                      <c:pt idx="5">
                        <c:v>99.893897682954801</c:v>
                      </c:pt>
                      <c:pt idx="6">
                        <c:v>99.809302592337687</c:v>
                      </c:pt>
                      <c:pt idx="7">
                        <c:v>99.525407203487035</c:v>
                      </c:pt>
                      <c:pt idx="8">
                        <c:v>99.453716448726766</c:v>
                      </c:pt>
                      <c:pt idx="9">
                        <c:v>99.56412021105757</c:v>
                      </c:pt>
                      <c:pt idx="10">
                        <c:v>99.651582931865093</c:v>
                      </c:pt>
                      <c:pt idx="11">
                        <c:v>99.389194769442511</c:v>
                      </c:pt>
                      <c:pt idx="12">
                        <c:v>99.241511814636368</c:v>
                      </c:pt>
                      <c:pt idx="13">
                        <c:v>99.208534067446649</c:v>
                      </c:pt>
                      <c:pt idx="14">
                        <c:v>99.138277127781592</c:v>
                      </c:pt>
                      <c:pt idx="15">
                        <c:v>99.189894471208987</c:v>
                      </c:pt>
                      <c:pt idx="16">
                        <c:v>99.191328286304199</c:v>
                      </c:pt>
                      <c:pt idx="17">
                        <c:v>99.099564120211056</c:v>
                      </c:pt>
                      <c:pt idx="18">
                        <c:v>98.725338380362473</c:v>
                      </c:pt>
                      <c:pt idx="19">
                        <c:v>98.825705437026826</c:v>
                      </c:pt>
                      <c:pt idx="20">
                        <c:v>98.42710484055975</c:v>
                      </c:pt>
                      <c:pt idx="21">
                        <c:v>98.179054829089239</c:v>
                      </c:pt>
                      <c:pt idx="22">
                        <c:v>97.88942417985777</c:v>
                      </c:pt>
                      <c:pt idx="23">
                        <c:v>98.037107134663913</c:v>
                      </c:pt>
                      <c:pt idx="24">
                        <c:v>98.123136040376224</c:v>
                      </c:pt>
                      <c:pt idx="25">
                        <c:v>98.085856847900899</c:v>
                      </c:pt>
                      <c:pt idx="26">
                        <c:v>97.929571002523517</c:v>
                      </c:pt>
                      <c:pt idx="27">
                        <c:v>98.123136040376224</c:v>
                      </c:pt>
                      <c:pt idx="28">
                        <c:v>97.941041523285151</c:v>
                      </c:pt>
                      <c:pt idx="29">
                        <c:v>97.979754530855701</c:v>
                      </c:pt>
                      <c:pt idx="30">
                        <c:v>97.972585455379672</c:v>
                      </c:pt>
                      <c:pt idx="31">
                        <c:v>97.614131681578328</c:v>
                      </c:pt>
                      <c:pt idx="32">
                        <c:v>97.21409727001604</c:v>
                      </c:pt>
                      <c:pt idx="33">
                        <c:v>96.824099564120203</c:v>
                      </c:pt>
                      <c:pt idx="34">
                        <c:v>96.96604725854553</c:v>
                      </c:pt>
                      <c:pt idx="35">
                        <c:v>97.033436568020164</c:v>
                      </c:pt>
                      <c:pt idx="36">
                        <c:v>97.561080523055722</c:v>
                      </c:pt>
                      <c:pt idx="37">
                        <c:v>97.182553337921519</c:v>
                      </c:pt>
                      <c:pt idx="38">
                        <c:v>97.627036017435174</c:v>
                      </c:pt>
                      <c:pt idx="39">
                        <c:v>97.890857994952938</c:v>
                      </c:pt>
                      <c:pt idx="40">
                        <c:v>97.81486579490705</c:v>
                      </c:pt>
                      <c:pt idx="41">
                        <c:v>97.651410874053639</c:v>
                      </c:pt>
                      <c:pt idx="42">
                        <c:v>97.714498738242682</c:v>
                      </c:pt>
                      <c:pt idx="43">
                        <c:v>97.350309704060535</c:v>
                      </c:pt>
                      <c:pt idx="44">
                        <c:v>97.353177334250944</c:v>
                      </c:pt>
                      <c:pt idx="45">
                        <c:v>97.353177334250944</c:v>
                      </c:pt>
                      <c:pt idx="46">
                        <c:v>97.353177334250944</c:v>
                      </c:pt>
                      <c:pt idx="47">
                        <c:v>97.353177334250944</c:v>
                      </c:pt>
                      <c:pt idx="48">
                        <c:v>97.353177334250944</c:v>
                      </c:pt>
                      <c:pt idx="49">
                        <c:v>97.353177334250944</c:v>
                      </c:pt>
                      <c:pt idx="50">
                        <c:v>95.969545767377809</c:v>
                      </c:pt>
                      <c:pt idx="51">
                        <c:v>96.712261986694159</c:v>
                      </c:pt>
                      <c:pt idx="52">
                        <c:v>96.713695801789356</c:v>
                      </c:pt>
                      <c:pt idx="53">
                        <c:v>96.260610231704476</c:v>
                      </c:pt>
                      <c:pt idx="54">
                        <c:v>96.399690295939408</c:v>
                      </c:pt>
                      <c:pt idx="55">
                        <c:v>96.011126405138768</c:v>
                      </c:pt>
                      <c:pt idx="56">
                        <c:v>95.783149805001116</c:v>
                      </c:pt>
                      <c:pt idx="57">
                        <c:v>95.712892865336045</c:v>
                      </c:pt>
                      <c:pt idx="58">
                        <c:v>95.353005276439504</c:v>
                      </c:pt>
                      <c:pt idx="59">
                        <c:v>95.808958476714807</c:v>
                      </c:pt>
                      <c:pt idx="60">
                        <c:v>95.840502408809314</c:v>
                      </c:pt>
                      <c:pt idx="61">
                        <c:v>96.236235375085982</c:v>
                      </c:pt>
                      <c:pt idx="62">
                        <c:v>96.128699242945586</c:v>
                      </c:pt>
                      <c:pt idx="63">
                        <c:v>96.465645790318845</c:v>
                      </c:pt>
                      <c:pt idx="64">
                        <c:v>96.266345492085321</c:v>
                      </c:pt>
                      <c:pt idx="65">
                        <c:v>95.949472356044936</c:v>
                      </c:pt>
                      <c:pt idx="66">
                        <c:v>95.920796054140823</c:v>
                      </c:pt>
                      <c:pt idx="67">
                        <c:v>95.720061940812087</c:v>
                      </c:pt>
                      <c:pt idx="68">
                        <c:v>95.320027529249785</c:v>
                      </c:pt>
                      <c:pt idx="69">
                        <c:v>94.670509291121775</c:v>
                      </c:pt>
                      <c:pt idx="70">
                        <c:v>94.746501491167663</c:v>
                      </c:pt>
                      <c:pt idx="71">
                        <c:v>95.033264510208738</c:v>
                      </c:pt>
                      <c:pt idx="72">
                        <c:v>94.841133287451228</c:v>
                      </c:pt>
                      <c:pt idx="73">
                        <c:v>95.063374627208049</c:v>
                      </c:pt>
                      <c:pt idx="74">
                        <c:v>94.79525120440465</c:v>
                      </c:pt>
                      <c:pt idx="75">
                        <c:v>94.687715072264254</c:v>
                      </c:pt>
                      <c:pt idx="76">
                        <c:v>94.388047717366334</c:v>
                      </c:pt>
                      <c:pt idx="77">
                        <c:v>93.995182381280074</c:v>
                      </c:pt>
                      <c:pt idx="78">
                        <c:v>94.041064464326638</c:v>
                      </c:pt>
                      <c:pt idx="79">
                        <c:v>94.329261298462924</c:v>
                      </c:pt>
                      <c:pt idx="80">
                        <c:v>94.069740766230765</c:v>
                      </c:pt>
                      <c:pt idx="81">
                        <c:v>94.416724019270461</c:v>
                      </c:pt>
                      <c:pt idx="82">
                        <c:v>94.48841477403073</c:v>
                      </c:pt>
                      <c:pt idx="83">
                        <c:v>94.273342509749938</c:v>
                      </c:pt>
                      <c:pt idx="84">
                        <c:v>94.260438173893078</c:v>
                      </c:pt>
                      <c:pt idx="85">
                        <c:v>94.256136728607473</c:v>
                      </c:pt>
                      <c:pt idx="86">
                        <c:v>94.28768066070198</c:v>
                      </c:pt>
                      <c:pt idx="87">
                        <c:v>94.208820830465683</c:v>
                      </c:pt>
                      <c:pt idx="88">
                        <c:v>94.089814177563639</c:v>
                      </c:pt>
                      <c:pt idx="89">
                        <c:v>93.797315898141761</c:v>
                      </c:pt>
                      <c:pt idx="90">
                        <c:v>93.629559532002745</c:v>
                      </c:pt>
                      <c:pt idx="91">
                        <c:v>93.620956641431519</c:v>
                      </c:pt>
                      <c:pt idx="92">
                        <c:v>93.638162422573984</c:v>
                      </c:pt>
                      <c:pt idx="93">
                        <c:v>93.785845377380141</c:v>
                      </c:pt>
                      <c:pt idx="94">
                        <c:v>93.821690754760283</c:v>
                      </c:pt>
                      <c:pt idx="95">
                        <c:v>93.836028905712325</c:v>
                      </c:pt>
                      <c:pt idx="96">
                        <c:v>93.886212434044509</c:v>
                      </c:pt>
                      <c:pt idx="97">
                        <c:v>93.75430144528562</c:v>
                      </c:pt>
                      <c:pt idx="98">
                        <c:v>93.661103464097266</c:v>
                      </c:pt>
                      <c:pt idx="99">
                        <c:v>93.658235833906858</c:v>
                      </c:pt>
                      <c:pt idx="100">
                        <c:v>93.696948841477393</c:v>
                      </c:pt>
                      <c:pt idx="101">
                        <c:v>93.867572837806847</c:v>
                      </c:pt>
                      <c:pt idx="102">
                        <c:v>93.808786418903424</c:v>
                      </c:pt>
                      <c:pt idx="103">
                        <c:v>93.771507226428085</c:v>
                      </c:pt>
                      <c:pt idx="104">
                        <c:v>93.628125716907562</c:v>
                      </c:pt>
                      <c:pt idx="105">
                        <c:v>93.782977747189719</c:v>
                      </c:pt>
                      <c:pt idx="106">
                        <c:v>93.694081211286985</c:v>
                      </c:pt>
                      <c:pt idx="107">
                        <c:v>93.628125716907547</c:v>
                      </c:pt>
                      <c:pt idx="108">
                        <c:v>93.496214728148658</c:v>
                      </c:pt>
                      <c:pt idx="109">
                        <c:v>93.556434962147279</c:v>
                      </c:pt>
                      <c:pt idx="110">
                        <c:v>93.556434962147279</c:v>
                      </c:pt>
                      <c:pt idx="111">
                        <c:v>92.62588896535901</c:v>
                      </c:pt>
                      <c:pt idx="112">
                        <c:v>92.552764395503544</c:v>
                      </c:pt>
                      <c:pt idx="113">
                        <c:v>92.648830006882307</c:v>
                      </c:pt>
                      <c:pt idx="114">
                        <c:v>92.853865565496662</c:v>
                      </c:pt>
                      <c:pt idx="115">
                        <c:v>92.839527414544605</c:v>
                      </c:pt>
                      <c:pt idx="116">
                        <c:v>92.904049093828846</c:v>
                      </c:pt>
                      <c:pt idx="117">
                        <c:v>92.63879330121587</c:v>
                      </c:pt>
                      <c:pt idx="118">
                        <c:v>92.734858912594603</c:v>
                      </c:pt>
                      <c:pt idx="119">
                        <c:v>92.819454003211732</c:v>
                      </c:pt>
                      <c:pt idx="120">
                        <c:v>92.911218169304874</c:v>
                      </c:pt>
                      <c:pt idx="121">
                        <c:v>93.057467309015806</c:v>
                      </c:pt>
                      <c:pt idx="122">
                        <c:v>92.878240422115141</c:v>
                      </c:pt>
                      <c:pt idx="123">
                        <c:v>92.696145905024068</c:v>
                      </c:pt>
                      <c:pt idx="124">
                        <c:v>92.617286074787785</c:v>
                      </c:pt>
                      <c:pt idx="125">
                        <c:v>92.925556320256916</c:v>
                      </c:pt>
                      <c:pt idx="126">
                        <c:v>92.888277127781578</c:v>
                      </c:pt>
                      <c:pt idx="127">
                        <c:v>92.674638678595983</c:v>
                      </c:pt>
                      <c:pt idx="128">
                        <c:v>92.942762101399381</c:v>
                      </c:pt>
                      <c:pt idx="129">
                        <c:v>92.468169304886416</c:v>
                      </c:pt>
                      <c:pt idx="130">
                        <c:v>92.122619866941932</c:v>
                      </c:pt>
                      <c:pt idx="131">
                        <c:v>92.72338839183297</c:v>
                      </c:pt>
                      <c:pt idx="132">
                        <c:v>92.554198210598742</c:v>
                      </c:pt>
                      <c:pt idx="133">
                        <c:v>92.594345033264489</c:v>
                      </c:pt>
                      <c:pt idx="134">
                        <c:v>92.789343886212407</c:v>
                      </c:pt>
                      <c:pt idx="135">
                        <c:v>92.716219316356941</c:v>
                      </c:pt>
                      <c:pt idx="136">
                        <c:v>92.400779995411767</c:v>
                      </c:pt>
                      <c:pt idx="137">
                        <c:v>92.25739848589123</c:v>
                      </c:pt>
                      <c:pt idx="138">
                        <c:v>92.590043587978869</c:v>
                      </c:pt>
                      <c:pt idx="139">
                        <c:v>92.541293874741882</c:v>
                      </c:pt>
                      <c:pt idx="140">
                        <c:v>92.541293874741882</c:v>
                      </c:pt>
                      <c:pt idx="141">
                        <c:v>92.541293874741882</c:v>
                      </c:pt>
                      <c:pt idx="142">
                        <c:v>92.541293874741882</c:v>
                      </c:pt>
                      <c:pt idx="143">
                        <c:v>92.541293874741882</c:v>
                      </c:pt>
                      <c:pt idx="144">
                        <c:v>93.010151410874016</c:v>
                      </c:pt>
                      <c:pt idx="145">
                        <c:v>92.55993347097953</c:v>
                      </c:pt>
                      <c:pt idx="146">
                        <c:v>92.55993347097953</c:v>
                      </c:pt>
                      <c:pt idx="147">
                        <c:v>92.660300527643912</c:v>
                      </c:pt>
                      <c:pt idx="148">
                        <c:v>92.681807754071997</c:v>
                      </c:pt>
                      <c:pt idx="149">
                        <c:v>92.561367286074741</c:v>
                      </c:pt>
                      <c:pt idx="150">
                        <c:v>92.539860059646685</c:v>
                      </c:pt>
                      <c:pt idx="151">
                        <c:v>92.810851112640492</c:v>
                      </c:pt>
                      <c:pt idx="152">
                        <c:v>92.693278274833659</c:v>
                      </c:pt>
                      <c:pt idx="153">
                        <c:v>92.770704289974731</c:v>
                      </c:pt>
                      <c:pt idx="154">
                        <c:v>92.731991282404181</c:v>
                      </c:pt>
                      <c:pt idx="155">
                        <c:v>92.759233769213083</c:v>
                      </c:pt>
                      <c:pt idx="156">
                        <c:v>93.140628584537708</c:v>
                      </c:pt>
                      <c:pt idx="157">
                        <c:v>93.556434962147264</c:v>
                      </c:pt>
                      <c:pt idx="158">
                        <c:v>93.269671943106189</c:v>
                      </c:pt>
                      <c:pt idx="159">
                        <c:v>93.269671943106189</c:v>
                      </c:pt>
                      <c:pt idx="160">
                        <c:v>93.100481761871961</c:v>
                      </c:pt>
                      <c:pt idx="161">
                        <c:v>93.314120211057556</c:v>
                      </c:pt>
                      <c:pt idx="162">
                        <c:v>93.192245927965104</c:v>
                      </c:pt>
                      <c:pt idx="163">
                        <c:v>93.272539573296598</c:v>
                      </c:pt>
                      <c:pt idx="164">
                        <c:v>93.240995641202076</c:v>
                      </c:pt>
                      <c:pt idx="165">
                        <c:v>93.275407203486992</c:v>
                      </c:pt>
                      <c:pt idx="166">
                        <c:v>93.29834824501026</c:v>
                      </c:pt>
                      <c:pt idx="167">
                        <c:v>93.29834824501026</c:v>
                      </c:pt>
                      <c:pt idx="168">
                        <c:v>93.427391603578741</c:v>
                      </c:pt>
                      <c:pt idx="169">
                        <c:v>93.527758660243109</c:v>
                      </c:pt>
                      <c:pt idx="170">
                        <c:v>93.846065611378705</c:v>
                      </c:pt>
                      <c:pt idx="171">
                        <c:v>93.788713007570479</c:v>
                      </c:pt>
                      <c:pt idx="172">
                        <c:v>94.170107822895105</c:v>
                      </c:pt>
                      <c:pt idx="173">
                        <c:v>94.224592796512908</c:v>
                      </c:pt>
                      <c:pt idx="174">
                        <c:v>93.940697407662256</c:v>
                      </c:pt>
                      <c:pt idx="175">
                        <c:v>94.122791924753329</c:v>
                      </c:pt>
                      <c:pt idx="176">
                        <c:v>94.124225739848555</c:v>
                      </c:pt>
                      <c:pt idx="177">
                        <c:v>94.124225739848555</c:v>
                      </c:pt>
                      <c:pt idx="178">
                        <c:v>93.728492773571887</c:v>
                      </c:pt>
                      <c:pt idx="179">
                        <c:v>93.793014452856113</c:v>
                      </c:pt>
                      <c:pt idx="180">
                        <c:v>93.922057811424594</c:v>
                      </c:pt>
                      <c:pt idx="181">
                        <c:v>93.946432668043073</c:v>
                      </c:pt>
                      <c:pt idx="182">
                        <c:v>93.833161275521846</c:v>
                      </c:pt>
                      <c:pt idx="183">
                        <c:v>93.815955494379381</c:v>
                      </c:pt>
                      <c:pt idx="184">
                        <c:v>93.616655196145842</c:v>
                      </c:pt>
                      <c:pt idx="185">
                        <c:v>93.513420509291052</c:v>
                      </c:pt>
                      <c:pt idx="186">
                        <c:v>93.489045652672559</c:v>
                      </c:pt>
                      <c:pt idx="187">
                        <c:v>93.319855471438331</c:v>
                      </c:pt>
                      <c:pt idx="188">
                        <c:v>93.170738701536976</c:v>
                      </c:pt>
                      <c:pt idx="189">
                        <c:v>93.05890112411096</c:v>
                      </c:pt>
                      <c:pt idx="190">
                        <c:v>93.068937829777383</c:v>
                      </c:pt>
                      <c:pt idx="191">
                        <c:v>93.119121358109581</c:v>
                      </c:pt>
                      <c:pt idx="192">
                        <c:v>93.119121358109581</c:v>
                      </c:pt>
                      <c:pt idx="193">
                        <c:v>92.974306033493832</c:v>
                      </c:pt>
                      <c:pt idx="194">
                        <c:v>92.954232622160958</c:v>
                      </c:pt>
                      <c:pt idx="195">
                        <c:v>92.869637531543844</c:v>
                      </c:pt>
                      <c:pt idx="196">
                        <c:v>92.782174810736322</c:v>
                      </c:pt>
                      <c:pt idx="197">
                        <c:v>92.810851112640435</c:v>
                      </c:pt>
                      <c:pt idx="198">
                        <c:v>92.810851112640435</c:v>
                      </c:pt>
                      <c:pt idx="199">
                        <c:v>92.810851112640435</c:v>
                      </c:pt>
                      <c:pt idx="200">
                        <c:v>92.810851112640435</c:v>
                      </c:pt>
                      <c:pt idx="201">
                        <c:v>92.621587520073334</c:v>
                      </c:pt>
                      <c:pt idx="202">
                        <c:v>92.2086487726542</c:v>
                      </c:pt>
                      <c:pt idx="203">
                        <c:v>91.987841247992591</c:v>
                      </c:pt>
                      <c:pt idx="204">
                        <c:v>92.172803395274073</c:v>
                      </c:pt>
                      <c:pt idx="205">
                        <c:v>92.575705437026755</c:v>
                      </c:pt>
                      <c:pt idx="206">
                        <c:v>92.489676531314444</c:v>
                      </c:pt>
                      <c:pt idx="207">
                        <c:v>92.29037623308092</c:v>
                      </c:pt>
                      <c:pt idx="208">
                        <c:v>92.32048635008023</c:v>
                      </c:pt>
                      <c:pt idx="209">
                        <c:v>92.122619866941889</c:v>
                      </c:pt>
                      <c:pt idx="210">
                        <c:v>92.254530855700764</c:v>
                      </c:pt>
                      <c:pt idx="211">
                        <c:v>92.250229410415159</c:v>
                      </c:pt>
                      <c:pt idx="212">
                        <c:v>92.250229410415159</c:v>
                      </c:pt>
                      <c:pt idx="213">
                        <c:v>92.017951364991887</c:v>
                      </c:pt>
                      <c:pt idx="214">
                        <c:v>91.907547602661083</c:v>
                      </c:pt>
                      <c:pt idx="215">
                        <c:v>91.62795365909605</c:v>
                      </c:pt>
                      <c:pt idx="216">
                        <c:v>91.511814636384415</c:v>
                      </c:pt>
                      <c:pt idx="217">
                        <c:v>91.296742372103623</c:v>
                      </c:pt>
                      <c:pt idx="218">
                        <c:v>91.316815783436496</c:v>
                      </c:pt>
                      <c:pt idx="219">
                        <c:v>91.471667813718668</c:v>
                      </c:pt>
                      <c:pt idx="220">
                        <c:v>91.484572149575513</c:v>
                      </c:pt>
                      <c:pt idx="221">
                        <c:v>91.815783436567941</c:v>
                      </c:pt>
                      <c:pt idx="222">
                        <c:v>91.685306262904248</c:v>
                      </c:pt>
                      <c:pt idx="223">
                        <c:v>91.711114934617939</c:v>
                      </c:pt>
                      <c:pt idx="224">
                        <c:v>91.764166093140531</c:v>
                      </c:pt>
                      <c:pt idx="225">
                        <c:v>91.57060105528781</c:v>
                      </c:pt>
                      <c:pt idx="226">
                        <c:v>91.662365221380952</c:v>
                      </c:pt>
                      <c:pt idx="227">
                        <c:v>91.716850194998742</c:v>
                      </c:pt>
                      <c:pt idx="228">
                        <c:v>91.716850194998742</c:v>
                      </c:pt>
                      <c:pt idx="229">
                        <c:v>91.83872447809118</c:v>
                      </c:pt>
                      <c:pt idx="230">
                        <c:v>91.719717825189136</c:v>
                      </c:pt>
                      <c:pt idx="231">
                        <c:v>92.448095893553443</c:v>
                      </c:pt>
                      <c:pt idx="232">
                        <c:v>92.516919018123303</c:v>
                      </c:pt>
                      <c:pt idx="233">
                        <c:v>92.709050240880828</c:v>
                      </c:pt>
                      <c:pt idx="234">
                        <c:v>92.926990135352028</c:v>
                      </c:pt>
                      <c:pt idx="235">
                        <c:v>92.806549667354787</c:v>
                      </c:pt>
                      <c:pt idx="236">
                        <c:v>92.769270474879463</c:v>
                      </c:pt>
                      <c:pt idx="237">
                        <c:v>92.545595320027431</c:v>
                      </c:pt>
                      <c:pt idx="238">
                        <c:v>92.559933470979473</c:v>
                      </c:pt>
                      <c:pt idx="239">
                        <c:v>92.674638678595898</c:v>
                      </c:pt>
                      <c:pt idx="240">
                        <c:v>92.575705437026727</c:v>
                      </c:pt>
                      <c:pt idx="241">
                        <c:v>92.737726542784941</c:v>
                      </c:pt>
                      <c:pt idx="242">
                        <c:v>92.797946776783576</c:v>
                      </c:pt>
                      <c:pt idx="243">
                        <c:v>92.667469603119883</c:v>
                      </c:pt>
                      <c:pt idx="244">
                        <c:v>92.842395044734928</c:v>
                      </c:pt>
                      <c:pt idx="245">
                        <c:v>92.793645331497942</c:v>
                      </c:pt>
                      <c:pt idx="246">
                        <c:v>93.051732048634904</c:v>
                      </c:pt>
                      <c:pt idx="247">
                        <c:v>92.894012388162324</c:v>
                      </c:pt>
                      <c:pt idx="248">
                        <c:v>92.840961229639746</c:v>
                      </c:pt>
                      <c:pt idx="249">
                        <c:v>92.746329433356181</c:v>
                      </c:pt>
                      <c:pt idx="250">
                        <c:v>92.750630878641815</c:v>
                      </c:pt>
                      <c:pt idx="251">
                        <c:v>92.580006882312389</c:v>
                      </c:pt>
                      <c:pt idx="252">
                        <c:v>92.889710942876732</c:v>
                      </c:pt>
                      <c:pt idx="253">
                        <c:v>93.044562973158904</c:v>
                      </c:pt>
                      <c:pt idx="254">
                        <c:v>92.975739848589043</c:v>
                      </c:pt>
                      <c:pt idx="255">
                        <c:v>92.716219316356884</c:v>
                      </c:pt>
                      <c:pt idx="256">
                        <c:v>92.766402844689068</c:v>
                      </c:pt>
                      <c:pt idx="257">
                        <c:v>92.922688690066465</c:v>
                      </c:pt>
                      <c:pt idx="258">
                        <c:v>92.947063546684944</c:v>
                      </c:pt>
                      <c:pt idx="259">
                        <c:v>93.347097958247232</c:v>
                      </c:pt>
                      <c:pt idx="260">
                        <c:v>93.061768754301383</c:v>
                      </c:pt>
                      <c:pt idx="261">
                        <c:v>92.569970176645953</c:v>
                      </c:pt>
                      <c:pt idx="262">
                        <c:v>92.637359486120602</c:v>
                      </c:pt>
                      <c:pt idx="263">
                        <c:v>92.653131452167869</c:v>
                      </c:pt>
                      <c:pt idx="264">
                        <c:v>92.767836659784294</c:v>
                      </c:pt>
                      <c:pt idx="265">
                        <c:v>92.703314980500053</c:v>
                      </c:pt>
                      <c:pt idx="266">
                        <c:v>92.635925671025404</c:v>
                      </c:pt>
                      <c:pt idx="267">
                        <c:v>92.947063546684973</c:v>
                      </c:pt>
                      <c:pt idx="268">
                        <c:v>92.992945629731537</c:v>
                      </c:pt>
                      <c:pt idx="269">
                        <c:v>92.985776554255523</c:v>
                      </c:pt>
                      <c:pt idx="270">
                        <c:v>92.886843312686366</c:v>
                      </c:pt>
                      <c:pt idx="271">
                        <c:v>92.885409497591169</c:v>
                      </c:pt>
                      <c:pt idx="272">
                        <c:v>92.865336086258282</c:v>
                      </c:pt>
                      <c:pt idx="273">
                        <c:v>92.828056893782943</c:v>
                      </c:pt>
                      <c:pt idx="274">
                        <c:v>92.98864418444596</c:v>
                      </c:pt>
                      <c:pt idx="275">
                        <c:v>92.970004588208283</c:v>
                      </c:pt>
                      <c:pt idx="276">
                        <c:v>93.114819912824032</c:v>
                      </c:pt>
                      <c:pt idx="277">
                        <c:v>93.215186969488414</c:v>
                      </c:pt>
                      <c:pt idx="278">
                        <c:v>92.918387244780916</c:v>
                      </c:pt>
                      <c:pt idx="279">
                        <c:v>92.782174810736407</c:v>
                      </c:pt>
                      <c:pt idx="280">
                        <c:v>92.848130305115859</c:v>
                      </c:pt>
                      <c:pt idx="281">
                        <c:v>92.924122505161733</c:v>
                      </c:pt>
                      <c:pt idx="282">
                        <c:v>92.783608625831604</c:v>
                      </c:pt>
                      <c:pt idx="283">
                        <c:v>92.707616425785716</c:v>
                      </c:pt>
                      <c:pt idx="284">
                        <c:v>92.63019041064463</c:v>
                      </c:pt>
                    </c:numCache>
                  </c:numRef>
                </c:val>
                <c:smooth val="0"/>
                <c:extLst xmlns:c15="http://schemas.microsoft.com/office/drawing/2012/chart">
                  <c:ext xmlns:c16="http://schemas.microsoft.com/office/drawing/2014/chart" uri="{C3380CC4-5D6E-409C-BE32-E72D297353CC}">
                    <c16:uniqueId val="{00000005-A0A6-4952-B73D-3412C30D1F85}"/>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'[2021 09 GMR NEW.XLSX]Currency Chart'!$T$5</c15:sqref>
                        </c15:formulaRef>
                      </c:ext>
                    </c:extLst>
                    <c:strCache>
                      <c:ptCount val="1"/>
                      <c:pt idx="0">
                        <c:v>Rand</c:v>
                      </c:pt>
                    </c:strCache>
                  </c:strRef>
                </c:tx>
                <c:spPr>
                  <a:ln w="28575" cap="rnd">
                    <a:solidFill>
                      <a:schemeClr val="accent5"/>
                    </a:solidFill>
                    <a:round/>
                  </a:ln>
                  <a:effectLst/>
                </c:spPr>
                <c:marker>
                  <c:symbol val="none"/>
                </c:marker>
                <c:cat>
                  <c:numRef>
                    <c:extLst xmlns:c15="http://schemas.microsoft.com/office/drawing/2012/chart">
                      <c:ext xmlns:c15="http://schemas.microsoft.com/office/drawing/2012/chart" uri="{02D57815-91ED-43cb-92C2-25804820EDAC}">
                        <c15:formulaRef>
                          <c15:sqref>'[2021 09 GMR NEW.XLSX]Currency Chart'!$O$6:$O$290</c15:sqref>
                        </c15:formulaRef>
                      </c:ext>
                    </c:extLst>
                    <c:numCache>
                      <c:formatCode>m/d/yyyy</c:formatCode>
                      <c:ptCount val="285"/>
                      <c:pt idx="0">
                        <c:v>44043</c:v>
                      </c:pt>
                      <c:pt idx="1">
                        <c:v>44046</c:v>
                      </c:pt>
                      <c:pt idx="2">
                        <c:v>44047</c:v>
                      </c:pt>
                      <c:pt idx="3">
                        <c:v>44048</c:v>
                      </c:pt>
                      <c:pt idx="4">
                        <c:v>44049</c:v>
                      </c:pt>
                      <c:pt idx="5">
                        <c:v>44050</c:v>
                      </c:pt>
                      <c:pt idx="6">
                        <c:v>44053</c:v>
                      </c:pt>
                      <c:pt idx="7">
                        <c:v>44054</c:v>
                      </c:pt>
                      <c:pt idx="8">
                        <c:v>44055</c:v>
                      </c:pt>
                      <c:pt idx="9">
                        <c:v>44056</c:v>
                      </c:pt>
                      <c:pt idx="10">
                        <c:v>44057</c:v>
                      </c:pt>
                      <c:pt idx="11">
                        <c:v>44060</c:v>
                      </c:pt>
                      <c:pt idx="12">
                        <c:v>44061</c:v>
                      </c:pt>
                      <c:pt idx="13">
                        <c:v>44062</c:v>
                      </c:pt>
                      <c:pt idx="14">
                        <c:v>44063</c:v>
                      </c:pt>
                      <c:pt idx="15">
                        <c:v>44064</c:v>
                      </c:pt>
                      <c:pt idx="16">
                        <c:v>44067</c:v>
                      </c:pt>
                      <c:pt idx="17">
                        <c:v>44068</c:v>
                      </c:pt>
                      <c:pt idx="18">
                        <c:v>44069</c:v>
                      </c:pt>
                      <c:pt idx="19">
                        <c:v>44070</c:v>
                      </c:pt>
                      <c:pt idx="20">
                        <c:v>44071</c:v>
                      </c:pt>
                      <c:pt idx="21">
                        <c:v>44074</c:v>
                      </c:pt>
                      <c:pt idx="22">
                        <c:v>44075</c:v>
                      </c:pt>
                      <c:pt idx="23">
                        <c:v>44076</c:v>
                      </c:pt>
                      <c:pt idx="24">
                        <c:v>44077</c:v>
                      </c:pt>
                      <c:pt idx="25">
                        <c:v>44078</c:v>
                      </c:pt>
                      <c:pt idx="26">
                        <c:v>44081</c:v>
                      </c:pt>
                      <c:pt idx="27">
                        <c:v>44082</c:v>
                      </c:pt>
                      <c:pt idx="28">
                        <c:v>44083</c:v>
                      </c:pt>
                      <c:pt idx="29">
                        <c:v>44084</c:v>
                      </c:pt>
                      <c:pt idx="30">
                        <c:v>44085</c:v>
                      </c:pt>
                      <c:pt idx="31">
                        <c:v>44088</c:v>
                      </c:pt>
                      <c:pt idx="32">
                        <c:v>44089</c:v>
                      </c:pt>
                      <c:pt idx="33">
                        <c:v>44090</c:v>
                      </c:pt>
                      <c:pt idx="34">
                        <c:v>44091</c:v>
                      </c:pt>
                      <c:pt idx="35">
                        <c:v>44092</c:v>
                      </c:pt>
                      <c:pt idx="36">
                        <c:v>44095</c:v>
                      </c:pt>
                      <c:pt idx="37">
                        <c:v>44096</c:v>
                      </c:pt>
                      <c:pt idx="38">
                        <c:v>44097</c:v>
                      </c:pt>
                      <c:pt idx="39">
                        <c:v>44098</c:v>
                      </c:pt>
                      <c:pt idx="40">
                        <c:v>44099</c:v>
                      </c:pt>
                      <c:pt idx="41">
                        <c:v>44102</c:v>
                      </c:pt>
                      <c:pt idx="42">
                        <c:v>44103</c:v>
                      </c:pt>
                      <c:pt idx="43">
                        <c:v>44104</c:v>
                      </c:pt>
                      <c:pt idx="44">
                        <c:v>44105</c:v>
                      </c:pt>
                      <c:pt idx="45">
                        <c:v>44106</c:v>
                      </c:pt>
                      <c:pt idx="46">
                        <c:v>44109</c:v>
                      </c:pt>
                      <c:pt idx="47">
                        <c:v>44110</c:v>
                      </c:pt>
                      <c:pt idx="48">
                        <c:v>44111</c:v>
                      </c:pt>
                      <c:pt idx="49">
                        <c:v>44112</c:v>
                      </c:pt>
                      <c:pt idx="50">
                        <c:v>44113</c:v>
                      </c:pt>
                      <c:pt idx="51">
                        <c:v>44116</c:v>
                      </c:pt>
                      <c:pt idx="52">
                        <c:v>44117</c:v>
                      </c:pt>
                      <c:pt idx="53">
                        <c:v>44118</c:v>
                      </c:pt>
                      <c:pt idx="54">
                        <c:v>44119</c:v>
                      </c:pt>
                      <c:pt idx="55">
                        <c:v>44120</c:v>
                      </c:pt>
                      <c:pt idx="56">
                        <c:v>44123</c:v>
                      </c:pt>
                      <c:pt idx="57">
                        <c:v>44124</c:v>
                      </c:pt>
                      <c:pt idx="58">
                        <c:v>44125</c:v>
                      </c:pt>
                      <c:pt idx="59">
                        <c:v>44126</c:v>
                      </c:pt>
                      <c:pt idx="60">
                        <c:v>44127</c:v>
                      </c:pt>
                      <c:pt idx="61">
                        <c:v>44130</c:v>
                      </c:pt>
                      <c:pt idx="62">
                        <c:v>44131</c:v>
                      </c:pt>
                      <c:pt idx="63">
                        <c:v>44132</c:v>
                      </c:pt>
                      <c:pt idx="64">
                        <c:v>44133</c:v>
                      </c:pt>
                      <c:pt idx="65">
                        <c:v>44134</c:v>
                      </c:pt>
                      <c:pt idx="66">
                        <c:v>44137</c:v>
                      </c:pt>
                      <c:pt idx="67">
                        <c:v>44138</c:v>
                      </c:pt>
                      <c:pt idx="68">
                        <c:v>44139</c:v>
                      </c:pt>
                      <c:pt idx="69">
                        <c:v>44140</c:v>
                      </c:pt>
                      <c:pt idx="70">
                        <c:v>44141</c:v>
                      </c:pt>
                      <c:pt idx="71">
                        <c:v>44144</c:v>
                      </c:pt>
                      <c:pt idx="72">
                        <c:v>44145</c:v>
                      </c:pt>
                      <c:pt idx="73">
                        <c:v>44146</c:v>
                      </c:pt>
                      <c:pt idx="74">
                        <c:v>44147</c:v>
                      </c:pt>
                      <c:pt idx="75">
                        <c:v>44148</c:v>
                      </c:pt>
                      <c:pt idx="76">
                        <c:v>44151</c:v>
                      </c:pt>
                      <c:pt idx="77">
                        <c:v>44152</c:v>
                      </c:pt>
                      <c:pt idx="78">
                        <c:v>44153</c:v>
                      </c:pt>
                      <c:pt idx="79">
                        <c:v>44154</c:v>
                      </c:pt>
                      <c:pt idx="80">
                        <c:v>44155</c:v>
                      </c:pt>
                      <c:pt idx="81">
                        <c:v>44158</c:v>
                      </c:pt>
                      <c:pt idx="82">
                        <c:v>44159</c:v>
                      </c:pt>
                      <c:pt idx="83">
                        <c:v>44160</c:v>
                      </c:pt>
                      <c:pt idx="84">
                        <c:v>44161</c:v>
                      </c:pt>
                      <c:pt idx="85">
                        <c:v>44162</c:v>
                      </c:pt>
                      <c:pt idx="86">
                        <c:v>44165</c:v>
                      </c:pt>
                      <c:pt idx="87">
                        <c:v>44166</c:v>
                      </c:pt>
                      <c:pt idx="88">
                        <c:v>44167</c:v>
                      </c:pt>
                      <c:pt idx="89">
                        <c:v>44168</c:v>
                      </c:pt>
                      <c:pt idx="90">
                        <c:v>44169</c:v>
                      </c:pt>
                      <c:pt idx="91">
                        <c:v>44172</c:v>
                      </c:pt>
                      <c:pt idx="92">
                        <c:v>44173</c:v>
                      </c:pt>
                      <c:pt idx="93">
                        <c:v>44174</c:v>
                      </c:pt>
                      <c:pt idx="94">
                        <c:v>44175</c:v>
                      </c:pt>
                      <c:pt idx="95">
                        <c:v>44176</c:v>
                      </c:pt>
                      <c:pt idx="96">
                        <c:v>44179</c:v>
                      </c:pt>
                      <c:pt idx="97">
                        <c:v>44180</c:v>
                      </c:pt>
                      <c:pt idx="98">
                        <c:v>44181</c:v>
                      </c:pt>
                      <c:pt idx="99">
                        <c:v>44182</c:v>
                      </c:pt>
                      <c:pt idx="100">
                        <c:v>44183</c:v>
                      </c:pt>
                      <c:pt idx="101">
                        <c:v>44186</c:v>
                      </c:pt>
                      <c:pt idx="102">
                        <c:v>44187</c:v>
                      </c:pt>
                      <c:pt idx="103">
                        <c:v>44188</c:v>
                      </c:pt>
                      <c:pt idx="104">
                        <c:v>44189</c:v>
                      </c:pt>
                      <c:pt idx="105">
                        <c:v>44190</c:v>
                      </c:pt>
                      <c:pt idx="106">
                        <c:v>44193</c:v>
                      </c:pt>
                      <c:pt idx="107">
                        <c:v>44194</c:v>
                      </c:pt>
                      <c:pt idx="108">
                        <c:v>44195</c:v>
                      </c:pt>
                      <c:pt idx="109">
                        <c:v>44196</c:v>
                      </c:pt>
                      <c:pt idx="110">
                        <c:v>44197</c:v>
                      </c:pt>
                      <c:pt idx="111">
                        <c:v>44200</c:v>
                      </c:pt>
                      <c:pt idx="112">
                        <c:v>44201</c:v>
                      </c:pt>
                      <c:pt idx="113">
                        <c:v>44202</c:v>
                      </c:pt>
                      <c:pt idx="114">
                        <c:v>44203</c:v>
                      </c:pt>
                      <c:pt idx="115">
                        <c:v>44204</c:v>
                      </c:pt>
                      <c:pt idx="116">
                        <c:v>44207</c:v>
                      </c:pt>
                      <c:pt idx="117">
                        <c:v>44208</c:v>
                      </c:pt>
                      <c:pt idx="118">
                        <c:v>44209</c:v>
                      </c:pt>
                      <c:pt idx="119">
                        <c:v>44210</c:v>
                      </c:pt>
                      <c:pt idx="120">
                        <c:v>44211</c:v>
                      </c:pt>
                      <c:pt idx="121">
                        <c:v>44214</c:v>
                      </c:pt>
                      <c:pt idx="122">
                        <c:v>44215</c:v>
                      </c:pt>
                      <c:pt idx="123">
                        <c:v>44216</c:v>
                      </c:pt>
                      <c:pt idx="124">
                        <c:v>44217</c:v>
                      </c:pt>
                      <c:pt idx="125">
                        <c:v>44218</c:v>
                      </c:pt>
                      <c:pt idx="126">
                        <c:v>44221</c:v>
                      </c:pt>
                      <c:pt idx="127">
                        <c:v>44222</c:v>
                      </c:pt>
                      <c:pt idx="128">
                        <c:v>44223</c:v>
                      </c:pt>
                      <c:pt idx="129">
                        <c:v>44224</c:v>
                      </c:pt>
                      <c:pt idx="130">
                        <c:v>44225</c:v>
                      </c:pt>
                      <c:pt idx="131">
                        <c:v>44228</c:v>
                      </c:pt>
                      <c:pt idx="132">
                        <c:v>44229</c:v>
                      </c:pt>
                      <c:pt idx="133">
                        <c:v>44230</c:v>
                      </c:pt>
                      <c:pt idx="134">
                        <c:v>44231</c:v>
                      </c:pt>
                      <c:pt idx="135">
                        <c:v>44232</c:v>
                      </c:pt>
                      <c:pt idx="136">
                        <c:v>44235</c:v>
                      </c:pt>
                      <c:pt idx="137">
                        <c:v>44236</c:v>
                      </c:pt>
                      <c:pt idx="138">
                        <c:v>44237</c:v>
                      </c:pt>
                      <c:pt idx="139">
                        <c:v>44238</c:v>
                      </c:pt>
                      <c:pt idx="140">
                        <c:v>44239</c:v>
                      </c:pt>
                      <c:pt idx="141">
                        <c:v>44242</c:v>
                      </c:pt>
                      <c:pt idx="142">
                        <c:v>44243</c:v>
                      </c:pt>
                      <c:pt idx="143">
                        <c:v>44244</c:v>
                      </c:pt>
                      <c:pt idx="144">
                        <c:v>44245</c:v>
                      </c:pt>
                      <c:pt idx="145">
                        <c:v>44246</c:v>
                      </c:pt>
                      <c:pt idx="146">
                        <c:v>44247</c:v>
                      </c:pt>
                      <c:pt idx="147">
                        <c:v>44249</c:v>
                      </c:pt>
                      <c:pt idx="148">
                        <c:v>44250</c:v>
                      </c:pt>
                      <c:pt idx="149">
                        <c:v>44251</c:v>
                      </c:pt>
                      <c:pt idx="150">
                        <c:v>44252</c:v>
                      </c:pt>
                      <c:pt idx="151">
                        <c:v>44253</c:v>
                      </c:pt>
                      <c:pt idx="152">
                        <c:v>44256</c:v>
                      </c:pt>
                      <c:pt idx="153">
                        <c:v>44257</c:v>
                      </c:pt>
                      <c:pt idx="154">
                        <c:v>44258</c:v>
                      </c:pt>
                      <c:pt idx="155">
                        <c:v>44259</c:v>
                      </c:pt>
                      <c:pt idx="156">
                        <c:v>44260</c:v>
                      </c:pt>
                      <c:pt idx="157">
                        <c:v>44263</c:v>
                      </c:pt>
                      <c:pt idx="158">
                        <c:v>44264</c:v>
                      </c:pt>
                      <c:pt idx="159">
                        <c:v>44265</c:v>
                      </c:pt>
                      <c:pt idx="160">
                        <c:v>44266</c:v>
                      </c:pt>
                      <c:pt idx="161">
                        <c:v>44267</c:v>
                      </c:pt>
                      <c:pt idx="162">
                        <c:v>44270</c:v>
                      </c:pt>
                      <c:pt idx="163">
                        <c:v>44271</c:v>
                      </c:pt>
                      <c:pt idx="164">
                        <c:v>44272</c:v>
                      </c:pt>
                      <c:pt idx="165">
                        <c:v>44273</c:v>
                      </c:pt>
                      <c:pt idx="166">
                        <c:v>44274</c:v>
                      </c:pt>
                      <c:pt idx="167">
                        <c:v>44277</c:v>
                      </c:pt>
                      <c:pt idx="168">
                        <c:v>44278</c:v>
                      </c:pt>
                      <c:pt idx="169">
                        <c:v>44279</c:v>
                      </c:pt>
                      <c:pt idx="170">
                        <c:v>44280</c:v>
                      </c:pt>
                      <c:pt idx="171">
                        <c:v>44281</c:v>
                      </c:pt>
                      <c:pt idx="172">
                        <c:v>44284</c:v>
                      </c:pt>
                      <c:pt idx="173">
                        <c:v>44285</c:v>
                      </c:pt>
                      <c:pt idx="174">
                        <c:v>44286</c:v>
                      </c:pt>
                      <c:pt idx="175">
                        <c:v>44287</c:v>
                      </c:pt>
                      <c:pt idx="176">
                        <c:v>44288</c:v>
                      </c:pt>
                      <c:pt idx="177">
                        <c:v>44291</c:v>
                      </c:pt>
                      <c:pt idx="178">
                        <c:v>44292</c:v>
                      </c:pt>
                      <c:pt idx="179">
                        <c:v>44293</c:v>
                      </c:pt>
                      <c:pt idx="180">
                        <c:v>44294</c:v>
                      </c:pt>
                      <c:pt idx="181">
                        <c:v>44295</c:v>
                      </c:pt>
                      <c:pt idx="182">
                        <c:v>44298</c:v>
                      </c:pt>
                      <c:pt idx="183">
                        <c:v>44299</c:v>
                      </c:pt>
                      <c:pt idx="184">
                        <c:v>44300</c:v>
                      </c:pt>
                      <c:pt idx="185">
                        <c:v>44301</c:v>
                      </c:pt>
                      <c:pt idx="186">
                        <c:v>44302</c:v>
                      </c:pt>
                      <c:pt idx="187">
                        <c:v>44305</c:v>
                      </c:pt>
                      <c:pt idx="188">
                        <c:v>44306</c:v>
                      </c:pt>
                      <c:pt idx="189">
                        <c:v>44307</c:v>
                      </c:pt>
                      <c:pt idx="190">
                        <c:v>44308</c:v>
                      </c:pt>
                      <c:pt idx="191">
                        <c:v>44309</c:v>
                      </c:pt>
                      <c:pt idx="192">
                        <c:v>44311</c:v>
                      </c:pt>
                      <c:pt idx="193">
                        <c:v>44312</c:v>
                      </c:pt>
                      <c:pt idx="194">
                        <c:v>44313</c:v>
                      </c:pt>
                      <c:pt idx="195">
                        <c:v>44314</c:v>
                      </c:pt>
                      <c:pt idx="196">
                        <c:v>44315</c:v>
                      </c:pt>
                      <c:pt idx="197">
                        <c:v>44316</c:v>
                      </c:pt>
                      <c:pt idx="198">
                        <c:v>44319</c:v>
                      </c:pt>
                      <c:pt idx="199">
                        <c:v>44320</c:v>
                      </c:pt>
                      <c:pt idx="200">
                        <c:v>44321</c:v>
                      </c:pt>
                      <c:pt idx="201">
                        <c:v>44322</c:v>
                      </c:pt>
                      <c:pt idx="202">
                        <c:v>44323</c:v>
                      </c:pt>
                      <c:pt idx="203">
                        <c:v>44326</c:v>
                      </c:pt>
                      <c:pt idx="204">
                        <c:v>44327</c:v>
                      </c:pt>
                      <c:pt idx="205">
                        <c:v>44328</c:v>
                      </c:pt>
                      <c:pt idx="206">
                        <c:v>44329</c:v>
                      </c:pt>
                      <c:pt idx="207">
                        <c:v>44330</c:v>
                      </c:pt>
                      <c:pt idx="208">
                        <c:v>44333</c:v>
                      </c:pt>
                      <c:pt idx="209">
                        <c:v>44334</c:v>
                      </c:pt>
                      <c:pt idx="210">
                        <c:v>44335</c:v>
                      </c:pt>
                      <c:pt idx="211">
                        <c:v>44336</c:v>
                      </c:pt>
                      <c:pt idx="212">
                        <c:v>44337</c:v>
                      </c:pt>
                      <c:pt idx="213">
                        <c:v>44340</c:v>
                      </c:pt>
                      <c:pt idx="214">
                        <c:v>44341</c:v>
                      </c:pt>
                      <c:pt idx="215">
                        <c:v>44342</c:v>
                      </c:pt>
                      <c:pt idx="216">
                        <c:v>44343</c:v>
                      </c:pt>
                      <c:pt idx="217">
                        <c:v>44344</c:v>
                      </c:pt>
                      <c:pt idx="218">
                        <c:v>44347</c:v>
                      </c:pt>
                      <c:pt idx="219">
                        <c:v>44348</c:v>
                      </c:pt>
                      <c:pt idx="220">
                        <c:v>44349</c:v>
                      </c:pt>
                      <c:pt idx="221">
                        <c:v>44350</c:v>
                      </c:pt>
                      <c:pt idx="222">
                        <c:v>44351</c:v>
                      </c:pt>
                      <c:pt idx="223">
                        <c:v>44354</c:v>
                      </c:pt>
                      <c:pt idx="224">
                        <c:v>44355</c:v>
                      </c:pt>
                      <c:pt idx="225">
                        <c:v>44356</c:v>
                      </c:pt>
                      <c:pt idx="226">
                        <c:v>44357</c:v>
                      </c:pt>
                      <c:pt idx="227">
                        <c:v>44358</c:v>
                      </c:pt>
                      <c:pt idx="228">
                        <c:v>44361</c:v>
                      </c:pt>
                      <c:pt idx="229">
                        <c:v>44362</c:v>
                      </c:pt>
                      <c:pt idx="230">
                        <c:v>44363</c:v>
                      </c:pt>
                      <c:pt idx="231">
                        <c:v>44364</c:v>
                      </c:pt>
                      <c:pt idx="232">
                        <c:v>44365</c:v>
                      </c:pt>
                      <c:pt idx="233">
                        <c:v>44368</c:v>
                      </c:pt>
                      <c:pt idx="234">
                        <c:v>44369</c:v>
                      </c:pt>
                      <c:pt idx="235">
                        <c:v>44370</c:v>
                      </c:pt>
                      <c:pt idx="236">
                        <c:v>44371</c:v>
                      </c:pt>
                      <c:pt idx="237">
                        <c:v>44372</c:v>
                      </c:pt>
                      <c:pt idx="238">
                        <c:v>44375</c:v>
                      </c:pt>
                      <c:pt idx="239">
                        <c:v>44376</c:v>
                      </c:pt>
                      <c:pt idx="240">
                        <c:v>44377</c:v>
                      </c:pt>
                      <c:pt idx="241">
                        <c:v>44378</c:v>
                      </c:pt>
                      <c:pt idx="242">
                        <c:v>44379</c:v>
                      </c:pt>
                      <c:pt idx="243">
                        <c:v>44382</c:v>
                      </c:pt>
                      <c:pt idx="244">
                        <c:v>44383</c:v>
                      </c:pt>
                      <c:pt idx="245">
                        <c:v>44384</c:v>
                      </c:pt>
                      <c:pt idx="246">
                        <c:v>44385</c:v>
                      </c:pt>
                      <c:pt idx="247">
                        <c:v>44386</c:v>
                      </c:pt>
                      <c:pt idx="248">
                        <c:v>44389</c:v>
                      </c:pt>
                      <c:pt idx="249">
                        <c:v>44390</c:v>
                      </c:pt>
                      <c:pt idx="250">
                        <c:v>44391</c:v>
                      </c:pt>
                      <c:pt idx="251">
                        <c:v>44392</c:v>
                      </c:pt>
                      <c:pt idx="252">
                        <c:v>44393</c:v>
                      </c:pt>
                      <c:pt idx="253">
                        <c:v>44396</c:v>
                      </c:pt>
                      <c:pt idx="254">
                        <c:v>44397</c:v>
                      </c:pt>
                      <c:pt idx="255">
                        <c:v>44398</c:v>
                      </c:pt>
                      <c:pt idx="256">
                        <c:v>44399</c:v>
                      </c:pt>
                      <c:pt idx="257">
                        <c:v>44400</c:v>
                      </c:pt>
                      <c:pt idx="258">
                        <c:v>44403</c:v>
                      </c:pt>
                      <c:pt idx="259">
                        <c:v>44404</c:v>
                      </c:pt>
                      <c:pt idx="260">
                        <c:v>44405</c:v>
                      </c:pt>
                      <c:pt idx="261">
                        <c:v>44406</c:v>
                      </c:pt>
                      <c:pt idx="262">
                        <c:v>44407</c:v>
                      </c:pt>
                      <c:pt idx="263">
                        <c:v>44410</c:v>
                      </c:pt>
                      <c:pt idx="264">
                        <c:v>44411</c:v>
                      </c:pt>
                      <c:pt idx="265">
                        <c:v>44412</c:v>
                      </c:pt>
                      <c:pt idx="266">
                        <c:v>44413</c:v>
                      </c:pt>
                      <c:pt idx="267">
                        <c:v>44414</c:v>
                      </c:pt>
                      <c:pt idx="268">
                        <c:v>44417</c:v>
                      </c:pt>
                      <c:pt idx="269">
                        <c:v>44418</c:v>
                      </c:pt>
                      <c:pt idx="270">
                        <c:v>44419</c:v>
                      </c:pt>
                      <c:pt idx="271">
                        <c:v>44420</c:v>
                      </c:pt>
                      <c:pt idx="272">
                        <c:v>44421</c:v>
                      </c:pt>
                      <c:pt idx="273">
                        <c:v>44424</c:v>
                      </c:pt>
                      <c:pt idx="274">
                        <c:v>44425</c:v>
                      </c:pt>
                      <c:pt idx="275">
                        <c:v>44426</c:v>
                      </c:pt>
                      <c:pt idx="276">
                        <c:v>44427</c:v>
                      </c:pt>
                      <c:pt idx="277">
                        <c:v>44428</c:v>
                      </c:pt>
                      <c:pt idx="278">
                        <c:v>44431</c:v>
                      </c:pt>
                      <c:pt idx="279">
                        <c:v>44432</c:v>
                      </c:pt>
                      <c:pt idx="280">
                        <c:v>44433</c:v>
                      </c:pt>
                      <c:pt idx="281">
                        <c:v>44434</c:v>
                      </c:pt>
                      <c:pt idx="282">
                        <c:v>44435</c:v>
                      </c:pt>
                      <c:pt idx="283">
                        <c:v>44438</c:v>
                      </c:pt>
                      <c:pt idx="284">
                        <c:v>44439</c:v>
                      </c:pt>
                    </c:numCache>
                  </c:numRef>
                </c:cat>
                <c:val>
                  <c:numRef>
                    <c:extLst xmlns:c15="http://schemas.microsoft.com/office/drawing/2012/chart">
                      <c:ext xmlns:c15="http://schemas.microsoft.com/office/drawing/2012/chart" uri="{02D57815-91ED-43cb-92C2-25804820EDAC}">
                        <c15:formulaRef>
                          <c15:sqref>'[2021 09 GMR NEW.XLSX]Currency Chart'!$T$6:$T$290</c15:sqref>
                        </c15:formulaRef>
                      </c:ext>
                    </c:extLst>
                    <c:numCache>
                      <c:formatCode>0</c:formatCode>
                      <c:ptCount val="285"/>
                      <c:pt idx="0" formatCode="General">
                        <c:v>100</c:v>
                      </c:pt>
                      <c:pt idx="1">
                        <c:v>101.02476365175673</c:v>
                      </c:pt>
                      <c:pt idx="2">
                        <c:v>102.38817553266543</c:v>
                      </c:pt>
                      <c:pt idx="3">
                        <c:v>101.83434457457315</c:v>
                      </c:pt>
                      <c:pt idx="4">
                        <c:v>102.42580311368232</c:v>
                      </c:pt>
                      <c:pt idx="5">
                        <c:v>103.66222190865905</c:v>
                      </c:pt>
                      <c:pt idx="6">
                        <c:v>103.96677014251448</c:v>
                      </c:pt>
                      <c:pt idx="7">
                        <c:v>102.75798410234705</c:v>
                      </c:pt>
                      <c:pt idx="8">
                        <c:v>102.62746343069472</c:v>
                      </c:pt>
                      <c:pt idx="9">
                        <c:v>102.42403932082217</c:v>
                      </c:pt>
                      <c:pt idx="10">
                        <c:v>102.15241522035653</c:v>
                      </c:pt>
                      <c:pt idx="11">
                        <c:v>102.95258924791872</c:v>
                      </c:pt>
                      <c:pt idx="12">
                        <c:v>101.90313249611965</c:v>
                      </c:pt>
                      <c:pt idx="13">
                        <c:v>101.52097737641691</c:v>
                      </c:pt>
                      <c:pt idx="14">
                        <c:v>101.51098255020931</c:v>
                      </c:pt>
                      <c:pt idx="15">
                        <c:v>100.80193782042238</c:v>
                      </c:pt>
                      <c:pt idx="16">
                        <c:v>99.593151780254942</c:v>
                      </c:pt>
                      <c:pt idx="17">
                        <c:v>99.026974272141501</c:v>
                      </c:pt>
                      <c:pt idx="18">
                        <c:v>99.183951836696323</c:v>
                      </c:pt>
                      <c:pt idx="19">
                        <c:v>100.1851982503175</c:v>
                      </c:pt>
                      <c:pt idx="20">
                        <c:v>97.494826207610188</c:v>
                      </c:pt>
                      <c:pt idx="21">
                        <c:v>99.572574196886322</c:v>
                      </c:pt>
                      <c:pt idx="22">
                        <c:v>97.809957198626591</c:v>
                      </c:pt>
                      <c:pt idx="23">
                        <c:v>98.76534499788346</c:v>
                      </c:pt>
                      <c:pt idx="24">
                        <c:v>98.316753680447789</c:v>
                      </c:pt>
                      <c:pt idx="25">
                        <c:v>97.636517567376913</c:v>
                      </c:pt>
                      <c:pt idx="26">
                        <c:v>98.386129532947692</c:v>
                      </c:pt>
                      <c:pt idx="27">
                        <c:v>99.367974225107034</c:v>
                      </c:pt>
                      <c:pt idx="28">
                        <c:v>97.603593433987143</c:v>
                      </c:pt>
                      <c:pt idx="29">
                        <c:v>99.330346644090142</c:v>
                      </c:pt>
                      <c:pt idx="30">
                        <c:v>98.390245049621399</c:v>
                      </c:pt>
                      <c:pt idx="31">
                        <c:v>97.935774422651832</c:v>
                      </c:pt>
                      <c:pt idx="32">
                        <c:v>96.607050467993076</c:v>
                      </c:pt>
                      <c:pt idx="33">
                        <c:v>95.410023046893414</c:v>
                      </c:pt>
                      <c:pt idx="34">
                        <c:v>94.970838624711945</c:v>
                      </c:pt>
                      <c:pt idx="35">
                        <c:v>95.928578147782346</c:v>
                      </c:pt>
                      <c:pt idx="36">
                        <c:v>98.632472602417593</c:v>
                      </c:pt>
                      <c:pt idx="37">
                        <c:v>98.72889327877337</c:v>
                      </c:pt>
                      <c:pt idx="38">
                        <c:v>100.34099995296556</c:v>
                      </c:pt>
                      <c:pt idx="39">
                        <c:v>99.426767320445919</c:v>
                      </c:pt>
                      <c:pt idx="40">
                        <c:v>100.64554818682097</c:v>
                      </c:pt>
                      <c:pt idx="41">
                        <c:v>100.20695169559291</c:v>
                      </c:pt>
                      <c:pt idx="42">
                        <c:v>99.605498330276134</c:v>
                      </c:pt>
                      <c:pt idx="43">
                        <c:v>98.383777809134131</c:v>
                      </c:pt>
                      <c:pt idx="44">
                        <c:v>97.594774469686314</c:v>
                      </c:pt>
                      <c:pt idx="45">
                        <c:v>97.257890033394517</c:v>
                      </c:pt>
                      <c:pt idx="46">
                        <c:v>97.423686562250154</c:v>
                      </c:pt>
                      <c:pt idx="47">
                        <c:v>98.32851229951558</c:v>
                      </c:pt>
                      <c:pt idx="48">
                        <c:v>97.707657212736976</c:v>
                      </c:pt>
                      <c:pt idx="49">
                        <c:v>97.478364140915318</c:v>
                      </c:pt>
                      <c:pt idx="50">
                        <c:v>96.757560792060616</c:v>
                      </c:pt>
                      <c:pt idx="51">
                        <c:v>97.038003856827089</c:v>
                      </c:pt>
                      <c:pt idx="52">
                        <c:v>96.76990734208178</c:v>
                      </c:pt>
                      <c:pt idx="53">
                        <c:v>97.140891773670148</c:v>
                      </c:pt>
                      <c:pt idx="54">
                        <c:v>97.912845115469679</c:v>
                      </c:pt>
                      <c:pt idx="55">
                        <c:v>97.297281407271569</c:v>
                      </c:pt>
                      <c:pt idx="56">
                        <c:v>97.052702130661828</c:v>
                      </c:pt>
                      <c:pt idx="57">
                        <c:v>96.860448708903661</c:v>
                      </c:pt>
                      <c:pt idx="58">
                        <c:v>95.79629368326988</c:v>
                      </c:pt>
                      <c:pt idx="59">
                        <c:v>95.230116175156439</c:v>
                      </c:pt>
                      <c:pt idx="60">
                        <c:v>95.168971356003993</c:v>
                      </c:pt>
                      <c:pt idx="61">
                        <c:v>95.395912704012076</c:v>
                      </c:pt>
                      <c:pt idx="62">
                        <c:v>95.217769625135247</c:v>
                      </c:pt>
                      <c:pt idx="63">
                        <c:v>96.31426085320544</c:v>
                      </c:pt>
                      <c:pt idx="64">
                        <c:v>96.346009124688422</c:v>
                      </c:pt>
                      <c:pt idx="65">
                        <c:v>95.502328206575442</c:v>
                      </c:pt>
                      <c:pt idx="66">
                        <c:v>95.307135130050341</c:v>
                      </c:pt>
                      <c:pt idx="67">
                        <c:v>94.411716288039145</c:v>
                      </c:pt>
                      <c:pt idx="68">
                        <c:v>93.322280231409636</c:v>
                      </c:pt>
                      <c:pt idx="69">
                        <c:v>92.183457974695457</c:v>
                      </c:pt>
                      <c:pt idx="70">
                        <c:v>91.61845632848879</c:v>
                      </c:pt>
                      <c:pt idx="71">
                        <c:v>90.320892714359644</c:v>
                      </c:pt>
                      <c:pt idx="72">
                        <c:v>91.864211467005333</c:v>
                      </c:pt>
                      <c:pt idx="73">
                        <c:v>91.837166643149445</c:v>
                      </c:pt>
                      <c:pt idx="74">
                        <c:v>91.946521800479758</c:v>
                      </c:pt>
                      <c:pt idx="75">
                        <c:v>91.03581675368045</c:v>
                      </c:pt>
                      <c:pt idx="76">
                        <c:v>90.126875499741303</c:v>
                      </c:pt>
                      <c:pt idx="77">
                        <c:v>90.523728893278772</c:v>
                      </c:pt>
                      <c:pt idx="78">
                        <c:v>90.818282300926583</c:v>
                      </c:pt>
                      <c:pt idx="79">
                        <c:v>90.597220262452367</c:v>
                      </c:pt>
                      <c:pt idx="80">
                        <c:v>90.606627157706583</c:v>
                      </c:pt>
                      <c:pt idx="81">
                        <c:v>90.769484031795301</c:v>
                      </c:pt>
                      <c:pt idx="82">
                        <c:v>89.319646300738427</c:v>
                      </c:pt>
                      <c:pt idx="83">
                        <c:v>88.916913597667076</c:v>
                      </c:pt>
                      <c:pt idx="84">
                        <c:v>89.232044588683493</c:v>
                      </c:pt>
                      <c:pt idx="85">
                        <c:v>89.678872113259004</c:v>
                      </c:pt>
                      <c:pt idx="86">
                        <c:v>90.930577113023844</c:v>
                      </c:pt>
                      <c:pt idx="87">
                        <c:v>89.625958327454015</c:v>
                      </c:pt>
                      <c:pt idx="88">
                        <c:v>89.796458303936774</c:v>
                      </c:pt>
                      <c:pt idx="89">
                        <c:v>89.101523917031173</c:v>
                      </c:pt>
                      <c:pt idx="90">
                        <c:v>89.415479046140817</c:v>
                      </c:pt>
                      <c:pt idx="91">
                        <c:v>89.149146324255668</c:v>
                      </c:pt>
                      <c:pt idx="92">
                        <c:v>88.057946474765998</c:v>
                      </c:pt>
                      <c:pt idx="93">
                        <c:v>87.996213724660166</c:v>
                      </c:pt>
                      <c:pt idx="94">
                        <c:v>88.294882648981684</c:v>
                      </c:pt>
                      <c:pt idx="95">
                        <c:v>88.909858426226421</c:v>
                      </c:pt>
                      <c:pt idx="96">
                        <c:v>88.357203330040917</c:v>
                      </c:pt>
                      <c:pt idx="97">
                        <c:v>87.457668971356</c:v>
                      </c:pt>
                      <c:pt idx="98">
                        <c:v>87.089036263581193</c:v>
                      </c:pt>
                      <c:pt idx="99">
                        <c:v>86.060157095150743</c:v>
                      </c:pt>
                      <c:pt idx="100">
                        <c:v>85.399910634495072</c:v>
                      </c:pt>
                      <c:pt idx="101">
                        <c:v>85.822632989981642</c:v>
                      </c:pt>
                      <c:pt idx="102">
                        <c:v>86.120713983349773</c:v>
                      </c:pt>
                      <c:pt idx="103">
                        <c:v>85.77383472085036</c:v>
                      </c:pt>
                      <c:pt idx="104">
                        <c:v>85.889657118667969</c:v>
                      </c:pt>
                      <c:pt idx="105">
                        <c:v>85.646841634918388</c:v>
                      </c:pt>
                      <c:pt idx="106">
                        <c:v>86.054277785616847</c:v>
                      </c:pt>
                      <c:pt idx="107">
                        <c:v>86.470532900616149</c:v>
                      </c:pt>
                      <c:pt idx="108">
                        <c:v>85.839682987629942</c:v>
                      </c:pt>
                      <c:pt idx="109">
                        <c:v>86.354122571845167</c:v>
                      </c:pt>
                      <c:pt idx="110">
                        <c:v>86.154226047692973</c:v>
                      </c:pt>
                      <c:pt idx="111">
                        <c:v>86.51345186021355</c:v>
                      </c:pt>
                      <c:pt idx="112">
                        <c:v>87.999153379427128</c:v>
                      </c:pt>
                      <c:pt idx="113">
                        <c:v>88.498306758854241</c:v>
                      </c:pt>
                      <c:pt idx="114">
                        <c:v>90.708927143596256</c:v>
                      </c:pt>
                      <c:pt idx="115">
                        <c:v>89.858191054042621</c:v>
                      </c:pt>
                      <c:pt idx="116">
                        <c:v>91.406801185268804</c:v>
                      </c:pt>
                      <c:pt idx="117">
                        <c:v>89.665349701331081</c:v>
                      </c:pt>
                      <c:pt idx="118">
                        <c:v>89.645360048915862</c:v>
                      </c:pt>
                      <c:pt idx="119">
                        <c:v>88.595903297116791</c:v>
                      </c:pt>
                      <c:pt idx="120">
                        <c:v>89.477799727200036</c:v>
                      </c:pt>
                      <c:pt idx="121">
                        <c:v>89.070363576501592</c:v>
                      </c:pt>
                      <c:pt idx="122">
                        <c:v>88.040896477117741</c:v>
                      </c:pt>
                      <c:pt idx="123">
                        <c:v>87.574667231080397</c:v>
                      </c:pt>
                      <c:pt idx="124">
                        <c:v>87.805724095762216</c:v>
                      </c:pt>
                      <c:pt idx="125">
                        <c:v>88.832251540379119</c:v>
                      </c:pt>
                      <c:pt idx="126">
                        <c:v>89.565989370208385</c:v>
                      </c:pt>
                      <c:pt idx="127">
                        <c:v>88.550044682752485</c:v>
                      </c:pt>
                      <c:pt idx="128">
                        <c:v>89.705329006161548</c:v>
                      </c:pt>
                      <c:pt idx="129">
                        <c:v>89.218522176755599</c:v>
                      </c:pt>
                      <c:pt idx="130">
                        <c:v>89.115634259912554</c:v>
                      </c:pt>
                      <c:pt idx="131">
                        <c:v>88.580617092328708</c:v>
                      </c:pt>
                      <c:pt idx="132">
                        <c:v>87.940360284088271</c:v>
                      </c:pt>
                      <c:pt idx="133">
                        <c:v>87.809839612435951</c:v>
                      </c:pt>
                      <c:pt idx="134">
                        <c:v>88.167889563049741</c:v>
                      </c:pt>
                      <c:pt idx="135">
                        <c:v>87.404167254597652</c:v>
                      </c:pt>
                      <c:pt idx="136">
                        <c:v>87.462372418983151</c:v>
                      </c:pt>
                      <c:pt idx="137">
                        <c:v>86.56342599125162</c:v>
                      </c:pt>
                      <c:pt idx="138">
                        <c:v>86.692770800997167</c:v>
                      </c:pt>
                      <c:pt idx="139">
                        <c:v>86.006067447439008</c:v>
                      </c:pt>
                      <c:pt idx="140">
                        <c:v>85.539250270448278</c:v>
                      </c:pt>
                      <c:pt idx="141">
                        <c:v>84.916043459856098</c:v>
                      </c:pt>
                      <c:pt idx="142">
                        <c:v>86.129532947650645</c:v>
                      </c:pt>
                      <c:pt idx="143">
                        <c:v>86.08896571186682</c:v>
                      </c:pt>
                      <c:pt idx="144">
                        <c:v>85.828512299515566</c:v>
                      </c:pt>
                      <c:pt idx="145">
                        <c:v>86.101900192841384</c:v>
                      </c:pt>
                      <c:pt idx="146">
                        <c:v>86.101900192841384</c:v>
                      </c:pt>
                      <c:pt idx="147">
                        <c:v>86.22536569305305</c:v>
                      </c:pt>
                      <c:pt idx="148">
                        <c:v>85.451648558393345</c:v>
                      </c:pt>
                      <c:pt idx="149">
                        <c:v>85.183552043648035</c:v>
                      </c:pt>
                      <c:pt idx="150">
                        <c:v>88.557099854193154</c:v>
                      </c:pt>
                      <c:pt idx="151">
                        <c:v>88.734067071163182</c:v>
                      </c:pt>
                      <c:pt idx="152">
                        <c:v>88.248436103664005</c:v>
                      </c:pt>
                      <c:pt idx="153">
                        <c:v>87.793377545741052</c:v>
                      </c:pt>
                      <c:pt idx="154">
                        <c:v>88.651168806735356</c:v>
                      </c:pt>
                      <c:pt idx="155">
                        <c:v>89.905225530313729</c:v>
                      </c:pt>
                      <c:pt idx="156">
                        <c:v>90.235054795164857</c:v>
                      </c:pt>
                      <c:pt idx="157">
                        <c:v>91.31508395654015</c:v>
                      </c:pt>
                      <c:pt idx="158">
                        <c:v>89.924039320822175</c:v>
                      </c:pt>
                      <c:pt idx="159">
                        <c:v>88.571210197074464</c:v>
                      </c:pt>
                      <c:pt idx="160">
                        <c:v>87.148417289873493</c:v>
                      </c:pt>
                      <c:pt idx="161">
                        <c:v>87.791613752880878</c:v>
                      </c:pt>
                      <c:pt idx="162">
                        <c:v>87.341846573538419</c:v>
                      </c:pt>
                      <c:pt idx="163">
                        <c:v>87.344786228305352</c:v>
                      </c:pt>
                      <c:pt idx="164">
                        <c:v>86.110131226188798</c:v>
                      </c:pt>
                      <c:pt idx="165">
                        <c:v>86.821527679789284</c:v>
                      </c:pt>
                      <c:pt idx="166">
                        <c:v>86.427026010065376</c:v>
                      </c:pt>
                      <c:pt idx="167">
                        <c:v>86.477588072056804</c:v>
                      </c:pt>
                      <c:pt idx="168">
                        <c:v>87.615234466864194</c:v>
                      </c:pt>
                      <c:pt idx="169">
                        <c:v>88.012675791355051</c:v>
                      </c:pt>
                      <c:pt idx="170">
                        <c:v>88.304877475189315</c:v>
                      </c:pt>
                      <c:pt idx="171">
                        <c:v>88.172005079723434</c:v>
                      </c:pt>
                      <c:pt idx="172">
                        <c:v>87.626405154978585</c:v>
                      </c:pt>
                      <c:pt idx="173">
                        <c:v>87.677555147923428</c:v>
                      </c:pt>
                      <c:pt idx="174">
                        <c:v>86.816824232162176</c:v>
                      </c:pt>
                      <c:pt idx="175">
                        <c:v>85.92316918301114</c:v>
                      </c:pt>
                      <c:pt idx="176">
                        <c:v>86.256526033582617</c:v>
                      </c:pt>
                      <c:pt idx="177">
                        <c:v>85.518672687079629</c:v>
                      </c:pt>
                      <c:pt idx="178">
                        <c:v>85.348760641550257</c:v>
                      </c:pt>
                      <c:pt idx="179">
                        <c:v>85.570998541931246</c:v>
                      </c:pt>
                      <c:pt idx="180">
                        <c:v>85.274093410469874</c:v>
                      </c:pt>
                      <c:pt idx="181">
                        <c:v>85.800879544706277</c:v>
                      </c:pt>
                      <c:pt idx="182">
                        <c:v>85.632731292037064</c:v>
                      </c:pt>
                      <c:pt idx="183">
                        <c:v>85.386976153520536</c:v>
                      </c:pt>
                      <c:pt idx="184">
                        <c:v>84.586802125958329</c:v>
                      </c:pt>
                      <c:pt idx="185">
                        <c:v>83.225154037909789</c:v>
                      </c:pt>
                      <c:pt idx="186">
                        <c:v>84.079417713183759</c:v>
                      </c:pt>
                      <c:pt idx="187">
                        <c:v>83.570857438502415</c:v>
                      </c:pt>
                      <c:pt idx="188">
                        <c:v>84.057076336954978</c:v>
                      </c:pt>
                      <c:pt idx="189">
                        <c:v>83.726071210197063</c:v>
                      </c:pt>
                      <c:pt idx="190">
                        <c:v>84.059428060768525</c:v>
                      </c:pt>
                      <c:pt idx="191">
                        <c:v>83.888928084285766</c:v>
                      </c:pt>
                      <c:pt idx="192">
                        <c:v>83.888928084285766</c:v>
                      </c:pt>
                      <c:pt idx="193">
                        <c:v>83.91068152956116</c:v>
                      </c:pt>
                      <c:pt idx="194">
                        <c:v>84.443934904284831</c:v>
                      </c:pt>
                      <c:pt idx="195">
                        <c:v>83.647876393396345</c:v>
                      </c:pt>
                      <c:pt idx="196">
                        <c:v>84.078829782230372</c:v>
                      </c:pt>
                      <c:pt idx="197">
                        <c:v>85.213536522270829</c:v>
                      </c:pt>
                      <c:pt idx="198">
                        <c:v>84.610907295047269</c:v>
                      </c:pt>
                      <c:pt idx="199">
                        <c:v>84.980127933775464</c:v>
                      </c:pt>
                      <c:pt idx="200">
                        <c:v>84.43687973284419</c:v>
                      </c:pt>
                      <c:pt idx="201">
                        <c:v>83.72195569352337</c:v>
                      </c:pt>
                      <c:pt idx="202">
                        <c:v>82.628404120220139</c:v>
                      </c:pt>
                      <c:pt idx="203">
                        <c:v>82.539626546258432</c:v>
                      </c:pt>
                      <c:pt idx="204">
                        <c:v>82.276821410093632</c:v>
                      </c:pt>
                      <c:pt idx="205">
                        <c:v>82.979398899393274</c:v>
                      </c:pt>
                      <c:pt idx="206">
                        <c:v>82.942359249329783</c:v>
                      </c:pt>
                      <c:pt idx="207">
                        <c:v>82.961760970791616</c:v>
                      </c:pt>
                      <c:pt idx="208">
                        <c:v>82.944710973143359</c:v>
                      </c:pt>
                      <c:pt idx="209">
                        <c:v>82.236842105263207</c:v>
                      </c:pt>
                      <c:pt idx="210">
                        <c:v>82.901204082592585</c:v>
                      </c:pt>
                      <c:pt idx="211">
                        <c:v>82.12925074079304</c:v>
                      </c:pt>
                      <c:pt idx="212">
                        <c:v>82.051643854945709</c:v>
                      </c:pt>
                      <c:pt idx="213">
                        <c:v>81.820586990263905</c:v>
                      </c:pt>
                      <c:pt idx="214">
                        <c:v>81.452542213442499</c:v>
                      </c:pt>
                      <c:pt idx="215">
                        <c:v>80.932223319693378</c:v>
                      </c:pt>
                      <c:pt idx="216">
                        <c:v>80.852264710032514</c:v>
                      </c:pt>
                      <c:pt idx="217">
                        <c:v>80.886952636282444</c:v>
                      </c:pt>
                      <c:pt idx="218">
                        <c:v>80.654131978740466</c:v>
                      </c:pt>
                      <c:pt idx="219">
                        <c:v>80.816400921875797</c:v>
                      </c:pt>
                      <c:pt idx="220">
                        <c:v>79.439466629039146</c:v>
                      </c:pt>
                      <c:pt idx="221">
                        <c:v>80.135576877851534</c:v>
                      </c:pt>
                      <c:pt idx="222">
                        <c:v>78.986171863976352</c:v>
                      </c:pt>
                      <c:pt idx="223">
                        <c:v>79.311885612153759</c:v>
                      </c:pt>
                      <c:pt idx="224">
                        <c:v>79.756361412915709</c:v>
                      </c:pt>
                      <c:pt idx="225">
                        <c:v>80.844033676685058</c:v>
                      </c:pt>
                      <c:pt idx="226">
                        <c:v>79.927449320351869</c:v>
                      </c:pt>
                      <c:pt idx="227">
                        <c:v>80.404261323550216</c:v>
                      </c:pt>
                      <c:pt idx="228">
                        <c:v>80.928695733973058</c:v>
                      </c:pt>
                      <c:pt idx="229">
                        <c:v>80.903414702977344</c:v>
                      </c:pt>
                      <c:pt idx="230">
                        <c:v>82.364423122148608</c:v>
                      </c:pt>
                      <c:pt idx="231">
                        <c:v>82.733643760876802</c:v>
                      </c:pt>
                      <c:pt idx="232">
                        <c:v>84.547998683034749</c:v>
                      </c:pt>
                      <c:pt idx="233">
                        <c:v>83.660222943417608</c:v>
                      </c:pt>
                      <c:pt idx="234">
                        <c:v>83.853652227082534</c:v>
                      </c:pt>
                      <c:pt idx="235">
                        <c:v>83.530290202718675</c:v>
                      </c:pt>
                      <c:pt idx="236">
                        <c:v>83.435045388269685</c:v>
                      </c:pt>
                      <c:pt idx="237">
                        <c:v>83.140491980621874</c:v>
                      </c:pt>
                      <c:pt idx="238">
                        <c:v>83.691971214900605</c:v>
                      </c:pt>
                      <c:pt idx="239">
                        <c:v>84.348102158882554</c:v>
                      </c:pt>
                      <c:pt idx="240">
                        <c:v>83.883636705705371</c:v>
                      </c:pt>
                      <c:pt idx="241">
                        <c:v>84.764357273881842</c:v>
                      </c:pt>
                      <c:pt idx="242">
                        <c:v>83.781924650769085</c:v>
                      </c:pt>
                      <c:pt idx="243">
                        <c:v>83.827783265133419</c:v>
                      </c:pt>
                      <c:pt idx="244">
                        <c:v>84.539179718733905</c:v>
                      </c:pt>
                      <c:pt idx="245">
                        <c:v>84.101171158459238</c:v>
                      </c:pt>
                      <c:pt idx="246">
                        <c:v>84.260500446827606</c:v>
                      </c:pt>
                      <c:pt idx="247">
                        <c:v>83.336860919053748</c:v>
                      </c:pt>
                      <c:pt idx="248">
                        <c:v>84.696157283288727</c:v>
                      </c:pt>
                      <c:pt idx="249">
                        <c:v>86.589882884154179</c:v>
                      </c:pt>
                      <c:pt idx="250">
                        <c:v>85.291731339071632</c:v>
                      </c:pt>
                      <c:pt idx="251">
                        <c:v>85.585108884812669</c:v>
                      </c:pt>
                      <c:pt idx="252">
                        <c:v>84.578571092610972</c:v>
                      </c:pt>
                      <c:pt idx="253">
                        <c:v>85.63096749917699</c:v>
                      </c:pt>
                      <c:pt idx="254">
                        <c:v>85.840270918583414</c:v>
                      </c:pt>
                      <c:pt idx="255">
                        <c:v>85.813226094727526</c:v>
                      </c:pt>
                      <c:pt idx="256">
                        <c:v>86.32590188608259</c:v>
                      </c:pt>
                      <c:pt idx="257">
                        <c:v>87.263651756737787</c:v>
                      </c:pt>
                      <c:pt idx="258">
                        <c:v>87.054348337331362</c:v>
                      </c:pt>
                      <c:pt idx="259">
                        <c:v>86.890903532289258</c:v>
                      </c:pt>
                      <c:pt idx="260">
                        <c:v>86.863858708433369</c:v>
                      </c:pt>
                      <c:pt idx="261">
                        <c:v>85.540426132355108</c:v>
                      </c:pt>
                      <c:pt idx="262">
                        <c:v>85.615681294388878</c:v>
                      </c:pt>
                      <c:pt idx="263">
                        <c:v>84.983067588542482</c:v>
                      </c:pt>
                      <c:pt idx="264">
                        <c:v>84.125864258501565</c:v>
                      </c:pt>
                      <c:pt idx="265">
                        <c:v>84.457457316212867</c:v>
                      </c:pt>
                      <c:pt idx="266">
                        <c:v>85.267038239029304</c:v>
                      </c:pt>
                      <c:pt idx="267">
                        <c:v>85.795000235172481</c:v>
                      </c:pt>
                      <c:pt idx="268">
                        <c:v>86.88620008466215</c:v>
                      </c:pt>
                      <c:pt idx="269">
                        <c:v>86.964394901462867</c:v>
                      </c:pt>
                      <c:pt idx="270">
                        <c:v>86.138351911951546</c:v>
                      </c:pt>
                      <c:pt idx="271">
                        <c:v>86.884436291801975</c:v>
                      </c:pt>
                      <c:pt idx="272">
                        <c:v>86.547551855510179</c:v>
                      </c:pt>
                      <c:pt idx="273">
                        <c:v>87.200743144725152</c:v>
                      </c:pt>
                      <c:pt idx="274">
                        <c:v>87.562320681059276</c:v>
                      </c:pt>
                      <c:pt idx="275">
                        <c:v>87.828065471991039</c:v>
                      </c:pt>
                      <c:pt idx="276">
                        <c:v>89.373148017496902</c:v>
                      </c:pt>
                      <c:pt idx="277">
                        <c:v>89.919923804148524</c:v>
                      </c:pt>
                      <c:pt idx="278">
                        <c:v>88.875758430929963</c:v>
                      </c:pt>
                      <c:pt idx="279">
                        <c:v>88.199049903579422</c:v>
                      </c:pt>
                      <c:pt idx="280">
                        <c:v>87.892149945910447</c:v>
                      </c:pt>
                      <c:pt idx="281">
                        <c:v>87.727529278961569</c:v>
                      </c:pt>
                      <c:pt idx="282">
                        <c:v>86.521682893561078</c:v>
                      </c:pt>
                      <c:pt idx="283">
                        <c:v>86.203612247777727</c:v>
                      </c:pt>
                      <c:pt idx="284">
                        <c:v>85.315836508160587</c:v>
                      </c:pt>
                    </c:numCache>
                  </c:numRef>
                </c:val>
                <c:smooth val="0"/>
                <c:extLst xmlns:c15="http://schemas.microsoft.com/office/drawing/2012/chart">
                  <c:ext xmlns:c16="http://schemas.microsoft.com/office/drawing/2014/chart" uri="{C3380CC4-5D6E-409C-BE32-E72D297353CC}">
                    <c16:uniqueId val="{00000006-A0A6-4952-B73D-3412C30D1F85}"/>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'[2021 09 GMR NEW.XLSX]Currency Chart'!$U$5</c15:sqref>
                        </c15:formulaRef>
                      </c:ext>
                    </c:extLst>
                    <c:strCache>
                      <c:ptCount val="1"/>
                      <c:pt idx="0">
                        <c:v>Won</c:v>
                      </c:pt>
                    </c:strCache>
                  </c:strRef>
                </c:tx>
                <c:spPr>
                  <a:ln w="28575" cap="rnd">
                    <a:solidFill>
                      <a:schemeClr val="accent6"/>
                    </a:solidFill>
                    <a:round/>
                  </a:ln>
                  <a:effectLst/>
                </c:spPr>
                <c:marker>
                  <c:symbol val="none"/>
                </c:marker>
                <c:cat>
                  <c:numRef>
                    <c:extLst xmlns:c15="http://schemas.microsoft.com/office/drawing/2012/chart">
                      <c:ext xmlns:c15="http://schemas.microsoft.com/office/drawing/2012/chart" uri="{02D57815-91ED-43cb-92C2-25804820EDAC}">
                        <c15:formulaRef>
                          <c15:sqref>'[2021 09 GMR NEW.XLSX]Currency Chart'!$O$6:$O$290</c15:sqref>
                        </c15:formulaRef>
                      </c:ext>
                    </c:extLst>
                    <c:numCache>
                      <c:formatCode>m/d/yyyy</c:formatCode>
                      <c:ptCount val="285"/>
                      <c:pt idx="0">
                        <c:v>44043</c:v>
                      </c:pt>
                      <c:pt idx="1">
                        <c:v>44046</c:v>
                      </c:pt>
                      <c:pt idx="2">
                        <c:v>44047</c:v>
                      </c:pt>
                      <c:pt idx="3">
                        <c:v>44048</c:v>
                      </c:pt>
                      <c:pt idx="4">
                        <c:v>44049</c:v>
                      </c:pt>
                      <c:pt idx="5">
                        <c:v>44050</c:v>
                      </c:pt>
                      <c:pt idx="6">
                        <c:v>44053</c:v>
                      </c:pt>
                      <c:pt idx="7">
                        <c:v>44054</c:v>
                      </c:pt>
                      <c:pt idx="8">
                        <c:v>44055</c:v>
                      </c:pt>
                      <c:pt idx="9">
                        <c:v>44056</c:v>
                      </c:pt>
                      <c:pt idx="10">
                        <c:v>44057</c:v>
                      </c:pt>
                      <c:pt idx="11">
                        <c:v>44060</c:v>
                      </c:pt>
                      <c:pt idx="12">
                        <c:v>44061</c:v>
                      </c:pt>
                      <c:pt idx="13">
                        <c:v>44062</c:v>
                      </c:pt>
                      <c:pt idx="14">
                        <c:v>44063</c:v>
                      </c:pt>
                      <c:pt idx="15">
                        <c:v>44064</c:v>
                      </c:pt>
                      <c:pt idx="16">
                        <c:v>44067</c:v>
                      </c:pt>
                      <c:pt idx="17">
                        <c:v>44068</c:v>
                      </c:pt>
                      <c:pt idx="18">
                        <c:v>44069</c:v>
                      </c:pt>
                      <c:pt idx="19">
                        <c:v>44070</c:v>
                      </c:pt>
                      <c:pt idx="20">
                        <c:v>44071</c:v>
                      </c:pt>
                      <c:pt idx="21">
                        <c:v>44074</c:v>
                      </c:pt>
                      <c:pt idx="22">
                        <c:v>44075</c:v>
                      </c:pt>
                      <c:pt idx="23">
                        <c:v>44076</c:v>
                      </c:pt>
                      <c:pt idx="24">
                        <c:v>44077</c:v>
                      </c:pt>
                      <c:pt idx="25">
                        <c:v>44078</c:v>
                      </c:pt>
                      <c:pt idx="26">
                        <c:v>44081</c:v>
                      </c:pt>
                      <c:pt idx="27">
                        <c:v>44082</c:v>
                      </c:pt>
                      <c:pt idx="28">
                        <c:v>44083</c:v>
                      </c:pt>
                      <c:pt idx="29">
                        <c:v>44084</c:v>
                      </c:pt>
                      <c:pt idx="30">
                        <c:v>44085</c:v>
                      </c:pt>
                      <c:pt idx="31">
                        <c:v>44088</c:v>
                      </c:pt>
                      <c:pt idx="32">
                        <c:v>44089</c:v>
                      </c:pt>
                      <c:pt idx="33">
                        <c:v>44090</c:v>
                      </c:pt>
                      <c:pt idx="34">
                        <c:v>44091</c:v>
                      </c:pt>
                      <c:pt idx="35">
                        <c:v>44092</c:v>
                      </c:pt>
                      <c:pt idx="36">
                        <c:v>44095</c:v>
                      </c:pt>
                      <c:pt idx="37">
                        <c:v>44096</c:v>
                      </c:pt>
                      <c:pt idx="38">
                        <c:v>44097</c:v>
                      </c:pt>
                      <c:pt idx="39">
                        <c:v>44098</c:v>
                      </c:pt>
                      <c:pt idx="40">
                        <c:v>44099</c:v>
                      </c:pt>
                      <c:pt idx="41">
                        <c:v>44102</c:v>
                      </c:pt>
                      <c:pt idx="42">
                        <c:v>44103</c:v>
                      </c:pt>
                      <c:pt idx="43">
                        <c:v>44104</c:v>
                      </c:pt>
                      <c:pt idx="44">
                        <c:v>44105</c:v>
                      </c:pt>
                      <c:pt idx="45">
                        <c:v>44106</c:v>
                      </c:pt>
                      <c:pt idx="46">
                        <c:v>44109</c:v>
                      </c:pt>
                      <c:pt idx="47">
                        <c:v>44110</c:v>
                      </c:pt>
                      <c:pt idx="48">
                        <c:v>44111</c:v>
                      </c:pt>
                      <c:pt idx="49">
                        <c:v>44112</c:v>
                      </c:pt>
                      <c:pt idx="50">
                        <c:v>44113</c:v>
                      </c:pt>
                      <c:pt idx="51">
                        <c:v>44116</c:v>
                      </c:pt>
                      <c:pt idx="52">
                        <c:v>44117</c:v>
                      </c:pt>
                      <c:pt idx="53">
                        <c:v>44118</c:v>
                      </c:pt>
                      <c:pt idx="54">
                        <c:v>44119</c:v>
                      </c:pt>
                      <c:pt idx="55">
                        <c:v>44120</c:v>
                      </c:pt>
                      <c:pt idx="56">
                        <c:v>44123</c:v>
                      </c:pt>
                      <c:pt idx="57">
                        <c:v>44124</c:v>
                      </c:pt>
                      <c:pt idx="58">
                        <c:v>44125</c:v>
                      </c:pt>
                      <c:pt idx="59">
                        <c:v>44126</c:v>
                      </c:pt>
                      <c:pt idx="60">
                        <c:v>44127</c:v>
                      </c:pt>
                      <c:pt idx="61">
                        <c:v>44130</c:v>
                      </c:pt>
                      <c:pt idx="62">
                        <c:v>44131</c:v>
                      </c:pt>
                      <c:pt idx="63">
                        <c:v>44132</c:v>
                      </c:pt>
                      <c:pt idx="64">
                        <c:v>44133</c:v>
                      </c:pt>
                      <c:pt idx="65">
                        <c:v>44134</c:v>
                      </c:pt>
                      <c:pt idx="66">
                        <c:v>44137</c:v>
                      </c:pt>
                      <c:pt idx="67">
                        <c:v>44138</c:v>
                      </c:pt>
                      <c:pt idx="68">
                        <c:v>44139</c:v>
                      </c:pt>
                      <c:pt idx="69">
                        <c:v>44140</c:v>
                      </c:pt>
                      <c:pt idx="70">
                        <c:v>44141</c:v>
                      </c:pt>
                      <c:pt idx="71">
                        <c:v>44144</c:v>
                      </c:pt>
                      <c:pt idx="72">
                        <c:v>44145</c:v>
                      </c:pt>
                      <c:pt idx="73">
                        <c:v>44146</c:v>
                      </c:pt>
                      <c:pt idx="74">
                        <c:v>44147</c:v>
                      </c:pt>
                      <c:pt idx="75">
                        <c:v>44148</c:v>
                      </c:pt>
                      <c:pt idx="76">
                        <c:v>44151</c:v>
                      </c:pt>
                      <c:pt idx="77">
                        <c:v>44152</c:v>
                      </c:pt>
                      <c:pt idx="78">
                        <c:v>44153</c:v>
                      </c:pt>
                      <c:pt idx="79">
                        <c:v>44154</c:v>
                      </c:pt>
                      <c:pt idx="80">
                        <c:v>44155</c:v>
                      </c:pt>
                      <c:pt idx="81">
                        <c:v>44158</c:v>
                      </c:pt>
                      <c:pt idx="82">
                        <c:v>44159</c:v>
                      </c:pt>
                      <c:pt idx="83">
                        <c:v>44160</c:v>
                      </c:pt>
                      <c:pt idx="84">
                        <c:v>44161</c:v>
                      </c:pt>
                      <c:pt idx="85">
                        <c:v>44162</c:v>
                      </c:pt>
                      <c:pt idx="86">
                        <c:v>44165</c:v>
                      </c:pt>
                      <c:pt idx="87">
                        <c:v>44166</c:v>
                      </c:pt>
                      <c:pt idx="88">
                        <c:v>44167</c:v>
                      </c:pt>
                      <c:pt idx="89">
                        <c:v>44168</c:v>
                      </c:pt>
                      <c:pt idx="90">
                        <c:v>44169</c:v>
                      </c:pt>
                      <c:pt idx="91">
                        <c:v>44172</c:v>
                      </c:pt>
                      <c:pt idx="92">
                        <c:v>44173</c:v>
                      </c:pt>
                      <c:pt idx="93">
                        <c:v>44174</c:v>
                      </c:pt>
                      <c:pt idx="94">
                        <c:v>44175</c:v>
                      </c:pt>
                      <c:pt idx="95">
                        <c:v>44176</c:v>
                      </c:pt>
                      <c:pt idx="96">
                        <c:v>44179</c:v>
                      </c:pt>
                      <c:pt idx="97">
                        <c:v>44180</c:v>
                      </c:pt>
                      <c:pt idx="98">
                        <c:v>44181</c:v>
                      </c:pt>
                      <c:pt idx="99">
                        <c:v>44182</c:v>
                      </c:pt>
                      <c:pt idx="100">
                        <c:v>44183</c:v>
                      </c:pt>
                      <c:pt idx="101">
                        <c:v>44186</c:v>
                      </c:pt>
                      <c:pt idx="102">
                        <c:v>44187</c:v>
                      </c:pt>
                      <c:pt idx="103">
                        <c:v>44188</c:v>
                      </c:pt>
                      <c:pt idx="104">
                        <c:v>44189</c:v>
                      </c:pt>
                      <c:pt idx="105">
                        <c:v>44190</c:v>
                      </c:pt>
                      <c:pt idx="106">
                        <c:v>44193</c:v>
                      </c:pt>
                      <c:pt idx="107">
                        <c:v>44194</c:v>
                      </c:pt>
                      <c:pt idx="108">
                        <c:v>44195</c:v>
                      </c:pt>
                      <c:pt idx="109">
                        <c:v>44196</c:v>
                      </c:pt>
                      <c:pt idx="110">
                        <c:v>44197</c:v>
                      </c:pt>
                      <c:pt idx="111">
                        <c:v>44200</c:v>
                      </c:pt>
                      <c:pt idx="112">
                        <c:v>44201</c:v>
                      </c:pt>
                      <c:pt idx="113">
                        <c:v>44202</c:v>
                      </c:pt>
                      <c:pt idx="114">
                        <c:v>44203</c:v>
                      </c:pt>
                      <c:pt idx="115">
                        <c:v>44204</c:v>
                      </c:pt>
                      <c:pt idx="116">
                        <c:v>44207</c:v>
                      </c:pt>
                      <c:pt idx="117">
                        <c:v>44208</c:v>
                      </c:pt>
                      <c:pt idx="118">
                        <c:v>44209</c:v>
                      </c:pt>
                      <c:pt idx="119">
                        <c:v>44210</c:v>
                      </c:pt>
                      <c:pt idx="120">
                        <c:v>44211</c:v>
                      </c:pt>
                      <c:pt idx="121">
                        <c:v>44214</c:v>
                      </c:pt>
                      <c:pt idx="122">
                        <c:v>44215</c:v>
                      </c:pt>
                      <c:pt idx="123">
                        <c:v>44216</c:v>
                      </c:pt>
                      <c:pt idx="124">
                        <c:v>44217</c:v>
                      </c:pt>
                      <c:pt idx="125">
                        <c:v>44218</c:v>
                      </c:pt>
                      <c:pt idx="126">
                        <c:v>44221</c:v>
                      </c:pt>
                      <c:pt idx="127">
                        <c:v>44222</c:v>
                      </c:pt>
                      <c:pt idx="128">
                        <c:v>44223</c:v>
                      </c:pt>
                      <c:pt idx="129">
                        <c:v>44224</c:v>
                      </c:pt>
                      <c:pt idx="130">
                        <c:v>44225</c:v>
                      </c:pt>
                      <c:pt idx="131">
                        <c:v>44228</c:v>
                      </c:pt>
                      <c:pt idx="132">
                        <c:v>44229</c:v>
                      </c:pt>
                      <c:pt idx="133">
                        <c:v>44230</c:v>
                      </c:pt>
                      <c:pt idx="134">
                        <c:v>44231</c:v>
                      </c:pt>
                      <c:pt idx="135">
                        <c:v>44232</c:v>
                      </c:pt>
                      <c:pt idx="136">
                        <c:v>44235</c:v>
                      </c:pt>
                      <c:pt idx="137">
                        <c:v>44236</c:v>
                      </c:pt>
                      <c:pt idx="138">
                        <c:v>44237</c:v>
                      </c:pt>
                      <c:pt idx="139">
                        <c:v>44238</c:v>
                      </c:pt>
                      <c:pt idx="140">
                        <c:v>44239</c:v>
                      </c:pt>
                      <c:pt idx="141">
                        <c:v>44242</c:v>
                      </c:pt>
                      <c:pt idx="142">
                        <c:v>44243</c:v>
                      </c:pt>
                      <c:pt idx="143">
                        <c:v>44244</c:v>
                      </c:pt>
                      <c:pt idx="144">
                        <c:v>44245</c:v>
                      </c:pt>
                      <c:pt idx="145">
                        <c:v>44246</c:v>
                      </c:pt>
                      <c:pt idx="146">
                        <c:v>44247</c:v>
                      </c:pt>
                      <c:pt idx="147">
                        <c:v>44249</c:v>
                      </c:pt>
                      <c:pt idx="148">
                        <c:v>44250</c:v>
                      </c:pt>
                      <c:pt idx="149">
                        <c:v>44251</c:v>
                      </c:pt>
                      <c:pt idx="150">
                        <c:v>44252</c:v>
                      </c:pt>
                      <c:pt idx="151">
                        <c:v>44253</c:v>
                      </c:pt>
                      <c:pt idx="152">
                        <c:v>44256</c:v>
                      </c:pt>
                      <c:pt idx="153">
                        <c:v>44257</c:v>
                      </c:pt>
                      <c:pt idx="154">
                        <c:v>44258</c:v>
                      </c:pt>
                      <c:pt idx="155">
                        <c:v>44259</c:v>
                      </c:pt>
                      <c:pt idx="156">
                        <c:v>44260</c:v>
                      </c:pt>
                      <c:pt idx="157">
                        <c:v>44263</c:v>
                      </c:pt>
                      <c:pt idx="158">
                        <c:v>44264</c:v>
                      </c:pt>
                      <c:pt idx="159">
                        <c:v>44265</c:v>
                      </c:pt>
                      <c:pt idx="160">
                        <c:v>44266</c:v>
                      </c:pt>
                      <c:pt idx="161">
                        <c:v>44267</c:v>
                      </c:pt>
                      <c:pt idx="162">
                        <c:v>44270</c:v>
                      </c:pt>
                      <c:pt idx="163">
                        <c:v>44271</c:v>
                      </c:pt>
                      <c:pt idx="164">
                        <c:v>44272</c:v>
                      </c:pt>
                      <c:pt idx="165">
                        <c:v>44273</c:v>
                      </c:pt>
                      <c:pt idx="166">
                        <c:v>44274</c:v>
                      </c:pt>
                      <c:pt idx="167">
                        <c:v>44277</c:v>
                      </c:pt>
                      <c:pt idx="168">
                        <c:v>44278</c:v>
                      </c:pt>
                      <c:pt idx="169">
                        <c:v>44279</c:v>
                      </c:pt>
                      <c:pt idx="170">
                        <c:v>44280</c:v>
                      </c:pt>
                      <c:pt idx="171">
                        <c:v>44281</c:v>
                      </c:pt>
                      <c:pt idx="172">
                        <c:v>44284</c:v>
                      </c:pt>
                      <c:pt idx="173">
                        <c:v>44285</c:v>
                      </c:pt>
                      <c:pt idx="174">
                        <c:v>44286</c:v>
                      </c:pt>
                      <c:pt idx="175">
                        <c:v>44287</c:v>
                      </c:pt>
                      <c:pt idx="176">
                        <c:v>44288</c:v>
                      </c:pt>
                      <c:pt idx="177">
                        <c:v>44291</c:v>
                      </c:pt>
                      <c:pt idx="178">
                        <c:v>44292</c:v>
                      </c:pt>
                      <c:pt idx="179">
                        <c:v>44293</c:v>
                      </c:pt>
                      <c:pt idx="180">
                        <c:v>44294</c:v>
                      </c:pt>
                      <c:pt idx="181">
                        <c:v>44295</c:v>
                      </c:pt>
                      <c:pt idx="182">
                        <c:v>44298</c:v>
                      </c:pt>
                      <c:pt idx="183">
                        <c:v>44299</c:v>
                      </c:pt>
                      <c:pt idx="184">
                        <c:v>44300</c:v>
                      </c:pt>
                      <c:pt idx="185">
                        <c:v>44301</c:v>
                      </c:pt>
                      <c:pt idx="186">
                        <c:v>44302</c:v>
                      </c:pt>
                      <c:pt idx="187">
                        <c:v>44305</c:v>
                      </c:pt>
                      <c:pt idx="188">
                        <c:v>44306</c:v>
                      </c:pt>
                      <c:pt idx="189">
                        <c:v>44307</c:v>
                      </c:pt>
                      <c:pt idx="190">
                        <c:v>44308</c:v>
                      </c:pt>
                      <c:pt idx="191">
                        <c:v>44309</c:v>
                      </c:pt>
                      <c:pt idx="192">
                        <c:v>44311</c:v>
                      </c:pt>
                      <c:pt idx="193">
                        <c:v>44312</c:v>
                      </c:pt>
                      <c:pt idx="194">
                        <c:v>44313</c:v>
                      </c:pt>
                      <c:pt idx="195">
                        <c:v>44314</c:v>
                      </c:pt>
                      <c:pt idx="196">
                        <c:v>44315</c:v>
                      </c:pt>
                      <c:pt idx="197">
                        <c:v>44316</c:v>
                      </c:pt>
                      <c:pt idx="198">
                        <c:v>44319</c:v>
                      </c:pt>
                      <c:pt idx="199">
                        <c:v>44320</c:v>
                      </c:pt>
                      <c:pt idx="200">
                        <c:v>44321</c:v>
                      </c:pt>
                      <c:pt idx="201">
                        <c:v>44322</c:v>
                      </c:pt>
                      <c:pt idx="202">
                        <c:v>44323</c:v>
                      </c:pt>
                      <c:pt idx="203">
                        <c:v>44326</c:v>
                      </c:pt>
                      <c:pt idx="204">
                        <c:v>44327</c:v>
                      </c:pt>
                      <c:pt idx="205">
                        <c:v>44328</c:v>
                      </c:pt>
                      <c:pt idx="206">
                        <c:v>44329</c:v>
                      </c:pt>
                      <c:pt idx="207">
                        <c:v>44330</c:v>
                      </c:pt>
                      <c:pt idx="208">
                        <c:v>44333</c:v>
                      </c:pt>
                      <c:pt idx="209">
                        <c:v>44334</c:v>
                      </c:pt>
                      <c:pt idx="210">
                        <c:v>44335</c:v>
                      </c:pt>
                      <c:pt idx="211">
                        <c:v>44336</c:v>
                      </c:pt>
                      <c:pt idx="212">
                        <c:v>44337</c:v>
                      </c:pt>
                      <c:pt idx="213">
                        <c:v>44340</c:v>
                      </c:pt>
                      <c:pt idx="214">
                        <c:v>44341</c:v>
                      </c:pt>
                      <c:pt idx="215">
                        <c:v>44342</c:v>
                      </c:pt>
                      <c:pt idx="216">
                        <c:v>44343</c:v>
                      </c:pt>
                      <c:pt idx="217">
                        <c:v>44344</c:v>
                      </c:pt>
                      <c:pt idx="218">
                        <c:v>44347</c:v>
                      </c:pt>
                      <c:pt idx="219">
                        <c:v>44348</c:v>
                      </c:pt>
                      <c:pt idx="220">
                        <c:v>44349</c:v>
                      </c:pt>
                      <c:pt idx="221">
                        <c:v>44350</c:v>
                      </c:pt>
                      <c:pt idx="222">
                        <c:v>44351</c:v>
                      </c:pt>
                      <c:pt idx="223">
                        <c:v>44354</c:v>
                      </c:pt>
                      <c:pt idx="224">
                        <c:v>44355</c:v>
                      </c:pt>
                      <c:pt idx="225">
                        <c:v>44356</c:v>
                      </c:pt>
                      <c:pt idx="226">
                        <c:v>44357</c:v>
                      </c:pt>
                      <c:pt idx="227">
                        <c:v>44358</c:v>
                      </c:pt>
                      <c:pt idx="228">
                        <c:v>44361</c:v>
                      </c:pt>
                      <c:pt idx="229">
                        <c:v>44362</c:v>
                      </c:pt>
                      <c:pt idx="230">
                        <c:v>44363</c:v>
                      </c:pt>
                      <c:pt idx="231">
                        <c:v>44364</c:v>
                      </c:pt>
                      <c:pt idx="232">
                        <c:v>44365</c:v>
                      </c:pt>
                      <c:pt idx="233">
                        <c:v>44368</c:v>
                      </c:pt>
                      <c:pt idx="234">
                        <c:v>44369</c:v>
                      </c:pt>
                      <c:pt idx="235">
                        <c:v>44370</c:v>
                      </c:pt>
                      <c:pt idx="236">
                        <c:v>44371</c:v>
                      </c:pt>
                      <c:pt idx="237">
                        <c:v>44372</c:v>
                      </c:pt>
                      <c:pt idx="238">
                        <c:v>44375</c:v>
                      </c:pt>
                      <c:pt idx="239">
                        <c:v>44376</c:v>
                      </c:pt>
                      <c:pt idx="240">
                        <c:v>44377</c:v>
                      </c:pt>
                      <c:pt idx="241">
                        <c:v>44378</c:v>
                      </c:pt>
                      <c:pt idx="242">
                        <c:v>44379</c:v>
                      </c:pt>
                      <c:pt idx="243">
                        <c:v>44382</c:v>
                      </c:pt>
                      <c:pt idx="244">
                        <c:v>44383</c:v>
                      </c:pt>
                      <c:pt idx="245">
                        <c:v>44384</c:v>
                      </c:pt>
                      <c:pt idx="246">
                        <c:v>44385</c:v>
                      </c:pt>
                      <c:pt idx="247">
                        <c:v>44386</c:v>
                      </c:pt>
                      <c:pt idx="248">
                        <c:v>44389</c:v>
                      </c:pt>
                      <c:pt idx="249">
                        <c:v>44390</c:v>
                      </c:pt>
                      <c:pt idx="250">
                        <c:v>44391</c:v>
                      </c:pt>
                      <c:pt idx="251">
                        <c:v>44392</c:v>
                      </c:pt>
                      <c:pt idx="252">
                        <c:v>44393</c:v>
                      </c:pt>
                      <c:pt idx="253">
                        <c:v>44396</c:v>
                      </c:pt>
                      <c:pt idx="254">
                        <c:v>44397</c:v>
                      </c:pt>
                      <c:pt idx="255">
                        <c:v>44398</c:v>
                      </c:pt>
                      <c:pt idx="256">
                        <c:v>44399</c:v>
                      </c:pt>
                      <c:pt idx="257">
                        <c:v>44400</c:v>
                      </c:pt>
                      <c:pt idx="258">
                        <c:v>44403</c:v>
                      </c:pt>
                      <c:pt idx="259">
                        <c:v>44404</c:v>
                      </c:pt>
                      <c:pt idx="260">
                        <c:v>44405</c:v>
                      </c:pt>
                      <c:pt idx="261">
                        <c:v>44406</c:v>
                      </c:pt>
                      <c:pt idx="262">
                        <c:v>44407</c:v>
                      </c:pt>
                      <c:pt idx="263">
                        <c:v>44410</c:v>
                      </c:pt>
                      <c:pt idx="264">
                        <c:v>44411</c:v>
                      </c:pt>
                      <c:pt idx="265">
                        <c:v>44412</c:v>
                      </c:pt>
                      <c:pt idx="266">
                        <c:v>44413</c:v>
                      </c:pt>
                      <c:pt idx="267">
                        <c:v>44414</c:v>
                      </c:pt>
                      <c:pt idx="268">
                        <c:v>44417</c:v>
                      </c:pt>
                      <c:pt idx="269">
                        <c:v>44418</c:v>
                      </c:pt>
                      <c:pt idx="270">
                        <c:v>44419</c:v>
                      </c:pt>
                      <c:pt idx="271">
                        <c:v>44420</c:v>
                      </c:pt>
                      <c:pt idx="272">
                        <c:v>44421</c:v>
                      </c:pt>
                      <c:pt idx="273">
                        <c:v>44424</c:v>
                      </c:pt>
                      <c:pt idx="274">
                        <c:v>44425</c:v>
                      </c:pt>
                      <c:pt idx="275">
                        <c:v>44426</c:v>
                      </c:pt>
                      <c:pt idx="276">
                        <c:v>44427</c:v>
                      </c:pt>
                      <c:pt idx="277">
                        <c:v>44428</c:v>
                      </c:pt>
                      <c:pt idx="278">
                        <c:v>44431</c:v>
                      </c:pt>
                      <c:pt idx="279">
                        <c:v>44432</c:v>
                      </c:pt>
                      <c:pt idx="280">
                        <c:v>44433</c:v>
                      </c:pt>
                      <c:pt idx="281">
                        <c:v>44434</c:v>
                      </c:pt>
                      <c:pt idx="282">
                        <c:v>44435</c:v>
                      </c:pt>
                      <c:pt idx="283">
                        <c:v>44438</c:v>
                      </c:pt>
                      <c:pt idx="284">
                        <c:v>44439</c:v>
                      </c:pt>
                    </c:numCache>
                  </c:numRef>
                </c:cat>
                <c:val>
                  <c:numRef>
                    <c:extLst xmlns:c15="http://schemas.microsoft.com/office/drawing/2012/chart">
                      <c:ext xmlns:c15="http://schemas.microsoft.com/office/drawing/2012/chart" uri="{02D57815-91ED-43cb-92C2-25804820EDAC}">
                        <c15:formulaRef>
                          <c15:sqref>'[2021 09 GMR NEW.XLSX]Currency Chart'!$U$6:$U$290</c15:sqref>
                        </c15:formulaRef>
                      </c:ext>
                    </c:extLst>
                    <c:numCache>
                      <c:formatCode>0</c:formatCode>
                      <c:ptCount val="285"/>
                      <c:pt idx="0" formatCode="General">
                        <c:v>100</c:v>
                      </c:pt>
                      <c:pt idx="1">
                        <c:v>99.916219137224672</c:v>
                      </c:pt>
                      <c:pt idx="2">
                        <c:v>99.967325463517625</c:v>
                      </c:pt>
                      <c:pt idx="3">
                        <c:v>99.368292294674035</c:v>
                      </c:pt>
                      <c:pt idx="4">
                        <c:v>99.154651094596957</c:v>
                      </c:pt>
                      <c:pt idx="5">
                        <c:v>99.588635963773143</c:v>
                      </c:pt>
                      <c:pt idx="6">
                        <c:v>99.328915289169629</c:v>
                      </c:pt>
                      <c:pt idx="7">
                        <c:v>99.332266523680644</c:v>
                      </c:pt>
                      <c:pt idx="8">
                        <c:v>99.132030261647628</c:v>
                      </c:pt>
                      <c:pt idx="9">
                        <c:v>99.273619919737939</c:v>
                      </c:pt>
                      <c:pt idx="10">
                        <c:v>99.442857262544081</c:v>
                      </c:pt>
                      <c:pt idx="11">
                        <c:v>99.128679027136613</c:v>
                      </c:pt>
                      <c:pt idx="12">
                        <c:v>99.087626404376692</c:v>
                      </c:pt>
                      <c:pt idx="13">
                        <c:v>99.00719677611238</c:v>
                      </c:pt>
                      <c:pt idx="14">
                        <c:v>99.300429795826005</c:v>
                      </c:pt>
                      <c:pt idx="15">
                        <c:v>99.843329786610113</c:v>
                      </c:pt>
                      <c:pt idx="16">
                        <c:v>99.586960346517628</c:v>
                      </c:pt>
                      <c:pt idx="17">
                        <c:v>99.477207416281942</c:v>
                      </c:pt>
                      <c:pt idx="18">
                        <c:v>99.229216062467003</c:v>
                      </c:pt>
                      <c:pt idx="19">
                        <c:v>99.484747693931752</c:v>
                      </c:pt>
                      <c:pt idx="20">
                        <c:v>98.901632889015488</c:v>
                      </c:pt>
                      <c:pt idx="21">
                        <c:v>99.526638125319423</c:v>
                      </c:pt>
                      <c:pt idx="22">
                        <c:v>99.318023777008861</c:v>
                      </c:pt>
                      <c:pt idx="23">
                        <c:v>99.626337352022077</c:v>
                      </c:pt>
                      <c:pt idx="24">
                        <c:v>99.823222379544092</c:v>
                      </c:pt>
                      <c:pt idx="25">
                        <c:v>99.473018373143233</c:v>
                      </c:pt>
                      <c:pt idx="26">
                        <c:v>99.470504947259968</c:v>
                      </c:pt>
                      <c:pt idx="27">
                        <c:v>99.707604788914125</c:v>
                      </c:pt>
                      <c:pt idx="28">
                        <c:v>99.262728407577157</c:v>
                      </c:pt>
                      <c:pt idx="29">
                        <c:v>99.54088087199122</c:v>
                      </c:pt>
                      <c:pt idx="30">
                        <c:v>99.522449082180671</c:v>
                      </c:pt>
                      <c:pt idx="31">
                        <c:v>98.987927177674081</c:v>
                      </c:pt>
                      <c:pt idx="32">
                        <c:v>98.841310667817254</c:v>
                      </c:pt>
                      <c:pt idx="33">
                        <c:v>98.264898331923035</c:v>
                      </c:pt>
                      <c:pt idx="34">
                        <c:v>97.956584756909834</c:v>
                      </c:pt>
                      <c:pt idx="35">
                        <c:v>97.588786769326148</c:v>
                      </c:pt>
                      <c:pt idx="36">
                        <c:v>97.488249733995758</c:v>
                      </c:pt>
                      <c:pt idx="37">
                        <c:v>97.488249733995758</c:v>
                      </c:pt>
                      <c:pt idx="38">
                        <c:v>98.078067007934067</c:v>
                      </c:pt>
                      <c:pt idx="39">
                        <c:v>97.948206670632302</c:v>
                      </c:pt>
                      <c:pt idx="40">
                        <c:v>98.385542774319504</c:v>
                      </c:pt>
                      <c:pt idx="41">
                        <c:v>97.759699729387819</c:v>
                      </c:pt>
                      <c:pt idx="42">
                        <c:v>97.917207751405428</c:v>
                      </c:pt>
                      <c:pt idx="43">
                        <c:v>97.575381831282115</c:v>
                      </c:pt>
                      <c:pt idx="44">
                        <c:v>97.422900661031008</c:v>
                      </c:pt>
                      <c:pt idx="45">
                        <c:v>97.710269020350381</c:v>
                      </c:pt>
                      <c:pt idx="46">
                        <c:v>96.9445119345839</c:v>
                      </c:pt>
                      <c:pt idx="47">
                        <c:v>97.551923189705008</c:v>
                      </c:pt>
                      <c:pt idx="48">
                        <c:v>96.956241255372447</c:v>
                      </c:pt>
                      <c:pt idx="49">
                        <c:v>96.440988949304185</c:v>
                      </c:pt>
                      <c:pt idx="50">
                        <c:v>95.805092200839468</c:v>
                      </c:pt>
                      <c:pt idx="51">
                        <c:v>96.162836484890107</c:v>
                      </c:pt>
                      <c:pt idx="52">
                        <c:v>96.205564724905514</c:v>
                      </c:pt>
                      <c:pt idx="53">
                        <c:v>96.108378924086153</c:v>
                      </c:pt>
                      <c:pt idx="54">
                        <c:v>95.940817198535498</c:v>
                      </c:pt>
                      <c:pt idx="55">
                        <c:v>95.688636801581765</c:v>
                      </c:pt>
                      <c:pt idx="56">
                        <c:v>95.51521041563683</c:v>
                      </c:pt>
                      <c:pt idx="57">
                        <c:v>95.375296374802048</c:v>
                      </c:pt>
                      <c:pt idx="58">
                        <c:v>94.885178327566379</c:v>
                      </c:pt>
                      <c:pt idx="59">
                        <c:v>95.069496225672097</c:v>
                      </c:pt>
                      <c:pt idx="60">
                        <c:v>94.500624167427645</c:v>
                      </c:pt>
                      <c:pt idx="61">
                        <c:v>94.876800241288848</c:v>
                      </c:pt>
                      <c:pt idx="62">
                        <c:v>94.606188054524537</c:v>
                      </c:pt>
                      <c:pt idx="63">
                        <c:v>95.085414589599409</c:v>
                      </c:pt>
                      <c:pt idx="64">
                        <c:v>94.677401787883568</c:v>
                      </c:pt>
                      <c:pt idx="65">
                        <c:v>95.21611273552891</c:v>
                      </c:pt>
                      <c:pt idx="66">
                        <c:v>94.919528481304269</c:v>
                      </c:pt>
                      <c:pt idx="67">
                        <c:v>94.782965674980474</c:v>
                      </c:pt>
                      <c:pt idx="68">
                        <c:v>94.475489908595037</c:v>
                      </c:pt>
                      <c:pt idx="69">
                        <c:v>94.075855193156741</c:v>
                      </c:pt>
                      <c:pt idx="70">
                        <c:v>93.951859516249257</c:v>
                      </c:pt>
                      <c:pt idx="71">
                        <c:v>93.755812297354979</c:v>
                      </c:pt>
                      <c:pt idx="72">
                        <c:v>93.589088380432088</c:v>
                      </c:pt>
                      <c:pt idx="73">
                        <c:v>93.196993942643587</c:v>
                      </c:pt>
                      <c:pt idx="74">
                        <c:v>93.40393267369862</c:v>
                      </c:pt>
                      <c:pt idx="75">
                        <c:v>92.797359227205277</c:v>
                      </c:pt>
                      <c:pt idx="76">
                        <c:v>92.748766326795604</c:v>
                      </c:pt>
                      <c:pt idx="77">
                        <c:v>92.609690094588572</c:v>
                      </c:pt>
                      <c:pt idx="78">
                        <c:v>92.675876976181087</c:v>
                      </c:pt>
                      <c:pt idx="79">
                        <c:v>93.297530977973992</c:v>
                      </c:pt>
                      <c:pt idx="80">
                        <c:v>93.411472951348443</c:v>
                      </c:pt>
                      <c:pt idx="81">
                        <c:v>93.290828508951975</c:v>
                      </c:pt>
                      <c:pt idx="82">
                        <c:v>93.016865087676663</c:v>
                      </c:pt>
                      <c:pt idx="83">
                        <c:v>92.679228210692102</c:v>
                      </c:pt>
                      <c:pt idx="84">
                        <c:v>92.625608458515885</c:v>
                      </c:pt>
                      <c:pt idx="85">
                        <c:v>92.530098274952024</c:v>
                      </c:pt>
                      <c:pt idx="86">
                        <c:v>92.939786693923367</c:v>
                      </c:pt>
                      <c:pt idx="87">
                        <c:v>92.63901339655996</c:v>
                      </c:pt>
                      <c:pt idx="88">
                        <c:v>92.160624670112853</c:v>
                      </c:pt>
                      <c:pt idx="89">
                        <c:v>91.495404619676776</c:v>
                      </c:pt>
                      <c:pt idx="90">
                        <c:v>90.799185650013825</c:v>
                      </c:pt>
                      <c:pt idx="91">
                        <c:v>90.779078242947747</c:v>
                      </c:pt>
                      <c:pt idx="92">
                        <c:v>90.890506790438934</c:v>
                      </c:pt>
                      <c:pt idx="93">
                        <c:v>91.026231788134965</c:v>
                      </c:pt>
                      <c:pt idx="94">
                        <c:v>90.948315585753903</c:v>
                      </c:pt>
                      <c:pt idx="95">
                        <c:v>91.461054465938901</c:v>
                      </c:pt>
                      <c:pt idx="96">
                        <c:v>91.578347673824339</c:v>
                      </c:pt>
                      <c:pt idx="97">
                        <c:v>91.273385333322167</c:v>
                      </c:pt>
                      <c:pt idx="98">
                        <c:v>91.518863261253856</c:v>
                      </c:pt>
                      <c:pt idx="99">
                        <c:v>91.573320822057823</c:v>
                      </c:pt>
                      <c:pt idx="100">
                        <c:v>92.1078427265644</c:v>
                      </c:pt>
                      <c:pt idx="101">
                        <c:v>92.372590252934415</c:v>
                      </c:pt>
                      <c:pt idx="102">
                        <c:v>92.973299039033506</c:v>
                      </c:pt>
                      <c:pt idx="103">
                        <c:v>92.716091790313271</c:v>
                      </c:pt>
                      <c:pt idx="104">
                        <c:v>92.292160624670117</c:v>
                      </c:pt>
                      <c:pt idx="105">
                        <c:v>92.081032850476305</c:v>
                      </c:pt>
                      <c:pt idx="106">
                        <c:v>91.790313256645931</c:v>
                      </c:pt>
                      <c:pt idx="107">
                        <c:v>91.402407861996181</c:v>
                      </c:pt>
                      <c:pt idx="108">
                        <c:v>91.121741971698825</c:v>
                      </c:pt>
                      <c:pt idx="109">
                        <c:v>90.857832253956559</c:v>
                      </c:pt>
                      <c:pt idx="110">
                        <c:v>90.879615278278138</c:v>
                      </c:pt>
                      <c:pt idx="111">
                        <c:v>91.02623178813495</c:v>
                      </c:pt>
                      <c:pt idx="112">
                        <c:v>91.021204936368434</c:v>
                      </c:pt>
                      <c:pt idx="113">
                        <c:v>91.147714039159183</c:v>
                      </c:pt>
                      <c:pt idx="114">
                        <c:v>91.67972251778248</c:v>
                      </c:pt>
                      <c:pt idx="115">
                        <c:v>91.566618353035793</c:v>
                      </c:pt>
                      <c:pt idx="116">
                        <c:v>91.926876062969683</c:v>
                      </c:pt>
                      <c:pt idx="117">
                        <c:v>91.696478690337543</c:v>
                      </c:pt>
                      <c:pt idx="118">
                        <c:v>91.917660168064387</c:v>
                      </c:pt>
                      <c:pt idx="119">
                        <c:v>91.813771898222996</c:v>
                      </c:pt>
                      <c:pt idx="120">
                        <c:v>92.432912474132635</c:v>
                      </c:pt>
                      <c:pt idx="121">
                        <c:v>92.370076827051136</c:v>
                      </c:pt>
                      <c:pt idx="122">
                        <c:v>92.279593495253792</c:v>
                      </c:pt>
                      <c:pt idx="123">
                        <c:v>91.853148903727373</c:v>
                      </c:pt>
                      <c:pt idx="124">
                        <c:v>92.148895349324292</c:v>
                      </c:pt>
                      <c:pt idx="125">
                        <c:v>92.612203520471837</c:v>
                      </c:pt>
                      <c:pt idx="126">
                        <c:v>92.375103678817652</c:v>
                      </c:pt>
                      <c:pt idx="127">
                        <c:v>92.244405532888152</c:v>
                      </c:pt>
                      <c:pt idx="128">
                        <c:v>92.861032682914555</c:v>
                      </c:pt>
                      <c:pt idx="129">
                        <c:v>93.207885454804398</c:v>
                      </c:pt>
                      <c:pt idx="130">
                        <c:v>93.636843472214068</c:v>
                      </c:pt>
                      <c:pt idx="131">
                        <c:v>93.542171097277944</c:v>
                      </c:pt>
                      <c:pt idx="132">
                        <c:v>93.446660913714069</c:v>
                      </c:pt>
                      <c:pt idx="133">
                        <c:v>93.286639465813209</c:v>
                      </c:pt>
                      <c:pt idx="134">
                        <c:v>93.834566308363833</c:v>
                      </c:pt>
                      <c:pt idx="135">
                        <c:v>93.563954121599537</c:v>
                      </c:pt>
                      <c:pt idx="136">
                        <c:v>93.466768320780147</c:v>
                      </c:pt>
                      <c:pt idx="137">
                        <c:v>93.070484839852881</c:v>
                      </c:pt>
                      <c:pt idx="138">
                        <c:v>92.618068180866118</c:v>
                      </c:pt>
                      <c:pt idx="139">
                        <c:v>92.336564481941011</c:v>
                      </c:pt>
                      <c:pt idx="140">
                        <c:v>92.375941487445417</c:v>
                      </c:pt>
                      <c:pt idx="141">
                        <c:v>92.26870198309301</c:v>
                      </c:pt>
                      <c:pt idx="142">
                        <c:v>92.710227129918962</c:v>
                      </c:pt>
                      <c:pt idx="143">
                        <c:v>92.628959693026886</c:v>
                      </c:pt>
                      <c:pt idx="144">
                        <c:v>92.742063857773573</c:v>
                      </c:pt>
                      <c:pt idx="145">
                        <c:v>92.516693336907949</c:v>
                      </c:pt>
                      <c:pt idx="146">
                        <c:v>92.516693336907949</c:v>
                      </c:pt>
                      <c:pt idx="147">
                        <c:v>93.129969252423322</c:v>
                      </c:pt>
                      <c:pt idx="148">
                        <c:v>93.007649192771368</c:v>
                      </c:pt>
                      <c:pt idx="149">
                        <c:v>92.768035925233931</c:v>
                      </c:pt>
                      <c:pt idx="150">
                        <c:v>93.731515847150177</c:v>
                      </c:pt>
                      <c:pt idx="151">
                        <c:v>94.160473864559847</c:v>
                      </c:pt>
                      <c:pt idx="152">
                        <c:v>93.275747953652399</c:v>
                      </c:pt>
                      <c:pt idx="153">
                        <c:v>94.254308430868207</c:v>
                      </c:pt>
                      <c:pt idx="154">
                        <c:v>94.34144052815455</c:v>
                      </c:pt>
                      <c:pt idx="155">
                        <c:v>94.745264286731611</c:v>
                      </c:pt>
                      <c:pt idx="156">
                        <c:v>94.504813210566439</c:v>
                      </c:pt>
                      <c:pt idx="157">
                        <c:v>95.579721679973858</c:v>
                      </c:pt>
                      <c:pt idx="158">
                        <c:v>95.083738972343951</c:v>
                      </c:pt>
                      <c:pt idx="159">
                        <c:v>95.167519835119265</c:v>
                      </c:pt>
                      <c:pt idx="160">
                        <c:v>94.70169823808844</c:v>
                      </c:pt>
                      <c:pt idx="161">
                        <c:v>95.175060112769032</c:v>
                      </c:pt>
                      <c:pt idx="162">
                        <c:v>94.869259963639095</c:v>
                      </c:pt>
                      <c:pt idx="163">
                        <c:v>94.588594073341767</c:v>
                      </c:pt>
                      <c:pt idx="164">
                        <c:v>93.935941152321988</c:v>
                      </c:pt>
                      <c:pt idx="165">
                        <c:v>94.483867994872625</c:v>
                      </c:pt>
                      <c:pt idx="166">
                        <c:v>94.598647776874813</c:v>
                      </c:pt>
                      <c:pt idx="167">
                        <c:v>94.337251485015813</c:v>
                      </c:pt>
                      <c:pt idx="168">
                        <c:v>94.91533943816556</c:v>
                      </c:pt>
                      <c:pt idx="169">
                        <c:v>95.082901163716201</c:v>
                      </c:pt>
                      <c:pt idx="170">
                        <c:v>95.10133295352675</c:v>
                      </c:pt>
                      <c:pt idx="171">
                        <c:v>94.548379259209611</c:v>
                      </c:pt>
                      <c:pt idx="172">
                        <c:v>94.803073082046595</c:v>
                      </c:pt>
                      <c:pt idx="173">
                        <c:v>94.889367370705173</c:v>
                      </c:pt>
                      <c:pt idx="174">
                        <c:v>94.435275094462924</c:v>
                      </c:pt>
                      <c:pt idx="175">
                        <c:v>94.565135431764674</c:v>
                      </c:pt>
                      <c:pt idx="176">
                        <c:v>94.558432962742657</c:v>
                      </c:pt>
                      <c:pt idx="177">
                        <c:v>94.184770314764705</c:v>
                      </c:pt>
                      <c:pt idx="178">
                        <c:v>93.765028192260331</c:v>
                      </c:pt>
                      <c:pt idx="179">
                        <c:v>93.75329887147177</c:v>
                      </c:pt>
                      <c:pt idx="180">
                        <c:v>93.485200110590725</c:v>
                      </c:pt>
                      <c:pt idx="181">
                        <c:v>93.91667155388366</c:v>
                      </c:pt>
                      <c:pt idx="182">
                        <c:v>94.196499635553224</c:v>
                      </c:pt>
                      <c:pt idx="183">
                        <c:v>93.949346090366021</c:v>
                      </c:pt>
                      <c:pt idx="184">
                        <c:v>93.506145326284553</c:v>
                      </c:pt>
                      <c:pt idx="185">
                        <c:v>93.55641384394977</c:v>
                      </c:pt>
                      <c:pt idx="186">
                        <c:v>93.541333288650208</c:v>
                      </c:pt>
                      <c:pt idx="187">
                        <c:v>93.443309679203068</c:v>
                      </c:pt>
                      <c:pt idx="188">
                        <c:v>93.606682361614958</c:v>
                      </c:pt>
                      <c:pt idx="189">
                        <c:v>93.528766159233911</c:v>
                      </c:pt>
                      <c:pt idx="190">
                        <c:v>93.733191464405706</c:v>
                      </c:pt>
                      <c:pt idx="191">
                        <c:v>93.392203352910144</c:v>
                      </c:pt>
                      <c:pt idx="192">
                        <c:v>93.392203352910144</c:v>
                      </c:pt>
                      <c:pt idx="193">
                        <c:v>93.019378513559943</c:v>
                      </c:pt>
                      <c:pt idx="194">
                        <c:v>93.275747953652441</c:v>
                      </c:pt>
                      <c:pt idx="195">
                        <c:v>92.986703977077582</c:v>
                      </c:pt>
                      <c:pt idx="196">
                        <c:v>92.798197035833098</c:v>
                      </c:pt>
                      <c:pt idx="197">
                        <c:v>93.59662865808194</c:v>
                      </c:pt>
                      <c:pt idx="198">
                        <c:v>93.863051801707456</c:v>
                      </c:pt>
                      <c:pt idx="199">
                        <c:v>94.317981886577471</c:v>
                      </c:pt>
                      <c:pt idx="200">
                        <c:v>94.230011980663377</c:v>
                      </c:pt>
                      <c:pt idx="201">
                        <c:v>93.85802494994094</c:v>
                      </c:pt>
                      <c:pt idx="202">
                        <c:v>93.099808141824255</c:v>
                      </c:pt>
                      <c:pt idx="203">
                        <c:v>93.55641384394977</c:v>
                      </c:pt>
                      <c:pt idx="204">
                        <c:v>93.799378345998193</c:v>
                      </c:pt>
                      <c:pt idx="205">
                        <c:v>94.90109669149372</c:v>
                      </c:pt>
                      <c:pt idx="206">
                        <c:v>94.398411514841769</c:v>
                      </c:pt>
                      <c:pt idx="207">
                        <c:v>94.319657503832957</c:v>
                      </c:pt>
                      <c:pt idx="208">
                        <c:v>95.236220142595016</c:v>
                      </c:pt>
                      <c:pt idx="209">
                        <c:v>94.415167687396831</c:v>
                      </c:pt>
                      <c:pt idx="210">
                        <c:v>94.771236354191956</c:v>
                      </c:pt>
                      <c:pt idx="211">
                        <c:v>94.476327717222816</c:v>
                      </c:pt>
                      <c:pt idx="212">
                        <c:v>94.473814291339565</c:v>
                      </c:pt>
                      <c:pt idx="213">
                        <c:v>94.126123710821958</c:v>
                      </c:pt>
                      <c:pt idx="214">
                        <c:v>94.032289144513584</c:v>
                      </c:pt>
                      <c:pt idx="215">
                        <c:v>93.550549183555475</c:v>
                      </c:pt>
                      <c:pt idx="216">
                        <c:v>93.713084057339614</c:v>
                      </c:pt>
                      <c:pt idx="217">
                        <c:v>93.254802737958585</c:v>
                      </c:pt>
                      <c:pt idx="218">
                        <c:v>92.710227129918977</c:v>
                      </c:pt>
                      <c:pt idx="219">
                        <c:v>92.861032682914569</c:v>
                      </c:pt>
                      <c:pt idx="220">
                        <c:v>93.073836074363896</c:v>
                      </c:pt>
                      <c:pt idx="221">
                        <c:v>93.537982054139192</c:v>
                      </c:pt>
                      <c:pt idx="222">
                        <c:v>93.040323729253757</c:v>
                      </c:pt>
                      <c:pt idx="223">
                        <c:v>93.048701815531288</c:v>
                      </c:pt>
                      <c:pt idx="224">
                        <c:v>93.643545941236098</c:v>
                      </c:pt>
                      <c:pt idx="225">
                        <c:v>93.466768320780147</c:v>
                      </c:pt>
                      <c:pt idx="226">
                        <c:v>93.191129282249321</c:v>
                      </c:pt>
                      <c:pt idx="227">
                        <c:v>93.532955202372648</c:v>
                      </c:pt>
                      <c:pt idx="228">
                        <c:v>93.527090541978367</c:v>
                      </c:pt>
                      <c:pt idx="229">
                        <c:v>93.590763997687617</c:v>
                      </c:pt>
                      <c:pt idx="230">
                        <c:v>94.89690764835494</c:v>
                      </c:pt>
                      <c:pt idx="231">
                        <c:v>95.032632646050956</c:v>
                      </c:pt>
                      <c:pt idx="232">
                        <c:v>95.086252398227174</c:v>
                      </c:pt>
                      <c:pt idx="233">
                        <c:v>94.789668144002533</c:v>
                      </c:pt>
                      <c:pt idx="234">
                        <c:v>94.971472616224986</c:v>
                      </c:pt>
                      <c:pt idx="235">
                        <c:v>95.16249298335272</c:v>
                      </c:pt>
                      <c:pt idx="236">
                        <c:v>94.73772400908183</c:v>
                      </c:pt>
                      <c:pt idx="237">
                        <c:v>94.431086051324144</c:v>
                      </c:pt>
                      <c:pt idx="238">
                        <c:v>94.675726170628096</c:v>
                      </c:pt>
                      <c:pt idx="239">
                        <c:v>94.808099933813111</c:v>
                      </c:pt>
                      <c:pt idx="240">
                        <c:v>94.712589750249251</c:v>
                      </c:pt>
                      <c:pt idx="241">
                        <c:v>95.035146071934236</c:v>
                      </c:pt>
                      <c:pt idx="242">
                        <c:v>94.716778793388002</c:v>
                      </c:pt>
                      <c:pt idx="243">
                        <c:v>94.70756289848272</c:v>
                      </c:pt>
                      <c:pt idx="244">
                        <c:v>95.237895759850517</c:v>
                      </c:pt>
                      <c:pt idx="245">
                        <c:v>95.635854858033312</c:v>
                      </c:pt>
                      <c:pt idx="246">
                        <c:v>96.062299449559717</c:v>
                      </c:pt>
                      <c:pt idx="247">
                        <c:v>95.822686182022295</c:v>
                      </c:pt>
                      <c:pt idx="248">
                        <c:v>96.084082473881296</c:v>
                      </c:pt>
                      <c:pt idx="249">
                        <c:v>96.342965339857059</c:v>
                      </c:pt>
                      <c:pt idx="250">
                        <c:v>95.863738804782187</c:v>
                      </c:pt>
                      <c:pt idx="251">
                        <c:v>95.643395135683079</c:v>
                      </c:pt>
                      <c:pt idx="252">
                        <c:v>95.636692666661062</c:v>
                      </c:pt>
                      <c:pt idx="253">
                        <c:v>96.417530307727077</c:v>
                      </c:pt>
                      <c:pt idx="254">
                        <c:v>96.136026608801984</c:v>
                      </c:pt>
                      <c:pt idx="255">
                        <c:v>96.290183396308564</c:v>
                      </c:pt>
                      <c:pt idx="256">
                        <c:v>96.394071666149969</c:v>
                      </c:pt>
                      <c:pt idx="257">
                        <c:v>96.475339103042046</c:v>
                      </c:pt>
                      <c:pt idx="258">
                        <c:v>96.560795583072874</c:v>
                      </c:pt>
                      <c:pt idx="259">
                        <c:v>96.704060858418686</c:v>
                      </c:pt>
                      <c:pt idx="260">
                        <c:v>96.37061302457289</c:v>
                      </c:pt>
                      <c:pt idx="261">
                        <c:v>95.771579855729314</c:v>
                      </c:pt>
                      <c:pt idx="262">
                        <c:v>96.466123208136764</c:v>
                      </c:pt>
                      <c:pt idx="263">
                        <c:v>96.363072746923109</c:v>
                      </c:pt>
                      <c:pt idx="264">
                        <c:v>96.217294045694047</c:v>
                      </c:pt>
                      <c:pt idx="265">
                        <c:v>95.908980470680845</c:v>
                      </c:pt>
                      <c:pt idx="266">
                        <c:v>95.727175998458378</c:v>
                      </c:pt>
                      <c:pt idx="267">
                        <c:v>95.923223217352643</c:v>
                      </c:pt>
                      <c:pt idx="268">
                        <c:v>96.087433708392282</c:v>
                      </c:pt>
                      <c:pt idx="269">
                        <c:v>96.574200521116907</c:v>
                      </c:pt>
                      <c:pt idx="270">
                        <c:v>96.681440025469328</c:v>
                      </c:pt>
                      <c:pt idx="271">
                        <c:v>97.435467790447262</c:v>
                      </c:pt>
                      <c:pt idx="272">
                        <c:v>97.300580601378982</c:v>
                      </c:pt>
                      <c:pt idx="273">
                        <c:v>97.628163774830497</c:v>
                      </c:pt>
                      <c:pt idx="274">
                        <c:v>98.635209745389901</c:v>
                      </c:pt>
                      <c:pt idx="275">
                        <c:v>98.026122873013293</c:v>
                      </c:pt>
                      <c:pt idx="276">
                        <c:v>98.549753265359058</c:v>
                      </c:pt>
                      <c:pt idx="277">
                        <c:v>98.455080890422948</c:v>
                      </c:pt>
                      <c:pt idx="278">
                        <c:v>97.969989694953796</c:v>
                      </c:pt>
                      <c:pt idx="279">
                        <c:v>97.491600968506702</c:v>
                      </c:pt>
                      <c:pt idx="280">
                        <c:v>97.510032758317266</c:v>
                      </c:pt>
                      <c:pt idx="281">
                        <c:v>98.068013304400935</c:v>
                      </c:pt>
                      <c:pt idx="282">
                        <c:v>97.288851280590421</c:v>
                      </c:pt>
                      <c:pt idx="283">
                        <c:v>97.549409763821657</c:v>
                      </c:pt>
                      <c:pt idx="284">
                        <c:v>97.079399123652095</c:v>
                      </c:pt>
                    </c:numCache>
                  </c:numRef>
                </c:val>
                <c:smooth val="0"/>
                <c:extLst xmlns:c15="http://schemas.microsoft.com/office/drawing/2012/chart">
                  <c:ext xmlns:c16="http://schemas.microsoft.com/office/drawing/2014/chart" uri="{C3380CC4-5D6E-409C-BE32-E72D297353CC}">
                    <c16:uniqueId val="{00000007-A0A6-4952-B73D-3412C30D1F85}"/>
                  </c:ext>
                </c:extLst>
              </c15:ser>
            </c15:filteredLineSeries>
            <c15:filteredLineSeries>
              <c15:ser>
                <c:idx val="6"/>
                <c:order val="6"/>
                <c:tx>
                  <c:strRef>
                    <c:extLst xmlns:c15="http://schemas.microsoft.com/office/drawing/2012/chart">
                      <c:ext xmlns:c15="http://schemas.microsoft.com/office/drawing/2012/chart" uri="{02D57815-91ED-43cb-92C2-25804820EDAC}">
                        <c15:formulaRef>
                          <c15:sqref>'[2021 09 GMR NEW.XLSX]Currency Chart'!$V$5</c15:sqref>
                        </c15:formulaRef>
                      </c:ext>
                    </c:extLst>
                    <c:strCache>
                      <c:ptCount val="1"/>
                      <c:pt idx="0">
                        <c:v>Pound</c:v>
                      </c:pt>
                    </c:strCache>
                  </c:strRef>
                </c:tx>
                <c:spPr>
                  <a:ln w="28575" cap="rnd">
                    <a:solidFill>
                      <a:schemeClr val="accent1">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'[2021 09 GMR NEW.XLSX]Currency Chart'!$O$6:$O$290</c15:sqref>
                        </c15:formulaRef>
                      </c:ext>
                    </c:extLst>
                    <c:numCache>
                      <c:formatCode>m/d/yyyy</c:formatCode>
                      <c:ptCount val="285"/>
                      <c:pt idx="0">
                        <c:v>44043</c:v>
                      </c:pt>
                      <c:pt idx="1">
                        <c:v>44046</c:v>
                      </c:pt>
                      <c:pt idx="2">
                        <c:v>44047</c:v>
                      </c:pt>
                      <c:pt idx="3">
                        <c:v>44048</c:v>
                      </c:pt>
                      <c:pt idx="4">
                        <c:v>44049</c:v>
                      </c:pt>
                      <c:pt idx="5">
                        <c:v>44050</c:v>
                      </c:pt>
                      <c:pt idx="6">
                        <c:v>44053</c:v>
                      </c:pt>
                      <c:pt idx="7">
                        <c:v>44054</c:v>
                      </c:pt>
                      <c:pt idx="8">
                        <c:v>44055</c:v>
                      </c:pt>
                      <c:pt idx="9">
                        <c:v>44056</c:v>
                      </c:pt>
                      <c:pt idx="10">
                        <c:v>44057</c:v>
                      </c:pt>
                      <c:pt idx="11">
                        <c:v>44060</c:v>
                      </c:pt>
                      <c:pt idx="12">
                        <c:v>44061</c:v>
                      </c:pt>
                      <c:pt idx="13">
                        <c:v>44062</c:v>
                      </c:pt>
                      <c:pt idx="14">
                        <c:v>44063</c:v>
                      </c:pt>
                      <c:pt idx="15">
                        <c:v>44064</c:v>
                      </c:pt>
                      <c:pt idx="16">
                        <c:v>44067</c:v>
                      </c:pt>
                      <c:pt idx="17">
                        <c:v>44068</c:v>
                      </c:pt>
                      <c:pt idx="18">
                        <c:v>44069</c:v>
                      </c:pt>
                      <c:pt idx="19">
                        <c:v>44070</c:v>
                      </c:pt>
                      <c:pt idx="20">
                        <c:v>44071</c:v>
                      </c:pt>
                      <c:pt idx="21">
                        <c:v>44074</c:v>
                      </c:pt>
                      <c:pt idx="22">
                        <c:v>44075</c:v>
                      </c:pt>
                      <c:pt idx="23">
                        <c:v>44076</c:v>
                      </c:pt>
                      <c:pt idx="24">
                        <c:v>44077</c:v>
                      </c:pt>
                      <c:pt idx="25">
                        <c:v>44078</c:v>
                      </c:pt>
                      <c:pt idx="26">
                        <c:v>44081</c:v>
                      </c:pt>
                      <c:pt idx="27">
                        <c:v>44082</c:v>
                      </c:pt>
                      <c:pt idx="28">
                        <c:v>44083</c:v>
                      </c:pt>
                      <c:pt idx="29">
                        <c:v>44084</c:v>
                      </c:pt>
                      <c:pt idx="30">
                        <c:v>44085</c:v>
                      </c:pt>
                      <c:pt idx="31">
                        <c:v>44088</c:v>
                      </c:pt>
                      <c:pt idx="32">
                        <c:v>44089</c:v>
                      </c:pt>
                      <c:pt idx="33">
                        <c:v>44090</c:v>
                      </c:pt>
                      <c:pt idx="34">
                        <c:v>44091</c:v>
                      </c:pt>
                      <c:pt idx="35">
                        <c:v>44092</c:v>
                      </c:pt>
                      <c:pt idx="36">
                        <c:v>44095</c:v>
                      </c:pt>
                      <c:pt idx="37">
                        <c:v>44096</c:v>
                      </c:pt>
                      <c:pt idx="38">
                        <c:v>44097</c:v>
                      </c:pt>
                      <c:pt idx="39">
                        <c:v>44098</c:v>
                      </c:pt>
                      <c:pt idx="40">
                        <c:v>44099</c:v>
                      </c:pt>
                      <c:pt idx="41">
                        <c:v>44102</c:v>
                      </c:pt>
                      <c:pt idx="42">
                        <c:v>44103</c:v>
                      </c:pt>
                      <c:pt idx="43">
                        <c:v>44104</c:v>
                      </c:pt>
                      <c:pt idx="44">
                        <c:v>44105</c:v>
                      </c:pt>
                      <c:pt idx="45">
                        <c:v>44106</c:v>
                      </c:pt>
                      <c:pt idx="46">
                        <c:v>44109</c:v>
                      </c:pt>
                      <c:pt idx="47">
                        <c:v>44110</c:v>
                      </c:pt>
                      <c:pt idx="48">
                        <c:v>44111</c:v>
                      </c:pt>
                      <c:pt idx="49">
                        <c:v>44112</c:v>
                      </c:pt>
                      <c:pt idx="50">
                        <c:v>44113</c:v>
                      </c:pt>
                      <c:pt idx="51">
                        <c:v>44116</c:v>
                      </c:pt>
                      <c:pt idx="52">
                        <c:v>44117</c:v>
                      </c:pt>
                      <c:pt idx="53">
                        <c:v>44118</c:v>
                      </c:pt>
                      <c:pt idx="54">
                        <c:v>44119</c:v>
                      </c:pt>
                      <c:pt idx="55">
                        <c:v>44120</c:v>
                      </c:pt>
                      <c:pt idx="56">
                        <c:v>44123</c:v>
                      </c:pt>
                      <c:pt idx="57">
                        <c:v>44124</c:v>
                      </c:pt>
                      <c:pt idx="58">
                        <c:v>44125</c:v>
                      </c:pt>
                      <c:pt idx="59">
                        <c:v>44126</c:v>
                      </c:pt>
                      <c:pt idx="60">
                        <c:v>44127</c:v>
                      </c:pt>
                      <c:pt idx="61">
                        <c:v>44130</c:v>
                      </c:pt>
                      <c:pt idx="62">
                        <c:v>44131</c:v>
                      </c:pt>
                      <c:pt idx="63">
                        <c:v>44132</c:v>
                      </c:pt>
                      <c:pt idx="64">
                        <c:v>44133</c:v>
                      </c:pt>
                      <c:pt idx="65">
                        <c:v>44134</c:v>
                      </c:pt>
                      <c:pt idx="66">
                        <c:v>44137</c:v>
                      </c:pt>
                      <c:pt idx="67">
                        <c:v>44138</c:v>
                      </c:pt>
                      <c:pt idx="68">
                        <c:v>44139</c:v>
                      </c:pt>
                      <c:pt idx="69">
                        <c:v>44140</c:v>
                      </c:pt>
                      <c:pt idx="70">
                        <c:v>44141</c:v>
                      </c:pt>
                      <c:pt idx="71">
                        <c:v>44144</c:v>
                      </c:pt>
                      <c:pt idx="72">
                        <c:v>44145</c:v>
                      </c:pt>
                      <c:pt idx="73">
                        <c:v>44146</c:v>
                      </c:pt>
                      <c:pt idx="74">
                        <c:v>44147</c:v>
                      </c:pt>
                      <c:pt idx="75">
                        <c:v>44148</c:v>
                      </c:pt>
                      <c:pt idx="76">
                        <c:v>44151</c:v>
                      </c:pt>
                      <c:pt idx="77">
                        <c:v>44152</c:v>
                      </c:pt>
                      <c:pt idx="78">
                        <c:v>44153</c:v>
                      </c:pt>
                      <c:pt idx="79">
                        <c:v>44154</c:v>
                      </c:pt>
                      <c:pt idx="80">
                        <c:v>44155</c:v>
                      </c:pt>
                      <c:pt idx="81">
                        <c:v>44158</c:v>
                      </c:pt>
                      <c:pt idx="82">
                        <c:v>44159</c:v>
                      </c:pt>
                      <c:pt idx="83">
                        <c:v>44160</c:v>
                      </c:pt>
                      <c:pt idx="84">
                        <c:v>44161</c:v>
                      </c:pt>
                      <c:pt idx="85">
                        <c:v>44162</c:v>
                      </c:pt>
                      <c:pt idx="86">
                        <c:v>44165</c:v>
                      </c:pt>
                      <c:pt idx="87">
                        <c:v>44166</c:v>
                      </c:pt>
                      <c:pt idx="88">
                        <c:v>44167</c:v>
                      </c:pt>
                      <c:pt idx="89">
                        <c:v>44168</c:v>
                      </c:pt>
                      <c:pt idx="90">
                        <c:v>44169</c:v>
                      </c:pt>
                      <c:pt idx="91">
                        <c:v>44172</c:v>
                      </c:pt>
                      <c:pt idx="92">
                        <c:v>44173</c:v>
                      </c:pt>
                      <c:pt idx="93">
                        <c:v>44174</c:v>
                      </c:pt>
                      <c:pt idx="94">
                        <c:v>44175</c:v>
                      </c:pt>
                      <c:pt idx="95">
                        <c:v>44176</c:v>
                      </c:pt>
                      <c:pt idx="96">
                        <c:v>44179</c:v>
                      </c:pt>
                      <c:pt idx="97">
                        <c:v>44180</c:v>
                      </c:pt>
                      <c:pt idx="98">
                        <c:v>44181</c:v>
                      </c:pt>
                      <c:pt idx="99">
                        <c:v>44182</c:v>
                      </c:pt>
                      <c:pt idx="100">
                        <c:v>44183</c:v>
                      </c:pt>
                      <c:pt idx="101">
                        <c:v>44186</c:v>
                      </c:pt>
                      <c:pt idx="102">
                        <c:v>44187</c:v>
                      </c:pt>
                      <c:pt idx="103">
                        <c:v>44188</c:v>
                      </c:pt>
                      <c:pt idx="104">
                        <c:v>44189</c:v>
                      </c:pt>
                      <c:pt idx="105">
                        <c:v>44190</c:v>
                      </c:pt>
                      <c:pt idx="106">
                        <c:v>44193</c:v>
                      </c:pt>
                      <c:pt idx="107">
                        <c:v>44194</c:v>
                      </c:pt>
                      <c:pt idx="108">
                        <c:v>44195</c:v>
                      </c:pt>
                      <c:pt idx="109">
                        <c:v>44196</c:v>
                      </c:pt>
                      <c:pt idx="110">
                        <c:v>44197</c:v>
                      </c:pt>
                      <c:pt idx="111">
                        <c:v>44200</c:v>
                      </c:pt>
                      <c:pt idx="112">
                        <c:v>44201</c:v>
                      </c:pt>
                      <c:pt idx="113">
                        <c:v>44202</c:v>
                      </c:pt>
                      <c:pt idx="114">
                        <c:v>44203</c:v>
                      </c:pt>
                      <c:pt idx="115">
                        <c:v>44204</c:v>
                      </c:pt>
                      <c:pt idx="116">
                        <c:v>44207</c:v>
                      </c:pt>
                      <c:pt idx="117">
                        <c:v>44208</c:v>
                      </c:pt>
                      <c:pt idx="118">
                        <c:v>44209</c:v>
                      </c:pt>
                      <c:pt idx="119">
                        <c:v>44210</c:v>
                      </c:pt>
                      <c:pt idx="120">
                        <c:v>44211</c:v>
                      </c:pt>
                      <c:pt idx="121">
                        <c:v>44214</c:v>
                      </c:pt>
                      <c:pt idx="122">
                        <c:v>44215</c:v>
                      </c:pt>
                      <c:pt idx="123">
                        <c:v>44216</c:v>
                      </c:pt>
                      <c:pt idx="124">
                        <c:v>44217</c:v>
                      </c:pt>
                      <c:pt idx="125">
                        <c:v>44218</c:v>
                      </c:pt>
                      <c:pt idx="126">
                        <c:v>44221</c:v>
                      </c:pt>
                      <c:pt idx="127">
                        <c:v>44222</c:v>
                      </c:pt>
                      <c:pt idx="128">
                        <c:v>44223</c:v>
                      </c:pt>
                      <c:pt idx="129">
                        <c:v>44224</c:v>
                      </c:pt>
                      <c:pt idx="130">
                        <c:v>44225</c:v>
                      </c:pt>
                      <c:pt idx="131">
                        <c:v>44228</c:v>
                      </c:pt>
                      <c:pt idx="132">
                        <c:v>44229</c:v>
                      </c:pt>
                      <c:pt idx="133">
                        <c:v>44230</c:v>
                      </c:pt>
                      <c:pt idx="134">
                        <c:v>44231</c:v>
                      </c:pt>
                      <c:pt idx="135">
                        <c:v>44232</c:v>
                      </c:pt>
                      <c:pt idx="136">
                        <c:v>44235</c:v>
                      </c:pt>
                      <c:pt idx="137">
                        <c:v>44236</c:v>
                      </c:pt>
                      <c:pt idx="138">
                        <c:v>44237</c:v>
                      </c:pt>
                      <c:pt idx="139">
                        <c:v>44238</c:v>
                      </c:pt>
                      <c:pt idx="140">
                        <c:v>44239</c:v>
                      </c:pt>
                      <c:pt idx="141">
                        <c:v>44242</c:v>
                      </c:pt>
                      <c:pt idx="142">
                        <c:v>44243</c:v>
                      </c:pt>
                      <c:pt idx="143">
                        <c:v>44244</c:v>
                      </c:pt>
                      <c:pt idx="144">
                        <c:v>44245</c:v>
                      </c:pt>
                      <c:pt idx="145">
                        <c:v>44246</c:v>
                      </c:pt>
                      <c:pt idx="146">
                        <c:v>44247</c:v>
                      </c:pt>
                      <c:pt idx="147">
                        <c:v>44249</c:v>
                      </c:pt>
                      <c:pt idx="148">
                        <c:v>44250</c:v>
                      </c:pt>
                      <c:pt idx="149">
                        <c:v>44251</c:v>
                      </c:pt>
                      <c:pt idx="150">
                        <c:v>44252</c:v>
                      </c:pt>
                      <c:pt idx="151">
                        <c:v>44253</c:v>
                      </c:pt>
                      <c:pt idx="152">
                        <c:v>44256</c:v>
                      </c:pt>
                      <c:pt idx="153">
                        <c:v>44257</c:v>
                      </c:pt>
                      <c:pt idx="154">
                        <c:v>44258</c:v>
                      </c:pt>
                      <c:pt idx="155">
                        <c:v>44259</c:v>
                      </c:pt>
                      <c:pt idx="156">
                        <c:v>44260</c:v>
                      </c:pt>
                      <c:pt idx="157">
                        <c:v>44263</c:v>
                      </c:pt>
                      <c:pt idx="158">
                        <c:v>44264</c:v>
                      </c:pt>
                      <c:pt idx="159">
                        <c:v>44265</c:v>
                      </c:pt>
                      <c:pt idx="160">
                        <c:v>44266</c:v>
                      </c:pt>
                      <c:pt idx="161">
                        <c:v>44267</c:v>
                      </c:pt>
                      <c:pt idx="162">
                        <c:v>44270</c:v>
                      </c:pt>
                      <c:pt idx="163">
                        <c:v>44271</c:v>
                      </c:pt>
                      <c:pt idx="164">
                        <c:v>44272</c:v>
                      </c:pt>
                      <c:pt idx="165">
                        <c:v>44273</c:v>
                      </c:pt>
                      <c:pt idx="166">
                        <c:v>44274</c:v>
                      </c:pt>
                      <c:pt idx="167">
                        <c:v>44277</c:v>
                      </c:pt>
                      <c:pt idx="168">
                        <c:v>44278</c:v>
                      </c:pt>
                      <c:pt idx="169">
                        <c:v>44279</c:v>
                      </c:pt>
                      <c:pt idx="170">
                        <c:v>44280</c:v>
                      </c:pt>
                      <c:pt idx="171">
                        <c:v>44281</c:v>
                      </c:pt>
                      <c:pt idx="172">
                        <c:v>44284</c:v>
                      </c:pt>
                      <c:pt idx="173">
                        <c:v>44285</c:v>
                      </c:pt>
                      <c:pt idx="174">
                        <c:v>44286</c:v>
                      </c:pt>
                      <c:pt idx="175">
                        <c:v>44287</c:v>
                      </c:pt>
                      <c:pt idx="176">
                        <c:v>44288</c:v>
                      </c:pt>
                      <c:pt idx="177">
                        <c:v>44291</c:v>
                      </c:pt>
                      <c:pt idx="178">
                        <c:v>44292</c:v>
                      </c:pt>
                      <c:pt idx="179">
                        <c:v>44293</c:v>
                      </c:pt>
                      <c:pt idx="180">
                        <c:v>44294</c:v>
                      </c:pt>
                      <c:pt idx="181">
                        <c:v>44295</c:v>
                      </c:pt>
                      <c:pt idx="182">
                        <c:v>44298</c:v>
                      </c:pt>
                      <c:pt idx="183">
                        <c:v>44299</c:v>
                      </c:pt>
                      <c:pt idx="184">
                        <c:v>44300</c:v>
                      </c:pt>
                      <c:pt idx="185">
                        <c:v>44301</c:v>
                      </c:pt>
                      <c:pt idx="186">
                        <c:v>44302</c:v>
                      </c:pt>
                      <c:pt idx="187">
                        <c:v>44305</c:v>
                      </c:pt>
                      <c:pt idx="188">
                        <c:v>44306</c:v>
                      </c:pt>
                      <c:pt idx="189">
                        <c:v>44307</c:v>
                      </c:pt>
                      <c:pt idx="190">
                        <c:v>44308</c:v>
                      </c:pt>
                      <c:pt idx="191">
                        <c:v>44309</c:v>
                      </c:pt>
                      <c:pt idx="192">
                        <c:v>44311</c:v>
                      </c:pt>
                      <c:pt idx="193">
                        <c:v>44312</c:v>
                      </c:pt>
                      <c:pt idx="194">
                        <c:v>44313</c:v>
                      </c:pt>
                      <c:pt idx="195">
                        <c:v>44314</c:v>
                      </c:pt>
                      <c:pt idx="196">
                        <c:v>44315</c:v>
                      </c:pt>
                      <c:pt idx="197">
                        <c:v>44316</c:v>
                      </c:pt>
                      <c:pt idx="198">
                        <c:v>44319</c:v>
                      </c:pt>
                      <c:pt idx="199">
                        <c:v>44320</c:v>
                      </c:pt>
                      <c:pt idx="200">
                        <c:v>44321</c:v>
                      </c:pt>
                      <c:pt idx="201">
                        <c:v>44322</c:v>
                      </c:pt>
                      <c:pt idx="202">
                        <c:v>44323</c:v>
                      </c:pt>
                      <c:pt idx="203">
                        <c:v>44326</c:v>
                      </c:pt>
                      <c:pt idx="204">
                        <c:v>44327</c:v>
                      </c:pt>
                      <c:pt idx="205">
                        <c:v>44328</c:v>
                      </c:pt>
                      <c:pt idx="206">
                        <c:v>44329</c:v>
                      </c:pt>
                      <c:pt idx="207">
                        <c:v>44330</c:v>
                      </c:pt>
                      <c:pt idx="208">
                        <c:v>44333</c:v>
                      </c:pt>
                      <c:pt idx="209">
                        <c:v>44334</c:v>
                      </c:pt>
                      <c:pt idx="210">
                        <c:v>44335</c:v>
                      </c:pt>
                      <c:pt idx="211">
                        <c:v>44336</c:v>
                      </c:pt>
                      <c:pt idx="212">
                        <c:v>44337</c:v>
                      </c:pt>
                      <c:pt idx="213">
                        <c:v>44340</c:v>
                      </c:pt>
                      <c:pt idx="214">
                        <c:v>44341</c:v>
                      </c:pt>
                      <c:pt idx="215">
                        <c:v>44342</c:v>
                      </c:pt>
                      <c:pt idx="216">
                        <c:v>44343</c:v>
                      </c:pt>
                      <c:pt idx="217">
                        <c:v>44344</c:v>
                      </c:pt>
                      <c:pt idx="218">
                        <c:v>44347</c:v>
                      </c:pt>
                      <c:pt idx="219">
                        <c:v>44348</c:v>
                      </c:pt>
                      <c:pt idx="220">
                        <c:v>44349</c:v>
                      </c:pt>
                      <c:pt idx="221">
                        <c:v>44350</c:v>
                      </c:pt>
                      <c:pt idx="222">
                        <c:v>44351</c:v>
                      </c:pt>
                      <c:pt idx="223">
                        <c:v>44354</c:v>
                      </c:pt>
                      <c:pt idx="224">
                        <c:v>44355</c:v>
                      </c:pt>
                      <c:pt idx="225">
                        <c:v>44356</c:v>
                      </c:pt>
                      <c:pt idx="226">
                        <c:v>44357</c:v>
                      </c:pt>
                      <c:pt idx="227">
                        <c:v>44358</c:v>
                      </c:pt>
                      <c:pt idx="228">
                        <c:v>44361</c:v>
                      </c:pt>
                      <c:pt idx="229">
                        <c:v>44362</c:v>
                      </c:pt>
                      <c:pt idx="230">
                        <c:v>44363</c:v>
                      </c:pt>
                      <c:pt idx="231">
                        <c:v>44364</c:v>
                      </c:pt>
                      <c:pt idx="232">
                        <c:v>44365</c:v>
                      </c:pt>
                      <c:pt idx="233">
                        <c:v>44368</c:v>
                      </c:pt>
                      <c:pt idx="234">
                        <c:v>44369</c:v>
                      </c:pt>
                      <c:pt idx="235">
                        <c:v>44370</c:v>
                      </c:pt>
                      <c:pt idx="236">
                        <c:v>44371</c:v>
                      </c:pt>
                      <c:pt idx="237">
                        <c:v>44372</c:v>
                      </c:pt>
                      <c:pt idx="238">
                        <c:v>44375</c:v>
                      </c:pt>
                      <c:pt idx="239">
                        <c:v>44376</c:v>
                      </c:pt>
                      <c:pt idx="240">
                        <c:v>44377</c:v>
                      </c:pt>
                      <c:pt idx="241">
                        <c:v>44378</c:v>
                      </c:pt>
                      <c:pt idx="242">
                        <c:v>44379</c:v>
                      </c:pt>
                      <c:pt idx="243">
                        <c:v>44382</c:v>
                      </c:pt>
                      <c:pt idx="244">
                        <c:v>44383</c:v>
                      </c:pt>
                      <c:pt idx="245">
                        <c:v>44384</c:v>
                      </c:pt>
                      <c:pt idx="246">
                        <c:v>44385</c:v>
                      </c:pt>
                      <c:pt idx="247">
                        <c:v>44386</c:v>
                      </c:pt>
                      <c:pt idx="248">
                        <c:v>44389</c:v>
                      </c:pt>
                      <c:pt idx="249">
                        <c:v>44390</c:v>
                      </c:pt>
                      <c:pt idx="250">
                        <c:v>44391</c:v>
                      </c:pt>
                      <c:pt idx="251">
                        <c:v>44392</c:v>
                      </c:pt>
                      <c:pt idx="252">
                        <c:v>44393</c:v>
                      </c:pt>
                      <c:pt idx="253">
                        <c:v>44396</c:v>
                      </c:pt>
                      <c:pt idx="254">
                        <c:v>44397</c:v>
                      </c:pt>
                      <c:pt idx="255">
                        <c:v>44398</c:v>
                      </c:pt>
                      <c:pt idx="256">
                        <c:v>44399</c:v>
                      </c:pt>
                      <c:pt idx="257">
                        <c:v>44400</c:v>
                      </c:pt>
                      <c:pt idx="258">
                        <c:v>44403</c:v>
                      </c:pt>
                      <c:pt idx="259">
                        <c:v>44404</c:v>
                      </c:pt>
                      <c:pt idx="260">
                        <c:v>44405</c:v>
                      </c:pt>
                      <c:pt idx="261">
                        <c:v>44406</c:v>
                      </c:pt>
                      <c:pt idx="262">
                        <c:v>44407</c:v>
                      </c:pt>
                      <c:pt idx="263">
                        <c:v>44410</c:v>
                      </c:pt>
                      <c:pt idx="264">
                        <c:v>44411</c:v>
                      </c:pt>
                      <c:pt idx="265">
                        <c:v>44412</c:v>
                      </c:pt>
                      <c:pt idx="266">
                        <c:v>44413</c:v>
                      </c:pt>
                      <c:pt idx="267">
                        <c:v>44414</c:v>
                      </c:pt>
                      <c:pt idx="268">
                        <c:v>44417</c:v>
                      </c:pt>
                      <c:pt idx="269">
                        <c:v>44418</c:v>
                      </c:pt>
                      <c:pt idx="270">
                        <c:v>44419</c:v>
                      </c:pt>
                      <c:pt idx="271">
                        <c:v>44420</c:v>
                      </c:pt>
                      <c:pt idx="272">
                        <c:v>44421</c:v>
                      </c:pt>
                      <c:pt idx="273">
                        <c:v>44424</c:v>
                      </c:pt>
                      <c:pt idx="274">
                        <c:v>44425</c:v>
                      </c:pt>
                      <c:pt idx="275">
                        <c:v>44426</c:v>
                      </c:pt>
                      <c:pt idx="276">
                        <c:v>44427</c:v>
                      </c:pt>
                      <c:pt idx="277">
                        <c:v>44428</c:v>
                      </c:pt>
                      <c:pt idx="278">
                        <c:v>44431</c:v>
                      </c:pt>
                      <c:pt idx="279">
                        <c:v>44432</c:v>
                      </c:pt>
                      <c:pt idx="280">
                        <c:v>44433</c:v>
                      </c:pt>
                      <c:pt idx="281">
                        <c:v>44434</c:v>
                      </c:pt>
                      <c:pt idx="282">
                        <c:v>44435</c:v>
                      </c:pt>
                      <c:pt idx="283">
                        <c:v>44438</c:v>
                      </c:pt>
                      <c:pt idx="284">
                        <c:v>44439</c:v>
                      </c:pt>
                    </c:numCache>
                  </c:numRef>
                </c:cat>
                <c:val>
                  <c:numRef>
                    <c:extLst xmlns:c15="http://schemas.microsoft.com/office/drawing/2012/chart">
                      <c:ext xmlns:c15="http://schemas.microsoft.com/office/drawing/2012/chart" uri="{02D57815-91ED-43cb-92C2-25804820EDAC}">
                        <c15:formulaRef>
                          <c15:sqref>'[2021 09 GMR NEW.XLSX]Currency Chart'!$V$6:$V$290</c15:sqref>
                        </c15:formulaRef>
                      </c:ext>
                    </c:extLst>
                    <c:numCache>
                      <c:formatCode>0</c:formatCode>
                      <c:ptCount val="285"/>
                      <c:pt idx="0" formatCode="General">
                        <c:v>100</c:v>
                      </c:pt>
                      <c:pt idx="1">
                        <c:v>100.07852375343542</c:v>
                      </c:pt>
                      <c:pt idx="2">
                        <c:v>100.11778563015312</c:v>
                      </c:pt>
                      <c:pt idx="3">
                        <c:v>99.77751603193299</c:v>
                      </c:pt>
                      <c:pt idx="4">
                        <c:v>99.502682894909043</c:v>
                      </c:pt>
                      <c:pt idx="5">
                        <c:v>100.24865855254548</c:v>
                      </c:pt>
                      <c:pt idx="6">
                        <c:v>100.10469833791389</c:v>
                      </c:pt>
                      <c:pt idx="7">
                        <c:v>100.28792042926318</c:v>
                      </c:pt>
                      <c:pt idx="8">
                        <c:v>100.39261876717707</c:v>
                      </c:pt>
                      <c:pt idx="9">
                        <c:v>100.17013479911006</c:v>
                      </c:pt>
                      <c:pt idx="10">
                        <c:v>100</c:v>
                      </c:pt>
                      <c:pt idx="11">
                        <c:v>99.869127077607644</c:v>
                      </c:pt>
                      <c:pt idx="12">
                        <c:v>98.835230990708027</c:v>
                      </c:pt>
                      <c:pt idx="13">
                        <c:v>99.882214369846892</c:v>
                      </c:pt>
                      <c:pt idx="14">
                        <c:v>99.031540374296583</c:v>
                      </c:pt>
                      <c:pt idx="15">
                        <c:v>99.960738123282312</c:v>
                      </c:pt>
                      <c:pt idx="16">
                        <c:v>100.17013479911007</c:v>
                      </c:pt>
                      <c:pt idx="17">
                        <c:v>99.489595602669823</c:v>
                      </c:pt>
                      <c:pt idx="18">
                        <c:v>99.057714958775051</c:v>
                      </c:pt>
                      <c:pt idx="19">
                        <c:v>99.110064127732002</c:v>
                      </c:pt>
                      <c:pt idx="20">
                        <c:v>97.99764428739698</c:v>
                      </c:pt>
                      <c:pt idx="21">
                        <c:v>97.85368407276539</c:v>
                      </c:pt>
                      <c:pt idx="22">
                        <c:v>97.762073027090736</c:v>
                      </c:pt>
                      <c:pt idx="23">
                        <c:v>98.023818871875449</c:v>
                      </c:pt>
                      <c:pt idx="24">
                        <c:v>98.521135976966406</c:v>
                      </c:pt>
                      <c:pt idx="25">
                        <c:v>98.521135976966406</c:v>
                      </c:pt>
                      <c:pt idx="26">
                        <c:v>99.371809972516715</c:v>
                      </c:pt>
                      <c:pt idx="27">
                        <c:v>100.7983248265934</c:v>
                      </c:pt>
                      <c:pt idx="28">
                        <c:v>100.64127731972258</c:v>
                      </c:pt>
                      <c:pt idx="29">
                        <c:v>102.18557780395238</c:v>
                      </c:pt>
                      <c:pt idx="30">
                        <c:v>102.2641015573878</c:v>
                      </c:pt>
                      <c:pt idx="31">
                        <c:v>101.8583954979715</c:v>
                      </c:pt>
                      <c:pt idx="32">
                        <c:v>101.53121319199062</c:v>
                      </c:pt>
                      <c:pt idx="33">
                        <c:v>100.91611045674654</c:v>
                      </c:pt>
                      <c:pt idx="34">
                        <c:v>100.8637612877896</c:v>
                      </c:pt>
                      <c:pt idx="35">
                        <c:v>101.30872922392361</c:v>
                      </c:pt>
                      <c:pt idx="36">
                        <c:v>102.10705405051698</c:v>
                      </c:pt>
                      <c:pt idx="37">
                        <c:v>102.76141866247877</c:v>
                      </c:pt>
                      <c:pt idx="38">
                        <c:v>102.83994241591419</c:v>
                      </c:pt>
                      <c:pt idx="39">
                        <c:v>102.61745844784718</c:v>
                      </c:pt>
                      <c:pt idx="40">
                        <c:v>102.64363303232565</c:v>
                      </c:pt>
                      <c:pt idx="41">
                        <c:v>101.95000654364617</c:v>
                      </c:pt>
                      <c:pt idx="42">
                        <c:v>101.72752257557916</c:v>
                      </c:pt>
                      <c:pt idx="43">
                        <c:v>101.26946734720592</c:v>
                      </c:pt>
                      <c:pt idx="44">
                        <c:v>101.50503860751215</c:v>
                      </c:pt>
                      <c:pt idx="45">
                        <c:v>101.12550713257433</c:v>
                      </c:pt>
                      <c:pt idx="46">
                        <c:v>100.81141211883266</c:v>
                      </c:pt>
                      <c:pt idx="47">
                        <c:v>101.5966496531868</c:v>
                      </c:pt>
                      <c:pt idx="48">
                        <c:v>101.28255463944515</c:v>
                      </c:pt>
                      <c:pt idx="49">
                        <c:v>101.16476900929203</c:v>
                      </c:pt>
                      <c:pt idx="50">
                        <c:v>100.28792042926324</c:v>
                      </c:pt>
                      <c:pt idx="51">
                        <c:v>100.17013479911012</c:v>
                      </c:pt>
                      <c:pt idx="52">
                        <c:v>101.16476900929203</c:v>
                      </c:pt>
                      <c:pt idx="53">
                        <c:v>100.54966627404794</c:v>
                      </c:pt>
                      <c:pt idx="54">
                        <c:v>101.32181651616284</c:v>
                      </c:pt>
                      <c:pt idx="55">
                        <c:v>101.30872922392361</c:v>
                      </c:pt>
                      <c:pt idx="56">
                        <c:v>101.04698337913889</c:v>
                      </c:pt>
                      <c:pt idx="57">
                        <c:v>101.08624525585658</c:v>
                      </c:pt>
                      <c:pt idx="58">
                        <c:v>99.502682894909057</c:v>
                      </c:pt>
                      <c:pt idx="59">
                        <c:v>100.01308729223926</c:v>
                      </c:pt>
                      <c:pt idx="60">
                        <c:v>100.32718230598091</c:v>
                      </c:pt>
                      <c:pt idx="61">
                        <c:v>100.48422981285177</c:v>
                      </c:pt>
                      <c:pt idx="62">
                        <c:v>100.31409501374169</c:v>
                      </c:pt>
                      <c:pt idx="63">
                        <c:v>100.78523753435418</c:v>
                      </c:pt>
                      <c:pt idx="64">
                        <c:v>101.2302054704882</c:v>
                      </c:pt>
                      <c:pt idx="65">
                        <c:v>101.09933254809584</c:v>
                      </c:pt>
                      <c:pt idx="66">
                        <c:v>101.28255463944517</c:v>
                      </c:pt>
                      <c:pt idx="67">
                        <c:v>100.1963093835886</c:v>
                      </c:pt>
                      <c:pt idx="68">
                        <c:v>100.74597565763651</c:v>
                      </c:pt>
                      <c:pt idx="69">
                        <c:v>99.541944771626831</c:v>
                      </c:pt>
                      <c:pt idx="70">
                        <c:v>99.450333725952177</c:v>
                      </c:pt>
                      <c:pt idx="71">
                        <c:v>99.411071849234474</c:v>
                      </c:pt>
                      <c:pt idx="72">
                        <c:v>98.573485145923371</c:v>
                      </c:pt>
                      <c:pt idx="73">
                        <c:v>98.953016620861206</c:v>
                      </c:pt>
                      <c:pt idx="74">
                        <c:v>99.764428739693813</c:v>
                      </c:pt>
                      <c:pt idx="75">
                        <c:v>99.227849757885139</c:v>
                      </c:pt>
                      <c:pt idx="76">
                        <c:v>99.149326004449733</c:v>
                      </c:pt>
                      <c:pt idx="77">
                        <c:v>98.782881821751133</c:v>
                      </c:pt>
                      <c:pt idx="78">
                        <c:v>98.586572438162591</c:v>
                      </c:pt>
                      <c:pt idx="79">
                        <c:v>98.66509619159801</c:v>
                      </c:pt>
                      <c:pt idx="80">
                        <c:v>98.508048684727186</c:v>
                      </c:pt>
                      <c:pt idx="81">
                        <c:v>98.22012825546399</c:v>
                      </c:pt>
                      <c:pt idx="82">
                        <c:v>97.932207826200809</c:v>
                      </c:pt>
                      <c:pt idx="83">
                        <c:v>97.76207302709075</c:v>
                      </c:pt>
                      <c:pt idx="84">
                        <c:v>97.945295118440043</c:v>
                      </c:pt>
                      <c:pt idx="85">
                        <c:v>98.272477424420941</c:v>
                      </c:pt>
                      <c:pt idx="86">
                        <c:v>98.22012825546399</c:v>
                      </c:pt>
                      <c:pt idx="87">
                        <c:v>97.53958905902374</c:v>
                      </c:pt>
                      <c:pt idx="88">
                        <c:v>97.906033241722341</c:v>
                      </c:pt>
                      <c:pt idx="89">
                        <c:v>97.330192383195978</c:v>
                      </c:pt>
                      <c:pt idx="90">
                        <c:v>97.356366967674461</c:v>
                      </c:pt>
                      <c:pt idx="91">
                        <c:v>97.801334903808481</c:v>
                      </c:pt>
                      <c:pt idx="92">
                        <c:v>97.984556995157774</c:v>
                      </c:pt>
                      <c:pt idx="93">
                        <c:v>97.670461981416111</c:v>
                      </c:pt>
                      <c:pt idx="94">
                        <c:v>98.429524931291795</c:v>
                      </c:pt>
                      <c:pt idx="95">
                        <c:v>98.939929328621972</c:v>
                      </c:pt>
                      <c:pt idx="96">
                        <c:v>98.20704096322477</c:v>
                      </c:pt>
                      <c:pt idx="97">
                        <c:v>97.199319460803622</c:v>
                      </c:pt>
                      <c:pt idx="98">
                        <c:v>96.85904986258349</c:v>
                      </c:pt>
                      <c:pt idx="99">
                        <c:v>96.335558173014064</c:v>
                      </c:pt>
                      <c:pt idx="100">
                        <c:v>96.767438816908836</c:v>
                      </c:pt>
                      <c:pt idx="101">
                        <c:v>97.146970291846685</c:v>
                      </c:pt>
                      <c:pt idx="102">
                        <c:v>97.932207826200838</c:v>
                      </c:pt>
                      <c:pt idx="103">
                        <c:v>96.97683549273664</c:v>
                      </c:pt>
                      <c:pt idx="104">
                        <c:v>96.558042141081103</c:v>
                      </c:pt>
                      <c:pt idx="105">
                        <c:v>96.571129433320337</c:v>
                      </c:pt>
                      <c:pt idx="106">
                        <c:v>97.277843214239056</c:v>
                      </c:pt>
                      <c:pt idx="107">
                        <c:v>96.924486323779703</c:v>
                      </c:pt>
                      <c:pt idx="108">
                        <c:v>96.034550451511663</c:v>
                      </c:pt>
                      <c:pt idx="109">
                        <c:v>95.681193561052297</c:v>
                      </c:pt>
                      <c:pt idx="110">
                        <c:v>95.707368145530779</c:v>
                      </c:pt>
                      <c:pt idx="111">
                        <c:v>96.414081926449512</c:v>
                      </c:pt>
                      <c:pt idx="112">
                        <c:v>96.034550451511677</c:v>
                      </c:pt>
                      <c:pt idx="113">
                        <c:v>96.152336081664799</c:v>
                      </c:pt>
                      <c:pt idx="114">
                        <c:v>96.453343803167215</c:v>
                      </c:pt>
                      <c:pt idx="115">
                        <c:v>96.466431095406449</c:v>
                      </c:pt>
                      <c:pt idx="116">
                        <c:v>96.806700693626581</c:v>
                      </c:pt>
                      <c:pt idx="117">
                        <c:v>95.746630022248496</c:v>
                      </c:pt>
                      <c:pt idx="118">
                        <c:v>95.942939405837024</c:v>
                      </c:pt>
                      <c:pt idx="119">
                        <c:v>95.589582515377671</c:v>
                      </c:pt>
                      <c:pt idx="120">
                        <c:v>96.29629629629639</c:v>
                      </c:pt>
                      <c:pt idx="121">
                        <c:v>96.309383588535624</c:v>
                      </c:pt>
                      <c:pt idx="122">
                        <c:v>96.008375867033209</c:v>
                      </c:pt>
                      <c:pt idx="123">
                        <c:v>95.825153775683901</c:v>
                      </c:pt>
                      <c:pt idx="124">
                        <c:v>95.288574793875227</c:v>
                      </c:pt>
                      <c:pt idx="125">
                        <c:v>95.615757099856125</c:v>
                      </c:pt>
                      <c:pt idx="126">
                        <c:v>95.694280853291531</c:v>
                      </c:pt>
                      <c:pt idx="127">
                        <c:v>95.236225624918276</c:v>
                      </c:pt>
                      <c:pt idx="128">
                        <c:v>95.615757099856125</c:v>
                      </c:pt>
                      <c:pt idx="129">
                        <c:v>95.367098547310647</c:v>
                      </c:pt>
                      <c:pt idx="130">
                        <c:v>95.511058761942238</c:v>
                      </c:pt>
                      <c:pt idx="131">
                        <c:v>95.77280460672695</c:v>
                      </c:pt>
                      <c:pt idx="132">
                        <c:v>95.746630022248482</c:v>
                      </c:pt>
                      <c:pt idx="133">
                        <c:v>95.890590236880072</c:v>
                      </c:pt>
                      <c:pt idx="134">
                        <c:v>95.707368145530765</c:v>
                      </c:pt>
                      <c:pt idx="135">
                        <c:v>95.275487501635993</c:v>
                      </c:pt>
                      <c:pt idx="136">
                        <c:v>95.236225624918291</c:v>
                      </c:pt>
                      <c:pt idx="137">
                        <c:v>94.712733935348865</c:v>
                      </c:pt>
                      <c:pt idx="138">
                        <c:v>94.581861012956509</c:v>
                      </c:pt>
                      <c:pt idx="139">
                        <c:v>94.712733935348865</c:v>
                      </c:pt>
                      <c:pt idx="140">
                        <c:v>94.529511843999572</c:v>
                      </c:pt>
                      <c:pt idx="141">
                        <c:v>94.110718492344006</c:v>
                      </c:pt>
                      <c:pt idx="142">
                        <c:v>94.12380578458324</c:v>
                      </c:pt>
                      <c:pt idx="143">
                        <c:v>94.477162675042621</c:v>
                      </c:pt>
                      <c:pt idx="144">
                        <c:v>93.613401387253077</c:v>
                      </c:pt>
                      <c:pt idx="145">
                        <c:v>93.364742834707599</c:v>
                      </c:pt>
                      <c:pt idx="146">
                        <c:v>93.364742834707599</c:v>
                      </c:pt>
                      <c:pt idx="147">
                        <c:v>93.037560528726701</c:v>
                      </c:pt>
                      <c:pt idx="148">
                        <c:v>92.723465514985051</c:v>
                      </c:pt>
                      <c:pt idx="149">
                        <c:v>92.540243423635744</c:v>
                      </c:pt>
                      <c:pt idx="150">
                        <c:v>93.364742834707599</c:v>
                      </c:pt>
                      <c:pt idx="151">
                        <c:v>93.914409108755493</c:v>
                      </c:pt>
                      <c:pt idx="152">
                        <c:v>93.966758277712444</c:v>
                      </c:pt>
                      <c:pt idx="153">
                        <c:v>93.770448894123916</c:v>
                      </c:pt>
                      <c:pt idx="154">
                        <c:v>93.770448894123916</c:v>
                      </c:pt>
                      <c:pt idx="155">
                        <c:v>94.163067661300985</c:v>
                      </c:pt>
                      <c:pt idx="156">
                        <c:v>94.529511843999586</c:v>
                      </c:pt>
                      <c:pt idx="157">
                        <c:v>94.64729747415268</c:v>
                      </c:pt>
                      <c:pt idx="158">
                        <c:v>94.176154953540205</c:v>
                      </c:pt>
                      <c:pt idx="159">
                        <c:v>93.927496400994727</c:v>
                      </c:pt>
                      <c:pt idx="160">
                        <c:v>93.521790341578424</c:v>
                      </c:pt>
                      <c:pt idx="161">
                        <c:v>93.966758277712444</c:v>
                      </c:pt>
                      <c:pt idx="162">
                        <c:v>94.17615495354022</c:v>
                      </c:pt>
                      <c:pt idx="163">
                        <c:v>94.189242245779454</c:v>
                      </c:pt>
                      <c:pt idx="164">
                        <c:v>93.705012432927731</c:v>
                      </c:pt>
                      <c:pt idx="165">
                        <c:v>93.979845569951678</c:v>
                      </c:pt>
                      <c:pt idx="166">
                        <c:v>94.333202460411059</c:v>
                      </c:pt>
                      <c:pt idx="167">
                        <c:v>94.385551629367995</c:v>
                      </c:pt>
                      <c:pt idx="168">
                        <c:v>95.157701871482899</c:v>
                      </c:pt>
                      <c:pt idx="169">
                        <c:v>95.589582515377685</c:v>
                      </c:pt>
                      <c:pt idx="170">
                        <c:v>95.275487501636022</c:v>
                      </c:pt>
                      <c:pt idx="171">
                        <c:v>94.909043318937421</c:v>
                      </c:pt>
                      <c:pt idx="172">
                        <c:v>95.06609082580826</c:v>
                      </c:pt>
                      <c:pt idx="173">
                        <c:v>95.223138332679085</c:v>
                      </c:pt>
                      <c:pt idx="174">
                        <c:v>94.935217903415904</c:v>
                      </c:pt>
                      <c:pt idx="175">
                        <c:v>94.594948305195771</c:v>
                      </c:pt>
                      <c:pt idx="176">
                        <c:v>94.594948305195771</c:v>
                      </c:pt>
                      <c:pt idx="177">
                        <c:v>94.149980369061765</c:v>
                      </c:pt>
                      <c:pt idx="178">
                        <c:v>94.647297474152708</c:v>
                      </c:pt>
                      <c:pt idx="179">
                        <c:v>95.262400209396802</c:v>
                      </c:pt>
                      <c:pt idx="180">
                        <c:v>95.275487501636036</c:v>
                      </c:pt>
                      <c:pt idx="181">
                        <c:v>95.445622300746095</c:v>
                      </c:pt>
                      <c:pt idx="182">
                        <c:v>95.223138332679099</c:v>
                      </c:pt>
                      <c:pt idx="183">
                        <c:v>95.170789163722148</c:v>
                      </c:pt>
                      <c:pt idx="184">
                        <c:v>94.961392487894386</c:v>
                      </c:pt>
                      <c:pt idx="185">
                        <c:v>94.909043318937435</c:v>
                      </c:pt>
                      <c:pt idx="186">
                        <c:v>94.60803559743502</c:v>
                      </c:pt>
                      <c:pt idx="187">
                        <c:v>93.547964926056935</c:v>
                      </c:pt>
                      <c:pt idx="188">
                        <c:v>93.888234524277081</c:v>
                      </c:pt>
                      <c:pt idx="189">
                        <c:v>93.940583693234004</c:v>
                      </c:pt>
                      <c:pt idx="190">
                        <c:v>94.555686428478083</c:v>
                      </c:pt>
                      <c:pt idx="191">
                        <c:v>94.307027875932604</c:v>
                      </c:pt>
                      <c:pt idx="192">
                        <c:v>94.307027875932604</c:v>
                      </c:pt>
                      <c:pt idx="193">
                        <c:v>94.136893076822545</c:v>
                      </c:pt>
                      <c:pt idx="194">
                        <c:v>94.045282031147892</c:v>
                      </c:pt>
                      <c:pt idx="195">
                        <c:v>93.914409108755535</c:v>
                      </c:pt>
                      <c:pt idx="196">
                        <c:v>93.862059939798584</c:v>
                      </c:pt>
                      <c:pt idx="197">
                        <c:v>94.712733935348908</c:v>
                      </c:pt>
                      <c:pt idx="198">
                        <c:v>94.07145661562636</c:v>
                      </c:pt>
                      <c:pt idx="199">
                        <c:v>94.228504122497185</c:v>
                      </c:pt>
                      <c:pt idx="200">
                        <c:v>94.110718492344063</c:v>
                      </c:pt>
                      <c:pt idx="201">
                        <c:v>94.215416830257951</c:v>
                      </c:pt>
                      <c:pt idx="202">
                        <c:v>93.639575971731588</c:v>
                      </c:pt>
                      <c:pt idx="203">
                        <c:v>92.63185446931044</c:v>
                      </c:pt>
                      <c:pt idx="204">
                        <c:v>92.527156131396552</c:v>
                      </c:pt>
                      <c:pt idx="205">
                        <c:v>93.102996989922929</c:v>
                      </c:pt>
                      <c:pt idx="206">
                        <c:v>93.116084282162163</c:v>
                      </c:pt>
                      <c:pt idx="207">
                        <c:v>92.815076560659747</c:v>
                      </c:pt>
                      <c:pt idx="208">
                        <c:v>92.566418008114269</c:v>
                      </c:pt>
                      <c:pt idx="209">
                        <c:v>92.226148409894137</c:v>
                      </c:pt>
                      <c:pt idx="210">
                        <c:v>92.710378222745874</c:v>
                      </c:pt>
                      <c:pt idx="211">
                        <c:v>92.213061117654917</c:v>
                      </c:pt>
                      <c:pt idx="212">
                        <c:v>92.487894254678878</c:v>
                      </c:pt>
                      <c:pt idx="213">
                        <c:v>92.435545085721941</c:v>
                      </c:pt>
                      <c:pt idx="214">
                        <c:v>92.448632377961175</c:v>
                      </c:pt>
                      <c:pt idx="215">
                        <c:v>92.671116346028171</c:v>
                      </c:pt>
                      <c:pt idx="216">
                        <c:v>92.108362779741043</c:v>
                      </c:pt>
                      <c:pt idx="217">
                        <c:v>92.226148409894165</c:v>
                      </c:pt>
                      <c:pt idx="218">
                        <c:v>92.06910090302334</c:v>
                      </c:pt>
                      <c:pt idx="219">
                        <c:v>92.474806962439644</c:v>
                      </c:pt>
                      <c:pt idx="220">
                        <c:v>92.343934040047287</c:v>
                      </c:pt>
                      <c:pt idx="221">
                        <c:v>92.762727391702839</c:v>
                      </c:pt>
                      <c:pt idx="222">
                        <c:v>92.435545085721955</c:v>
                      </c:pt>
                      <c:pt idx="223">
                        <c:v>92.278497578851116</c:v>
                      </c:pt>
                      <c:pt idx="224">
                        <c:v>92.435545085721955</c:v>
                      </c:pt>
                      <c:pt idx="225">
                        <c:v>92.671116346028185</c:v>
                      </c:pt>
                      <c:pt idx="226">
                        <c:v>92.291584871090365</c:v>
                      </c:pt>
                      <c:pt idx="227">
                        <c:v>92.762727391702839</c:v>
                      </c:pt>
                      <c:pt idx="228">
                        <c:v>92.736552807224371</c:v>
                      </c:pt>
                      <c:pt idx="229">
                        <c:v>92.906687606334444</c:v>
                      </c:pt>
                      <c:pt idx="230">
                        <c:v>93.547964926056991</c:v>
                      </c:pt>
                      <c:pt idx="231">
                        <c:v>93.992932862190997</c:v>
                      </c:pt>
                      <c:pt idx="232">
                        <c:v>94.751995812066667</c:v>
                      </c:pt>
                      <c:pt idx="233">
                        <c:v>93.901321816516344</c:v>
                      </c:pt>
                      <c:pt idx="234">
                        <c:v>93.80971077084169</c:v>
                      </c:pt>
                      <c:pt idx="235">
                        <c:v>93.705012432927802</c:v>
                      </c:pt>
                      <c:pt idx="236">
                        <c:v>93.979845569951749</c:v>
                      </c:pt>
                      <c:pt idx="237">
                        <c:v>94.293940583693413</c:v>
                      </c:pt>
                      <c:pt idx="238">
                        <c:v>94.241591414736462</c:v>
                      </c:pt>
                      <c:pt idx="239">
                        <c:v>94.56877372071736</c:v>
                      </c:pt>
                      <c:pt idx="240">
                        <c:v>94.621122889674282</c:v>
                      </c:pt>
                      <c:pt idx="241">
                        <c:v>95.03991624132982</c:v>
                      </c:pt>
                      <c:pt idx="242">
                        <c:v>94.608035597435048</c:v>
                      </c:pt>
                      <c:pt idx="243">
                        <c:v>94.50333725952116</c:v>
                      </c:pt>
                      <c:pt idx="244">
                        <c:v>94.804344981023604</c:v>
                      </c:pt>
                      <c:pt idx="245">
                        <c:v>94.804344981023604</c:v>
                      </c:pt>
                      <c:pt idx="246">
                        <c:v>94.922130611176712</c:v>
                      </c:pt>
                      <c:pt idx="247">
                        <c:v>94.136893076822588</c:v>
                      </c:pt>
                      <c:pt idx="248">
                        <c:v>94.26776599921493</c:v>
                      </c:pt>
                      <c:pt idx="249">
                        <c:v>94.72582122758817</c:v>
                      </c:pt>
                      <c:pt idx="250">
                        <c:v>94.411726213846521</c:v>
                      </c:pt>
                      <c:pt idx="251">
                        <c:v>94.621122889674282</c:v>
                      </c:pt>
                      <c:pt idx="252">
                        <c:v>95.03991624132982</c:v>
                      </c:pt>
                      <c:pt idx="253">
                        <c:v>95.694280853291602</c:v>
                      </c:pt>
                      <c:pt idx="254">
                        <c:v>96.0214631592725</c:v>
                      </c:pt>
                      <c:pt idx="255">
                        <c:v>95.432535008506889</c:v>
                      </c:pt>
                      <c:pt idx="256">
                        <c:v>95.026828949090572</c:v>
                      </c:pt>
                      <c:pt idx="257">
                        <c:v>95.210051040439879</c:v>
                      </c:pt>
                      <c:pt idx="258">
                        <c:v>94.686559350870453</c:v>
                      </c:pt>
                      <c:pt idx="259">
                        <c:v>94.28085329145415</c:v>
                      </c:pt>
                      <c:pt idx="260">
                        <c:v>94.13689307682256</c:v>
                      </c:pt>
                      <c:pt idx="261">
                        <c:v>93.718099725167008</c:v>
                      </c:pt>
                      <c:pt idx="262">
                        <c:v>94.123805784583311</c:v>
                      </c:pt>
                      <c:pt idx="263">
                        <c:v>94.254678706975668</c:v>
                      </c:pt>
                      <c:pt idx="264">
                        <c:v>94.032194738908672</c:v>
                      </c:pt>
                      <c:pt idx="265">
                        <c:v>94.202329538018731</c:v>
                      </c:pt>
                      <c:pt idx="266">
                        <c:v>93.940583693234018</c:v>
                      </c:pt>
                      <c:pt idx="267">
                        <c:v>94.320115168171853</c:v>
                      </c:pt>
                      <c:pt idx="268">
                        <c:v>94.50333725952116</c:v>
                      </c:pt>
                      <c:pt idx="269">
                        <c:v>94.51642455176038</c:v>
                      </c:pt>
                      <c:pt idx="270">
                        <c:v>94.320115168171853</c:v>
                      </c:pt>
                      <c:pt idx="271">
                        <c:v>94.778170396545093</c:v>
                      </c:pt>
                      <c:pt idx="272">
                        <c:v>94.37246433712879</c:v>
                      </c:pt>
                      <c:pt idx="273">
                        <c:v>94.464075382803443</c:v>
                      </c:pt>
                      <c:pt idx="274">
                        <c:v>95.236225624918347</c:v>
                      </c:pt>
                      <c:pt idx="275">
                        <c:v>95.118439994765225</c:v>
                      </c:pt>
                      <c:pt idx="276">
                        <c:v>95.929852113597846</c:v>
                      </c:pt>
                      <c:pt idx="277">
                        <c:v>96.060725035990203</c:v>
                      </c:pt>
                      <c:pt idx="278">
                        <c:v>95.380185839549952</c:v>
                      </c:pt>
                      <c:pt idx="279">
                        <c:v>95.314749378353767</c:v>
                      </c:pt>
                      <c:pt idx="280">
                        <c:v>95.092265410286771</c:v>
                      </c:pt>
                      <c:pt idx="281">
                        <c:v>95.511058761942309</c:v>
                      </c:pt>
                      <c:pt idx="282">
                        <c:v>95.105352702525991</c:v>
                      </c:pt>
                      <c:pt idx="283">
                        <c:v>95.092265410286757</c:v>
                      </c:pt>
                      <c:pt idx="284">
                        <c:v>95.118439994765225</c:v>
                      </c:pt>
                    </c:numCache>
                  </c:numRef>
                </c:val>
                <c:smooth val="0"/>
                <c:extLst xmlns:c15="http://schemas.microsoft.com/office/drawing/2012/chart">
                  <c:ext xmlns:c16="http://schemas.microsoft.com/office/drawing/2014/chart" uri="{C3380CC4-5D6E-409C-BE32-E72D297353CC}">
                    <c16:uniqueId val="{00000008-A0A6-4952-B73D-3412C30D1F85}"/>
                  </c:ext>
                </c:extLst>
              </c15:ser>
            </c15:filteredLineSeries>
            <c15:filteredLineSeries>
              <c15:ser>
                <c:idx val="7"/>
                <c:order val="7"/>
                <c:tx>
                  <c:strRef>
                    <c:extLst xmlns:c15="http://schemas.microsoft.com/office/drawing/2012/chart">
                      <c:ext xmlns:c15="http://schemas.microsoft.com/office/drawing/2012/chart" uri="{02D57815-91ED-43cb-92C2-25804820EDAC}">
                        <c15:formulaRef>
                          <c15:sqref>'[2021 09 GMR NEW.XLSX]Currency Chart'!$W$5</c15:sqref>
                        </c15:formulaRef>
                      </c:ext>
                    </c:extLst>
                    <c:strCache>
                      <c:ptCount val="1"/>
                      <c:pt idx="0">
                        <c:v>Euro</c:v>
                      </c:pt>
                    </c:strCache>
                  </c:strRef>
                </c:tx>
                <c:spPr>
                  <a:ln w="28575" cap="rnd">
                    <a:solidFill>
                      <a:schemeClr val="accent2">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'[2021 09 GMR NEW.XLSX]Currency Chart'!$O$6:$O$290</c15:sqref>
                        </c15:formulaRef>
                      </c:ext>
                    </c:extLst>
                    <c:numCache>
                      <c:formatCode>m/d/yyyy</c:formatCode>
                      <c:ptCount val="285"/>
                      <c:pt idx="0">
                        <c:v>44043</c:v>
                      </c:pt>
                      <c:pt idx="1">
                        <c:v>44046</c:v>
                      </c:pt>
                      <c:pt idx="2">
                        <c:v>44047</c:v>
                      </c:pt>
                      <c:pt idx="3">
                        <c:v>44048</c:v>
                      </c:pt>
                      <c:pt idx="4">
                        <c:v>44049</c:v>
                      </c:pt>
                      <c:pt idx="5">
                        <c:v>44050</c:v>
                      </c:pt>
                      <c:pt idx="6">
                        <c:v>44053</c:v>
                      </c:pt>
                      <c:pt idx="7">
                        <c:v>44054</c:v>
                      </c:pt>
                      <c:pt idx="8">
                        <c:v>44055</c:v>
                      </c:pt>
                      <c:pt idx="9">
                        <c:v>44056</c:v>
                      </c:pt>
                      <c:pt idx="10">
                        <c:v>44057</c:v>
                      </c:pt>
                      <c:pt idx="11">
                        <c:v>44060</c:v>
                      </c:pt>
                      <c:pt idx="12">
                        <c:v>44061</c:v>
                      </c:pt>
                      <c:pt idx="13">
                        <c:v>44062</c:v>
                      </c:pt>
                      <c:pt idx="14">
                        <c:v>44063</c:v>
                      </c:pt>
                      <c:pt idx="15">
                        <c:v>44064</c:v>
                      </c:pt>
                      <c:pt idx="16">
                        <c:v>44067</c:v>
                      </c:pt>
                      <c:pt idx="17">
                        <c:v>44068</c:v>
                      </c:pt>
                      <c:pt idx="18">
                        <c:v>44069</c:v>
                      </c:pt>
                      <c:pt idx="19">
                        <c:v>44070</c:v>
                      </c:pt>
                      <c:pt idx="20">
                        <c:v>44071</c:v>
                      </c:pt>
                      <c:pt idx="21">
                        <c:v>44074</c:v>
                      </c:pt>
                      <c:pt idx="22">
                        <c:v>44075</c:v>
                      </c:pt>
                      <c:pt idx="23">
                        <c:v>44076</c:v>
                      </c:pt>
                      <c:pt idx="24">
                        <c:v>44077</c:v>
                      </c:pt>
                      <c:pt idx="25">
                        <c:v>44078</c:v>
                      </c:pt>
                      <c:pt idx="26">
                        <c:v>44081</c:v>
                      </c:pt>
                      <c:pt idx="27">
                        <c:v>44082</c:v>
                      </c:pt>
                      <c:pt idx="28">
                        <c:v>44083</c:v>
                      </c:pt>
                      <c:pt idx="29">
                        <c:v>44084</c:v>
                      </c:pt>
                      <c:pt idx="30">
                        <c:v>44085</c:v>
                      </c:pt>
                      <c:pt idx="31">
                        <c:v>44088</c:v>
                      </c:pt>
                      <c:pt idx="32">
                        <c:v>44089</c:v>
                      </c:pt>
                      <c:pt idx="33">
                        <c:v>44090</c:v>
                      </c:pt>
                      <c:pt idx="34">
                        <c:v>44091</c:v>
                      </c:pt>
                      <c:pt idx="35">
                        <c:v>44092</c:v>
                      </c:pt>
                      <c:pt idx="36">
                        <c:v>44095</c:v>
                      </c:pt>
                      <c:pt idx="37">
                        <c:v>44096</c:v>
                      </c:pt>
                      <c:pt idx="38">
                        <c:v>44097</c:v>
                      </c:pt>
                      <c:pt idx="39">
                        <c:v>44098</c:v>
                      </c:pt>
                      <c:pt idx="40">
                        <c:v>44099</c:v>
                      </c:pt>
                      <c:pt idx="41">
                        <c:v>44102</c:v>
                      </c:pt>
                      <c:pt idx="42">
                        <c:v>44103</c:v>
                      </c:pt>
                      <c:pt idx="43">
                        <c:v>44104</c:v>
                      </c:pt>
                      <c:pt idx="44">
                        <c:v>44105</c:v>
                      </c:pt>
                      <c:pt idx="45">
                        <c:v>44106</c:v>
                      </c:pt>
                      <c:pt idx="46">
                        <c:v>44109</c:v>
                      </c:pt>
                      <c:pt idx="47">
                        <c:v>44110</c:v>
                      </c:pt>
                      <c:pt idx="48">
                        <c:v>44111</c:v>
                      </c:pt>
                      <c:pt idx="49">
                        <c:v>44112</c:v>
                      </c:pt>
                      <c:pt idx="50">
                        <c:v>44113</c:v>
                      </c:pt>
                      <c:pt idx="51">
                        <c:v>44116</c:v>
                      </c:pt>
                      <c:pt idx="52">
                        <c:v>44117</c:v>
                      </c:pt>
                      <c:pt idx="53">
                        <c:v>44118</c:v>
                      </c:pt>
                      <c:pt idx="54">
                        <c:v>44119</c:v>
                      </c:pt>
                      <c:pt idx="55">
                        <c:v>44120</c:v>
                      </c:pt>
                      <c:pt idx="56">
                        <c:v>44123</c:v>
                      </c:pt>
                      <c:pt idx="57">
                        <c:v>44124</c:v>
                      </c:pt>
                      <c:pt idx="58">
                        <c:v>44125</c:v>
                      </c:pt>
                      <c:pt idx="59">
                        <c:v>44126</c:v>
                      </c:pt>
                      <c:pt idx="60">
                        <c:v>44127</c:v>
                      </c:pt>
                      <c:pt idx="61">
                        <c:v>44130</c:v>
                      </c:pt>
                      <c:pt idx="62">
                        <c:v>44131</c:v>
                      </c:pt>
                      <c:pt idx="63">
                        <c:v>44132</c:v>
                      </c:pt>
                      <c:pt idx="64">
                        <c:v>44133</c:v>
                      </c:pt>
                      <c:pt idx="65">
                        <c:v>44134</c:v>
                      </c:pt>
                      <c:pt idx="66">
                        <c:v>44137</c:v>
                      </c:pt>
                      <c:pt idx="67">
                        <c:v>44138</c:v>
                      </c:pt>
                      <c:pt idx="68">
                        <c:v>44139</c:v>
                      </c:pt>
                      <c:pt idx="69">
                        <c:v>44140</c:v>
                      </c:pt>
                      <c:pt idx="70">
                        <c:v>44141</c:v>
                      </c:pt>
                      <c:pt idx="71">
                        <c:v>44144</c:v>
                      </c:pt>
                      <c:pt idx="72">
                        <c:v>44145</c:v>
                      </c:pt>
                      <c:pt idx="73">
                        <c:v>44146</c:v>
                      </c:pt>
                      <c:pt idx="74">
                        <c:v>44147</c:v>
                      </c:pt>
                      <c:pt idx="75">
                        <c:v>44148</c:v>
                      </c:pt>
                      <c:pt idx="76">
                        <c:v>44151</c:v>
                      </c:pt>
                      <c:pt idx="77">
                        <c:v>44152</c:v>
                      </c:pt>
                      <c:pt idx="78">
                        <c:v>44153</c:v>
                      </c:pt>
                      <c:pt idx="79">
                        <c:v>44154</c:v>
                      </c:pt>
                      <c:pt idx="80">
                        <c:v>44155</c:v>
                      </c:pt>
                      <c:pt idx="81">
                        <c:v>44158</c:v>
                      </c:pt>
                      <c:pt idx="82">
                        <c:v>44159</c:v>
                      </c:pt>
                      <c:pt idx="83">
                        <c:v>44160</c:v>
                      </c:pt>
                      <c:pt idx="84">
                        <c:v>44161</c:v>
                      </c:pt>
                      <c:pt idx="85">
                        <c:v>44162</c:v>
                      </c:pt>
                      <c:pt idx="86">
                        <c:v>44165</c:v>
                      </c:pt>
                      <c:pt idx="87">
                        <c:v>44166</c:v>
                      </c:pt>
                      <c:pt idx="88">
                        <c:v>44167</c:v>
                      </c:pt>
                      <c:pt idx="89">
                        <c:v>44168</c:v>
                      </c:pt>
                      <c:pt idx="90">
                        <c:v>44169</c:v>
                      </c:pt>
                      <c:pt idx="91">
                        <c:v>44172</c:v>
                      </c:pt>
                      <c:pt idx="92">
                        <c:v>44173</c:v>
                      </c:pt>
                      <c:pt idx="93">
                        <c:v>44174</c:v>
                      </c:pt>
                      <c:pt idx="94">
                        <c:v>44175</c:v>
                      </c:pt>
                      <c:pt idx="95">
                        <c:v>44176</c:v>
                      </c:pt>
                      <c:pt idx="96">
                        <c:v>44179</c:v>
                      </c:pt>
                      <c:pt idx="97">
                        <c:v>44180</c:v>
                      </c:pt>
                      <c:pt idx="98">
                        <c:v>44181</c:v>
                      </c:pt>
                      <c:pt idx="99">
                        <c:v>44182</c:v>
                      </c:pt>
                      <c:pt idx="100">
                        <c:v>44183</c:v>
                      </c:pt>
                      <c:pt idx="101">
                        <c:v>44186</c:v>
                      </c:pt>
                      <c:pt idx="102">
                        <c:v>44187</c:v>
                      </c:pt>
                      <c:pt idx="103">
                        <c:v>44188</c:v>
                      </c:pt>
                      <c:pt idx="104">
                        <c:v>44189</c:v>
                      </c:pt>
                      <c:pt idx="105">
                        <c:v>44190</c:v>
                      </c:pt>
                      <c:pt idx="106">
                        <c:v>44193</c:v>
                      </c:pt>
                      <c:pt idx="107">
                        <c:v>44194</c:v>
                      </c:pt>
                      <c:pt idx="108">
                        <c:v>44195</c:v>
                      </c:pt>
                      <c:pt idx="109">
                        <c:v>44196</c:v>
                      </c:pt>
                      <c:pt idx="110">
                        <c:v>44197</c:v>
                      </c:pt>
                      <c:pt idx="111">
                        <c:v>44200</c:v>
                      </c:pt>
                      <c:pt idx="112">
                        <c:v>44201</c:v>
                      </c:pt>
                      <c:pt idx="113">
                        <c:v>44202</c:v>
                      </c:pt>
                      <c:pt idx="114">
                        <c:v>44203</c:v>
                      </c:pt>
                      <c:pt idx="115">
                        <c:v>44204</c:v>
                      </c:pt>
                      <c:pt idx="116">
                        <c:v>44207</c:v>
                      </c:pt>
                      <c:pt idx="117">
                        <c:v>44208</c:v>
                      </c:pt>
                      <c:pt idx="118">
                        <c:v>44209</c:v>
                      </c:pt>
                      <c:pt idx="119">
                        <c:v>44210</c:v>
                      </c:pt>
                      <c:pt idx="120">
                        <c:v>44211</c:v>
                      </c:pt>
                      <c:pt idx="121">
                        <c:v>44214</c:v>
                      </c:pt>
                      <c:pt idx="122">
                        <c:v>44215</c:v>
                      </c:pt>
                      <c:pt idx="123">
                        <c:v>44216</c:v>
                      </c:pt>
                      <c:pt idx="124">
                        <c:v>44217</c:v>
                      </c:pt>
                      <c:pt idx="125">
                        <c:v>44218</c:v>
                      </c:pt>
                      <c:pt idx="126">
                        <c:v>44221</c:v>
                      </c:pt>
                      <c:pt idx="127">
                        <c:v>44222</c:v>
                      </c:pt>
                      <c:pt idx="128">
                        <c:v>44223</c:v>
                      </c:pt>
                      <c:pt idx="129">
                        <c:v>44224</c:v>
                      </c:pt>
                      <c:pt idx="130">
                        <c:v>44225</c:v>
                      </c:pt>
                      <c:pt idx="131">
                        <c:v>44228</c:v>
                      </c:pt>
                      <c:pt idx="132">
                        <c:v>44229</c:v>
                      </c:pt>
                      <c:pt idx="133">
                        <c:v>44230</c:v>
                      </c:pt>
                      <c:pt idx="134">
                        <c:v>44231</c:v>
                      </c:pt>
                      <c:pt idx="135">
                        <c:v>44232</c:v>
                      </c:pt>
                      <c:pt idx="136">
                        <c:v>44235</c:v>
                      </c:pt>
                      <c:pt idx="137">
                        <c:v>44236</c:v>
                      </c:pt>
                      <c:pt idx="138">
                        <c:v>44237</c:v>
                      </c:pt>
                      <c:pt idx="139">
                        <c:v>44238</c:v>
                      </c:pt>
                      <c:pt idx="140">
                        <c:v>44239</c:v>
                      </c:pt>
                      <c:pt idx="141">
                        <c:v>44242</c:v>
                      </c:pt>
                      <c:pt idx="142">
                        <c:v>44243</c:v>
                      </c:pt>
                      <c:pt idx="143">
                        <c:v>44244</c:v>
                      </c:pt>
                      <c:pt idx="144">
                        <c:v>44245</c:v>
                      </c:pt>
                      <c:pt idx="145">
                        <c:v>44246</c:v>
                      </c:pt>
                      <c:pt idx="146">
                        <c:v>44247</c:v>
                      </c:pt>
                      <c:pt idx="147">
                        <c:v>44249</c:v>
                      </c:pt>
                      <c:pt idx="148">
                        <c:v>44250</c:v>
                      </c:pt>
                      <c:pt idx="149">
                        <c:v>44251</c:v>
                      </c:pt>
                      <c:pt idx="150">
                        <c:v>44252</c:v>
                      </c:pt>
                      <c:pt idx="151">
                        <c:v>44253</c:v>
                      </c:pt>
                      <c:pt idx="152">
                        <c:v>44256</c:v>
                      </c:pt>
                      <c:pt idx="153">
                        <c:v>44257</c:v>
                      </c:pt>
                      <c:pt idx="154">
                        <c:v>44258</c:v>
                      </c:pt>
                      <c:pt idx="155">
                        <c:v>44259</c:v>
                      </c:pt>
                      <c:pt idx="156">
                        <c:v>44260</c:v>
                      </c:pt>
                      <c:pt idx="157">
                        <c:v>44263</c:v>
                      </c:pt>
                      <c:pt idx="158">
                        <c:v>44264</c:v>
                      </c:pt>
                      <c:pt idx="159">
                        <c:v>44265</c:v>
                      </c:pt>
                      <c:pt idx="160">
                        <c:v>44266</c:v>
                      </c:pt>
                      <c:pt idx="161">
                        <c:v>44267</c:v>
                      </c:pt>
                      <c:pt idx="162">
                        <c:v>44270</c:v>
                      </c:pt>
                      <c:pt idx="163">
                        <c:v>44271</c:v>
                      </c:pt>
                      <c:pt idx="164">
                        <c:v>44272</c:v>
                      </c:pt>
                      <c:pt idx="165">
                        <c:v>44273</c:v>
                      </c:pt>
                      <c:pt idx="166">
                        <c:v>44274</c:v>
                      </c:pt>
                      <c:pt idx="167">
                        <c:v>44277</c:v>
                      </c:pt>
                      <c:pt idx="168">
                        <c:v>44278</c:v>
                      </c:pt>
                      <c:pt idx="169">
                        <c:v>44279</c:v>
                      </c:pt>
                      <c:pt idx="170">
                        <c:v>44280</c:v>
                      </c:pt>
                      <c:pt idx="171">
                        <c:v>44281</c:v>
                      </c:pt>
                      <c:pt idx="172">
                        <c:v>44284</c:v>
                      </c:pt>
                      <c:pt idx="173">
                        <c:v>44285</c:v>
                      </c:pt>
                      <c:pt idx="174">
                        <c:v>44286</c:v>
                      </c:pt>
                      <c:pt idx="175">
                        <c:v>44287</c:v>
                      </c:pt>
                      <c:pt idx="176">
                        <c:v>44288</c:v>
                      </c:pt>
                      <c:pt idx="177">
                        <c:v>44291</c:v>
                      </c:pt>
                      <c:pt idx="178">
                        <c:v>44292</c:v>
                      </c:pt>
                      <c:pt idx="179">
                        <c:v>44293</c:v>
                      </c:pt>
                      <c:pt idx="180">
                        <c:v>44294</c:v>
                      </c:pt>
                      <c:pt idx="181">
                        <c:v>44295</c:v>
                      </c:pt>
                      <c:pt idx="182">
                        <c:v>44298</c:v>
                      </c:pt>
                      <c:pt idx="183">
                        <c:v>44299</c:v>
                      </c:pt>
                      <c:pt idx="184">
                        <c:v>44300</c:v>
                      </c:pt>
                      <c:pt idx="185">
                        <c:v>44301</c:v>
                      </c:pt>
                      <c:pt idx="186">
                        <c:v>44302</c:v>
                      </c:pt>
                      <c:pt idx="187">
                        <c:v>44305</c:v>
                      </c:pt>
                      <c:pt idx="188">
                        <c:v>44306</c:v>
                      </c:pt>
                      <c:pt idx="189">
                        <c:v>44307</c:v>
                      </c:pt>
                      <c:pt idx="190">
                        <c:v>44308</c:v>
                      </c:pt>
                      <c:pt idx="191">
                        <c:v>44309</c:v>
                      </c:pt>
                      <c:pt idx="192">
                        <c:v>44311</c:v>
                      </c:pt>
                      <c:pt idx="193">
                        <c:v>44312</c:v>
                      </c:pt>
                      <c:pt idx="194">
                        <c:v>44313</c:v>
                      </c:pt>
                      <c:pt idx="195">
                        <c:v>44314</c:v>
                      </c:pt>
                      <c:pt idx="196">
                        <c:v>44315</c:v>
                      </c:pt>
                      <c:pt idx="197">
                        <c:v>44316</c:v>
                      </c:pt>
                      <c:pt idx="198">
                        <c:v>44319</c:v>
                      </c:pt>
                      <c:pt idx="199">
                        <c:v>44320</c:v>
                      </c:pt>
                      <c:pt idx="200">
                        <c:v>44321</c:v>
                      </c:pt>
                      <c:pt idx="201">
                        <c:v>44322</c:v>
                      </c:pt>
                      <c:pt idx="202">
                        <c:v>44323</c:v>
                      </c:pt>
                      <c:pt idx="203">
                        <c:v>44326</c:v>
                      </c:pt>
                      <c:pt idx="204">
                        <c:v>44327</c:v>
                      </c:pt>
                      <c:pt idx="205">
                        <c:v>44328</c:v>
                      </c:pt>
                      <c:pt idx="206">
                        <c:v>44329</c:v>
                      </c:pt>
                      <c:pt idx="207">
                        <c:v>44330</c:v>
                      </c:pt>
                      <c:pt idx="208">
                        <c:v>44333</c:v>
                      </c:pt>
                      <c:pt idx="209">
                        <c:v>44334</c:v>
                      </c:pt>
                      <c:pt idx="210">
                        <c:v>44335</c:v>
                      </c:pt>
                      <c:pt idx="211">
                        <c:v>44336</c:v>
                      </c:pt>
                      <c:pt idx="212">
                        <c:v>44337</c:v>
                      </c:pt>
                      <c:pt idx="213">
                        <c:v>44340</c:v>
                      </c:pt>
                      <c:pt idx="214">
                        <c:v>44341</c:v>
                      </c:pt>
                      <c:pt idx="215">
                        <c:v>44342</c:v>
                      </c:pt>
                      <c:pt idx="216">
                        <c:v>44343</c:v>
                      </c:pt>
                      <c:pt idx="217">
                        <c:v>44344</c:v>
                      </c:pt>
                      <c:pt idx="218">
                        <c:v>44347</c:v>
                      </c:pt>
                      <c:pt idx="219">
                        <c:v>44348</c:v>
                      </c:pt>
                      <c:pt idx="220">
                        <c:v>44349</c:v>
                      </c:pt>
                      <c:pt idx="221">
                        <c:v>44350</c:v>
                      </c:pt>
                      <c:pt idx="222">
                        <c:v>44351</c:v>
                      </c:pt>
                      <c:pt idx="223">
                        <c:v>44354</c:v>
                      </c:pt>
                      <c:pt idx="224">
                        <c:v>44355</c:v>
                      </c:pt>
                      <c:pt idx="225">
                        <c:v>44356</c:v>
                      </c:pt>
                      <c:pt idx="226">
                        <c:v>44357</c:v>
                      </c:pt>
                      <c:pt idx="227">
                        <c:v>44358</c:v>
                      </c:pt>
                      <c:pt idx="228">
                        <c:v>44361</c:v>
                      </c:pt>
                      <c:pt idx="229">
                        <c:v>44362</c:v>
                      </c:pt>
                      <c:pt idx="230">
                        <c:v>44363</c:v>
                      </c:pt>
                      <c:pt idx="231">
                        <c:v>44364</c:v>
                      </c:pt>
                      <c:pt idx="232">
                        <c:v>44365</c:v>
                      </c:pt>
                      <c:pt idx="233">
                        <c:v>44368</c:v>
                      </c:pt>
                      <c:pt idx="234">
                        <c:v>44369</c:v>
                      </c:pt>
                      <c:pt idx="235">
                        <c:v>44370</c:v>
                      </c:pt>
                      <c:pt idx="236">
                        <c:v>44371</c:v>
                      </c:pt>
                      <c:pt idx="237">
                        <c:v>44372</c:v>
                      </c:pt>
                      <c:pt idx="238">
                        <c:v>44375</c:v>
                      </c:pt>
                      <c:pt idx="239">
                        <c:v>44376</c:v>
                      </c:pt>
                      <c:pt idx="240">
                        <c:v>44377</c:v>
                      </c:pt>
                      <c:pt idx="241">
                        <c:v>44378</c:v>
                      </c:pt>
                      <c:pt idx="242">
                        <c:v>44379</c:v>
                      </c:pt>
                      <c:pt idx="243">
                        <c:v>44382</c:v>
                      </c:pt>
                      <c:pt idx="244">
                        <c:v>44383</c:v>
                      </c:pt>
                      <c:pt idx="245">
                        <c:v>44384</c:v>
                      </c:pt>
                      <c:pt idx="246">
                        <c:v>44385</c:v>
                      </c:pt>
                      <c:pt idx="247">
                        <c:v>44386</c:v>
                      </c:pt>
                      <c:pt idx="248">
                        <c:v>44389</c:v>
                      </c:pt>
                      <c:pt idx="249">
                        <c:v>44390</c:v>
                      </c:pt>
                      <c:pt idx="250">
                        <c:v>44391</c:v>
                      </c:pt>
                      <c:pt idx="251">
                        <c:v>44392</c:v>
                      </c:pt>
                      <c:pt idx="252">
                        <c:v>44393</c:v>
                      </c:pt>
                      <c:pt idx="253">
                        <c:v>44396</c:v>
                      </c:pt>
                      <c:pt idx="254">
                        <c:v>44397</c:v>
                      </c:pt>
                      <c:pt idx="255">
                        <c:v>44398</c:v>
                      </c:pt>
                      <c:pt idx="256">
                        <c:v>44399</c:v>
                      </c:pt>
                      <c:pt idx="257">
                        <c:v>44400</c:v>
                      </c:pt>
                      <c:pt idx="258">
                        <c:v>44403</c:v>
                      </c:pt>
                      <c:pt idx="259">
                        <c:v>44404</c:v>
                      </c:pt>
                      <c:pt idx="260">
                        <c:v>44405</c:v>
                      </c:pt>
                      <c:pt idx="261">
                        <c:v>44406</c:v>
                      </c:pt>
                      <c:pt idx="262">
                        <c:v>44407</c:v>
                      </c:pt>
                      <c:pt idx="263">
                        <c:v>44410</c:v>
                      </c:pt>
                      <c:pt idx="264">
                        <c:v>44411</c:v>
                      </c:pt>
                      <c:pt idx="265">
                        <c:v>44412</c:v>
                      </c:pt>
                      <c:pt idx="266">
                        <c:v>44413</c:v>
                      </c:pt>
                      <c:pt idx="267">
                        <c:v>44414</c:v>
                      </c:pt>
                      <c:pt idx="268">
                        <c:v>44417</c:v>
                      </c:pt>
                      <c:pt idx="269">
                        <c:v>44418</c:v>
                      </c:pt>
                      <c:pt idx="270">
                        <c:v>44419</c:v>
                      </c:pt>
                      <c:pt idx="271">
                        <c:v>44420</c:v>
                      </c:pt>
                      <c:pt idx="272">
                        <c:v>44421</c:v>
                      </c:pt>
                      <c:pt idx="273">
                        <c:v>44424</c:v>
                      </c:pt>
                      <c:pt idx="274">
                        <c:v>44425</c:v>
                      </c:pt>
                      <c:pt idx="275">
                        <c:v>44426</c:v>
                      </c:pt>
                      <c:pt idx="276">
                        <c:v>44427</c:v>
                      </c:pt>
                      <c:pt idx="277">
                        <c:v>44428</c:v>
                      </c:pt>
                      <c:pt idx="278">
                        <c:v>44431</c:v>
                      </c:pt>
                      <c:pt idx="279">
                        <c:v>44432</c:v>
                      </c:pt>
                      <c:pt idx="280">
                        <c:v>44433</c:v>
                      </c:pt>
                      <c:pt idx="281">
                        <c:v>44434</c:v>
                      </c:pt>
                      <c:pt idx="282">
                        <c:v>44435</c:v>
                      </c:pt>
                      <c:pt idx="283">
                        <c:v>44438</c:v>
                      </c:pt>
                      <c:pt idx="284">
                        <c:v>44439</c:v>
                      </c:pt>
                    </c:numCache>
                  </c:numRef>
                </c:cat>
                <c:val>
                  <c:numRef>
                    <c:extLst xmlns:c15="http://schemas.microsoft.com/office/drawing/2012/chart">
                      <c:ext xmlns:c15="http://schemas.microsoft.com/office/drawing/2012/chart" uri="{02D57815-91ED-43cb-92C2-25804820EDAC}">
                        <c15:formulaRef>
                          <c15:sqref>'[2021 09 GMR NEW.XLSX]Currency Chart'!$W$6:$W$290</c15:sqref>
                        </c15:formulaRef>
                      </c:ext>
                    </c:extLst>
                    <c:numCache>
                      <c:formatCode>0</c:formatCode>
                      <c:ptCount val="285"/>
                      <c:pt idx="0" formatCode="General">
                        <c:v>100</c:v>
                      </c:pt>
                      <c:pt idx="1">
                        <c:v>100.14137606032045</c:v>
                      </c:pt>
                      <c:pt idx="2">
                        <c:v>99.799717247879357</c:v>
                      </c:pt>
                      <c:pt idx="3">
                        <c:v>99.293119698397732</c:v>
                      </c:pt>
                      <c:pt idx="4">
                        <c:v>99.187087653157391</c:v>
                      </c:pt>
                      <c:pt idx="5">
                        <c:v>99.929311969839759</c:v>
                      </c:pt>
                      <c:pt idx="6">
                        <c:v>100.35344015080111</c:v>
                      </c:pt>
                      <c:pt idx="7">
                        <c:v>100.34165881244107</c:v>
                      </c:pt>
                      <c:pt idx="8">
                        <c:v>99.964655984919872</c:v>
                      </c:pt>
                      <c:pt idx="9">
                        <c:v>99.705466540999041</c:v>
                      </c:pt>
                      <c:pt idx="10">
                        <c:v>99.469839773798284</c:v>
                      </c:pt>
                      <c:pt idx="11">
                        <c:v>99.245994344957566</c:v>
                      </c:pt>
                      <c:pt idx="12">
                        <c:v>98.739396795475926</c:v>
                      </c:pt>
                      <c:pt idx="13">
                        <c:v>99.516965127238421</c:v>
                      </c:pt>
                      <c:pt idx="14">
                        <c:v>99.316682375117779</c:v>
                      </c:pt>
                      <c:pt idx="15">
                        <c:v>99.846842601319494</c:v>
                      </c:pt>
                      <c:pt idx="16">
                        <c:v>99.929311969839745</c:v>
                      </c:pt>
                      <c:pt idx="17">
                        <c:v>99.540527803958511</c:v>
                      </c:pt>
                      <c:pt idx="18">
                        <c:v>99.575871819038611</c:v>
                      </c:pt>
                      <c:pt idx="19">
                        <c:v>99.646559849198837</c:v>
                      </c:pt>
                      <c:pt idx="20">
                        <c:v>98.939679547596569</c:v>
                      </c:pt>
                      <c:pt idx="21">
                        <c:v>98.692271442035775</c:v>
                      </c:pt>
                      <c:pt idx="22">
                        <c:v>98.88077285579638</c:v>
                      </c:pt>
                      <c:pt idx="23">
                        <c:v>99.363807728557916</c:v>
                      </c:pt>
                      <c:pt idx="24">
                        <c:v>99.399151743638029</c:v>
                      </c:pt>
                      <c:pt idx="25">
                        <c:v>99.493402450518332</c:v>
                      </c:pt>
                      <c:pt idx="26">
                        <c:v>99.681903864278922</c:v>
                      </c:pt>
                      <c:pt idx="27">
                        <c:v>100.02356267672002</c:v>
                      </c:pt>
                      <c:pt idx="28">
                        <c:v>99.811498586239338</c:v>
                      </c:pt>
                      <c:pt idx="29">
                        <c:v>99.69368520263896</c:v>
                      </c:pt>
                      <c:pt idx="30">
                        <c:v>99.434495758718128</c:v>
                      </c:pt>
                      <c:pt idx="31">
                        <c:v>99.257775683317561</c:v>
                      </c:pt>
                      <c:pt idx="32">
                        <c:v>99.434495758718114</c:v>
                      </c:pt>
                      <c:pt idx="33">
                        <c:v>99.693685202638946</c:v>
                      </c:pt>
                      <c:pt idx="34">
                        <c:v>99.422714420358091</c:v>
                      </c:pt>
                      <c:pt idx="35">
                        <c:v>99.493402450518317</c:v>
                      </c:pt>
                      <c:pt idx="36">
                        <c:v>100.07068803016017</c:v>
                      </c:pt>
                      <c:pt idx="37">
                        <c:v>100.61262959472189</c:v>
                      </c:pt>
                      <c:pt idx="38">
                        <c:v>101.01319509896318</c:v>
                      </c:pt>
                      <c:pt idx="39">
                        <c:v>100.90716305372284</c:v>
                      </c:pt>
                      <c:pt idx="40">
                        <c:v>101.26060320452396</c:v>
                      </c:pt>
                      <c:pt idx="41">
                        <c:v>100.96606974552301</c:v>
                      </c:pt>
                      <c:pt idx="42">
                        <c:v>100.30631479736091</c:v>
                      </c:pt>
                      <c:pt idx="43">
                        <c:v>100.50659754948155</c:v>
                      </c:pt>
                      <c:pt idx="44">
                        <c:v>100.25918944392076</c:v>
                      </c:pt>
                      <c:pt idx="45">
                        <c:v>100.54194156456167</c:v>
                      </c:pt>
                      <c:pt idx="46">
                        <c:v>99.964655984919816</c:v>
                      </c:pt>
                      <c:pt idx="47">
                        <c:v>100.38878416588116</c:v>
                      </c:pt>
                      <c:pt idx="48">
                        <c:v>100.15315739868041</c:v>
                      </c:pt>
                      <c:pt idx="49">
                        <c:v>100.17672007540048</c:v>
                      </c:pt>
                      <c:pt idx="50">
                        <c:v>99.611215834118681</c:v>
                      </c:pt>
                      <c:pt idx="51">
                        <c:v>99.717247879359036</c:v>
                      </c:pt>
                      <c:pt idx="52">
                        <c:v>100.28275212064082</c:v>
                      </c:pt>
                      <c:pt idx="53">
                        <c:v>100.28275212064082</c:v>
                      </c:pt>
                      <c:pt idx="54">
                        <c:v>100.61262959472188</c:v>
                      </c:pt>
                      <c:pt idx="55">
                        <c:v>100.51837888784158</c:v>
                      </c:pt>
                      <c:pt idx="56">
                        <c:v>100.11781338360031</c:v>
                      </c:pt>
                      <c:pt idx="57">
                        <c:v>99.634778510838757</c:v>
                      </c:pt>
                      <c:pt idx="58">
                        <c:v>99.316682375117736</c:v>
                      </c:pt>
                      <c:pt idx="59">
                        <c:v>99.67012252591887</c:v>
                      </c:pt>
                      <c:pt idx="60">
                        <c:v>99.31668237511775</c:v>
                      </c:pt>
                      <c:pt idx="61">
                        <c:v>99.752591894439149</c:v>
                      </c:pt>
                      <c:pt idx="62">
                        <c:v>99.870405278039541</c:v>
                      </c:pt>
                      <c:pt idx="63">
                        <c:v>100.30631479736094</c:v>
                      </c:pt>
                      <c:pt idx="64">
                        <c:v>100.90716305372287</c:v>
                      </c:pt>
                      <c:pt idx="65">
                        <c:v>101.11922714420355</c:v>
                      </c:pt>
                      <c:pt idx="66">
                        <c:v>101.18991517436378</c:v>
                      </c:pt>
                      <c:pt idx="67">
                        <c:v>100.54194156456171</c:v>
                      </c:pt>
                      <c:pt idx="68">
                        <c:v>100.45947219604145</c:v>
                      </c:pt>
                      <c:pt idx="69">
                        <c:v>99.5994344957587</c:v>
                      </c:pt>
                      <c:pt idx="70">
                        <c:v>99.198868991517415</c:v>
                      </c:pt>
                      <c:pt idx="71">
                        <c:v>99.717247879359064</c:v>
                      </c:pt>
                      <c:pt idx="72">
                        <c:v>99.693685202638974</c:v>
                      </c:pt>
                      <c:pt idx="73">
                        <c:v>100.02356267672003</c:v>
                      </c:pt>
                      <c:pt idx="74">
                        <c:v>99.776154571159239</c:v>
                      </c:pt>
                      <c:pt idx="75">
                        <c:v>99.540527803958483</c:v>
                      </c:pt>
                      <c:pt idx="76">
                        <c:v>99.375589066917954</c:v>
                      </c:pt>
                      <c:pt idx="77">
                        <c:v>99.293119698397689</c:v>
                      </c:pt>
                      <c:pt idx="78">
                        <c:v>99.375589066917954</c:v>
                      </c:pt>
                      <c:pt idx="79">
                        <c:v>99.198868991517372</c:v>
                      </c:pt>
                      <c:pt idx="80">
                        <c:v>99.363807728557902</c:v>
                      </c:pt>
                      <c:pt idx="81">
                        <c:v>99.493402450518317</c:v>
                      </c:pt>
                      <c:pt idx="82">
                        <c:v>99.057492931196919</c:v>
                      </c:pt>
                      <c:pt idx="83">
                        <c:v>98.868991517436299</c:v>
                      </c:pt>
                      <c:pt idx="84">
                        <c:v>98.868991517436299</c:v>
                      </c:pt>
                      <c:pt idx="85">
                        <c:v>98.468426013195028</c:v>
                      </c:pt>
                      <c:pt idx="86">
                        <c:v>98.739396795475884</c:v>
                      </c:pt>
                      <c:pt idx="87">
                        <c:v>97.596606974552245</c:v>
                      </c:pt>
                      <c:pt idx="88">
                        <c:v>97.231385485391087</c:v>
                      </c:pt>
                      <c:pt idx="89">
                        <c:v>97.007540056550368</c:v>
                      </c:pt>
                      <c:pt idx="90">
                        <c:v>97.172478793590884</c:v>
                      </c:pt>
                      <c:pt idx="91">
                        <c:v>97.278510838831224</c:v>
                      </c:pt>
                      <c:pt idx="92">
                        <c:v>97.325636192271361</c:v>
                      </c:pt>
                      <c:pt idx="93">
                        <c:v>97.502356267671928</c:v>
                      </c:pt>
                      <c:pt idx="94">
                        <c:v>97.042884071630453</c:v>
                      </c:pt>
                      <c:pt idx="95">
                        <c:v>97.243166823751096</c:v>
                      </c:pt>
                      <c:pt idx="96">
                        <c:v>96.995758718190316</c:v>
                      </c:pt>
                      <c:pt idx="97">
                        <c:v>96.92507068803009</c:v>
                      </c:pt>
                      <c:pt idx="98">
                        <c:v>96.559849198868918</c:v>
                      </c:pt>
                      <c:pt idx="99">
                        <c:v>96.017907634307178</c:v>
                      </c:pt>
                      <c:pt idx="100">
                        <c:v>96.100377002827457</c:v>
                      </c:pt>
                      <c:pt idx="101">
                        <c:v>96.218190386427835</c:v>
                      </c:pt>
                      <c:pt idx="102">
                        <c:v>96.842601319509839</c:v>
                      </c:pt>
                      <c:pt idx="103">
                        <c:v>96.654099905749248</c:v>
                      </c:pt>
                      <c:pt idx="104">
                        <c:v>96.665881244109272</c:v>
                      </c:pt>
                      <c:pt idx="105">
                        <c:v>96.500942507068743</c:v>
                      </c:pt>
                      <c:pt idx="106">
                        <c:v>96.418473138548478</c:v>
                      </c:pt>
                      <c:pt idx="107">
                        <c:v>96.171065032987684</c:v>
                      </c:pt>
                      <c:pt idx="108">
                        <c:v>95.794062205466474</c:v>
                      </c:pt>
                      <c:pt idx="109">
                        <c:v>96.430254476908502</c:v>
                      </c:pt>
                      <c:pt idx="110">
                        <c:v>97.042884071630453</c:v>
                      </c:pt>
                      <c:pt idx="111">
                        <c:v>96.159283694627632</c:v>
                      </c:pt>
                      <c:pt idx="112">
                        <c:v>95.782280867106422</c:v>
                      </c:pt>
                      <c:pt idx="113">
                        <c:v>95.558435438265718</c:v>
                      </c:pt>
                      <c:pt idx="114">
                        <c:v>95.982563619227065</c:v>
                      </c:pt>
                      <c:pt idx="115">
                        <c:v>96.406691800188426</c:v>
                      </c:pt>
                      <c:pt idx="116">
                        <c:v>96.936852026390127</c:v>
                      </c:pt>
                      <c:pt idx="117">
                        <c:v>96.500942507068743</c:v>
                      </c:pt>
                      <c:pt idx="118">
                        <c:v>96.901508011310028</c:v>
                      </c:pt>
                      <c:pt idx="119">
                        <c:v>96.88972667294999</c:v>
                      </c:pt>
                      <c:pt idx="120">
                        <c:v>97.51413760603198</c:v>
                      </c:pt>
                      <c:pt idx="121">
                        <c:v>97.525918944392018</c:v>
                      </c:pt>
                      <c:pt idx="122">
                        <c:v>97.125353440150732</c:v>
                      </c:pt>
                      <c:pt idx="123">
                        <c:v>97.302073515551285</c:v>
                      </c:pt>
                      <c:pt idx="124">
                        <c:v>96.842601319509811</c:v>
                      </c:pt>
                      <c:pt idx="125">
                        <c:v>96.819038642789735</c:v>
                      </c:pt>
                      <c:pt idx="126">
                        <c:v>97.042884071630468</c:v>
                      </c:pt>
                      <c:pt idx="127">
                        <c:v>96.866163996229915</c:v>
                      </c:pt>
                      <c:pt idx="128">
                        <c:v>97.266729500471186</c:v>
                      </c:pt>
                      <c:pt idx="129">
                        <c:v>97.160697455230846</c:v>
                      </c:pt>
                      <c:pt idx="130">
                        <c:v>97.066446748350543</c:v>
                      </c:pt>
                      <c:pt idx="131">
                        <c:v>97.679076343072509</c:v>
                      </c:pt>
                      <c:pt idx="132">
                        <c:v>97.808671065032939</c:v>
                      </c:pt>
                      <c:pt idx="133">
                        <c:v>97.902921771913242</c:v>
                      </c:pt>
                      <c:pt idx="134">
                        <c:v>98.48020735155508</c:v>
                      </c:pt>
                      <c:pt idx="135">
                        <c:v>97.808671065032939</c:v>
                      </c:pt>
                      <c:pt idx="136">
                        <c:v>97.773327049952812</c:v>
                      </c:pt>
                      <c:pt idx="137">
                        <c:v>97.196041470310959</c:v>
                      </c:pt>
                      <c:pt idx="138">
                        <c:v>97.207822808670997</c:v>
                      </c:pt>
                      <c:pt idx="139">
                        <c:v>97.113572101790695</c:v>
                      </c:pt>
                      <c:pt idx="140">
                        <c:v>97.184260131950907</c:v>
                      </c:pt>
                      <c:pt idx="141">
                        <c:v>97.113572101790695</c:v>
                      </c:pt>
                      <c:pt idx="142">
                        <c:v>97.290292177191262</c:v>
                      </c:pt>
                      <c:pt idx="143">
                        <c:v>97.855796418473076</c:v>
                      </c:pt>
                      <c:pt idx="144">
                        <c:v>97.431668237511715</c:v>
                      </c:pt>
                      <c:pt idx="145">
                        <c:v>97.196041470310959</c:v>
                      </c:pt>
                      <c:pt idx="146">
                        <c:v>97.196041470310959</c:v>
                      </c:pt>
                      <c:pt idx="147">
                        <c:v>96.901508011310028</c:v>
                      </c:pt>
                      <c:pt idx="148">
                        <c:v>96.960414703110217</c:v>
                      </c:pt>
                      <c:pt idx="149">
                        <c:v>96.842601319509839</c:v>
                      </c:pt>
                      <c:pt idx="150">
                        <c:v>96.736569274269513</c:v>
                      </c:pt>
                      <c:pt idx="151">
                        <c:v>97.549481621112108</c:v>
                      </c:pt>
                      <c:pt idx="152">
                        <c:v>97.761545711592802</c:v>
                      </c:pt>
                      <c:pt idx="153">
                        <c:v>97.419886899151706</c:v>
                      </c:pt>
                      <c:pt idx="154">
                        <c:v>97.643732327992439</c:v>
                      </c:pt>
                      <c:pt idx="155">
                        <c:v>98.421300659754934</c:v>
                      </c:pt>
                      <c:pt idx="156">
                        <c:v>98.845428840716281</c:v>
                      </c:pt>
                      <c:pt idx="157">
                        <c:v>99.446277097078195</c:v>
                      </c:pt>
                      <c:pt idx="158">
                        <c:v>98.98680490103672</c:v>
                      </c:pt>
                      <c:pt idx="159">
                        <c:v>98.762959472196016</c:v>
                      </c:pt>
                      <c:pt idx="160">
                        <c:v>98.27992459943448</c:v>
                      </c:pt>
                      <c:pt idx="161">
                        <c:v>98.539114043355298</c:v>
                      </c:pt>
                      <c:pt idx="162">
                        <c:v>98.739396795475926</c:v>
                      </c:pt>
                      <c:pt idx="163">
                        <c:v>98.975023562676668</c:v>
                      </c:pt>
                      <c:pt idx="164">
                        <c:v>98.338831291234641</c:v>
                      </c:pt>
                      <c:pt idx="165">
                        <c:v>98.868991517436342</c:v>
                      </c:pt>
                      <c:pt idx="166">
                        <c:v>98.963242224316645</c:v>
                      </c:pt>
                      <c:pt idx="167">
                        <c:v>98.692271442035775</c:v>
                      </c:pt>
                      <c:pt idx="168">
                        <c:v>99.399151743638029</c:v>
                      </c:pt>
                      <c:pt idx="169">
                        <c:v>99.729029217719088</c:v>
                      </c:pt>
                      <c:pt idx="170">
                        <c:v>100.1413760603204</c:v>
                      </c:pt>
                      <c:pt idx="171">
                        <c:v>99.882186616399565</c:v>
                      </c:pt>
                      <c:pt idx="172">
                        <c:v>100.12959472196036</c:v>
                      </c:pt>
                      <c:pt idx="173">
                        <c:v>100.54194156456168</c:v>
                      </c:pt>
                      <c:pt idx="174">
                        <c:v>100.4241281809613</c:v>
                      </c:pt>
                      <c:pt idx="175">
                        <c:v>100.02356267672002</c:v>
                      </c:pt>
                      <c:pt idx="176">
                        <c:v>100.12959472196036</c:v>
                      </c:pt>
                      <c:pt idx="177">
                        <c:v>99.717247879359036</c:v>
                      </c:pt>
                      <c:pt idx="178">
                        <c:v>99.187087653157334</c:v>
                      </c:pt>
                      <c:pt idx="179">
                        <c:v>99.222431668237448</c:v>
                      </c:pt>
                      <c:pt idx="180">
                        <c:v>98.880772855796366</c:v>
                      </c:pt>
                      <c:pt idx="181">
                        <c:v>98.96324222431663</c:v>
                      </c:pt>
                      <c:pt idx="182">
                        <c:v>98.892554194156403</c:v>
                      </c:pt>
                      <c:pt idx="183">
                        <c:v>98.58623939679542</c:v>
                      </c:pt>
                      <c:pt idx="184">
                        <c:v>98.327049952874589</c:v>
                      </c:pt>
                      <c:pt idx="185">
                        <c:v>98.433081998114929</c:v>
                      </c:pt>
                      <c:pt idx="186">
                        <c:v>98.279924599434437</c:v>
                      </c:pt>
                      <c:pt idx="187">
                        <c:v>97.879359095193152</c:v>
                      </c:pt>
                      <c:pt idx="188">
                        <c:v>97.879359095193152</c:v>
                      </c:pt>
                      <c:pt idx="189">
                        <c:v>97.879359095193152</c:v>
                      </c:pt>
                      <c:pt idx="190">
                        <c:v>98.044297832233681</c:v>
                      </c:pt>
                      <c:pt idx="191">
                        <c:v>97.360980207351489</c:v>
                      </c:pt>
                      <c:pt idx="192">
                        <c:v>97.360980207351489</c:v>
                      </c:pt>
                      <c:pt idx="193">
                        <c:v>97.502356267671942</c:v>
                      </c:pt>
                      <c:pt idx="194">
                        <c:v>97.419886899151678</c:v>
                      </c:pt>
                      <c:pt idx="195">
                        <c:v>97.148916116870822</c:v>
                      </c:pt>
                      <c:pt idx="196">
                        <c:v>97.184260131950921</c:v>
                      </c:pt>
                      <c:pt idx="197">
                        <c:v>97.997172478793516</c:v>
                      </c:pt>
                      <c:pt idx="198">
                        <c:v>97.643732327992396</c:v>
                      </c:pt>
                      <c:pt idx="199">
                        <c:v>98.044297832233681</c:v>
                      </c:pt>
                      <c:pt idx="200">
                        <c:v>98.114985862393908</c:v>
                      </c:pt>
                      <c:pt idx="201">
                        <c:v>97.62016965127232</c:v>
                      </c:pt>
                      <c:pt idx="202">
                        <c:v>96.842601319509825</c:v>
                      </c:pt>
                      <c:pt idx="203">
                        <c:v>97.113572101790695</c:v>
                      </c:pt>
                      <c:pt idx="204">
                        <c:v>96.960414703110189</c:v>
                      </c:pt>
                      <c:pt idx="205">
                        <c:v>97.573044297832155</c:v>
                      </c:pt>
                      <c:pt idx="206">
                        <c:v>97.514137606031952</c:v>
                      </c:pt>
                      <c:pt idx="207">
                        <c:v>97.019321394910378</c:v>
                      </c:pt>
                      <c:pt idx="208">
                        <c:v>96.925070688030075</c:v>
                      </c:pt>
                      <c:pt idx="209">
                        <c:v>96.38312912346835</c:v>
                      </c:pt>
                      <c:pt idx="210">
                        <c:v>96.760131950989546</c:v>
                      </c:pt>
                      <c:pt idx="211">
                        <c:v>96.336003770028185</c:v>
                      </c:pt>
                      <c:pt idx="212">
                        <c:v>96.701225259189357</c:v>
                      </c:pt>
                      <c:pt idx="213">
                        <c:v>96.442035815268525</c:v>
                      </c:pt>
                      <c:pt idx="214">
                        <c:v>96.147502356267594</c:v>
                      </c:pt>
                      <c:pt idx="215">
                        <c:v>96.618755890669107</c:v>
                      </c:pt>
                      <c:pt idx="216">
                        <c:v>96.595193213949017</c:v>
                      </c:pt>
                      <c:pt idx="217">
                        <c:v>96.606974552309055</c:v>
                      </c:pt>
                      <c:pt idx="218">
                        <c:v>96.336003770028185</c:v>
                      </c:pt>
                      <c:pt idx="219">
                        <c:v>96.453817153628563</c:v>
                      </c:pt>
                      <c:pt idx="220">
                        <c:v>96.465598491988601</c:v>
                      </c:pt>
                      <c:pt idx="221">
                        <c:v>97.137134778510756</c:v>
                      </c:pt>
                      <c:pt idx="222">
                        <c:v>96.819038642789735</c:v>
                      </c:pt>
                      <c:pt idx="223">
                        <c:v>96.642318567389168</c:v>
                      </c:pt>
                      <c:pt idx="224">
                        <c:v>96.771913289349584</c:v>
                      </c:pt>
                      <c:pt idx="225">
                        <c:v>96.713006597549381</c:v>
                      </c:pt>
                      <c:pt idx="226">
                        <c:v>96.783694627709608</c:v>
                      </c:pt>
                      <c:pt idx="227">
                        <c:v>97.290292177191233</c:v>
                      </c:pt>
                      <c:pt idx="228">
                        <c:v>97.196041470310931</c:v>
                      </c:pt>
                      <c:pt idx="229">
                        <c:v>97.137134778510756</c:v>
                      </c:pt>
                      <c:pt idx="230">
                        <c:v>98.22101790763422</c:v>
                      </c:pt>
                      <c:pt idx="231">
                        <c:v>98.916116870876451</c:v>
                      </c:pt>
                      <c:pt idx="232">
                        <c:v>99.304901036757698</c:v>
                      </c:pt>
                      <c:pt idx="233">
                        <c:v>98.857210179076262</c:v>
                      </c:pt>
                      <c:pt idx="234">
                        <c:v>98.656927426955633</c:v>
                      </c:pt>
                      <c:pt idx="235">
                        <c:v>98.774740810556011</c:v>
                      </c:pt>
                      <c:pt idx="236">
                        <c:v>98.715834118755822</c:v>
                      </c:pt>
                      <c:pt idx="237">
                        <c:v>98.692271442035747</c:v>
                      </c:pt>
                      <c:pt idx="238">
                        <c:v>98.774740810556025</c:v>
                      </c:pt>
                      <c:pt idx="239">
                        <c:v>99.010367577756782</c:v>
                      </c:pt>
                      <c:pt idx="240">
                        <c:v>99.352026390197878</c:v>
                      </c:pt>
                      <c:pt idx="241">
                        <c:v>99.399151743638029</c:v>
                      </c:pt>
                      <c:pt idx="242">
                        <c:v>99.269557021677613</c:v>
                      </c:pt>
                      <c:pt idx="243">
                        <c:v>99.293119698397689</c:v>
                      </c:pt>
                      <c:pt idx="244">
                        <c:v>99.622997172478762</c:v>
                      </c:pt>
                      <c:pt idx="245">
                        <c:v>99.905749293119655</c:v>
                      </c:pt>
                      <c:pt idx="246">
                        <c:v>99.458058435438218</c:v>
                      </c:pt>
                      <c:pt idx="247">
                        <c:v>99.198868991517386</c:v>
                      </c:pt>
                      <c:pt idx="248">
                        <c:v>99.31668237511775</c:v>
                      </c:pt>
                      <c:pt idx="249">
                        <c:v>100.02356267672</c:v>
                      </c:pt>
                      <c:pt idx="250">
                        <c:v>99.516965127238379</c:v>
                      </c:pt>
                      <c:pt idx="251">
                        <c:v>99.705466540998998</c:v>
                      </c:pt>
                      <c:pt idx="252">
                        <c:v>99.764373232799173</c:v>
                      </c:pt>
                      <c:pt idx="253">
                        <c:v>99.823279924599362</c:v>
                      </c:pt>
                      <c:pt idx="254">
                        <c:v>99.988218661639891</c:v>
                      </c:pt>
                      <c:pt idx="255">
                        <c:v>99.870405278039513</c:v>
                      </c:pt>
                      <c:pt idx="256">
                        <c:v>100.08246936852019</c:v>
                      </c:pt>
                      <c:pt idx="257">
                        <c:v>100.05890669180012</c:v>
                      </c:pt>
                      <c:pt idx="258">
                        <c:v>99.811498586239324</c:v>
                      </c:pt>
                      <c:pt idx="259">
                        <c:v>99.693685202638946</c:v>
                      </c:pt>
                      <c:pt idx="260">
                        <c:v>99.45805843543819</c:v>
                      </c:pt>
                      <c:pt idx="261">
                        <c:v>99.081055607916994</c:v>
                      </c:pt>
                      <c:pt idx="262">
                        <c:v>99.234213006597486</c:v>
                      </c:pt>
                      <c:pt idx="263">
                        <c:v>99.245994344957523</c:v>
                      </c:pt>
                      <c:pt idx="264">
                        <c:v>99.304901036757698</c:v>
                      </c:pt>
                      <c:pt idx="265">
                        <c:v>99.516965127238365</c:v>
                      </c:pt>
                      <c:pt idx="266">
                        <c:v>99.54052780395844</c:v>
                      </c:pt>
                      <c:pt idx="267">
                        <c:v>100.15315739868039</c:v>
                      </c:pt>
                      <c:pt idx="268">
                        <c:v>100.34165881244101</c:v>
                      </c:pt>
                      <c:pt idx="269">
                        <c:v>100.50659754948153</c:v>
                      </c:pt>
                      <c:pt idx="270">
                        <c:v>100.341658812441</c:v>
                      </c:pt>
                      <c:pt idx="271">
                        <c:v>100.42412818096126</c:v>
                      </c:pt>
                      <c:pt idx="272">
                        <c:v>99.882186616399522</c:v>
                      </c:pt>
                      <c:pt idx="273">
                        <c:v>99.999999999999901</c:v>
                      </c:pt>
                      <c:pt idx="274">
                        <c:v>100.60084825636183</c:v>
                      </c:pt>
                      <c:pt idx="275">
                        <c:v>100.57728557964175</c:v>
                      </c:pt>
                      <c:pt idx="276">
                        <c:v>100.88360037700272</c:v>
                      </c:pt>
                      <c:pt idx="277">
                        <c:v>100.70688030160217</c:v>
                      </c:pt>
                      <c:pt idx="278">
                        <c:v>100.29453345900085</c:v>
                      </c:pt>
                      <c:pt idx="279">
                        <c:v>100.2120640904806</c:v>
                      </c:pt>
                      <c:pt idx="280">
                        <c:v>100.0589066918001</c:v>
                      </c:pt>
                      <c:pt idx="281">
                        <c:v>100.23562676720067</c:v>
                      </c:pt>
                      <c:pt idx="282">
                        <c:v>99.870405278039513</c:v>
                      </c:pt>
                      <c:pt idx="283">
                        <c:v>99.846842601319437</c:v>
                      </c:pt>
                      <c:pt idx="284">
                        <c:v>99.752591894439135</c:v>
                      </c:pt>
                    </c:numCache>
                  </c:numRef>
                </c:val>
                <c:smooth val="0"/>
                <c:extLst xmlns:c15="http://schemas.microsoft.com/office/drawing/2012/chart">
                  <c:ext xmlns:c16="http://schemas.microsoft.com/office/drawing/2014/chart" uri="{C3380CC4-5D6E-409C-BE32-E72D297353CC}">
                    <c16:uniqueId val="{00000009-A0A6-4952-B73D-3412C30D1F85}"/>
                  </c:ext>
                </c:extLst>
              </c15:ser>
            </c15:filteredLineSeries>
            <c15:filteredLineSeries>
              <c15:ser>
                <c:idx val="8"/>
                <c:order val="8"/>
                <c:tx>
                  <c:strRef>
                    <c:extLst xmlns:c15="http://schemas.microsoft.com/office/drawing/2012/chart">
                      <c:ext xmlns:c15="http://schemas.microsoft.com/office/drawing/2012/chart" uri="{02D57815-91ED-43cb-92C2-25804820EDAC}">
                        <c15:formulaRef>
                          <c15:sqref>'[2021 09 GMR NEW.XLSX]Currency Chart'!$X$5</c15:sqref>
                        </c15:formulaRef>
                      </c:ext>
                    </c:extLst>
                    <c:strCache>
                      <c:ptCount val="1"/>
                      <c:pt idx="0">
                        <c:v>Yen</c:v>
                      </c:pt>
                    </c:strCache>
                  </c:strRef>
                </c:tx>
                <c:spPr>
                  <a:ln w="28575" cap="rnd">
                    <a:solidFill>
                      <a:schemeClr val="accent3">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'[2021 09 GMR NEW.XLSX]Currency Chart'!$O$6:$O$290</c15:sqref>
                        </c15:formulaRef>
                      </c:ext>
                    </c:extLst>
                    <c:numCache>
                      <c:formatCode>m/d/yyyy</c:formatCode>
                      <c:ptCount val="285"/>
                      <c:pt idx="0">
                        <c:v>44043</c:v>
                      </c:pt>
                      <c:pt idx="1">
                        <c:v>44046</c:v>
                      </c:pt>
                      <c:pt idx="2">
                        <c:v>44047</c:v>
                      </c:pt>
                      <c:pt idx="3">
                        <c:v>44048</c:v>
                      </c:pt>
                      <c:pt idx="4">
                        <c:v>44049</c:v>
                      </c:pt>
                      <c:pt idx="5">
                        <c:v>44050</c:v>
                      </c:pt>
                      <c:pt idx="6">
                        <c:v>44053</c:v>
                      </c:pt>
                      <c:pt idx="7">
                        <c:v>44054</c:v>
                      </c:pt>
                      <c:pt idx="8">
                        <c:v>44055</c:v>
                      </c:pt>
                      <c:pt idx="9">
                        <c:v>44056</c:v>
                      </c:pt>
                      <c:pt idx="10">
                        <c:v>44057</c:v>
                      </c:pt>
                      <c:pt idx="11">
                        <c:v>44060</c:v>
                      </c:pt>
                      <c:pt idx="12">
                        <c:v>44061</c:v>
                      </c:pt>
                      <c:pt idx="13">
                        <c:v>44062</c:v>
                      </c:pt>
                      <c:pt idx="14">
                        <c:v>44063</c:v>
                      </c:pt>
                      <c:pt idx="15">
                        <c:v>44064</c:v>
                      </c:pt>
                      <c:pt idx="16">
                        <c:v>44067</c:v>
                      </c:pt>
                      <c:pt idx="17">
                        <c:v>44068</c:v>
                      </c:pt>
                      <c:pt idx="18">
                        <c:v>44069</c:v>
                      </c:pt>
                      <c:pt idx="19">
                        <c:v>44070</c:v>
                      </c:pt>
                      <c:pt idx="20">
                        <c:v>44071</c:v>
                      </c:pt>
                      <c:pt idx="21">
                        <c:v>44074</c:v>
                      </c:pt>
                      <c:pt idx="22">
                        <c:v>44075</c:v>
                      </c:pt>
                      <c:pt idx="23">
                        <c:v>44076</c:v>
                      </c:pt>
                      <c:pt idx="24">
                        <c:v>44077</c:v>
                      </c:pt>
                      <c:pt idx="25">
                        <c:v>44078</c:v>
                      </c:pt>
                      <c:pt idx="26">
                        <c:v>44081</c:v>
                      </c:pt>
                      <c:pt idx="27">
                        <c:v>44082</c:v>
                      </c:pt>
                      <c:pt idx="28">
                        <c:v>44083</c:v>
                      </c:pt>
                      <c:pt idx="29">
                        <c:v>44084</c:v>
                      </c:pt>
                      <c:pt idx="30">
                        <c:v>44085</c:v>
                      </c:pt>
                      <c:pt idx="31">
                        <c:v>44088</c:v>
                      </c:pt>
                      <c:pt idx="32">
                        <c:v>44089</c:v>
                      </c:pt>
                      <c:pt idx="33">
                        <c:v>44090</c:v>
                      </c:pt>
                      <c:pt idx="34">
                        <c:v>44091</c:v>
                      </c:pt>
                      <c:pt idx="35">
                        <c:v>44092</c:v>
                      </c:pt>
                      <c:pt idx="36">
                        <c:v>44095</c:v>
                      </c:pt>
                      <c:pt idx="37">
                        <c:v>44096</c:v>
                      </c:pt>
                      <c:pt idx="38">
                        <c:v>44097</c:v>
                      </c:pt>
                      <c:pt idx="39">
                        <c:v>44098</c:v>
                      </c:pt>
                      <c:pt idx="40">
                        <c:v>44099</c:v>
                      </c:pt>
                      <c:pt idx="41">
                        <c:v>44102</c:v>
                      </c:pt>
                      <c:pt idx="42">
                        <c:v>44103</c:v>
                      </c:pt>
                      <c:pt idx="43">
                        <c:v>44104</c:v>
                      </c:pt>
                      <c:pt idx="44">
                        <c:v>44105</c:v>
                      </c:pt>
                      <c:pt idx="45">
                        <c:v>44106</c:v>
                      </c:pt>
                      <c:pt idx="46">
                        <c:v>44109</c:v>
                      </c:pt>
                      <c:pt idx="47">
                        <c:v>44110</c:v>
                      </c:pt>
                      <c:pt idx="48">
                        <c:v>44111</c:v>
                      </c:pt>
                      <c:pt idx="49">
                        <c:v>44112</c:v>
                      </c:pt>
                      <c:pt idx="50">
                        <c:v>44113</c:v>
                      </c:pt>
                      <c:pt idx="51">
                        <c:v>44116</c:v>
                      </c:pt>
                      <c:pt idx="52">
                        <c:v>44117</c:v>
                      </c:pt>
                      <c:pt idx="53">
                        <c:v>44118</c:v>
                      </c:pt>
                      <c:pt idx="54">
                        <c:v>44119</c:v>
                      </c:pt>
                      <c:pt idx="55">
                        <c:v>44120</c:v>
                      </c:pt>
                      <c:pt idx="56">
                        <c:v>44123</c:v>
                      </c:pt>
                      <c:pt idx="57">
                        <c:v>44124</c:v>
                      </c:pt>
                      <c:pt idx="58">
                        <c:v>44125</c:v>
                      </c:pt>
                      <c:pt idx="59">
                        <c:v>44126</c:v>
                      </c:pt>
                      <c:pt idx="60">
                        <c:v>44127</c:v>
                      </c:pt>
                      <c:pt idx="61">
                        <c:v>44130</c:v>
                      </c:pt>
                      <c:pt idx="62">
                        <c:v>44131</c:v>
                      </c:pt>
                      <c:pt idx="63">
                        <c:v>44132</c:v>
                      </c:pt>
                      <c:pt idx="64">
                        <c:v>44133</c:v>
                      </c:pt>
                      <c:pt idx="65">
                        <c:v>44134</c:v>
                      </c:pt>
                      <c:pt idx="66">
                        <c:v>44137</c:v>
                      </c:pt>
                      <c:pt idx="67">
                        <c:v>44138</c:v>
                      </c:pt>
                      <c:pt idx="68">
                        <c:v>44139</c:v>
                      </c:pt>
                      <c:pt idx="69">
                        <c:v>44140</c:v>
                      </c:pt>
                      <c:pt idx="70">
                        <c:v>44141</c:v>
                      </c:pt>
                      <c:pt idx="71">
                        <c:v>44144</c:v>
                      </c:pt>
                      <c:pt idx="72">
                        <c:v>44145</c:v>
                      </c:pt>
                      <c:pt idx="73">
                        <c:v>44146</c:v>
                      </c:pt>
                      <c:pt idx="74">
                        <c:v>44147</c:v>
                      </c:pt>
                      <c:pt idx="75">
                        <c:v>44148</c:v>
                      </c:pt>
                      <c:pt idx="76">
                        <c:v>44151</c:v>
                      </c:pt>
                      <c:pt idx="77">
                        <c:v>44152</c:v>
                      </c:pt>
                      <c:pt idx="78">
                        <c:v>44153</c:v>
                      </c:pt>
                      <c:pt idx="79">
                        <c:v>44154</c:v>
                      </c:pt>
                      <c:pt idx="80">
                        <c:v>44155</c:v>
                      </c:pt>
                      <c:pt idx="81">
                        <c:v>44158</c:v>
                      </c:pt>
                      <c:pt idx="82">
                        <c:v>44159</c:v>
                      </c:pt>
                      <c:pt idx="83">
                        <c:v>44160</c:v>
                      </c:pt>
                      <c:pt idx="84">
                        <c:v>44161</c:v>
                      </c:pt>
                      <c:pt idx="85">
                        <c:v>44162</c:v>
                      </c:pt>
                      <c:pt idx="86">
                        <c:v>44165</c:v>
                      </c:pt>
                      <c:pt idx="87">
                        <c:v>44166</c:v>
                      </c:pt>
                      <c:pt idx="88">
                        <c:v>44167</c:v>
                      </c:pt>
                      <c:pt idx="89">
                        <c:v>44168</c:v>
                      </c:pt>
                      <c:pt idx="90">
                        <c:v>44169</c:v>
                      </c:pt>
                      <c:pt idx="91">
                        <c:v>44172</c:v>
                      </c:pt>
                      <c:pt idx="92">
                        <c:v>44173</c:v>
                      </c:pt>
                      <c:pt idx="93">
                        <c:v>44174</c:v>
                      </c:pt>
                      <c:pt idx="94">
                        <c:v>44175</c:v>
                      </c:pt>
                      <c:pt idx="95">
                        <c:v>44176</c:v>
                      </c:pt>
                      <c:pt idx="96">
                        <c:v>44179</c:v>
                      </c:pt>
                      <c:pt idx="97">
                        <c:v>44180</c:v>
                      </c:pt>
                      <c:pt idx="98">
                        <c:v>44181</c:v>
                      </c:pt>
                      <c:pt idx="99">
                        <c:v>44182</c:v>
                      </c:pt>
                      <c:pt idx="100">
                        <c:v>44183</c:v>
                      </c:pt>
                      <c:pt idx="101">
                        <c:v>44186</c:v>
                      </c:pt>
                      <c:pt idx="102">
                        <c:v>44187</c:v>
                      </c:pt>
                      <c:pt idx="103">
                        <c:v>44188</c:v>
                      </c:pt>
                      <c:pt idx="104">
                        <c:v>44189</c:v>
                      </c:pt>
                      <c:pt idx="105">
                        <c:v>44190</c:v>
                      </c:pt>
                      <c:pt idx="106">
                        <c:v>44193</c:v>
                      </c:pt>
                      <c:pt idx="107">
                        <c:v>44194</c:v>
                      </c:pt>
                      <c:pt idx="108">
                        <c:v>44195</c:v>
                      </c:pt>
                      <c:pt idx="109">
                        <c:v>44196</c:v>
                      </c:pt>
                      <c:pt idx="110">
                        <c:v>44197</c:v>
                      </c:pt>
                      <c:pt idx="111">
                        <c:v>44200</c:v>
                      </c:pt>
                      <c:pt idx="112">
                        <c:v>44201</c:v>
                      </c:pt>
                      <c:pt idx="113">
                        <c:v>44202</c:v>
                      </c:pt>
                      <c:pt idx="114">
                        <c:v>44203</c:v>
                      </c:pt>
                      <c:pt idx="115">
                        <c:v>44204</c:v>
                      </c:pt>
                      <c:pt idx="116">
                        <c:v>44207</c:v>
                      </c:pt>
                      <c:pt idx="117">
                        <c:v>44208</c:v>
                      </c:pt>
                      <c:pt idx="118">
                        <c:v>44209</c:v>
                      </c:pt>
                      <c:pt idx="119">
                        <c:v>44210</c:v>
                      </c:pt>
                      <c:pt idx="120">
                        <c:v>44211</c:v>
                      </c:pt>
                      <c:pt idx="121">
                        <c:v>44214</c:v>
                      </c:pt>
                      <c:pt idx="122">
                        <c:v>44215</c:v>
                      </c:pt>
                      <c:pt idx="123">
                        <c:v>44216</c:v>
                      </c:pt>
                      <c:pt idx="124">
                        <c:v>44217</c:v>
                      </c:pt>
                      <c:pt idx="125">
                        <c:v>44218</c:v>
                      </c:pt>
                      <c:pt idx="126">
                        <c:v>44221</c:v>
                      </c:pt>
                      <c:pt idx="127">
                        <c:v>44222</c:v>
                      </c:pt>
                      <c:pt idx="128">
                        <c:v>44223</c:v>
                      </c:pt>
                      <c:pt idx="129">
                        <c:v>44224</c:v>
                      </c:pt>
                      <c:pt idx="130">
                        <c:v>44225</c:v>
                      </c:pt>
                      <c:pt idx="131">
                        <c:v>44228</c:v>
                      </c:pt>
                      <c:pt idx="132">
                        <c:v>44229</c:v>
                      </c:pt>
                      <c:pt idx="133">
                        <c:v>44230</c:v>
                      </c:pt>
                      <c:pt idx="134">
                        <c:v>44231</c:v>
                      </c:pt>
                      <c:pt idx="135">
                        <c:v>44232</c:v>
                      </c:pt>
                      <c:pt idx="136">
                        <c:v>44235</c:v>
                      </c:pt>
                      <c:pt idx="137">
                        <c:v>44236</c:v>
                      </c:pt>
                      <c:pt idx="138">
                        <c:v>44237</c:v>
                      </c:pt>
                      <c:pt idx="139">
                        <c:v>44238</c:v>
                      </c:pt>
                      <c:pt idx="140">
                        <c:v>44239</c:v>
                      </c:pt>
                      <c:pt idx="141">
                        <c:v>44242</c:v>
                      </c:pt>
                      <c:pt idx="142">
                        <c:v>44243</c:v>
                      </c:pt>
                      <c:pt idx="143">
                        <c:v>44244</c:v>
                      </c:pt>
                      <c:pt idx="144">
                        <c:v>44245</c:v>
                      </c:pt>
                      <c:pt idx="145">
                        <c:v>44246</c:v>
                      </c:pt>
                      <c:pt idx="146">
                        <c:v>44247</c:v>
                      </c:pt>
                      <c:pt idx="147">
                        <c:v>44249</c:v>
                      </c:pt>
                      <c:pt idx="148">
                        <c:v>44250</c:v>
                      </c:pt>
                      <c:pt idx="149">
                        <c:v>44251</c:v>
                      </c:pt>
                      <c:pt idx="150">
                        <c:v>44252</c:v>
                      </c:pt>
                      <c:pt idx="151">
                        <c:v>44253</c:v>
                      </c:pt>
                      <c:pt idx="152">
                        <c:v>44256</c:v>
                      </c:pt>
                      <c:pt idx="153">
                        <c:v>44257</c:v>
                      </c:pt>
                      <c:pt idx="154">
                        <c:v>44258</c:v>
                      </c:pt>
                      <c:pt idx="155">
                        <c:v>44259</c:v>
                      </c:pt>
                      <c:pt idx="156">
                        <c:v>44260</c:v>
                      </c:pt>
                      <c:pt idx="157">
                        <c:v>44263</c:v>
                      </c:pt>
                      <c:pt idx="158">
                        <c:v>44264</c:v>
                      </c:pt>
                      <c:pt idx="159">
                        <c:v>44265</c:v>
                      </c:pt>
                      <c:pt idx="160">
                        <c:v>44266</c:v>
                      </c:pt>
                      <c:pt idx="161">
                        <c:v>44267</c:v>
                      </c:pt>
                      <c:pt idx="162">
                        <c:v>44270</c:v>
                      </c:pt>
                      <c:pt idx="163">
                        <c:v>44271</c:v>
                      </c:pt>
                      <c:pt idx="164">
                        <c:v>44272</c:v>
                      </c:pt>
                      <c:pt idx="165">
                        <c:v>44273</c:v>
                      </c:pt>
                      <c:pt idx="166">
                        <c:v>44274</c:v>
                      </c:pt>
                      <c:pt idx="167">
                        <c:v>44277</c:v>
                      </c:pt>
                      <c:pt idx="168">
                        <c:v>44278</c:v>
                      </c:pt>
                      <c:pt idx="169">
                        <c:v>44279</c:v>
                      </c:pt>
                      <c:pt idx="170">
                        <c:v>44280</c:v>
                      </c:pt>
                      <c:pt idx="171">
                        <c:v>44281</c:v>
                      </c:pt>
                      <c:pt idx="172">
                        <c:v>44284</c:v>
                      </c:pt>
                      <c:pt idx="173">
                        <c:v>44285</c:v>
                      </c:pt>
                      <c:pt idx="174">
                        <c:v>44286</c:v>
                      </c:pt>
                      <c:pt idx="175">
                        <c:v>44287</c:v>
                      </c:pt>
                      <c:pt idx="176">
                        <c:v>44288</c:v>
                      </c:pt>
                      <c:pt idx="177">
                        <c:v>44291</c:v>
                      </c:pt>
                      <c:pt idx="178">
                        <c:v>44292</c:v>
                      </c:pt>
                      <c:pt idx="179">
                        <c:v>44293</c:v>
                      </c:pt>
                      <c:pt idx="180">
                        <c:v>44294</c:v>
                      </c:pt>
                      <c:pt idx="181">
                        <c:v>44295</c:v>
                      </c:pt>
                      <c:pt idx="182">
                        <c:v>44298</c:v>
                      </c:pt>
                      <c:pt idx="183">
                        <c:v>44299</c:v>
                      </c:pt>
                      <c:pt idx="184">
                        <c:v>44300</c:v>
                      </c:pt>
                      <c:pt idx="185">
                        <c:v>44301</c:v>
                      </c:pt>
                      <c:pt idx="186">
                        <c:v>44302</c:v>
                      </c:pt>
                      <c:pt idx="187">
                        <c:v>44305</c:v>
                      </c:pt>
                      <c:pt idx="188">
                        <c:v>44306</c:v>
                      </c:pt>
                      <c:pt idx="189">
                        <c:v>44307</c:v>
                      </c:pt>
                      <c:pt idx="190">
                        <c:v>44308</c:v>
                      </c:pt>
                      <c:pt idx="191">
                        <c:v>44309</c:v>
                      </c:pt>
                      <c:pt idx="192">
                        <c:v>44311</c:v>
                      </c:pt>
                      <c:pt idx="193">
                        <c:v>44312</c:v>
                      </c:pt>
                      <c:pt idx="194">
                        <c:v>44313</c:v>
                      </c:pt>
                      <c:pt idx="195">
                        <c:v>44314</c:v>
                      </c:pt>
                      <c:pt idx="196">
                        <c:v>44315</c:v>
                      </c:pt>
                      <c:pt idx="197">
                        <c:v>44316</c:v>
                      </c:pt>
                      <c:pt idx="198">
                        <c:v>44319</c:v>
                      </c:pt>
                      <c:pt idx="199">
                        <c:v>44320</c:v>
                      </c:pt>
                      <c:pt idx="200">
                        <c:v>44321</c:v>
                      </c:pt>
                      <c:pt idx="201">
                        <c:v>44322</c:v>
                      </c:pt>
                      <c:pt idx="202">
                        <c:v>44323</c:v>
                      </c:pt>
                      <c:pt idx="203">
                        <c:v>44326</c:v>
                      </c:pt>
                      <c:pt idx="204">
                        <c:v>44327</c:v>
                      </c:pt>
                      <c:pt idx="205">
                        <c:v>44328</c:v>
                      </c:pt>
                      <c:pt idx="206">
                        <c:v>44329</c:v>
                      </c:pt>
                      <c:pt idx="207">
                        <c:v>44330</c:v>
                      </c:pt>
                      <c:pt idx="208">
                        <c:v>44333</c:v>
                      </c:pt>
                      <c:pt idx="209">
                        <c:v>44334</c:v>
                      </c:pt>
                      <c:pt idx="210">
                        <c:v>44335</c:v>
                      </c:pt>
                      <c:pt idx="211">
                        <c:v>44336</c:v>
                      </c:pt>
                      <c:pt idx="212">
                        <c:v>44337</c:v>
                      </c:pt>
                      <c:pt idx="213">
                        <c:v>44340</c:v>
                      </c:pt>
                      <c:pt idx="214">
                        <c:v>44341</c:v>
                      </c:pt>
                      <c:pt idx="215">
                        <c:v>44342</c:v>
                      </c:pt>
                      <c:pt idx="216">
                        <c:v>44343</c:v>
                      </c:pt>
                      <c:pt idx="217">
                        <c:v>44344</c:v>
                      </c:pt>
                      <c:pt idx="218">
                        <c:v>44347</c:v>
                      </c:pt>
                      <c:pt idx="219">
                        <c:v>44348</c:v>
                      </c:pt>
                      <c:pt idx="220">
                        <c:v>44349</c:v>
                      </c:pt>
                      <c:pt idx="221">
                        <c:v>44350</c:v>
                      </c:pt>
                      <c:pt idx="222">
                        <c:v>44351</c:v>
                      </c:pt>
                      <c:pt idx="223">
                        <c:v>44354</c:v>
                      </c:pt>
                      <c:pt idx="224">
                        <c:v>44355</c:v>
                      </c:pt>
                      <c:pt idx="225">
                        <c:v>44356</c:v>
                      </c:pt>
                      <c:pt idx="226">
                        <c:v>44357</c:v>
                      </c:pt>
                      <c:pt idx="227">
                        <c:v>44358</c:v>
                      </c:pt>
                      <c:pt idx="228">
                        <c:v>44361</c:v>
                      </c:pt>
                      <c:pt idx="229">
                        <c:v>44362</c:v>
                      </c:pt>
                      <c:pt idx="230">
                        <c:v>44363</c:v>
                      </c:pt>
                      <c:pt idx="231">
                        <c:v>44364</c:v>
                      </c:pt>
                      <c:pt idx="232">
                        <c:v>44365</c:v>
                      </c:pt>
                      <c:pt idx="233">
                        <c:v>44368</c:v>
                      </c:pt>
                      <c:pt idx="234">
                        <c:v>44369</c:v>
                      </c:pt>
                      <c:pt idx="235">
                        <c:v>44370</c:v>
                      </c:pt>
                      <c:pt idx="236">
                        <c:v>44371</c:v>
                      </c:pt>
                      <c:pt idx="237">
                        <c:v>44372</c:v>
                      </c:pt>
                      <c:pt idx="238">
                        <c:v>44375</c:v>
                      </c:pt>
                      <c:pt idx="239">
                        <c:v>44376</c:v>
                      </c:pt>
                      <c:pt idx="240">
                        <c:v>44377</c:v>
                      </c:pt>
                      <c:pt idx="241">
                        <c:v>44378</c:v>
                      </c:pt>
                      <c:pt idx="242">
                        <c:v>44379</c:v>
                      </c:pt>
                      <c:pt idx="243">
                        <c:v>44382</c:v>
                      </c:pt>
                      <c:pt idx="244">
                        <c:v>44383</c:v>
                      </c:pt>
                      <c:pt idx="245">
                        <c:v>44384</c:v>
                      </c:pt>
                      <c:pt idx="246">
                        <c:v>44385</c:v>
                      </c:pt>
                      <c:pt idx="247">
                        <c:v>44386</c:v>
                      </c:pt>
                      <c:pt idx="248">
                        <c:v>44389</c:v>
                      </c:pt>
                      <c:pt idx="249">
                        <c:v>44390</c:v>
                      </c:pt>
                      <c:pt idx="250">
                        <c:v>44391</c:v>
                      </c:pt>
                      <c:pt idx="251">
                        <c:v>44392</c:v>
                      </c:pt>
                      <c:pt idx="252">
                        <c:v>44393</c:v>
                      </c:pt>
                      <c:pt idx="253">
                        <c:v>44396</c:v>
                      </c:pt>
                      <c:pt idx="254">
                        <c:v>44397</c:v>
                      </c:pt>
                      <c:pt idx="255">
                        <c:v>44398</c:v>
                      </c:pt>
                      <c:pt idx="256">
                        <c:v>44399</c:v>
                      </c:pt>
                      <c:pt idx="257">
                        <c:v>44400</c:v>
                      </c:pt>
                      <c:pt idx="258">
                        <c:v>44403</c:v>
                      </c:pt>
                      <c:pt idx="259">
                        <c:v>44404</c:v>
                      </c:pt>
                      <c:pt idx="260">
                        <c:v>44405</c:v>
                      </c:pt>
                      <c:pt idx="261">
                        <c:v>44406</c:v>
                      </c:pt>
                      <c:pt idx="262">
                        <c:v>44407</c:v>
                      </c:pt>
                      <c:pt idx="263">
                        <c:v>44410</c:v>
                      </c:pt>
                      <c:pt idx="264">
                        <c:v>44411</c:v>
                      </c:pt>
                      <c:pt idx="265">
                        <c:v>44412</c:v>
                      </c:pt>
                      <c:pt idx="266">
                        <c:v>44413</c:v>
                      </c:pt>
                      <c:pt idx="267">
                        <c:v>44414</c:v>
                      </c:pt>
                      <c:pt idx="268">
                        <c:v>44417</c:v>
                      </c:pt>
                      <c:pt idx="269">
                        <c:v>44418</c:v>
                      </c:pt>
                      <c:pt idx="270">
                        <c:v>44419</c:v>
                      </c:pt>
                      <c:pt idx="271">
                        <c:v>44420</c:v>
                      </c:pt>
                      <c:pt idx="272">
                        <c:v>44421</c:v>
                      </c:pt>
                      <c:pt idx="273">
                        <c:v>44424</c:v>
                      </c:pt>
                      <c:pt idx="274">
                        <c:v>44425</c:v>
                      </c:pt>
                      <c:pt idx="275">
                        <c:v>44426</c:v>
                      </c:pt>
                      <c:pt idx="276">
                        <c:v>44427</c:v>
                      </c:pt>
                      <c:pt idx="277">
                        <c:v>44428</c:v>
                      </c:pt>
                      <c:pt idx="278">
                        <c:v>44431</c:v>
                      </c:pt>
                      <c:pt idx="279">
                        <c:v>44432</c:v>
                      </c:pt>
                      <c:pt idx="280">
                        <c:v>44433</c:v>
                      </c:pt>
                      <c:pt idx="281">
                        <c:v>44434</c:v>
                      </c:pt>
                      <c:pt idx="282">
                        <c:v>44435</c:v>
                      </c:pt>
                      <c:pt idx="283">
                        <c:v>44438</c:v>
                      </c:pt>
                      <c:pt idx="284">
                        <c:v>44439</c:v>
                      </c:pt>
                    </c:numCache>
                  </c:numRef>
                </c:cat>
                <c:val>
                  <c:numRef>
                    <c:extLst xmlns:c15="http://schemas.microsoft.com/office/drawing/2012/chart">
                      <c:ext xmlns:c15="http://schemas.microsoft.com/office/drawing/2012/chart" uri="{02D57815-91ED-43cb-92C2-25804820EDAC}">
                        <c15:formulaRef>
                          <c15:sqref>'[2021 09 GMR NEW.XLSX]Currency Chart'!$X$6:$X$290</c15:sqref>
                        </c15:formulaRef>
                      </c:ext>
                    </c:extLst>
                    <c:numCache>
                      <c:formatCode>0</c:formatCode>
                      <c:ptCount val="285"/>
                      <c:pt idx="0" formatCode="General">
                        <c:v>100</c:v>
                      </c:pt>
                      <c:pt idx="1">
                        <c:v>100.05666792595392</c:v>
                      </c:pt>
                      <c:pt idx="2">
                        <c:v>99.829996222138291</c:v>
                      </c:pt>
                      <c:pt idx="3">
                        <c:v>99.707215715904809</c:v>
                      </c:pt>
                      <c:pt idx="4">
                        <c:v>99.678881752927865</c:v>
                      </c:pt>
                      <c:pt idx="5">
                        <c:v>100.02833396297697</c:v>
                      </c:pt>
                      <c:pt idx="6">
                        <c:v>100.06611258027959</c:v>
                      </c:pt>
                      <c:pt idx="7">
                        <c:v>100.56667925953914</c:v>
                      </c:pt>
                      <c:pt idx="8">
                        <c:v>100.95391008689087</c:v>
                      </c:pt>
                      <c:pt idx="9">
                        <c:v>100.98224404986782</c:v>
                      </c:pt>
                      <c:pt idx="10">
                        <c:v>100.67057045712131</c:v>
                      </c:pt>
                      <c:pt idx="11">
                        <c:v>100.1038911975822</c:v>
                      </c:pt>
                      <c:pt idx="12">
                        <c:v>99.565545901020073</c:v>
                      </c:pt>
                      <c:pt idx="13">
                        <c:v>100.20778239516437</c:v>
                      </c:pt>
                      <c:pt idx="14">
                        <c:v>99.914998111069181</c:v>
                      </c:pt>
                      <c:pt idx="15">
                        <c:v>99.905553456743519</c:v>
                      </c:pt>
                      <c:pt idx="16">
                        <c:v>100.08500188893089</c:v>
                      </c:pt>
                      <c:pt idx="17">
                        <c:v>100.45334340763129</c:v>
                      </c:pt>
                      <c:pt idx="18">
                        <c:v>100.09444654325654</c:v>
                      </c:pt>
                      <c:pt idx="19">
                        <c:v>100.63279183981867</c:v>
                      </c:pt>
                      <c:pt idx="20">
                        <c:v>99.489988666414817</c:v>
                      </c:pt>
                      <c:pt idx="21">
                        <c:v>100.00944465432566</c:v>
                      </c:pt>
                      <c:pt idx="22">
                        <c:v>100.06611258027957</c:v>
                      </c:pt>
                      <c:pt idx="23">
                        <c:v>100.28333962976956</c:v>
                      </c:pt>
                      <c:pt idx="24">
                        <c:v>100.27389497544391</c:v>
                      </c:pt>
                      <c:pt idx="25">
                        <c:v>100.33056290139781</c:v>
                      </c:pt>
                      <c:pt idx="26">
                        <c:v>100.34945221004912</c:v>
                      </c:pt>
                      <c:pt idx="27">
                        <c:v>100.12278050623348</c:v>
                      </c:pt>
                      <c:pt idx="28">
                        <c:v>100.27389497544391</c:v>
                      </c:pt>
                      <c:pt idx="29">
                        <c:v>100.2361163581413</c:v>
                      </c:pt>
                      <c:pt idx="30">
                        <c:v>100.24556101246696</c:v>
                      </c:pt>
                      <c:pt idx="31">
                        <c:v>99.848885530789588</c:v>
                      </c:pt>
                      <c:pt idx="32">
                        <c:v>99.574990555345693</c:v>
                      </c:pt>
                      <c:pt idx="33">
                        <c:v>99.11220249338875</c:v>
                      </c:pt>
                      <c:pt idx="34">
                        <c:v>98.913864752550069</c:v>
                      </c:pt>
                      <c:pt idx="35">
                        <c:v>98.743860974688332</c:v>
                      </c:pt>
                      <c:pt idx="36">
                        <c:v>98.828862863619207</c:v>
                      </c:pt>
                      <c:pt idx="37">
                        <c:v>99.083868530411806</c:v>
                      </c:pt>
                      <c:pt idx="38">
                        <c:v>99.518322629391804</c:v>
                      </c:pt>
                      <c:pt idx="39">
                        <c:v>99.546656592368763</c:v>
                      </c:pt>
                      <c:pt idx="40">
                        <c:v>99.735549678881782</c:v>
                      </c:pt>
                      <c:pt idx="41">
                        <c:v>99.631658481299624</c:v>
                      </c:pt>
                      <c:pt idx="42">
                        <c:v>99.773328296184388</c:v>
                      </c:pt>
                      <c:pt idx="43">
                        <c:v>99.593879863997003</c:v>
                      </c:pt>
                      <c:pt idx="44">
                        <c:v>99.641103135625258</c:v>
                      </c:pt>
                      <c:pt idx="45">
                        <c:v>99.480544012089183</c:v>
                      </c:pt>
                      <c:pt idx="46">
                        <c:v>99.848885530789602</c:v>
                      </c:pt>
                      <c:pt idx="47">
                        <c:v>99.754438987533092</c:v>
                      </c:pt>
                      <c:pt idx="48">
                        <c:v>100.07555723460523</c:v>
                      </c:pt>
                      <c:pt idx="49">
                        <c:v>100.12278050623348</c:v>
                      </c:pt>
                      <c:pt idx="50">
                        <c:v>99.726105024556105</c:v>
                      </c:pt>
                      <c:pt idx="51">
                        <c:v>99.45221004911221</c:v>
                      </c:pt>
                      <c:pt idx="52">
                        <c:v>99.612769172648285</c:v>
                      </c:pt>
                      <c:pt idx="53">
                        <c:v>99.310540234227446</c:v>
                      </c:pt>
                      <c:pt idx="54">
                        <c:v>99.584435209671327</c:v>
                      </c:pt>
                      <c:pt idx="55">
                        <c:v>99.54665659236872</c:v>
                      </c:pt>
                      <c:pt idx="56">
                        <c:v>99.56554590102003</c:v>
                      </c:pt>
                      <c:pt idx="57">
                        <c:v>99.631658481299596</c:v>
                      </c:pt>
                      <c:pt idx="58">
                        <c:v>98.753305629013994</c:v>
                      </c:pt>
                      <c:pt idx="59">
                        <c:v>98.998866641480916</c:v>
                      </c:pt>
                      <c:pt idx="60">
                        <c:v>98.876086135247448</c:v>
                      </c:pt>
                      <c:pt idx="61">
                        <c:v>98.998866641480916</c:v>
                      </c:pt>
                      <c:pt idx="62">
                        <c:v>98.602191159803553</c:v>
                      </c:pt>
                      <c:pt idx="63">
                        <c:v>98.498299962221381</c:v>
                      </c:pt>
                      <c:pt idx="64">
                        <c:v>98.80052890064222</c:v>
                      </c:pt>
                      <c:pt idx="65">
                        <c:v>98.828862863619179</c:v>
                      </c:pt>
                      <c:pt idx="66">
                        <c:v>98.894975443898744</c:v>
                      </c:pt>
                      <c:pt idx="67">
                        <c:v>98.658859085757456</c:v>
                      </c:pt>
                      <c:pt idx="68">
                        <c:v>98.677748394408766</c:v>
                      </c:pt>
                      <c:pt idx="69">
                        <c:v>97.723838307517951</c:v>
                      </c:pt>
                      <c:pt idx="70">
                        <c:v>97.591613146958821</c:v>
                      </c:pt>
                      <c:pt idx="71">
                        <c:v>99.508877975066099</c:v>
                      </c:pt>
                      <c:pt idx="72">
                        <c:v>99.433320740460886</c:v>
                      </c:pt>
                      <c:pt idx="73">
                        <c:v>99.565545901020002</c:v>
                      </c:pt>
                      <c:pt idx="74">
                        <c:v>99.282206271250445</c:v>
                      </c:pt>
                      <c:pt idx="75">
                        <c:v>98.809973554967868</c:v>
                      </c:pt>
                      <c:pt idx="76">
                        <c:v>98.753305629013951</c:v>
                      </c:pt>
                      <c:pt idx="77">
                        <c:v>98.384964110313533</c:v>
                      </c:pt>
                      <c:pt idx="78">
                        <c:v>98.063845863241369</c:v>
                      </c:pt>
                      <c:pt idx="79">
                        <c:v>97.959954665659197</c:v>
                      </c:pt>
                      <c:pt idx="80">
                        <c:v>98.082735171892651</c:v>
                      </c:pt>
                      <c:pt idx="81">
                        <c:v>98.734416320362627</c:v>
                      </c:pt>
                      <c:pt idx="82">
                        <c:v>98.630525122780455</c:v>
                      </c:pt>
                      <c:pt idx="83">
                        <c:v>98.649414431431765</c:v>
                      </c:pt>
                      <c:pt idx="84">
                        <c:v>98.460521344918732</c:v>
                      </c:pt>
                      <c:pt idx="85">
                        <c:v>98.318851530033953</c:v>
                      </c:pt>
                      <c:pt idx="86">
                        <c:v>98.479410653570028</c:v>
                      </c:pt>
                      <c:pt idx="87">
                        <c:v>98.507744616546987</c:v>
                      </c:pt>
                      <c:pt idx="88">
                        <c:v>98.60219115980351</c:v>
                      </c:pt>
                      <c:pt idx="89">
                        <c:v>98.063845863241355</c:v>
                      </c:pt>
                      <c:pt idx="90">
                        <c:v>98.356630147336546</c:v>
                      </c:pt>
                      <c:pt idx="91">
                        <c:v>98.281072912731332</c:v>
                      </c:pt>
                      <c:pt idx="92">
                        <c:v>98.366074801662194</c:v>
                      </c:pt>
                      <c:pt idx="93">
                        <c:v>98.422742727616082</c:v>
                      </c:pt>
                      <c:pt idx="94">
                        <c:v>98.413298073290434</c:v>
                      </c:pt>
                      <c:pt idx="95">
                        <c:v>98.233849641103063</c:v>
                      </c:pt>
                      <c:pt idx="96">
                        <c:v>98.252738949754345</c:v>
                      </c:pt>
                      <c:pt idx="97">
                        <c:v>97.903286739705237</c:v>
                      </c:pt>
                      <c:pt idx="98">
                        <c:v>97.733282961843514</c:v>
                      </c:pt>
                      <c:pt idx="99">
                        <c:v>97.374386097468744</c:v>
                      </c:pt>
                      <c:pt idx="100">
                        <c:v>97.572723838307439</c:v>
                      </c:pt>
                      <c:pt idx="101">
                        <c:v>97.563279183981777</c:v>
                      </c:pt>
                      <c:pt idx="102">
                        <c:v>97.874952776728293</c:v>
                      </c:pt>
                      <c:pt idx="103">
                        <c:v>97.799395542123079</c:v>
                      </c:pt>
                      <c:pt idx="104">
                        <c:v>97.874952776728307</c:v>
                      </c:pt>
                      <c:pt idx="105">
                        <c:v>97.733282961843528</c:v>
                      </c:pt>
                      <c:pt idx="106">
                        <c:v>98.016622591613086</c:v>
                      </c:pt>
                      <c:pt idx="107">
                        <c:v>97.808840196448756</c:v>
                      </c:pt>
                      <c:pt idx="108">
                        <c:v>97.440498677748337</c:v>
                      </c:pt>
                      <c:pt idx="109">
                        <c:v>97.506611258027888</c:v>
                      </c:pt>
                      <c:pt idx="110">
                        <c:v>97.468832640725296</c:v>
                      </c:pt>
                      <c:pt idx="111">
                        <c:v>97.374386097468772</c:v>
                      </c:pt>
                      <c:pt idx="112">
                        <c:v>97.015489233094016</c:v>
                      </c:pt>
                      <c:pt idx="113">
                        <c:v>97.317718171514883</c:v>
                      </c:pt>
                      <c:pt idx="114">
                        <c:v>98.03551190026441</c:v>
                      </c:pt>
                      <c:pt idx="115">
                        <c:v>98.158292406497878</c:v>
                      </c:pt>
                      <c:pt idx="116">
                        <c:v>98.451076690593084</c:v>
                      </c:pt>
                      <c:pt idx="117">
                        <c:v>97.988288628636155</c:v>
                      </c:pt>
                      <c:pt idx="118">
                        <c:v>98.082735171892665</c:v>
                      </c:pt>
                      <c:pt idx="119">
                        <c:v>98.026067245938762</c:v>
                      </c:pt>
                      <c:pt idx="120">
                        <c:v>98.101624480543961</c:v>
                      </c:pt>
                      <c:pt idx="121">
                        <c:v>97.931620702682224</c:v>
                      </c:pt>
                      <c:pt idx="122">
                        <c:v>98.120513789195243</c:v>
                      </c:pt>
                      <c:pt idx="123">
                        <c:v>97.771061579146121</c:v>
                      </c:pt>
                      <c:pt idx="124">
                        <c:v>97.733282961843528</c:v>
                      </c:pt>
                      <c:pt idx="125">
                        <c:v>98.007177937287423</c:v>
                      </c:pt>
                      <c:pt idx="126">
                        <c:v>97.969399319984817</c:v>
                      </c:pt>
                      <c:pt idx="127">
                        <c:v>97.846618813751334</c:v>
                      </c:pt>
                      <c:pt idx="128">
                        <c:v>98.309406875708262</c:v>
                      </c:pt>
                      <c:pt idx="129">
                        <c:v>98.422742727616068</c:v>
                      </c:pt>
                      <c:pt idx="130">
                        <c:v>98.866641480921714</c:v>
                      </c:pt>
                      <c:pt idx="131">
                        <c:v>99.083868530411692</c:v>
                      </c:pt>
                      <c:pt idx="132">
                        <c:v>99.140536456365595</c:v>
                      </c:pt>
                      <c:pt idx="133">
                        <c:v>99.178315073668216</c:v>
                      </c:pt>
                      <c:pt idx="134">
                        <c:v>99.678881752927765</c:v>
                      </c:pt>
                      <c:pt idx="135">
                        <c:v>99.508877975066028</c:v>
                      </c:pt>
                      <c:pt idx="136">
                        <c:v>99.376652814506897</c:v>
                      </c:pt>
                      <c:pt idx="137">
                        <c:v>98.762750283339528</c:v>
                      </c:pt>
                      <c:pt idx="138">
                        <c:v>98.762750283339528</c:v>
                      </c:pt>
                      <c:pt idx="139">
                        <c:v>98.904420098224307</c:v>
                      </c:pt>
                      <c:pt idx="140">
                        <c:v>99.102757839063003</c:v>
                      </c:pt>
                      <c:pt idx="141">
                        <c:v>99.508877975066014</c:v>
                      </c:pt>
                      <c:pt idx="142">
                        <c:v>100.15111446921033</c:v>
                      </c:pt>
                      <c:pt idx="143">
                        <c:v>99.971666037022942</c:v>
                      </c:pt>
                      <c:pt idx="144">
                        <c:v>99.792217604835571</c:v>
                      </c:pt>
                      <c:pt idx="145">
                        <c:v>99.574990555345593</c:v>
                      </c:pt>
                      <c:pt idx="146">
                        <c:v>99.574990555345593</c:v>
                      </c:pt>
                      <c:pt idx="147">
                        <c:v>99.225538345296471</c:v>
                      </c:pt>
                      <c:pt idx="148">
                        <c:v>99.395542123158194</c:v>
                      </c:pt>
                      <c:pt idx="149">
                        <c:v>99.98111069134859</c:v>
                      </c:pt>
                      <c:pt idx="150">
                        <c:v>100.31167359274639</c:v>
                      </c:pt>
                      <c:pt idx="151">
                        <c:v>100.66112580279551</c:v>
                      </c:pt>
                      <c:pt idx="152">
                        <c:v>100.82168492633159</c:v>
                      </c:pt>
                      <c:pt idx="153">
                        <c:v>100.74612769172637</c:v>
                      </c:pt>
                      <c:pt idx="154">
                        <c:v>101.04835663014723</c:v>
                      </c:pt>
                      <c:pt idx="155">
                        <c:v>101.97393275406108</c:v>
                      </c:pt>
                      <c:pt idx="156">
                        <c:v>102.3233849641102</c:v>
                      </c:pt>
                      <c:pt idx="157">
                        <c:v>102.81450698904409</c:v>
                      </c:pt>
                      <c:pt idx="158">
                        <c:v>102.43672081601802</c:v>
                      </c:pt>
                      <c:pt idx="159">
                        <c:v>102.36116358141281</c:v>
                      </c:pt>
                      <c:pt idx="160">
                        <c:v>102.46505477899498</c:v>
                      </c:pt>
                      <c:pt idx="161">
                        <c:v>102.94673214960322</c:v>
                      </c:pt>
                      <c:pt idx="162">
                        <c:v>103.06006800151104</c:v>
                      </c:pt>
                      <c:pt idx="163">
                        <c:v>102.92784284095191</c:v>
                      </c:pt>
                      <c:pt idx="164">
                        <c:v>102.78617302606713</c:v>
                      </c:pt>
                      <c:pt idx="165">
                        <c:v>102.8333962976954</c:v>
                      </c:pt>
                      <c:pt idx="166">
                        <c:v>102.82395164336977</c:v>
                      </c:pt>
                      <c:pt idx="167">
                        <c:v>102.78617302606715</c:v>
                      </c:pt>
                      <c:pt idx="168">
                        <c:v>102.53116735927456</c:v>
                      </c:pt>
                      <c:pt idx="169">
                        <c:v>102.68228182848497</c:v>
                      </c:pt>
                      <c:pt idx="170">
                        <c:v>103.10729127313931</c:v>
                      </c:pt>
                      <c:pt idx="171">
                        <c:v>103.55119002644493</c:v>
                      </c:pt>
                      <c:pt idx="172">
                        <c:v>103.68341518700406</c:v>
                      </c:pt>
                      <c:pt idx="173">
                        <c:v>104.21231582924055</c:v>
                      </c:pt>
                      <c:pt idx="174">
                        <c:v>104.55232338496401</c:v>
                      </c:pt>
                      <c:pt idx="175">
                        <c:v>104.45787684170749</c:v>
                      </c:pt>
                      <c:pt idx="176">
                        <c:v>104.56176803928966</c:v>
                      </c:pt>
                      <c:pt idx="177">
                        <c:v>104.05175670570448</c:v>
                      </c:pt>
                      <c:pt idx="178">
                        <c:v>103.64563656970145</c:v>
                      </c:pt>
                      <c:pt idx="179">
                        <c:v>103.74008311295799</c:v>
                      </c:pt>
                      <c:pt idx="180">
                        <c:v>103.17340385341888</c:v>
                      </c:pt>
                      <c:pt idx="181">
                        <c:v>103.5606346807706</c:v>
                      </c:pt>
                      <c:pt idx="182">
                        <c:v>103.29618435965236</c:v>
                      </c:pt>
                      <c:pt idx="183">
                        <c:v>102.99395542123149</c:v>
                      </c:pt>
                      <c:pt idx="184">
                        <c:v>102.86173026067237</c:v>
                      </c:pt>
                      <c:pt idx="185">
                        <c:v>102.70117113713628</c:v>
                      </c:pt>
                      <c:pt idx="186">
                        <c:v>102.72950510011324</c:v>
                      </c:pt>
                      <c:pt idx="187">
                        <c:v>102.14393653192285</c:v>
                      </c:pt>
                      <c:pt idx="188">
                        <c:v>102.07782395164328</c:v>
                      </c:pt>
                      <c:pt idx="189">
                        <c:v>102.04948998866632</c:v>
                      </c:pt>
                      <c:pt idx="190">
                        <c:v>101.96448809973546</c:v>
                      </c:pt>
                      <c:pt idx="191">
                        <c:v>101.91726482810721</c:v>
                      </c:pt>
                      <c:pt idx="192">
                        <c:v>101.91726482810721</c:v>
                      </c:pt>
                      <c:pt idx="193">
                        <c:v>102.07782395164328</c:v>
                      </c:pt>
                      <c:pt idx="194">
                        <c:v>102.6445032111824</c:v>
                      </c:pt>
                      <c:pt idx="195">
                        <c:v>102.55950132225152</c:v>
                      </c:pt>
                      <c:pt idx="196">
                        <c:v>102.86173026067236</c:v>
                      </c:pt>
                      <c:pt idx="197">
                        <c:v>103.20173781639582</c:v>
                      </c:pt>
                      <c:pt idx="198">
                        <c:v>103.00340007555714</c:v>
                      </c:pt>
                      <c:pt idx="199">
                        <c:v>103.25840574234972</c:v>
                      </c:pt>
                      <c:pt idx="200">
                        <c:v>103.11673592746496</c:v>
                      </c:pt>
                      <c:pt idx="201">
                        <c:v>103.02228938420843</c:v>
                      </c:pt>
                      <c:pt idx="202">
                        <c:v>102.56894597657715</c:v>
                      </c:pt>
                      <c:pt idx="203">
                        <c:v>102.73894975443891</c:v>
                      </c:pt>
                      <c:pt idx="204">
                        <c:v>102.57839063090282</c:v>
                      </c:pt>
                      <c:pt idx="205">
                        <c:v>103.56063468077059</c:v>
                      </c:pt>
                      <c:pt idx="206">
                        <c:v>103.37174159425756</c:v>
                      </c:pt>
                      <c:pt idx="207">
                        <c:v>103.26785039667539</c:v>
                      </c:pt>
                      <c:pt idx="208">
                        <c:v>103.12618058179061</c:v>
                      </c:pt>
                      <c:pt idx="209">
                        <c:v>102.8333962976954</c:v>
                      </c:pt>
                      <c:pt idx="210">
                        <c:v>103.1450698904419</c:v>
                      </c:pt>
                      <c:pt idx="211">
                        <c:v>102.71061579146193</c:v>
                      </c:pt>
                      <c:pt idx="212">
                        <c:v>102.89006422364932</c:v>
                      </c:pt>
                      <c:pt idx="213">
                        <c:v>102.70117113713628</c:v>
                      </c:pt>
                      <c:pt idx="214">
                        <c:v>102.72006044578761</c:v>
                      </c:pt>
                      <c:pt idx="215">
                        <c:v>103.07895731016237</c:v>
                      </c:pt>
                      <c:pt idx="216">
                        <c:v>103.70230449565538</c:v>
                      </c:pt>
                      <c:pt idx="217">
                        <c:v>103.71174914998103</c:v>
                      </c:pt>
                      <c:pt idx="218">
                        <c:v>103.45674348318845</c:v>
                      </c:pt>
                      <c:pt idx="219">
                        <c:v>103.37174159425759</c:v>
                      </c:pt>
                      <c:pt idx="220">
                        <c:v>103.45674348318846</c:v>
                      </c:pt>
                      <c:pt idx="221">
                        <c:v>104.15564790328668</c:v>
                      </c:pt>
                      <c:pt idx="222">
                        <c:v>103.40952021156019</c:v>
                      </c:pt>
                      <c:pt idx="223">
                        <c:v>103.1734038534189</c:v>
                      </c:pt>
                      <c:pt idx="224">
                        <c:v>103.40952021156019</c:v>
                      </c:pt>
                      <c:pt idx="225">
                        <c:v>103.52285606346801</c:v>
                      </c:pt>
                      <c:pt idx="226">
                        <c:v>103.23951643369847</c:v>
                      </c:pt>
                      <c:pt idx="227">
                        <c:v>103.56063468077062</c:v>
                      </c:pt>
                      <c:pt idx="228">
                        <c:v>103.94786550812235</c:v>
                      </c:pt>
                      <c:pt idx="229">
                        <c:v>103.957310162448</c:v>
                      </c:pt>
                      <c:pt idx="230">
                        <c:v>104.54287873063841</c:v>
                      </c:pt>
                      <c:pt idx="231">
                        <c:v>104.08009066868148</c:v>
                      </c:pt>
                      <c:pt idx="232">
                        <c:v>104.07064601435582</c:v>
                      </c:pt>
                      <c:pt idx="233">
                        <c:v>104.17453721193799</c:v>
                      </c:pt>
                      <c:pt idx="234">
                        <c:v>104.49565545901014</c:v>
                      </c:pt>
                      <c:pt idx="235">
                        <c:v>104.77899508877968</c:v>
                      </c:pt>
                      <c:pt idx="236">
                        <c:v>104.70343785417447</c:v>
                      </c:pt>
                      <c:pt idx="237">
                        <c:v>104.61843596524361</c:v>
                      </c:pt>
                      <c:pt idx="238">
                        <c:v>104.47676615035883</c:v>
                      </c:pt>
                      <c:pt idx="239">
                        <c:v>104.36343029845099</c:v>
                      </c:pt>
                      <c:pt idx="240">
                        <c:v>104.93010955799009</c:v>
                      </c:pt>
                      <c:pt idx="241">
                        <c:v>105.30789573101617</c:v>
                      </c:pt>
                      <c:pt idx="242">
                        <c:v>104.8734416320362</c:v>
                      </c:pt>
                      <c:pt idx="243">
                        <c:v>104.79788439743098</c:v>
                      </c:pt>
                      <c:pt idx="244">
                        <c:v>104.45787684170752</c:v>
                      </c:pt>
                      <c:pt idx="245">
                        <c:v>104.50510011333579</c:v>
                      </c:pt>
                      <c:pt idx="246">
                        <c:v>103.69285984132974</c:v>
                      </c:pt>
                      <c:pt idx="247">
                        <c:v>104.02342274272753</c:v>
                      </c:pt>
                      <c:pt idx="248">
                        <c:v>104.22176048356621</c:v>
                      </c:pt>
                      <c:pt idx="249">
                        <c:v>104.46732149603316</c:v>
                      </c:pt>
                      <c:pt idx="250">
                        <c:v>103.88175292784275</c:v>
                      </c:pt>
                      <c:pt idx="251">
                        <c:v>103.75897242160929</c:v>
                      </c:pt>
                      <c:pt idx="252">
                        <c:v>103.96675481677362</c:v>
                      </c:pt>
                      <c:pt idx="253">
                        <c:v>103.36229693993191</c:v>
                      </c:pt>
                      <c:pt idx="254">
                        <c:v>103.74008311295799</c:v>
                      </c:pt>
                      <c:pt idx="255">
                        <c:v>104.146203248961</c:v>
                      </c:pt>
                      <c:pt idx="256">
                        <c:v>104.02342274272753</c:v>
                      </c:pt>
                      <c:pt idx="257">
                        <c:v>104.4012089157536</c:v>
                      </c:pt>
                      <c:pt idx="258">
                        <c:v>104.21231582924057</c:v>
                      </c:pt>
                      <c:pt idx="259">
                        <c:v>103.66452587835276</c:v>
                      </c:pt>
                      <c:pt idx="260">
                        <c:v>103.79675103891188</c:v>
                      </c:pt>
                      <c:pt idx="261">
                        <c:v>103.38118624858319</c:v>
                      </c:pt>
                      <c:pt idx="262">
                        <c:v>103.60785795239883</c:v>
                      </c:pt>
                      <c:pt idx="263">
                        <c:v>103.21118247072147</c:v>
                      </c:pt>
                      <c:pt idx="264">
                        <c:v>102.98451076690583</c:v>
                      </c:pt>
                      <c:pt idx="265">
                        <c:v>103.39063090290884</c:v>
                      </c:pt>
                      <c:pt idx="266">
                        <c:v>103.64563656970142</c:v>
                      </c:pt>
                      <c:pt idx="267">
                        <c:v>104.12731394030966</c:v>
                      </c:pt>
                      <c:pt idx="268">
                        <c:v>104.15564790328661</c:v>
                      </c:pt>
                      <c:pt idx="269">
                        <c:v>104.42009822440485</c:v>
                      </c:pt>
                      <c:pt idx="270">
                        <c:v>104.26898375519443</c:v>
                      </c:pt>
                      <c:pt idx="271">
                        <c:v>104.25009444654312</c:v>
                      </c:pt>
                      <c:pt idx="272">
                        <c:v>103.48507744616533</c:v>
                      </c:pt>
                      <c:pt idx="273">
                        <c:v>103.16395919909318</c:v>
                      </c:pt>
                      <c:pt idx="274">
                        <c:v>103.48507744616533</c:v>
                      </c:pt>
                      <c:pt idx="275">
                        <c:v>103.64563656970141</c:v>
                      </c:pt>
                      <c:pt idx="276">
                        <c:v>103.6267472610501</c:v>
                      </c:pt>
                      <c:pt idx="277">
                        <c:v>103.7023044956553</c:v>
                      </c:pt>
                      <c:pt idx="278">
                        <c:v>103.58896864374749</c:v>
                      </c:pt>
                      <c:pt idx="279">
                        <c:v>103.53230071779359</c:v>
                      </c:pt>
                      <c:pt idx="280">
                        <c:v>103.88175292784268</c:v>
                      </c:pt>
                      <c:pt idx="281">
                        <c:v>103.95731016244791</c:v>
                      </c:pt>
                      <c:pt idx="282">
                        <c:v>103.72119380430662</c:v>
                      </c:pt>
                      <c:pt idx="283">
                        <c:v>103.81564034756316</c:v>
                      </c:pt>
                      <c:pt idx="284">
                        <c:v>103.91008689081968</c:v>
                      </c:pt>
                    </c:numCache>
                  </c:numRef>
                </c:val>
                <c:smooth val="0"/>
                <c:extLst xmlns:c15="http://schemas.microsoft.com/office/drawing/2012/chart">
                  <c:ext xmlns:c16="http://schemas.microsoft.com/office/drawing/2014/chart" uri="{C3380CC4-5D6E-409C-BE32-E72D297353CC}">
                    <c16:uniqueId val="{0000000A-A0A6-4952-B73D-3412C30D1F85}"/>
                  </c:ext>
                </c:extLst>
              </c15:ser>
            </c15:filteredLineSeries>
            <c15:filteredLineSeries>
              <c15:ser>
                <c:idx val="9"/>
                <c:order val="9"/>
                <c:tx>
                  <c:strRef>
                    <c:extLst xmlns:c15="http://schemas.microsoft.com/office/drawing/2012/chart">
                      <c:ext xmlns:c15="http://schemas.microsoft.com/office/drawing/2012/chart" uri="{02D57815-91ED-43cb-92C2-25804820EDAC}">
                        <c15:formulaRef>
                          <c15:sqref>'[2021 09 GMR NEW.XLSX]Currency Chart'!$Y$5</c15:sqref>
                        </c15:formulaRef>
                      </c:ext>
                    </c:extLst>
                    <c:strCache>
                      <c:ptCount val="1"/>
                      <c:pt idx="0">
                        <c:v>Swiss Franc</c:v>
                      </c:pt>
                    </c:strCache>
                  </c:strRef>
                </c:tx>
                <c:spPr>
                  <a:ln w="28575" cap="rnd">
                    <a:solidFill>
                      <a:schemeClr val="accent4">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'[2021 09 GMR NEW.XLSX]Currency Chart'!$O$6:$O$290</c15:sqref>
                        </c15:formulaRef>
                      </c:ext>
                    </c:extLst>
                    <c:numCache>
                      <c:formatCode>m/d/yyyy</c:formatCode>
                      <c:ptCount val="285"/>
                      <c:pt idx="0">
                        <c:v>44043</c:v>
                      </c:pt>
                      <c:pt idx="1">
                        <c:v>44046</c:v>
                      </c:pt>
                      <c:pt idx="2">
                        <c:v>44047</c:v>
                      </c:pt>
                      <c:pt idx="3">
                        <c:v>44048</c:v>
                      </c:pt>
                      <c:pt idx="4">
                        <c:v>44049</c:v>
                      </c:pt>
                      <c:pt idx="5">
                        <c:v>44050</c:v>
                      </c:pt>
                      <c:pt idx="6">
                        <c:v>44053</c:v>
                      </c:pt>
                      <c:pt idx="7">
                        <c:v>44054</c:v>
                      </c:pt>
                      <c:pt idx="8">
                        <c:v>44055</c:v>
                      </c:pt>
                      <c:pt idx="9">
                        <c:v>44056</c:v>
                      </c:pt>
                      <c:pt idx="10">
                        <c:v>44057</c:v>
                      </c:pt>
                      <c:pt idx="11">
                        <c:v>44060</c:v>
                      </c:pt>
                      <c:pt idx="12">
                        <c:v>44061</c:v>
                      </c:pt>
                      <c:pt idx="13">
                        <c:v>44062</c:v>
                      </c:pt>
                      <c:pt idx="14">
                        <c:v>44063</c:v>
                      </c:pt>
                      <c:pt idx="15">
                        <c:v>44064</c:v>
                      </c:pt>
                      <c:pt idx="16">
                        <c:v>44067</c:v>
                      </c:pt>
                      <c:pt idx="17">
                        <c:v>44068</c:v>
                      </c:pt>
                      <c:pt idx="18">
                        <c:v>44069</c:v>
                      </c:pt>
                      <c:pt idx="19">
                        <c:v>44070</c:v>
                      </c:pt>
                      <c:pt idx="20">
                        <c:v>44071</c:v>
                      </c:pt>
                      <c:pt idx="21">
                        <c:v>44074</c:v>
                      </c:pt>
                      <c:pt idx="22">
                        <c:v>44075</c:v>
                      </c:pt>
                      <c:pt idx="23">
                        <c:v>44076</c:v>
                      </c:pt>
                      <c:pt idx="24">
                        <c:v>44077</c:v>
                      </c:pt>
                      <c:pt idx="25">
                        <c:v>44078</c:v>
                      </c:pt>
                      <c:pt idx="26">
                        <c:v>44081</c:v>
                      </c:pt>
                      <c:pt idx="27">
                        <c:v>44082</c:v>
                      </c:pt>
                      <c:pt idx="28">
                        <c:v>44083</c:v>
                      </c:pt>
                      <c:pt idx="29">
                        <c:v>44084</c:v>
                      </c:pt>
                      <c:pt idx="30">
                        <c:v>44085</c:v>
                      </c:pt>
                      <c:pt idx="31">
                        <c:v>44088</c:v>
                      </c:pt>
                      <c:pt idx="32">
                        <c:v>44089</c:v>
                      </c:pt>
                      <c:pt idx="33">
                        <c:v>44090</c:v>
                      </c:pt>
                      <c:pt idx="34">
                        <c:v>44091</c:v>
                      </c:pt>
                      <c:pt idx="35">
                        <c:v>44092</c:v>
                      </c:pt>
                      <c:pt idx="36">
                        <c:v>44095</c:v>
                      </c:pt>
                      <c:pt idx="37">
                        <c:v>44096</c:v>
                      </c:pt>
                      <c:pt idx="38">
                        <c:v>44097</c:v>
                      </c:pt>
                      <c:pt idx="39">
                        <c:v>44098</c:v>
                      </c:pt>
                      <c:pt idx="40">
                        <c:v>44099</c:v>
                      </c:pt>
                      <c:pt idx="41">
                        <c:v>44102</c:v>
                      </c:pt>
                      <c:pt idx="42">
                        <c:v>44103</c:v>
                      </c:pt>
                      <c:pt idx="43">
                        <c:v>44104</c:v>
                      </c:pt>
                      <c:pt idx="44">
                        <c:v>44105</c:v>
                      </c:pt>
                      <c:pt idx="45">
                        <c:v>44106</c:v>
                      </c:pt>
                      <c:pt idx="46">
                        <c:v>44109</c:v>
                      </c:pt>
                      <c:pt idx="47">
                        <c:v>44110</c:v>
                      </c:pt>
                      <c:pt idx="48">
                        <c:v>44111</c:v>
                      </c:pt>
                      <c:pt idx="49">
                        <c:v>44112</c:v>
                      </c:pt>
                      <c:pt idx="50">
                        <c:v>44113</c:v>
                      </c:pt>
                      <c:pt idx="51">
                        <c:v>44116</c:v>
                      </c:pt>
                      <c:pt idx="52">
                        <c:v>44117</c:v>
                      </c:pt>
                      <c:pt idx="53">
                        <c:v>44118</c:v>
                      </c:pt>
                      <c:pt idx="54">
                        <c:v>44119</c:v>
                      </c:pt>
                      <c:pt idx="55">
                        <c:v>44120</c:v>
                      </c:pt>
                      <c:pt idx="56">
                        <c:v>44123</c:v>
                      </c:pt>
                      <c:pt idx="57">
                        <c:v>44124</c:v>
                      </c:pt>
                      <c:pt idx="58">
                        <c:v>44125</c:v>
                      </c:pt>
                      <c:pt idx="59">
                        <c:v>44126</c:v>
                      </c:pt>
                      <c:pt idx="60">
                        <c:v>44127</c:v>
                      </c:pt>
                      <c:pt idx="61">
                        <c:v>44130</c:v>
                      </c:pt>
                      <c:pt idx="62">
                        <c:v>44131</c:v>
                      </c:pt>
                      <c:pt idx="63">
                        <c:v>44132</c:v>
                      </c:pt>
                      <c:pt idx="64">
                        <c:v>44133</c:v>
                      </c:pt>
                      <c:pt idx="65">
                        <c:v>44134</c:v>
                      </c:pt>
                      <c:pt idx="66">
                        <c:v>44137</c:v>
                      </c:pt>
                      <c:pt idx="67">
                        <c:v>44138</c:v>
                      </c:pt>
                      <c:pt idx="68">
                        <c:v>44139</c:v>
                      </c:pt>
                      <c:pt idx="69">
                        <c:v>44140</c:v>
                      </c:pt>
                      <c:pt idx="70">
                        <c:v>44141</c:v>
                      </c:pt>
                      <c:pt idx="71">
                        <c:v>44144</c:v>
                      </c:pt>
                      <c:pt idx="72">
                        <c:v>44145</c:v>
                      </c:pt>
                      <c:pt idx="73">
                        <c:v>44146</c:v>
                      </c:pt>
                      <c:pt idx="74">
                        <c:v>44147</c:v>
                      </c:pt>
                      <c:pt idx="75">
                        <c:v>44148</c:v>
                      </c:pt>
                      <c:pt idx="76">
                        <c:v>44151</c:v>
                      </c:pt>
                      <c:pt idx="77">
                        <c:v>44152</c:v>
                      </c:pt>
                      <c:pt idx="78">
                        <c:v>44153</c:v>
                      </c:pt>
                      <c:pt idx="79">
                        <c:v>44154</c:v>
                      </c:pt>
                      <c:pt idx="80">
                        <c:v>44155</c:v>
                      </c:pt>
                      <c:pt idx="81">
                        <c:v>44158</c:v>
                      </c:pt>
                      <c:pt idx="82">
                        <c:v>44159</c:v>
                      </c:pt>
                      <c:pt idx="83">
                        <c:v>44160</c:v>
                      </c:pt>
                      <c:pt idx="84">
                        <c:v>44161</c:v>
                      </c:pt>
                      <c:pt idx="85">
                        <c:v>44162</c:v>
                      </c:pt>
                      <c:pt idx="86">
                        <c:v>44165</c:v>
                      </c:pt>
                      <c:pt idx="87">
                        <c:v>44166</c:v>
                      </c:pt>
                      <c:pt idx="88">
                        <c:v>44167</c:v>
                      </c:pt>
                      <c:pt idx="89">
                        <c:v>44168</c:v>
                      </c:pt>
                      <c:pt idx="90">
                        <c:v>44169</c:v>
                      </c:pt>
                      <c:pt idx="91">
                        <c:v>44172</c:v>
                      </c:pt>
                      <c:pt idx="92">
                        <c:v>44173</c:v>
                      </c:pt>
                      <c:pt idx="93">
                        <c:v>44174</c:v>
                      </c:pt>
                      <c:pt idx="94">
                        <c:v>44175</c:v>
                      </c:pt>
                      <c:pt idx="95">
                        <c:v>44176</c:v>
                      </c:pt>
                      <c:pt idx="96">
                        <c:v>44179</c:v>
                      </c:pt>
                      <c:pt idx="97">
                        <c:v>44180</c:v>
                      </c:pt>
                      <c:pt idx="98">
                        <c:v>44181</c:v>
                      </c:pt>
                      <c:pt idx="99">
                        <c:v>44182</c:v>
                      </c:pt>
                      <c:pt idx="100">
                        <c:v>44183</c:v>
                      </c:pt>
                      <c:pt idx="101">
                        <c:v>44186</c:v>
                      </c:pt>
                      <c:pt idx="102">
                        <c:v>44187</c:v>
                      </c:pt>
                      <c:pt idx="103">
                        <c:v>44188</c:v>
                      </c:pt>
                      <c:pt idx="104">
                        <c:v>44189</c:v>
                      </c:pt>
                      <c:pt idx="105">
                        <c:v>44190</c:v>
                      </c:pt>
                      <c:pt idx="106">
                        <c:v>44193</c:v>
                      </c:pt>
                      <c:pt idx="107">
                        <c:v>44194</c:v>
                      </c:pt>
                      <c:pt idx="108">
                        <c:v>44195</c:v>
                      </c:pt>
                      <c:pt idx="109">
                        <c:v>44196</c:v>
                      </c:pt>
                      <c:pt idx="110">
                        <c:v>44197</c:v>
                      </c:pt>
                      <c:pt idx="111">
                        <c:v>44200</c:v>
                      </c:pt>
                      <c:pt idx="112">
                        <c:v>44201</c:v>
                      </c:pt>
                      <c:pt idx="113">
                        <c:v>44202</c:v>
                      </c:pt>
                      <c:pt idx="114">
                        <c:v>44203</c:v>
                      </c:pt>
                      <c:pt idx="115">
                        <c:v>44204</c:v>
                      </c:pt>
                      <c:pt idx="116">
                        <c:v>44207</c:v>
                      </c:pt>
                      <c:pt idx="117">
                        <c:v>44208</c:v>
                      </c:pt>
                      <c:pt idx="118">
                        <c:v>44209</c:v>
                      </c:pt>
                      <c:pt idx="119">
                        <c:v>44210</c:v>
                      </c:pt>
                      <c:pt idx="120">
                        <c:v>44211</c:v>
                      </c:pt>
                      <c:pt idx="121">
                        <c:v>44214</c:v>
                      </c:pt>
                      <c:pt idx="122">
                        <c:v>44215</c:v>
                      </c:pt>
                      <c:pt idx="123">
                        <c:v>44216</c:v>
                      </c:pt>
                      <c:pt idx="124">
                        <c:v>44217</c:v>
                      </c:pt>
                      <c:pt idx="125">
                        <c:v>44218</c:v>
                      </c:pt>
                      <c:pt idx="126">
                        <c:v>44221</c:v>
                      </c:pt>
                      <c:pt idx="127">
                        <c:v>44222</c:v>
                      </c:pt>
                      <c:pt idx="128">
                        <c:v>44223</c:v>
                      </c:pt>
                      <c:pt idx="129">
                        <c:v>44224</c:v>
                      </c:pt>
                      <c:pt idx="130">
                        <c:v>44225</c:v>
                      </c:pt>
                      <c:pt idx="131">
                        <c:v>44228</c:v>
                      </c:pt>
                      <c:pt idx="132">
                        <c:v>44229</c:v>
                      </c:pt>
                      <c:pt idx="133">
                        <c:v>44230</c:v>
                      </c:pt>
                      <c:pt idx="134">
                        <c:v>44231</c:v>
                      </c:pt>
                      <c:pt idx="135">
                        <c:v>44232</c:v>
                      </c:pt>
                      <c:pt idx="136">
                        <c:v>44235</c:v>
                      </c:pt>
                      <c:pt idx="137">
                        <c:v>44236</c:v>
                      </c:pt>
                      <c:pt idx="138">
                        <c:v>44237</c:v>
                      </c:pt>
                      <c:pt idx="139">
                        <c:v>44238</c:v>
                      </c:pt>
                      <c:pt idx="140">
                        <c:v>44239</c:v>
                      </c:pt>
                      <c:pt idx="141">
                        <c:v>44242</c:v>
                      </c:pt>
                      <c:pt idx="142">
                        <c:v>44243</c:v>
                      </c:pt>
                      <c:pt idx="143">
                        <c:v>44244</c:v>
                      </c:pt>
                      <c:pt idx="144">
                        <c:v>44245</c:v>
                      </c:pt>
                      <c:pt idx="145">
                        <c:v>44246</c:v>
                      </c:pt>
                      <c:pt idx="146">
                        <c:v>44247</c:v>
                      </c:pt>
                      <c:pt idx="147">
                        <c:v>44249</c:v>
                      </c:pt>
                      <c:pt idx="148">
                        <c:v>44250</c:v>
                      </c:pt>
                      <c:pt idx="149">
                        <c:v>44251</c:v>
                      </c:pt>
                      <c:pt idx="150">
                        <c:v>44252</c:v>
                      </c:pt>
                      <c:pt idx="151">
                        <c:v>44253</c:v>
                      </c:pt>
                      <c:pt idx="152">
                        <c:v>44256</c:v>
                      </c:pt>
                      <c:pt idx="153">
                        <c:v>44257</c:v>
                      </c:pt>
                      <c:pt idx="154">
                        <c:v>44258</c:v>
                      </c:pt>
                      <c:pt idx="155">
                        <c:v>44259</c:v>
                      </c:pt>
                      <c:pt idx="156">
                        <c:v>44260</c:v>
                      </c:pt>
                      <c:pt idx="157">
                        <c:v>44263</c:v>
                      </c:pt>
                      <c:pt idx="158">
                        <c:v>44264</c:v>
                      </c:pt>
                      <c:pt idx="159">
                        <c:v>44265</c:v>
                      </c:pt>
                      <c:pt idx="160">
                        <c:v>44266</c:v>
                      </c:pt>
                      <c:pt idx="161">
                        <c:v>44267</c:v>
                      </c:pt>
                      <c:pt idx="162">
                        <c:v>44270</c:v>
                      </c:pt>
                      <c:pt idx="163">
                        <c:v>44271</c:v>
                      </c:pt>
                      <c:pt idx="164">
                        <c:v>44272</c:v>
                      </c:pt>
                      <c:pt idx="165">
                        <c:v>44273</c:v>
                      </c:pt>
                      <c:pt idx="166">
                        <c:v>44274</c:v>
                      </c:pt>
                      <c:pt idx="167">
                        <c:v>44277</c:v>
                      </c:pt>
                      <c:pt idx="168">
                        <c:v>44278</c:v>
                      </c:pt>
                      <c:pt idx="169">
                        <c:v>44279</c:v>
                      </c:pt>
                      <c:pt idx="170">
                        <c:v>44280</c:v>
                      </c:pt>
                      <c:pt idx="171">
                        <c:v>44281</c:v>
                      </c:pt>
                      <c:pt idx="172">
                        <c:v>44284</c:v>
                      </c:pt>
                      <c:pt idx="173">
                        <c:v>44285</c:v>
                      </c:pt>
                      <c:pt idx="174">
                        <c:v>44286</c:v>
                      </c:pt>
                      <c:pt idx="175">
                        <c:v>44287</c:v>
                      </c:pt>
                      <c:pt idx="176">
                        <c:v>44288</c:v>
                      </c:pt>
                      <c:pt idx="177">
                        <c:v>44291</c:v>
                      </c:pt>
                      <c:pt idx="178">
                        <c:v>44292</c:v>
                      </c:pt>
                      <c:pt idx="179">
                        <c:v>44293</c:v>
                      </c:pt>
                      <c:pt idx="180">
                        <c:v>44294</c:v>
                      </c:pt>
                      <c:pt idx="181">
                        <c:v>44295</c:v>
                      </c:pt>
                      <c:pt idx="182">
                        <c:v>44298</c:v>
                      </c:pt>
                      <c:pt idx="183">
                        <c:v>44299</c:v>
                      </c:pt>
                      <c:pt idx="184">
                        <c:v>44300</c:v>
                      </c:pt>
                      <c:pt idx="185">
                        <c:v>44301</c:v>
                      </c:pt>
                      <c:pt idx="186">
                        <c:v>44302</c:v>
                      </c:pt>
                      <c:pt idx="187">
                        <c:v>44305</c:v>
                      </c:pt>
                      <c:pt idx="188">
                        <c:v>44306</c:v>
                      </c:pt>
                      <c:pt idx="189">
                        <c:v>44307</c:v>
                      </c:pt>
                      <c:pt idx="190">
                        <c:v>44308</c:v>
                      </c:pt>
                      <c:pt idx="191">
                        <c:v>44309</c:v>
                      </c:pt>
                      <c:pt idx="192">
                        <c:v>44311</c:v>
                      </c:pt>
                      <c:pt idx="193">
                        <c:v>44312</c:v>
                      </c:pt>
                      <c:pt idx="194">
                        <c:v>44313</c:v>
                      </c:pt>
                      <c:pt idx="195">
                        <c:v>44314</c:v>
                      </c:pt>
                      <c:pt idx="196">
                        <c:v>44315</c:v>
                      </c:pt>
                      <c:pt idx="197">
                        <c:v>44316</c:v>
                      </c:pt>
                      <c:pt idx="198">
                        <c:v>44319</c:v>
                      </c:pt>
                      <c:pt idx="199">
                        <c:v>44320</c:v>
                      </c:pt>
                      <c:pt idx="200">
                        <c:v>44321</c:v>
                      </c:pt>
                      <c:pt idx="201">
                        <c:v>44322</c:v>
                      </c:pt>
                      <c:pt idx="202">
                        <c:v>44323</c:v>
                      </c:pt>
                      <c:pt idx="203">
                        <c:v>44326</c:v>
                      </c:pt>
                      <c:pt idx="204">
                        <c:v>44327</c:v>
                      </c:pt>
                      <c:pt idx="205">
                        <c:v>44328</c:v>
                      </c:pt>
                      <c:pt idx="206">
                        <c:v>44329</c:v>
                      </c:pt>
                      <c:pt idx="207">
                        <c:v>44330</c:v>
                      </c:pt>
                      <c:pt idx="208">
                        <c:v>44333</c:v>
                      </c:pt>
                      <c:pt idx="209">
                        <c:v>44334</c:v>
                      </c:pt>
                      <c:pt idx="210">
                        <c:v>44335</c:v>
                      </c:pt>
                      <c:pt idx="211">
                        <c:v>44336</c:v>
                      </c:pt>
                      <c:pt idx="212">
                        <c:v>44337</c:v>
                      </c:pt>
                      <c:pt idx="213">
                        <c:v>44340</c:v>
                      </c:pt>
                      <c:pt idx="214">
                        <c:v>44341</c:v>
                      </c:pt>
                      <c:pt idx="215">
                        <c:v>44342</c:v>
                      </c:pt>
                      <c:pt idx="216">
                        <c:v>44343</c:v>
                      </c:pt>
                      <c:pt idx="217">
                        <c:v>44344</c:v>
                      </c:pt>
                      <c:pt idx="218">
                        <c:v>44347</c:v>
                      </c:pt>
                      <c:pt idx="219">
                        <c:v>44348</c:v>
                      </c:pt>
                      <c:pt idx="220">
                        <c:v>44349</c:v>
                      </c:pt>
                      <c:pt idx="221">
                        <c:v>44350</c:v>
                      </c:pt>
                      <c:pt idx="222">
                        <c:v>44351</c:v>
                      </c:pt>
                      <c:pt idx="223">
                        <c:v>44354</c:v>
                      </c:pt>
                      <c:pt idx="224">
                        <c:v>44355</c:v>
                      </c:pt>
                      <c:pt idx="225">
                        <c:v>44356</c:v>
                      </c:pt>
                      <c:pt idx="226">
                        <c:v>44357</c:v>
                      </c:pt>
                      <c:pt idx="227">
                        <c:v>44358</c:v>
                      </c:pt>
                      <c:pt idx="228">
                        <c:v>44361</c:v>
                      </c:pt>
                      <c:pt idx="229">
                        <c:v>44362</c:v>
                      </c:pt>
                      <c:pt idx="230">
                        <c:v>44363</c:v>
                      </c:pt>
                      <c:pt idx="231">
                        <c:v>44364</c:v>
                      </c:pt>
                      <c:pt idx="232">
                        <c:v>44365</c:v>
                      </c:pt>
                      <c:pt idx="233">
                        <c:v>44368</c:v>
                      </c:pt>
                      <c:pt idx="234">
                        <c:v>44369</c:v>
                      </c:pt>
                      <c:pt idx="235">
                        <c:v>44370</c:v>
                      </c:pt>
                      <c:pt idx="236">
                        <c:v>44371</c:v>
                      </c:pt>
                      <c:pt idx="237">
                        <c:v>44372</c:v>
                      </c:pt>
                      <c:pt idx="238">
                        <c:v>44375</c:v>
                      </c:pt>
                      <c:pt idx="239">
                        <c:v>44376</c:v>
                      </c:pt>
                      <c:pt idx="240">
                        <c:v>44377</c:v>
                      </c:pt>
                      <c:pt idx="241">
                        <c:v>44378</c:v>
                      </c:pt>
                      <c:pt idx="242">
                        <c:v>44379</c:v>
                      </c:pt>
                      <c:pt idx="243">
                        <c:v>44382</c:v>
                      </c:pt>
                      <c:pt idx="244">
                        <c:v>44383</c:v>
                      </c:pt>
                      <c:pt idx="245">
                        <c:v>44384</c:v>
                      </c:pt>
                      <c:pt idx="246">
                        <c:v>44385</c:v>
                      </c:pt>
                      <c:pt idx="247">
                        <c:v>44386</c:v>
                      </c:pt>
                      <c:pt idx="248">
                        <c:v>44389</c:v>
                      </c:pt>
                      <c:pt idx="249">
                        <c:v>44390</c:v>
                      </c:pt>
                      <c:pt idx="250">
                        <c:v>44391</c:v>
                      </c:pt>
                      <c:pt idx="251">
                        <c:v>44392</c:v>
                      </c:pt>
                      <c:pt idx="252">
                        <c:v>44393</c:v>
                      </c:pt>
                      <c:pt idx="253">
                        <c:v>44396</c:v>
                      </c:pt>
                      <c:pt idx="254">
                        <c:v>44397</c:v>
                      </c:pt>
                      <c:pt idx="255">
                        <c:v>44398</c:v>
                      </c:pt>
                      <c:pt idx="256">
                        <c:v>44399</c:v>
                      </c:pt>
                      <c:pt idx="257">
                        <c:v>44400</c:v>
                      </c:pt>
                      <c:pt idx="258">
                        <c:v>44403</c:v>
                      </c:pt>
                      <c:pt idx="259">
                        <c:v>44404</c:v>
                      </c:pt>
                      <c:pt idx="260">
                        <c:v>44405</c:v>
                      </c:pt>
                      <c:pt idx="261">
                        <c:v>44406</c:v>
                      </c:pt>
                      <c:pt idx="262">
                        <c:v>44407</c:v>
                      </c:pt>
                      <c:pt idx="263">
                        <c:v>44410</c:v>
                      </c:pt>
                      <c:pt idx="264">
                        <c:v>44411</c:v>
                      </c:pt>
                      <c:pt idx="265">
                        <c:v>44412</c:v>
                      </c:pt>
                      <c:pt idx="266">
                        <c:v>44413</c:v>
                      </c:pt>
                      <c:pt idx="267">
                        <c:v>44414</c:v>
                      </c:pt>
                      <c:pt idx="268">
                        <c:v>44417</c:v>
                      </c:pt>
                      <c:pt idx="269">
                        <c:v>44418</c:v>
                      </c:pt>
                      <c:pt idx="270">
                        <c:v>44419</c:v>
                      </c:pt>
                      <c:pt idx="271">
                        <c:v>44420</c:v>
                      </c:pt>
                      <c:pt idx="272">
                        <c:v>44421</c:v>
                      </c:pt>
                      <c:pt idx="273">
                        <c:v>44424</c:v>
                      </c:pt>
                      <c:pt idx="274">
                        <c:v>44425</c:v>
                      </c:pt>
                      <c:pt idx="275">
                        <c:v>44426</c:v>
                      </c:pt>
                      <c:pt idx="276">
                        <c:v>44427</c:v>
                      </c:pt>
                      <c:pt idx="277">
                        <c:v>44428</c:v>
                      </c:pt>
                      <c:pt idx="278">
                        <c:v>44431</c:v>
                      </c:pt>
                      <c:pt idx="279">
                        <c:v>44432</c:v>
                      </c:pt>
                      <c:pt idx="280">
                        <c:v>44433</c:v>
                      </c:pt>
                      <c:pt idx="281">
                        <c:v>44434</c:v>
                      </c:pt>
                      <c:pt idx="282">
                        <c:v>44435</c:v>
                      </c:pt>
                      <c:pt idx="283">
                        <c:v>44438</c:v>
                      </c:pt>
                      <c:pt idx="284">
                        <c:v>44439</c:v>
                      </c:pt>
                    </c:numCache>
                  </c:numRef>
                </c:cat>
                <c:val>
                  <c:numRef>
                    <c:extLst xmlns:c15="http://schemas.microsoft.com/office/drawing/2012/chart">
                      <c:ext xmlns:c15="http://schemas.microsoft.com/office/drawing/2012/chart" uri="{02D57815-91ED-43cb-92C2-25804820EDAC}">
                        <c15:formulaRef>
                          <c15:sqref>'[2021 09 GMR NEW.XLSX]Currency Chart'!$Y$6:$Y$290</c15:sqref>
                        </c15:formulaRef>
                      </c:ext>
                    </c:extLst>
                    <c:numCache>
                      <c:formatCode>0</c:formatCode>
                      <c:ptCount val="285"/>
                      <c:pt idx="0" formatCode="General">
                        <c:v>100</c:v>
                      </c:pt>
                      <c:pt idx="1">
                        <c:v>100.54782513421716</c:v>
                      </c:pt>
                      <c:pt idx="2">
                        <c:v>100.05478251342173</c:v>
                      </c:pt>
                      <c:pt idx="3">
                        <c:v>99.517913881888902</c:v>
                      </c:pt>
                      <c:pt idx="4">
                        <c:v>99.671304919469705</c:v>
                      </c:pt>
                      <c:pt idx="5">
                        <c:v>99.956173989262638</c:v>
                      </c:pt>
                      <c:pt idx="6">
                        <c:v>100.31773857784596</c:v>
                      </c:pt>
                      <c:pt idx="7">
                        <c:v>100.43826010737374</c:v>
                      </c:pt>
                      <c:pt idx="8">
                        <c:v>99.923304481209613</c:v>
                      </c:pt>
                      <c:pt idx="9">
                        <c:v>99.660348416785368</c:v>
                      </c:pt>
                      <c:pt idx="10">
                        <c:v>99.594609400679317</c:v>
                      </c:pt>
                      <c:pt idx="11">
                        <c:v>99.309740330886399</c:v>
                      </c:pt>
                      <c:pt idx="12">
                        <c:v>99.013914758409129</c:v>
                      </c:pt>
                      <c:pt idx="13">
                        <c:v>100.25199956173992</c:v>
                      </c:pt>
                      <c:pt idx="14">
                        <c:v>99.441218363098514</c:v>
                      </c:pt>
                      <c:pt idx="15">
                        <c:v>99.868521967787899</c:v>
                      </c:pt>
                      <c:pt idx="16">
                        <c:v>99.890434973156573</c:v>
                      </c:pt>
                      <c:pt idx="17">
                        <c:v>99.430261860414163</c:v>
                      </c:pt>
                      <c:pt idx="18">
                        <c:v>99.496000876520228</c:v>
                      </c:pt>
                      <c:pt idx="19">
                        <c:v>99.572696395310629</c:v>
                      </c:pt>
                      <c:pt idx="20">
                        <c:v>99.02487126109348</c:v>
                      </c:pt>
                      <c:pt idx="21">
                        <c:v>98.992001753040441</c:v>
                      </c:pt>
                      <c:pt idx="22">
                        <c:v>99.616522406048006</c:v>
                      </c:pt>
                      <c:pt idx="23">
                        <c:v>99.758956940944472</c:v>
                      </c:pt>
                      <c:pt idx="24">
                        <c:v>99.627478908732357</c:v>
                      </c:pt>
                      <c:pt idx="25">
                        <c:v>100.0438260107374</c:v>
                      </c:pt>
                      <c:pt idx="26">
                        <c:v>100.35060808589901</c:v>
                      </c:pt>
                      <c:pt idx="27">
                        <c:v>100.5039991234798</c:v>
                      </c:pt>
                      <c:pt idx="28">
                        <c:v>99.956173989262638</c:v>
                      </c:pt>
                      <c:pt idx="29">
                        <c:v>99.748000438260121</c:v>
                      </c:pt>
                      <c:pt idx="30">
                        <c:v>99.550783389941941</c:v>
                      </c:pt>
                      <c:pt idx="31">
                        <c:v>99.517913881888916</c:v>
                      </c:pt>
                      <c:pt idx="32">
                        <c:v>99.48504437383589</c:v>
                      </c:pt>
                      <c:pt idx="33">
                        <c:v>99.616522406048006</c:v>
                      </c:pt>
                      <c:pt idx="34">
                        <c:v>99.517913881888916</c:v>
                      </c:pt>
                      <c:pt idx="35">
                        <c:v>99.879478470472236</c:v>
                      </c:pt>
                      <c:pt idx="36">
                        <c:v>100.17530404294951</c:v>
                      </c:pt>
                      <c:pt idx="37">
                        <c:v>100.71217267448232</c:v>
                      </c:pt>
                      <c:pt idx="38">
                        <c:v>101.2161717979621</c:v>
                      </c:pt>
                      <c:pt idx="39">
                        <c:v>101.52295387312371</c:v>
                      </c:pt>
                      <c:pt idx="40">
                        <c:v>101.72017092144189</c:v>
                      </c:pt>
                      <c:pt idx="41">
                        <c:v>101.28191081406815</c:v>
                      </c:pt>
                      <c:pt idx="42">
                        <c:v>100.71217267448232</c:v>
                      </c:pt>
                      <c:pt idx="43">
                        <c:v>100.87652021474747</c:v>
                      </c:pt>
                      <c:pt idx="44">
                        <c:v>100.61356415032324</c:v>
                      </c:pt>
                      <c:pt idx="45">
                        <c:v>100.89843322011617</c:v>
                      </c:pt>
                      <c:pt idx="46">
                        <c:v>100.28486906979296</c:v>
                      </c:pt>
                      <c:pt idx="47">
                        <c:v>100.54782513421718</c:v>
                      </c:pt>
                      <c:pt idx="48">
                        <c:v>100.49304262079546</c:v>
                      </c:pt>
                      <c:pt idx="49">
                        <c:v>100.43826010737374</c:v>
                      </c:pt>
                      <c:pt idx="50">
                        <c:v>99.715130930207096</c:v>
                      </c:pt>
                      <c:pt idx="51">
                        <c:v>99.605565903363669</c:v>
                      </c:pt>
                      <c:pt idx="52">
                        <c:v>100.24104305905557</c:v>
                      </c:pt>
                      <c:pt idx="53">
                        <c:v>100.12052152952778</c:v>
                      </c:pt>
                      <c:pt idx="54">
                        <c:v>100.24104305905556</c:v>
                      </c:pt>
                      <c:pt idx="55">
                        <c:v>100.20817355100252</c:v>
                      </c:pt>
                      <c:pt idx="56">
                        <c:v>99.726087432891418</c:v>
                      </c:pt>
                      <c:pt idx="57">
                        <c:v>99.364522844308098</c:v>
                      </c:pt>
                      <c:pt idx="58">
                        <c:v>99.189218801358606</c:v>
                      </c:pt>
                      <c:pt idx="59">
                        <c:v>99.364522844308098</c:v>
                      </c:pt>
                      <c:pt idx="60">
                        <c:v>99.068697271830828</c:v>
                      </c:pt>
                      <c:pt idx="61">
                        <c:v>99.419305357729797</c:v>
                      </c:pt>
                      <c:pt idx="62">
                        <c:v>99.539826887257561</c:v>
                      </c:pt>
                      <c:pt idx="63">
                        <c:v>99.737043935575741</c:v>
                      </c:pt>
                      <c:pt idx="64">
                        <c:v>100.27391256710855</c:v>
                      </c:pt>
                      <c:pt idx="65">
                        <c:v>100.43826010737371</c:v>
                      </c:pt>
                      <c:pt idx="66">
                        <c:v>100.65739016106058</c:v>
                      </c:pt>
                      <c:pt idx="67">
                        <c:v>99.890434973156559</c:v>
                      </c:pt>
                      <c:pt idx="68">
                        <c:v>99.967130491946975</c:v>
                      </c:pt>
                      <c:pt idx="69">
                        <c:v>99.046784266462154</c:v>
                      </c:pt>
                      <c:pt idx="70">
                        <c:v>98.663306672510132</c:v>
                      </c:pt>
                      <c:pt idx="71">
                        <c:v>100.06573901610605</c:v>
                      </c:pt>
                      <c:pt idx="72">
                        <c:v>100.2848690697929</c:v>
                      </c:pt>
                      <c:pt idx="73">
                        <c:v>100.50399912347977</c:v>
                      </c:pt>
                      <c:pt idx="74">
                        <c:v>100.23008655637119</c:v>
                      </c:pt>
                      <c:pt idx="75">
                        <c:v>99.989043497315649</c:v>
                      </c:pt>
                      <c:pt idx="76">
                        <c:v>100</c:v>
                      </c:pt>
                      <c:pt idx="77">
                        <c:v>99.824695957050508</c:v>
                      </c:pt>
                      <c:pt idx="78">
                        <c:v>99.80278295168182</c:v>
                      </c:pt>
                      <c:pt idx="79">
                        <c:v>99.80278295168182</c:v>
                      </c:pt>
                      <c:pt idx="80">
                        <c:v>99.80278295168182</c:v>
                      </c:pt>
                      <c:pt idx="81">
                        <c:v>99.978086994631298</c:v>
                      </c:pt>
                      <c:pt idx="82">
                        <c:v>99.824695957050494</c:v>
                      </c:pt>
                      <c:pt idx="83">
                        <c:v>99.485044373835848</c:v>
                      </c:pt>
                      <c:pt idx="84">
                        <c:v>99.276870822833331</c:v>
                      </c:pt>
                      <c:pt idx="85">
                        <c:v>99.057740769146463</c:v>
                      </c:pt>
                      <c:pt idx="86">
                        <c:v>99.594609400679289</c:v>
                      </c:pt>
                      <c:pt idx="87">
                        <c:v>98.575654651035379</c:v>
                      </c:pt>
                      <c:pt idx="88">
                        <c:v>97.973047003396502</c:v>
                      </c:pt>
                      <c:pt idx="89">
                        <c:v>97.611482414813182</c:v>
                      </c:pt>
                      <c:pt idx="90">
                        <c:v>97.742960447025297</c:v>
                      </c:pt>
                      <c:pt idx="91">
                        <c:v>97.578612906760142</c:v>
                      </c:pt>
                      <c:pt idx="92">
                        <c:v>97.403308863810665</c:v>
                      </c:pt>
                      <c:pt idx="93">
                        <c:v>97.425221869179353</c:v>
                      </c:pt>
                      <c:pt idx="94">
                        <c:v>97.052700777911681</c:v>
                      </c:pt>
                      <c:pt idx="95">
                        <c:v>97.43617837186369</c:v>
                      </c:pt>
                      <c:pt idx="96">
                        <c:v>97.107483291333395</c:v>
                      </c:pt>
                      <c:pt idx="97">
                        <c:v>97.030787772543007</c:v>
                      </c:pt>
                      <c:pt idx="98">
                        <c:v>97.019831269858656</c:v>
                      </c:pt>
                      <c:pt idx="99">
                        <c:v>96.888353237646541</c:v>
                      </c:pt>
                      <c:pt idx="100">
                        <c:v>96.767831708118777</c:v>
                      </c:pt>
                      <c:pt idx="101">
                        <c:v>97.01983126985867</c:v>
                      </c:pt>
                      <c:pt idx="102">
                        <c:v>97.469047879916729</c:v>
                      </c:pt>
                      <c:pt idx="103">
                        <c:v>97.271830831598564</c:v>
                      </c:pt>
                      <c:pt idx="104">
                        <c:v>97.578612906760171</c:v>
                      </c:pt>
                      <c:pt idx="105">
                        <c:v>97.392352361126342</c:v>
                      </c:pt>
                      <c:pt idx="106">
                        <c:v>97.337569847704629</c:v>
                      </c:pt>
                      <c:pt idx="107">
                        <c:v>96.888353237646569</c:v>
                      </c:pt>
                      <c:pt idx="108">
                        <c:v>96.526788649063249</c:v>
                      </c:pt>
                      <c:pt idx="109">
                        <c:v>96.976005259121322</c:v>
                      </c:pt>
                      <c:pt idx="110">
                        <c:v>96.976005259121322</c:v>
                      </c:pt>
                      <c:pt idx="111">
                        <c:v>96.559658157116274</c:v>
                      </c:pt>
                      <c:pt idx="112">
                        <c:v>96.230963076585979</c:v>
                      </c:pt>
                      <c:pt idx="113">
                        <c:v>96.230963076585979</c:v>
                      </c:pt>
                      <c:pt idx="114">
                        <c:v>96.976005259121322</c:v>
                      </c:pt>
                      <c:pt idx="115">
                        <c:v>97.008874767174362</c:v>
                      </c:pt>
                      <c:pt idx="116">
                        <c:v>97.534786896022837</c:v>
                      </c:pt>
                      <c:pt idx="117">
                        <c:v>97.107483291333452</c:v>
                      </c:pt>
                      <c:pt idx="118">
                        <c:v>97.249917826229904</c:v>
                      </c:pt>
                      <c:pt idx="119">
                        <c:v>97.293743836967266</c:v>
                      </c:pt>
                      <c:pt idx="120">
                        <c:v>97.589569409444522</c:v>
                      </c:pt>
                      <c:pt idx="121">
                        <c:v>97.578612906760171</c:v>
                      </c:pt>
                      <c:pt idx="122">
                        <c:v>97.348526350388966</c:v>
                      </c:pt>
                      <c:pt idx="123">
                        <c:v>97.458091377232392</c:v>
                      </c:pt>
                      <c:pt idx="124">
                        <c:v>96.976005259121294</c:v>
                      </c:pt>
                      <c:pt idx="125">
                        <c:v>96.986961761805631</c:v>
                      </c:pt>
                      <c:pt idx="126">
                        <c:v>97.315656842335926</c:v>
                      </c:pt>
                      <c:pt idx="127">
                        <c:v>97.140352799386434</c:v>
                      </c:pt>
                      <c:pt idx="128">
                        <c:v>97.37043935575764</c:v>
                      </c:pt>
                      <c:pt idx="129">
                        <c:v>97.37043935575764</c:v>
                      </c:pt>
                      <c:pt idx="130">
                        <c:v>97.545743398707117</c:v>
                      </c:pt>
                      <c:pt idx="131">
                        <c:v>98.257916073189435</c:v>
                      </c:pt>
                      <c:pt idx="132">
                        <c:v>98.29078558124246</c:v>
                      </c:pt>
                      <c:pt idx="133">
                        <c:v>98.48800262956064</c:v>
                      </c:pt>
                      <c:pt idx="134">
                        <c:v>99.079653774515165</c:v>
                      </c:pt>
                      <c:pt idx="135">
                        <c:v>98.477046126876303</c:v>
                      </c:pt>
                      <c:pt idx="136">
                        <c:v>98.4551331215076</c:v>
                      </c:pt>
                      <c:pt idx="137">
                        <c:v>97.742960447025297</c:v>
                      </c:pt>
                      <c:pt idx="138">
                        <c:v>97.512873890654092</c:v>
                      </c:pt>
                      <c:pt idx="139">
                        <c:v>97.512873890654092</c:v>
                      </c:pt>
                      <c:pt idx="140">
                        <c:v>97.644351922866193</c:v>
                      </c:pt>
                      <c:pt idx="141">
                        <c:v>97.523830393338415</c:v>
                      </c:pt>
                      <c:pt idx="142">
                        <c:v>97.764873452393957</c:v>
                      </c:pt>
                      <c:pt idx="143">
                        <c:v>98.455133121507572</c:v>
                      </c:pt>
                      <c:pt idx="144">
                        <c:v>98.137394543661628</c:v>
                      </c:pt>
                      <c:pt idx="145">
                        <c:v>98.192177057083342</c:v>
                      </c:pt>
                      <c:pt idx="146">
                        <c:v>98.192177057083342</c:v>
                      </c:pt>
                      <c:pt idx="147">
                        <c:v>98.170264051714653</c:v>
                      </c:pt>
                      <c:pt idx="148">
                        <c:v>99.156349293305524</c:v>
                      </c:pt>
                      <c:pt idx="149">
                        <c:v>99.298783828201977</c:v>
                      </c:pt>
                      <c:pt idx="150">
                        <c:v>99.079653774515108</c:v>
                      </c:pt>
                      <c:pt idx="151">
                        <c:v>99.506957379204493</c:v>
                      </c:pt>
                      <c:pt idx="152">
                        <c:v>100.23008655637113</c:v>
                      </c:pt>
                      <c:pt idx="153">
                        <c:v>100.20817355100245</c:v>
                      </c:pt>
                      <c:pt idx="154">
                        <c:v>100.76695518790396</c:v>
                      </c:pt>
                      <c:pt idx="155">
                        <c:v>101.73112742412616</c:v>
                      </c:pt>
                      <c:pt idx="156">
                        <c:v>101.99408348855039</c:v>
                      </c:pt>
                      <c:pt idx="157">
                        <c:v>102.60764763887362</c:v>
                      </c:pt>
                      <c:pt idx="158">
                        <c:v>101.62156239728273</c:v>
                      </c:pt>
                      <c:pt idx="159">
                        <c:v>101.84069245096958</c:v>
                      </c:pt>
                      <c:pt idx="160">
                        <c:v>101.2599978086994</c:v>
                      </c:pt>
                      <c:pt idx="161">
                        <c:v>101.86260545633827</c:v>
                      </c:pt>
                      <c:pt idx="162">
                        <c:v>101.58869288922969</c:v>
                      </c:pt>
                      <c:pt idx="163">
                        <c:v>101.29286731675242</c:v>
                      </c:pt>
                      <c:pt idx="164">
                        <c:v>101.06278076038122</c:v>
                      </c:pt>
                      <c:pt idx="165">
                        <c:v>101.55582338117667</c:v>
                      </c:pt>
                      <c:pt idx="166">
                        <c:v>101.80782294291657</c:v>
                      </c:pt>
                      <c:pt idx="167">
                        <c:v>101.12851977648729</c:v>
                      </c:pt>
                      <c:pt idx="168">
                        <c:v>102.31182206639635</c:v>
                      </c:pt>
                      <c:pt idx="169">
                        <c:v>102.49808261203017</c:v>
                      </c:pt>
                      <c:pt idx="170">
                        <c:v>102.99112523282561</c:v>
                      </c:pt>
                      <c:pt idx="171">
                        <c:v>102.87060370329783</c:v>
                      </c:pt>
                      <c:pt idx="172">
                        <c:v>102.88156020598217</c:v>
                      </c:pt>
                      <c:pt idx="173">
                        <c:v>103.21025528651245</c:v>
                      </c:pt>
                      <c:pt idx="174">
                        <c:v>103.36364632409327</c:v>
                      </c:pt>
                      <c:pt idx="175">
                        <c:v>103.21025528651246</c:v>
                      </c:pt>
                      <c:pt idx="176">
                        <c:v>103.22121178919683</c:v>
                      </c:pt>
                      <c:pt idx="177">
                        <c:v>102.59669113618926</c:v>
                      </c:pt>
                      <c:pt idx="178">
                        <c:v>101.98312698586604</c:v>
                      </c:pt>
                      <c:pt idx="179">
                        <c:v>101.82973594828523</c:v>
                      </c:pt>
                      <c:pt idx="180">
                        <c:v>101.31478032212111</c:v>
                      </c:pt>
                      <c:pt idx="181">
                        <c:v>101.32573682480545</c:v>
                      </c:pt>
                      <c:pt idx="182">
                        <c:v>101.06278076038122</c:v>
                      </c:pt>
                      <c:pt idx="183">
                        <c:v>100.88747671743171</c:v>
                      </c:pt>
                      <c:pt idx="184">
                        <c:v>101.06278076038122</c:v>
                      </c:pt>
                      <c:pt idx="185">
                        <c:v>101.08469376574989</c:v>
                      </c:pt>
                      <c:pt idx="186">
                        <c:v>100.79982469595697</c:v>
                      </c:pt>
                      <c:pt idx="187">
                        <c:v>100.25199956173981</c:v>
                      </c:pt>
                      <c:pt idx="188">
                        <c:v>100.33965158321455</c:v>
                      </c:pt>
                      <c:pt idx="189">
                        <c:v>100.46017311274232</c:v>
                      </c:pt>
                      <c:pt idx="190">
                        <c:v>100.42730360468929</c:v>
                      </c:pt>
                      <c:pt idx="191">
                        <c:v>100.0766955187903</c:v>
                      </c:pt>
                      <c:pt idx="192">
                        <c:v>100.0766955187903</c:v>
                      </c:pt>
                      <c:pt idx="193">
                        <c:v>100.13147803221203</c:v>
                      </c:pt>
                      <c:pt idx="194">
                        <c:v>100.07669551879032</c:v>
                      </c:pt>
                      <c:pt idx="195">
                        <c:v>99.638435411416594</c:v>
                      </c:pt>
                      <c:pt idx="196">
                        <c:v>99.517913881888816</c:v>
                      </c:pt>
                      <c:pt idx="197">
                        <c:v>100.06573901610598</c:v>
                      </c:pt>
                      <c:pt idx="198">
                        <c:v>99.802782951681749</c:v>
                      </c:pt>
                      <c:pt idx="199">
                        <c:v>100.08765202147465</c:v>
                      </c:pt>
                      <c:pt idx="200">
                        <c:v>100.01095650268425</c:v>
                      </c:pt>
                      <c:pt idx="201">
                        <c:v>99.37547934699235</c:v>
                      </c:pt>
                      <c:pt idx="202">
                        <c:v>98.71808918593176</c:v>
                      </c:pt>
                      <c:pt idx="203">
                        <c:v>98.729045688616111</c:v>
                      </c:pt>
                      <c:pt idx="204">
                        <c:v>99.013914758409015</c:v>
                      </c:pt>
                      <c:pt idx="205">
                        <c:v>99.605565903363569</c:v>
                      </c:pt>
                      <c:pt idx="206">
                        <c:v>99.254957817464586</c:v>
                      </c:pt>
                      <c:pt idx="207">
                        <c:v>98.729045688616111</c:v>
                      </c:pt>
                      <c:pt idx="208">
                        <c:v>98.959132244987316</c:v>
                      </c:pt>
                      <c:pt idx="209">
                        <c:v>98.345568094664102</c:v>
                      </c:pt>
                      <c:pt idx="210">
                        <c:v>99.024871261093395</c:v>
                      </c:pt>
                      <c:pt idx="211">
                        <c:v>98.290785581242403</c:v>
                      </c:pt>
                      <c:pt idx="212">
                        <c:v>98.345568094664117</c:v>
                      </c:pt>
                      <c:pt idx="213">
                        <c:v>98.268872575873715</c:v>
                      </c:pt>
                      <c:pt idx="214">
                        <c:v>98.093568532924223</c:v>
                      </c:pt>
                      <c:pt idx="215">
                        <c:v>98.378437602717156</c:v>
                      </c:pt>
                      <c:pt idx="216">
                        <c:v>98.257916073189378</c:v>
                      </c:pt>
                      <c:pt idx="217">
                        <c:v>98.575654651035336</c:v>
                      </c:pt>
                      <c:pt idx="218">
                        <c:v>98.520872137613608</c:v>
                      </c:pt>
                      <c:pt idx="219">
                        <c:v>98.257916073189378</c:v>
                      </c:pt>
                      <c:pt idx="220">
                        <c:v>98.345568094664117</c:v>
                      </c:pt>
                      <c:pt idx="221">
                        <c:v>98.981045250356033</c:v>
                      </c:pt>
                      <c:pt idx="222">
                        <c:v>98.520872137613622</c:v>
                      </c:pt>
                      <c:pt idx="223">
                        <c:v>98.323655089295443</c:v>
                      </c:pt>
                      <c:pt idx="224">
                        <c:v>98.236003067820704</c:v>
                      </c:pt>
                      <c:pt idx="225">
                        <c:v>98.126438040977263</c:v>
                      </c:pt>
                      <c:pt idx="226">
                        <c:v>97.984003506080811</c:v>
                      </c:pt>
                      <c:pt idx="227">
                        <c:v>98.37843760271717</c:v>
                      </c:pt>
                      <c:pt idx="228">
                        <c:v>98.586611153719687</c:v>
                      </c:pt>
                      <c:pt idx="229">
                        <c:v>98.37843760271717</c:v>
                      </c:pt>
                      <c:pt idx="230">
                        <c:v>99.539826887257547</c:v>
                      </c:pt>
                      <c:pt idx="231">
                        <c:v>100.50399912347976</c:v>
                      </c:pt>
                      <c:pt idx="232">
                        <c:v>101.06278076038126</c:v>
                      </c:pt>
                      <c:pt idx="233">
                        <c:v>100.55878163690147</c:v>
                      </c:pt>
                      <c:pt idx="234">
                        <c:v>100.55878163690147</c:v>
                      </c:pt>
                      <c:pt idx="235">
                        <c:v>100.65739016106056</c:v>
                      </c:pt>
                      <c:pt idx="236">
                        <c:v>100.52591212884845</c:v>
                      </c:pt>
                      <c:pt idx="237">
                        <c:v>100.52591212884845</c:v>
                      </c:pt>
                      <c:pt idx="238">
                        <c:v>100.72312917716663</c:v>
                      </c:pt>
                      <c:pt idx="239">
                        <c:v>100.86556371206309</c:v>
                      </c:pt>
                      <c:pt idx="240">
                        <c:v>101.33669332748985</c:v>
                      </c:pt>
                      <c:pt idx="241">
                        <c:v>101.36956283554288</c:v>
                      </c:pt>
                      <c:pt idx="242">
                        <c:v>100.86556371206308</c:v>
                      </c:pt>
                      <c:pt idx="243">
                        <c:v>101.00799824695956</c:v>
                      </c:pt>
                      <c:pt idx="244">
                        <c:v>101.2490413060151</c:v>
                      </c:pt>
                      <c:pt idx="245">
                        <c:v>101.38051933822722</c:v>
                      </c:pt>
                      <c:pt idx="246">
                        <c:v>100.30678207516159</c:v>
                      </c:pt>
                      <c:pt idx="247">
                        <c:v>100.12052152952775</c:v>
                      </c:pt>
                      <c:pt idx="248">
                        <c:v>100.24104305905553</c:v>
                      </c:pt>
                      <c:pt idx="249">
                        <c:v>100.62452065300754</c:v>
                      </c:pt>
                      <c:pt idx="250">
                        <c:v>100.24104305905553</c:v>
                      </c:pt>
                      <c:pt idx="251">
                        <c:v>100.53686863153277</c:v>
                      </c:pt>
                      <c:pt idx="252">
                        <c:v>100.73408567985093</c:v>
                      </c:pt>
                      <c:pt idx="253">
                        <c:v>100.56973813958579</c:v>
                      </c:pt>
                      <c:pt idx="254">
                        <c:v>100.98608524159081</c:v>
                      </c:pt>
                      <c:pt idx="255">
                        <c:v>100.5259121288484</c:v>
                      </c:pt>
                      <c:pt idx="256">
                        <c:v>100.66834666374486</c:v>
                      </c:pt>
                      <c:pt idx="257">
                        <c:v>100.69025966911354</c:v>
                      </c:pt>
                      <c:pt idx="258">
                        <c:v>100.35060808589891</c:v>
                      </c:pt>
                      <c:pt idx="259">
                        <c:v>100.17530404294942</c:v>
                      </c:pt>
                      <c:pt idx="260">
                        <c:v>99.693217924838322</c:v>
                      </c:pt>
                      <c:pt idx="261">
                        <c:v>99.287827325517625</c:v>
                      </c:pt>
                      <c:pt idx="262">
                        <c:v>99.200175304042872</c:v>
                      </c:pt>
                      <c:pt idx="263">
                        <c:v>99.200175304042872</c:v>
                      </c:pt>
                      <c:pt idx="264">
                        <c:v>99.002958255724693</c:v>
                      </c:pt>
                      <c:pt idx="265">
                        <c:v>99.35356634162369</c:v>
                      </c:pt>
                      <c:pt idx="266">
                        <c:v>99.419305357729755</c:v>
                      </c:pt>
                      <c:pt idx="267">
                        <c:v>100.18626054563377</c:v>
                      </c:pt>
                      <c:pt idx="268">
                        <c:v>100.85460720937871</c:v>
                      </c:pt>
                      <c:pt idx="269">
                        <c:v>101.08469376574992</c:v>
                      </c:pt>
                      <c:pt idx="270">
                        <c:v>100.99704174427517</c:v>
                      </c:pt>
                      <c:pt idx="271">
                        <c:v>101.15043278185597</c:v>
                      </c:pt>
                      <c:pt idx="272">
                        <c:v>100.2958255724772</c:v>
                      </c:pt>
                      <c:pt idx="273">
                        <c:v>99.923304481209527</c:v>
                      </c:pt>
                      <c:pt idx="274">
                        <c:v>100.18626054563376</c:v>
                      </c:pt>
                      <c:pt idx="275">
                        <c:v>100.44921661005797</c:v>
                      </c:pt>
                      <c:pt idx="276">
                        <c:v>100.6573901610605</c:v>
                      </c:pt>
                      <c:pt idx="277">
                        <c:v>100.48208611811103</c:v>
                      </c:pt>
                      <c:pt idx="278">
                        <c:v>99.945217486578215</c:v>
                      </c:pt>
                      <c:pt idx="279">
                        <c:v>99.945217486578215</c:v>
                      </c:pt>
                      <c:pt idx="280">
                        <c:v>100.098608524159</c:v>
                      </c:pt>
                      <c:pt idx="281">
                        <c:v>100.53686863153273</c:v>
                      </c:pt>
                      <c:pt idx="282">
                        <c:v>99.824695957050437</c:v>
                      </c:pt>
                      <c:pt idx="283">
                        <c:v>100.44921661005799</c:v>
                      </c:pt>
                      <c:pt idx="284">
                        <c:v>100.25199956173982</c:v>
                      </c:pt>
                    </c:numCache>
                  </c:numRef>
                </c:val>
                <c:smooth val="0"/>
                <c:extLst xmlns:c15="http://schemas.microsoft.com/office/drawing/2012/chart">
                  <c:ext xmlns:c16="http://schemas.microsoft.com/office/drawing/2014/chart" uri="{C3380CC4-5D6E-409C-BE32-E72D297353CC}">
                    <c16:uniqueId val="{0000000B-A0A6-4952-B73D-3412C30D1F85}"/>
                  </c:ext>
                </c:extLst>
              </c15:ser>
            </c15:filteredLineSeries>
          </c:ext>
        </c:extLst>
      </c:lineChart>
      <c:dateAx>
        <c:axId val="601505112"/>
        <c:scaling>
          <c:orientation val="minMax"/>
        </c:scaling>
        <c:delete val="0"/>
        <c:axPos val="b"/>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601504328"/>
        <c:crosses val="autoZero"/>
        <c:auto val="1"/>
        <c:lblOffset val="100"/>
        <c:baseTimeUnit val="days"/>
      </c:dateAx>
      <c:valAx>
        <c:axId val="601504328"/>
        <c:scaling>
          <c:orientation val="minMax"/>
          <c:min val="9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601505112"/>
        <c:crosses val="autoZero"/>
        <c:crossBetween val="between"/>
        <c:majorUnit val="10"/>
      </c:valAx>
      <c:spPr>
        <a:noFill/>
        <a:ln>
          <a:noFill/>
        </a:ln>
        <a:effectLst/>
      </c:spPr>
    </c:plotArea>
    <c:legend>
      <c:legendPos val="b"/>
      <c:layout>
        <c:manualLayout>
          <c:xMode val="edge"/>
          <c:yMode val="edge"/>
          <c:x val="6.0165354330708659E-2"/>
          <c:y val="0.80497521143190431"/>
          <c:w val="0.87966929133858263"/>
          <c:h val="0.1672470107903178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
</file>

<file path=customXml/item2.xml><?xml version="1.0" encoding="utf-8"?>
<Klassify>
  <SNO>5</SNO>
  <KDate>2021-03-04 12:15:09</KDate>
  <Classification>SEBI-INTERNAL</Classification>
  <HostName>MUM0111832</HostName>
  <Domain_User>SEBINT/1832</Domain_User>
  <IPAdd>10.88.99.209</IPAdd>
  <FilePath>C:\Users\1832\AppData\Roaming\Klassify\57909\Bulletin-February 2021.docx</FilePath>
  <KID>7427EA48EFCA637066619672483538</KID>
</Klassify>
</file>

<file path=customXml/item3.xml><?xml version="1.0" encoding="utf-8"?>
<Klassify>
  <SNO>6</SNO>
  <KDate>2021-03-04 13:03:23</KDate>
  <Classification>SEBI-PUBLIC</Classification>
  <HostName>MUM0111649</HostName>
  <Domain_User>SEBINT/1649</Domain_User>
  <IPAdd>10.88.99.116</IPAdd>
  <FilePath>C:\Users\1649\Desktop\Bulletin Feb 2021\Bulletin Files\Bulletin-February 2021 Revised.docx</FilePath>
  <KID>7427EA48EFCA637066619672483538</KID>
  <UniqueName/>
  <Suggested/>
  <Justification/>
</Klassify>
</file>

<file path=customXml/item4.xml><?xml version="1.0" encoding="utf-8"?>
<Klassify>
  <SNO>4</SNO>
  <KDate>2021-03-04 12:07:01</KDate>
  <Classification>SEBI-INTERNAL</Classification>
  <HostName>MUM0111649</HostName>
  <Domain_User>SEBINT/1649</Domain_User>
  <IPAdd>10.88.99.116</IPAdd>
  <FilePath>C:\Users\1649\AppData\Roaming\Klassify\83779\Bulletin-February 2021.docx</FilePath>
  <KID>7427EA48EFCA637066619672483538</KID>
</Klassify>
</file>

<file path=customXml/item5.xml><?xml version="1.0" encoding="utf-8"?>
<Klassify>
  <SNO>3</SNO>
  <KDate>2021-03-03 12:56:47</KDate>
  <Classification>SEBI-INTERNAL</Classification>
  <HostName>MUM0111564</HostName>
  <Domain_User>SEBINT/1564</Domain_User>
  <IPAdd>10.88.101.238</IPAdd>
  <FilePath>C:\Users\1564\AppData\Roaming\Klassify\47103\Bulletin-February 2021.docx</FilePath>
  <KID>7427EA48EFCA637066619672483538</KID>
</Klassify>
</file>

<file path=customXml/item6.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7.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8.xml>
</file>

<file path=customXml/item9.xml>
</file>

<file path=customXml/item10.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90E88-F8CE-47CC-B1F2-2802B9D4F2FE}"/>
</file>

<file path=customXml/itemProps2.xml><?xml version="1.0" encoding="utf-8"?>
<ds:datastoreItem xmlns:ds="http://schemas.openxmlformats.org/officeDocument/2006/customXml" ds:itemID="{D7543C77-5EBC-46F2-AC21-5D702358D3EF}">
  <ds:schemaRefs/>
</ds:datastoreItem>
</file>

<file path=customXml/itemProps3.xml><?xml version="1.0" encoding="utf-8"?>
<ds:datastoreItem xmlns:ds="http://schemas.openxmlformats.org/officeDocument/2006/customXml" ds:itemID="{2C38164C-8094-471D-AC2C-77D018C8E0F2}">
  <ds:schemaRefs/>
</ds:datastoreItem>
</file>

<file path=customXml/itemProps4.xml><?xml version="1.0" encoding="utf-8"?>
<ds:datastoreItem xmlns:ds="http://schemas.openxmlformats.org/officeDocument/2006/customXml" ds:itemID="{D7543C77-5EBC-46F2-AC21-5D702358D3EF}">
  <ds:schemaRefs/>
</ds:datastoreItem>
</file>

<file path=customXml/itemProps5.xml><?xml version="1.0" encoding="utf-8"?>
<ds:datastoreItem xmlns:ds="http://schemas.openxmlformats.org/officeDocument/2006/customXml" ds:itemID="{D7543C77-5EBC-46F2-AC21-5D702358D3EF}">
  <ds:schemaRefs/>
</ds:datastoreItem>
</file>

<file path=customXml/itemProps6.xml><?xml version="1.0" encoding="utf-8"?>
<ds:datastoreItem xmlns:ds="http://schemas.openxmlformats.org/officeDocument/2006/customXml" ds:itemID="{AC874CF5-52D4-4685-80EC-6F1B86646A89}">
  <ds:schemaRefs/>
</ds:datastoreItem>
</file>

<file path=customXml/itemProps7.xml><?xml version="1.0" encoding="utf-8"?>
<ds:datastoreItem xmlns:ds="http://schemas.openxmlformats.org/officeDocument/2006/customXml" ds:itemID="{982F008C-5608-4977-B1FB-BF780A09BDC2}">
  <ds:schemaRefs/>
</ds:datastoreItem>
</file>

<file path=customXml/itemProps8.xml><?xml version="1.0" encoding="utf-8"?>
<ds:datastoreItem xmlns:ds="http://schemas.openxmlformats.org/officeDocument/2006/customXml" ds:itemID="{FFFCDC47-2152-406C-A3E3-98A02192763B}"/>
</file>

<file path=customXml/itemProps9.xml><?xml version="1.0" encoding="utf-8"?>
<ds:datastoreItem xmlns:ds="http://schemas.openxmlformats.org/officeDocument/2006/customXml" ds:itemID="{8A5DE7B4-0207-485C-AD2D-76752FDBC33F}"/>
</file>

<file path=customXml/itemProps10.xml><?xml version="1.0" encoding="utf-8"?>
<ds:datastoreItem xmlns:ds="http://schemas.openxmlformats.org/officeDocument/2006/customXml" ds:itemID="{44B495F7-E5B4-4C41-A395-0346FDC3B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12831</Words>
  <Characters>73139</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Nilima Karandikar</cp:lastModifiedBy>
  <cp:revision>2</cp:revision>
  <cp:lastPrinted>2021-09-22T10:08:00Z</cp:lastPrinted>
  <dcterms:created xsi:type="dcterms:W3CDTF">2021-10-08T10:06:00Z</dcterms:created>
  <dcterms:modified xsi:type="dcterms:W3CDTF">2021-10-08T10:06:00Z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ules">
    <vt:lpwstr/>
  </property>
  <property fmtid="{D5CDD505-2E9C-101B-9397-08002B2CF9AE}" pid="3" name="Classification">
    <vt:lpwstr>SEBI-PUBLIC</vt:lpwstr>
  </property>
  <property fmtid="{D5CDD505-2E9C-101B-9397-08002B2CF9AE}" pid="4" name="KID">
    <vt:lpwstr>7427EA48EFCA637066619672483538</vt:lpwstr>
  </property>
</Properties>
</file>