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2563EB"/>
          <w:sz w:val="40"/>
          <w:szCs w:val="40"/>
        </w:rPr>
        <w:t xml:space="preserve">EV Charging Cybersecurity via VR, Eye Tracking and EEG</w:t>
      </w:r>
    </w:p>
    <w:p>
      <w:pPr>
        <w:spacing w:after="300"/>
      </w:pPr>
      <w:r>
        <w:rPr>
          <w:i/>
          <w:iCs/>
          <w:color w:val="555555"/>
          <w:sz w:val="22"/>
          <w:szCs w:val="22"/>
        </w:rPr>
        <w:t xml:space="preserve">Literature Review, Research Gap, and Novelty Analysis -- documentation for supervisor and team review</w:t>
      </w:r>
    </w:p>
    <w:p>
      <w:pPr>
        <w:pBdr>
          <w:bottom w:val="single" w:color="CBD5E1" w:sz="6" w:space="1"/>
        </w:pBdr>
        <w:spacing w:after="200"/>
      </w:pPr>
    </w:p>
    <w:p>
      <w:pPr>
        <w:pStyle w:val="Heading1"/>
        <w:spacing w:after="180" w:before="380"/>
      </w:pPr>
      <w:r>
        <w:t xml:space="preserve">1. Executive Summary</w:t>
      </w:r>
    </w:p>
    <w:p>
      <w:pPr>
        <w:spacing w:after="150"/>
      </w:pPr>
      <w:r>
        <w:t xml:space="preserve">EV-charging cybersecurity research is technical: protocols, firmware, intrusion detection, grid impact. The seed taxonomy for this project (Aljohani &amp; Almutairi, 2024) is itself purely technical and contains essentially no human-decision content. Human-centered cybersecurity research with eye tracking and EEG, meanwhile, is concentrated almost entirely on email phishing in static, desktop settings. Between these two established literatures sits an essentially unoccupied space: how people decide, behaviorally and physiologically, when the deception is interactive and happens at a charging kiosk rather than in an inbox.</w:t>
      </w:r>
    </w:p>
    <w:p>
      <w:pPr>
        <w:spacing w:after="150"/>
      </w:pPr>
      <w:r>
        <w:t xml:space="preserve">This project occupies that space with a VR driving simulation (BeamNG.tech) in which participants choose among charging kiosks -- some malicious -- while eye tracking (Varjo XR-4) and EEG (Muse S Athena) record their attention and workload. The contribution claimed is the research question and experimental paradigm, not the fact that several technologies are combined: the closest prior work (Kurt et al. 2026, maritime GNSS spoofing with EEG+gaze) is a methodological twin in a different domain and task; no verified study combines EV-charging deception, an active multi-option decision, VR immersion, and behavioral+gaze+EEG measurement together.</w:t>
      </w:r>
    </w:p>
    <w:p>
      <w:pPr>
        <w:spacing w:after="150"/>
      </w:pPr>
      <w:r>
        <w:t xml:space="preserve">A second, smaller and independently well-supported contribution remains available: whether a malicious AI recommendation increases unsafe decisions (automation bias). A codebase audit (October 2026) found the in-game 'AI assistant' is a screenshot+RAG deepfake-detection chatbot rather than a kiosk-recommendation engine, so this objective now requires building new recommendation-generation logic rather than reusing existing infrastructure -- see Section 4a.</w:t>
      </w:r>
    </w:p>
    <w:p>
      <w:pPr>
        <w:pStyle w:val="Heading1"/>
        <w:spacing w:after="180" w:before="380"/>
      </w:pPr>
      <w:r>
        <w:t xml:space="preserve">2. Problem Statement and Research Questions</w:t>
      </w:r>
    </w:p>
    <w:p>
      <w:pPr>
        <w:spacing w:after="150"/>
      </w:pPr>
      <w:r>
        <w:t xml:space="preserve">Problem statement: How do people make decisions at compromised EV charging kiosks, and can behavioral, eye-tracking and EEG signals identify vulnerable decision-making?</w:t>
      </w:r>
    </w:p>
    <w:p>
      <w:pPr>
        <w:pStyle w:val="ListParagraph"/>
        <w:numPr>
          <w:ilvl w:val="0"/>
          <w:numId w:val="2"/>
        </w:numPr>
        <w:spacing w:after="70"/>
      </w:pPr>
      <w:r>
        <w:rPr>
          <w:b/>
          <w:bCs/>
        </w:rPr>
        <w:t xml:space="preserve">RQ1 -- Which information do users inspect, and in what order, before accepting or rejecting a potentially malicious charging kiosk?</w:t>
      </w:r>
    </w:p>
    <w:p>
      <w:pPr>
        <w:pStyle w:val="ListParagraph"/>
        <w:numPr>
          <w:ilvl w:val="0"/>
          <w:numId w:val="2"/>
        </w:numPr>
        <w:spacing w:after="70"/>
      </w:pPr>
      <w:r>
        <w:rPr>
          <w:b/>
          <w:bCs/>
        </w:rPr>
        <w:t xml:space="preserve">RQ2 -- Do gaze, EEG and behavioral patterns distinguish risky decisions from safe ones, when evaluated on participants not seen during training?</w:t>
      </w:r>
    </w:p>
    <w:p>
      <w:pPr>
        <w:pStyle w:val="ListParagraph"/>
        <w:numPr>
          <w:ilvl w:val="0"/>
          <w:numId w:val="2"/>
        </w:numPr>
        <w:spacing w:after="70"/>
      </w:pPr>
      <w:r>
        <w:rPr>
          <w:b/>
          <w:bCs/>
        </w:rPr>
        <w:t xml:space="preserve">RQ3 -- Can a risk estimate derived from these patterns drive an AI warning that improves decisions, without producing blind reliance on the warning itself?</w:t>
      </w:r>
    </w:p>
    <w:p>
      <w:pPr>
        <w:spacing w:after="150"/>
      </w:pPr>
      <w:r>
        <w:t xml:space="preserve">Each RQ has a defined independent variable (attack presence/type for RQ1-2; AI-recommendation validity for RQ3 under the recommended additional objective) and defined, verifiable outcome labels drawn from game logs -- never from gaze or EEG, which avoids the circular "EEG says vulnerable, therefore vulnerable" trap.</w:t>
      </w:r>
    </w:p>
    <w:p>
      <w:pPr>
        <w:pStyle w:val="Heading1"/>
        <w:spacing w:after="180" w:before="380"/>
      </w:pPr>
      <w:r>
        <w:t xml:space="preserve">3. Closest Prior Work</w:t>
      </w:r>
    </w:p>
    <w:p>
      <w:pPr>
        <w:spacing w:after="150"/>
      </w:pPr>
      <w:r>
        <w:t xml:space="preserve">Five works were checked directly against publisher pages or independent indexing before being used as the basis for the gap/novelty claims below.</w:t>
      </w:r>
    </w:p>
    <w:tbl>
      <w:tblPr>
        <w:tblW w:type="dxa" w:w="137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200"/>
        <w:gridCol w:w="4700"/>
      </w:tblGrid>
      <w:tr>
        <w:trPr>
          <w:tblHeader/>
        </w:trPr>
        <w:tc>
          <w:tcPr>
            <w:tcW w:type="dxa" w:w="2600"/>
            <w:shd w:fill="1F2937" w:color="auto" w:val="clear"/>
            <w:tcMar>
              <w:top w:type="dxa" w:w="70"/>
              <w:left w:type="dxa" w:w="90"/>
              <w:bottom w:type="dxa" w:w="70"/>
              <w:right w:type="dxa" w:w="90"/>
            </w:tcMar>
          </w:tcPr>
          <w:p>
            <w:r>
              <w:rPr>
                <w:b/>
                <w:bCs/>
                <w:color w:val="FFFFFF"/>
                <w:sz w:val="17"/>
                <w:szCs w:val="17"/>
              </w:rPr>
              <w:t xml:space="preserve">Prior Work</w:t>
            </w:r>
          </w:p>
        </w:tc>
        <w:tc>
          <w:tcPr>
            <w:tcW w:type="dxa" w:w="4200"/>
            <w:shd w:fill="1F2937" w:color="auto" w:val="clear"/>
            <w:tcMar>
              <w:top w:type="dxa" w:w="70"/>
              <w:left w:type="dxa" w:w="90"/>
              <w:bottom w:type="dxa" w:w="70"/>
              <w:right w:type="dxa" w:w="90"/>
            </w:tcMar>
          </w:tcPr>
          <w:p>
            <w:r>
              <w:rPr>
                <w:b/>
                <w:bCs/>
                <w:color w:val="FFFFFF"/>
                <w:sz w:val="17"/>
                <w:szCs w:val="17"/>
              </w:rPr>
              <w:t xml:space="preserve">What it did</w:t>
            </w:r>
          </w:p>
        </w:tc>
        <w:tc>
          <w:tcPr>
            <w:tcW w:type="dxa" w:w="2200"/>
            <w:shd w:fill="1F2937" w:color="auto" w:val="clear"/>
            <w:tcMar>
              <w:top w:type="dxa" w:w="70"/>
              <w:left w:type="dxa" w:w="90"/>
              <w:bottom w:type="dxa" w:w="70"/>
              <w:right w:type="dxa" w:w="90"/>
            </w:tcMar>
          </w:tcPr>
          <w:p>
            <w:r>
              <w:rPr>
                <w:b/>
                <w:bCs/>
                <w:color w:val="FFFFFF"/>
                <w:sz w:val="17"/>
                <w:szCs w:val="17"/>
              </w:rPr>
              <w:t xml:space="preserve">Modality / Domain</w:t>
            </w:r>
          </w:p>
        </w:tc>
        <w:tc>
          <w:tcPr>
            <w:tcW w:type="dxa" w:w="4700"/>
            <w:shd w:fill="1F2937" w:color="auto" w:val="clear"/>
            <w:tcMar>
              <w:top w:type="dxa" w:w="70"/>
              <w:left w:type="dxa" w:w="90"/>
              <w:bottom w:type="dxa" w:w="70"/>
              <w:right w:type="dxa" w:w="90"/>
            </w:tcMar>
          </w:tcPr>
          <w:p>
            <w:r>
              <w:rPr>
                <w:b/>
                <w:bCs/>
                <w:color w:val="FFFFFF"/>
                <w:sz w:val="17"/>
                <w:szCs w:val="17"/>
              </w:rPr>
              <w:t xml:space="preserve">What it doesn't cover</w:t>
            </w:r>
          </w:p>
        </w:tc>
      </w:tr>
      <w:tr>
        <w:tc>
          <w:tcPr>
            <w:tcW w:type="dxa" w:w="2600"/>
            <w:tcMar>
              <w:top w:type="dxa" w:w="70"/>
              <w:left w:type="dxa" w:w="90"/>
              <w:bottom w:type="dxa" w:w="70"/>
              <w:right w:type="dxa" w:w="90"/>
            </w:tcMar>
          </w:tcPr>
          <w:p>
            <w:r>
              <w:rPr>
                <w:b w:val="false"/>
                <w:bCs w:val="false"/>
                <w:sz w:val="17"/>
                <w:szCs w:val="17"/>
              </w:rPr>
              <w:t xml:space="preserve">Nasr et al. 2022 (Computers &amp; Security 112:102511)</w:t>
            </w:r>
          </w:p>
        </w:tc>
        <w:tc>
          <w:tcPr>
            <w:tcW w:type="dxa" w:w="4200"/>
            <w:tcMar>
              <w:top w:type="dxa" w:w="70"/>
              <w:left w:type="dxa" w:w="90"/>
              <w:bottom w:type="dxa" w:w="70"/>
              <w:right w:type="dxa" w:w="90"/>
            </w:tcMar>
          </w:tcPr>
          <w:p>
            <w:r>
              <w:rPr>
                <w:b w:val="false"/>
                <w:bCs w:val="false"/>
                <w:sz w:val="17"/>
                <w:szCs w:val="17"/>
              </w:rPr>
              <w:t xml:space="preserve">Security analysis of 16 real EV charging-station management systems; demonstrated remote takeover, session hijacking, firmware downgrade. 12 CVEs reserved by Schneider Electric on their findings.</w:t>
            </w:r>
          </w:p>
        </w:tc>
        <w:tc>
          <w:tcPr>
            <w:tcW w:type="dxa" w:w="2200"/>
            <w:tcMar>
              <w:top w:type="dxa" w:w="70"/>
              <w:left w:type="dxa" w:w="90"/>
              <w:bottom w:type="dxa" w:w="70"/>
              <w:right w:type="dxa" w:w="90"/>
            </w:tcMar>
          </w:tcPr>
          <w:p>
            <w:r>
              <w:rPr>
                <w:b w:val="false"/>
                <w:bCs w:val="false"/>
                <w:sz w:val="17"/>
                <w:szCs w:val="17"/>
              </w:rPr>
              <w:t xml:space="preserve">Technical / no human subjects</w:t>
            </w:r>
          </w:p>
        </w:tc>
        <w:tc>
          <w:tcPr>
            <w:tcW w:type="dxa" w:w="4700"/>
            <w:tcMar>
              <w:top w:type="dxa" w:w="70"/>
              <w:left w:type="dxa" w:w="90"/>
              <w:bottom w:type="dxa" w:w="70"/>
              <w:right w:type="dxa" w:w="90"/>
            </w:tcMar>
          </w:tcPr>
          <w:p>
            <w:r>
              <w:rPr>
                <w:b w:val="false"/>
                <w:bCs w:val="false"/>
                <w:sz w:val="17"/>
                <w:szCs w:val="17"/>
              </w:rPr>
              <w:t xml:space="preserve">No users, no decisions, no physiology -- purely infrastructure-side.</w:t>
            </w:r>
          </w:p>
        </w:tc>
      </w:tr>
      <w:tr>
        <w:tc>
          <w:tcPr>
            <w:tcW w:type="dxa" w:w="2600"/>
            <w:shd w:fill="F3F4F6" w:color="auto" w:val="clear"/>
            <w:tcMar>
              <w:top w:type="dxa" w:w="70"/>
              <w:left w:type="dxa" w:w="90"/>
              <w:bottom w:type="dxa" w:w="70"/>
              <w:right w:type="dxa" w:w="90"/>
            </w:tcMar>
          </w:tcPr>
          <w:p>
            <w:r>
              <w:rPr>
                <w:b w:val="false"/>
                <w:bCs w:val="false"/>
                <w:sz w:val="17"/>
                <w:szCs w:val="17"/>
              </w:rPr>
              <w:t xml:space="preserve">McAlaney &amp; Hills 2020 (Frontiers in Psychology, DOI 10.3389/fpsyg.2020.01756)</w:t>
            </w:r>
          </w:p>
        </w:tc>
        <w:tc>
          <w:tcPr>
            <w:tcW w:type="dxa" w:w="4200"/>
            <w:shd w:fill="F3F4F6" w:color="auto" w:val="clear"/>
            <w:tcMar>
              <w:top w:type="dxa" w:w="70"/>
              <w:left w:type="dxa" w:w="90"/>
              <w:bottom w:type="dxa" w:w="70"/>
              <w:right w:type="dxa" w:w="90"/>
            </w:tcMar>
          </w:tcPr>
          <w:p>
            <w:r>
              <w:rPr>
                <w:b w:val="false"/>
                <w:bCs w:val="false"/>
                <w:sz w:val="17"/>
                <w:szCs w:val="17"/>
              </w:rPr>
              <w:t xml:space="preserve">Eye-tracking while participants judged phishing emails; found indicator regions were fixated but under-processed (looked at, not scrutinized).</w:t>
            </w:r>
          </w:p>
        </w:tc>
        <w:tc>
          <w:tcPr>
            <w:tcW w:type="dxa" w:w="2200"/>
            <w:shd w:fill="F3F4F6" w:color="auto" w:val="clear"/>
            <w:tcMar>
              <w:top w:type="dxa" w:w="70"/>
              <w:left w:type="dxa" w:w="90"/>
              <w:bottom w:type="dxa" w:w="70"/>
              <w:right w:type="dxa" w:w="90"/>
            </w:tcMar>
          </w:tcPr>
          <w:p>
            <w:r>
              <w:rPr>
                <w:b w:val="false"/>
                <w:bCs w:val="false"/>
                <w:sz w:val="17"/>
                <w:szCs w:val="17"/>
              </w:rPr>
              <w:t xml:space="preserve">Eye tracking / email phishing</w:t>
            </w:r>
          </w:p>
        </w:tc>
        <w:tc>
          <w:tcPr>
            <w:tcW w:type="dxa" w:w="4700"/>
            <w:shd w:fill="F3F4F6" w:color="auto" w:val="clear"/>
            <w:tcMar>
              <w:top w:type="dxa" w:w="70"/>
              <w:left w:type="dxa" w:w="90"/>
              <w:bottom w:type="dxa" w:w="70"/>
              <w:right w:type="dxa" w:w="90"/>
            </w:tcMar>
          </w:tcPr>
          <w:p>
            <w:r>
              <w:rPr>
                <w:b w:val="false"/>
                <w:bCs w:val="false"/>
                <w:sz w:val="17"/>
                <w:szCs w:val="17"/>
              </w:rPr>
              <w:t xml:space="preserve">Static screen, no immersion, no interactive decision, no EEG.</w:t>
            </w:r>
          </w:p>
        </w:tc>
      </w:tr>
      <w:tr>
        <w:tc>
          <w:tcPr>
            <w:tcW w:type="dxa" w:w="2600"/>
            <w:tcMar>
              <w:top w:type="dxa" w:w="70"/>
              <w:left w:type="dxa" w:w="90"/>
              <w:bottom w:type="dxa" w:w="70"/>
              <w:right w:type="dxa" w:w="90"/>
            </w:tcMar>
          </w:tcPr>
          <w:p>
            <w:r>
              <w:rPr>
                <w:b w:val="false"/>
                <w:bCs w:val="false"/>
                <w:sz w:val="17"/>
                <w:szCs w:val="17"/>
              </w:rPr>
              <w:t xml:space="preserve">Thomopoulos, Lyras &amp; Fidas 2024 (Pers. Ubiquitous Comput. 28:449-470, DOI 10.1007/s00779-024-01794-9)</w:t>
            </w:r>
          </w:p>
        </w:tc>
        <w:tc>
          <w:tcPr>
            <w:tcW w:type="dxa" w:w="4200"/>
            <w:tcMar>
              <w:top w:type="dxa" w:w="70"/>
              <w:left w:type="dxa" w:w="90"/>
              <w:bottom w:type="dxa" w:w="70"/>
              <w:right w:type="dxa" w:w="90"/>
            </w:tcMar>
          </w:tcPr>
          <w:p>
            <w:r>
              <w:rPr>
                <w:b w:val="false"/>
                <w:bCs w:val="false"/>
                <w:sz w:val="17"/>
                <w:szCs w:val="17"/>
              </w:rPr>
              <w:t xml:space="preserve">Systematic review of EEG+gaze phishing studies: 651 records screened, only 18 included. Explicitly calls for combining gaze and EEG in more realistic, multi-sensory settings.</w:t>
            </w:r>
          </w:p>
        </w:tc>
        <w:tc>
          <w:tcPr>
            <w:tcW w:type="dxa" w:w="2200"/>
            <w:tcMar>
              <w:top w:type="dxa" w:w="70"/>
              <w:left w:type="dxa" w:w="90"/>
              <w:bottom w:type="dxa" w:w="70"/>
              <w:right w:type="dxa" w:w="90"/>
            </w:tcMar>
          </w:tcPr>
          <w:p>
            <w:r>
              <w:rPr>
                <w:b w:val="false"/>
                <w:bCs w:val="false"/>
                <w:sz w:val="17"/>
                <w:szCs w:val="17"/>
              </w:rPr>
              <w:t xml:space="preserve">EEG + eye tracking / phishing (review)</w:t>
            </w:r>
          </w:p>
        </w:tc>
        <w:tc>
          <w:tcPr>
            <w:tcW w:type="dxa" w:w="4700"/>
            <w:tcMar>
              <w:top w:type="dxa" w:w="70"/>
              <w:left w:type="dxa" w:w="90"/>
              <w:bottom w:type="dxa" w:w="70"/>
              <w:right w:type="dxa" w:w="90"/>
            </w:tcMar>
          </w:tcPr>
          <w:p>
            <w:r>
              <w:rPr>
                <w:b w:val="false"/>
                <w:bCs w:val="false"/>
                <w:sz w:val="17"/>
                <w:szCs w:val="17"/>
              </w:rPr>
              <w:t xml:space="preserve">A review, not a study -- and its own included studies are lab-based, not immersive or interactive.</w:t>
            </w:r>
          </w:p>
        </w:tc>
      </w:tr>
      <w:tr>
        <w:tc>
          <w:tcPr>
            <w:tcW w:type="dxa" w:w="2600"/>
            <w:shd w:fill="F3F4F6" w:color="auto" w:val="clear"/>
            <w:tcMar>
              <w:top w:type="dxa" w:w="70"/>
              <w:left w:type="dxa" w:w="90"/>
              <w:bottom w:type="dxa" w:w="70"/>
              <w:right w:type="dxa" w:w="90"/>
            </w:tcMar>
          </w:tcPr>
          <w:p>
            <w:r>
              <w:rPr>
                <w:b w:val="false"/>
                <w:bCs w:val="false"/>
                <w:sz w:val="17"/>
                <w:szCs w:val="17"/>
              </w:rPr>
              <w:t xml:space="preserve">Kurt et al. 2026 (Computers &amp; Security, S0167404826000842)</w:t>
            </w:r>
          </w:p>
        </w:tc>
        <w:tc>
          <w:tcPr>
            <w:tcW w:type="dxa" w:w="4200"/>
            <w:shd w:fill="F3F4F6" w:color="auto" w:val="clear"/>
            <w:tcMar>
              <w:top w:type="dxa" w:w="70"/>
              <w:left w:type="dxa" w:w="90"/>
              <w:bottom w:type="dxa" w:w="70"/>
              <w:right w:type="dxa" w:w="90"/>
            </w:tcMar>
          </w:tcPr>
          <w:p>
            <w:r>
              <w:rPr>
                <w:b w:val="false"/>
                <w:bCs w:val="false"/>
                <w:sz w:val="17"/>
                <w:szCs w:val="17"/>
              </w:rPr>
              <w:t xml:space="preserve">EEG + eye tracking with 61 seafarers during live GNSS spoofing in a full-mission ship-bridge simulator. Closest methodological twin found.</w:t>
            </w:r>
          </w:p>
        </w:tc>
        <w:tc>
          <w:tcPr>
            <w:tcW w:type="dxa" w:w="2200"/>
            <w:shd w:fill="F3F4F6" w:color="auto" w:val="clear"/>
            <w:tcMar>
              <w:top w:type="dxa" w:w="70"/>
              <w:left w:type="dxa" w:w="90"/>
              <w:bottom w:type="dxa" w:w="70"/>
              <w:right w:type="dxa" w:w="90"/>
            </w:tcMar>
          </w:tcPr>
          <w:p>
            <w:r>
              <w:rPr>
                <w:b w:val="false"/>
                <w:bCs w:val="false"/>
                <w:sz w:val="17"/>
                <w:szCs w:val="17"/>
              </w:rPr>
              <w:t xml:space="preserve">EEG + eye tracking / maritime simulator</w:t>
            </w:r>
          </w:p>
        </w:tc>
        <w:tc>
          <w:tcPr>
            <w:tcW w:type="dxa" w:w="4700"/>
            <w:shd w:fill="F3F4F6" w:color="auto" w:val="clear"/>
            <w:tcMar>
              <w:top w:type="dxa" w:w="70"/>
              <w:left w:type="dxa" w:w="90"/>
              <w:bottom w:type="dxa" w:w="70"/>
              <w:right w:type="dxa" w:w="90"/>
            </w:tcMar>
          </w:tcPr>
          <w:p>
            <w:r>
              <w:rPr>
                <w:b w:val="false"/>
                <w:bCs w:val="false"/>
                <w:sz w:val="17"/>
                <w:szCs w:val="17"/>
              </w:rPr>
              <w:t xml:space="preserve">Maritime domain; task is passive detection of a spoofing event, not an active multi-option decision; no AI-trust manipulation.</w:t>
            </w:r>
          </w:p>
        </w:tc>
      </w:tr>
      <w:tr>
        <w:tc>
          <w:tcPr>
            <w:tcW w:type="dxa" w:w="2600"/>
            <w:tcMar>
              <w:top w:type="dxa" w:w="70"/>
              <w:left w:type="dxa" w:w="90"/>
              <w:bottom w:type="dxa" w:w="70"/>
              <w:right w:type="dxa" w:w="90"/>
            </w:tcMar>
          </w:tcPr>
          <w:p>
            <w:r>
              <w:rPr>
                <w:b w:val="false"/>
                <w:bCs w:val="false"/>
                <w:sz w:val="17"/>
                <w:szCs w:val="17"/>
              </w:rPr>
              <w:t xml:space="preserve">Driving-simulator cyberattack/trust study, 2023 (Frontiers in Psychology)</w:t>
            </w:r>
          </w:p>
        </w:tc>
        <w:tc>
          <w:tcPr>
            <w:tcW w:type="dxa" w:w="4200"/>
            <w:tcMar>
              <w:top w:type="dxa" w:w="70"/>
              <w:left w:type="dxa" w:w="90"/>
              <w:bottom w:type="dxa" w:w="70"/>
              <w:right w:type="dxa" w:w="90"/>
            </w:tcMar>
          </w:tcPr>
          <w:p>
            <w:r>
              <w:rPr>
                <w:b w:val="false"/>
                <w:bCs w:val="false"/>
                <w:sz w:val="17"/>
                <w:szCs w:val="17"/>
              </w:rPr>
              <w:t xml:space="preserve">Measured trust and driving performance during a simulated vehicle cyberattack (ransomware/screen failure) in a driving simulator.</w:t>
            </w:r>
          </w:p>
        </w:tc>
        <w:tc>
          <w:tcPr>
            <w:tcW w:type="dxa" w:w="2200"/>
            <w:tcMar>
              <w:top w:type="dxa" w:w="70"/>
              <w:left w:type="dxa" w:w="90"/>
              <w:bottom w:type="dxa" w:w="70"/>
              <w:right w:type="dxa" w:w="90"/>
            </w:tcMar>
          </w:tcPr>
          <w:p>
            <w:r>
              <w:rPr>
                <w:b w:val="false"/>
                <w:bCs w:val="false"/>
                <w:sz w:val="17"/>
                <w:szCs w:val="17"/>
              </w:rPr>
              <w:t xml:space="preserve">Driving simulator / behavioral &amp; trust only</w:t>
            </w:r>
          </w:p>
        </w:tc>
        <w:tc>
          <w:tcPr>
            <w:tcW w:type="dxa" w:w="4700"/>
            <w:tcMar>
              <w:top w:type="dxa" w:w="70"/>
              <w:left w:type="dxa" w:w="90"/>
              <w:bottom w:type="dxa" w:w="70"/>
              <w:right w:type="dxa" w:w="90"/>
            </w:tcMar>
          </w:tcPr>
          <w:p>
            <w:r>
              <w:rPr>
                <w:b w:val="false"/>
                <w:bCs w:val="false"/>
                <w:sz w:val="17"/>
                <w:szCs w:val="17"/>
              </w:rPr>
              <w:t xml:space="preserve">No eye tracking, no EEG -- behavioral and self-report trust only.</w:t>
            </w:r>
          </w:p>
        </w:tc>
      </w:tr>
    </w:tbl>
    <w:p>
      <w:pPr>
        <w:pStyle w:val="Heading1"/>
        <w:spacing w:after="180" w:before="380"/>
      </w:pPr>
      <w:r>
        <w:t xml:space="preserve">4. Research Gap Analysis</w:t>
      </w:r>
    </w:p>
    <w:tbl>
      <w:tblPr>
        <w:tblW w:type="dxa" w:w="13700"/>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4500"/>
        <w:gridCol w:w="3700"/>
      </w:tblGrid>
      <w:tr>
        <w:trPr>
          <w:tblHeader/>
        </w:trPr>
        <w:tc>
          <w:tcPr>
            <w:tcW w:type="dxa" w:w="2600"/>
            <w:shd w:fill="1F2937" w:color="auto" w:val="clear"/>
            <w:tcMar>
              <w:top w:type="dxa" w:w="70"/>
              <w:left w:type="dxa" w:w="90"/>
              <w:bottom w:type="dxa" w:w="70"/>
              <w:right w:type="dxa" w:w="90"/>
            </w:tcMar>
          </w:tcPr>
          <w:p>
            <w:r>
              <w:rPr>
                <w:b/>
                <w:bCs/>
                <w:color w:val="FFFFFF"/>
                <w:sz w:val="17"/>
                <w:szCs w:val="17"/>
              </w:rPr>
              <w:t xml:space="preserve">Area</w:t>
            </w:r>
          </w:p>
        </w:tc>
        <w:tc>
          <w:tcPr>
            <w:tcW w:type="dxa" w:w="2900"/>
            <w:shd w:fill="1F2937" w:color="auto" w:val="clear"/>
            <w:tcMar>
              <w:top w:type="dxa" w:w="70"/>
              <w:left w:type="dxa" w:w="90"/>
              <w:bottom w:type="dxa" w:w="70"/>
              <w:right w:type="dxa" w:w="90"/>
            </w:tcMar>
          </w:tcPr>
          <w:p>
            <w:r>
              <w:rPr>
                <w:b/>
                <w:bCs/>
                <w:color w:val="FFFFFF"/>
                <w:sz w:val="17"/>
                <w:szCs w:val="17"/>
              </w:rPr>
              <w:t xml:space="preserve">Existing research</w:t>
            </w:r>
          </w:p>
        </w:tc>
        <w:tc>
          <w:tcPr>
            <w:tcW w:type="dxa" w:w="4500"/>
            <w:shd w:fill="1F2937" w:color="auto" w:val="clear"/>
            <w:tcMar>
              <w:top w:type="dxa" w:w="70"/>
              <w:left w:type="dxa" w:w="90"/>
              <w:bottom w:type="dxa" w:w="70"/>
              <w:right w:type="dxa" w:w="90"/>
            </w:tcMar>
          </w:tcPr>
          <w:p>
            <w:r>
              <w:rPr>
                <w:b/>
                <w:bCs/>
                <w:color w:val="FFFFFF"/>
                <w:sz w:val="17"/>
                <w:szCs w:val="17"/>
              </w:rPr>
              <w:t xml:space="preserve">Identified limitation</w:t>
            </w:r>
          </w:p>
        </w:tc>
        <w:tc>
          <w:tcPr>
            <w:tcW w:type="dxa" w:w="3700"/>
            <w:shd w:fill="1F2937" w:color="auto" w:val="clear"/>
            <w:tcMar>
              <w:top w:type="dxa" w:w="70"/>
              <w:left w:type="dxa" w:w="90"/>
              <w:bottom w:type="dxa" w:w="70"/>
              <w:right w:type="dxa" w:w="90"/>
            </w:tcMar>
          </w:tcPr>
          <w:p>
            <w:r>
              <w:rPr>
                <w:b/>
                <w:bCs/>
                <w:color w:val="FFFFFF"/>
                <w:sz w:val="17"/>
                <w:szCs w:val="17"/>
              </w:rPr>
              <w:t xml:space="preserve">Opportunity for this project</w:t>
            </w:r>
          </w:p>
        </w:tc>
      </w:tr>
      <w:tr>
        <w:tc>
          <w:tcPr>
            <w:tcW w:type="dxa" w:w="2600"/>
            <w:tcMar>
              <w:top w:type="dxa" w:w="70"/>
              <w:left w:type="dxa" w:w="90"/>
              <w:bottom w:type="dxa" w:w="70"/>
              <w:right w:type="dxa" w:w="90"/>
            </w:tcMar>
          </w:tcPr>
          <w:p>
            <w:r>
              <w:rPr>
                <w:b w:val="false"/>
                <w:bCs w:val="false"/>
                <w:sz w:val="17"/>
                <w:szCs w:val="17"/>
              </w:rPr>
              <w:t xml:space="preserve">EV cybersecurity</w:t>
            </w:r>
          </w:p>
        </w:tc>
        <w:tc>
          <w:tcPr>
            <w:tcW w:type="dxa" w:w="2900"/>
            <w:tcMar>
              <w:top w:type="dxa" w:w="70"/>
              <w:left w:type="dxa" w:w="90"/>
              <w:bottom w:type="dxa" w:w="70"/>
              <w:right w:type="dxa" w:w="90"/>
            </w:tcMar>
          </w:tcPr>
          <w:p>
            <w:r>
              <w:rPr>
                <w:b w:val="false"/>
                <w:bCs w:val="false"/>
                <w:sz w:val="17"/>
                <w:szCs w:val="17"/>
              </w:rPr>
              <w:t xml:space="preserve">Extensive (technical: protocols, firmware, FDI, grid impact)</w:t>
            </w:r>
          </w:p>
        </w:tc>
        <w:tc>
          <w:tcPr>
            <w:tcW w:type="dxa" w:w="4500"/>
            <w:tcMar>
              <w:top w:type="dxa" w:w="70"/>
              <w:left w:type="dxa" w:w="90"/>
              <w:bottom w:type="dxa" w:w="70"/>
              <w:right w:type="dxa" w:w="90"/>
            </w:tcMar>
          </w:tcPr>
          <w:p>
            <w:r>
              <w:rPr>
                <w:b w:val="false"/>
                <w:bCs w:val="false"/>
                <w:sz w:val="17"/>
                <w:szCs w:val="17"/>
              </w:rPr>
              <w:t xml:space="preserve">Almost no human-factor content; the seed taxonomy (Aljohani &amp; Almutairi 2024) has essentially zero human-decision framing</w:t>
            </w:r>
          </w:p>
        </w:tc>
        <w:tc>
          <w:tcPr>
            <w:tcW w:type="dxa" w:w="3700"/>
            <w:tcMar>
              <w:top w:type="dxa" w:w="70"/>
              <w:left w:type="dxa" w:w="90"/>
              <w:bottom w:type="dxa" w:w="70"/>
              <w:right w:type="dxa" w:w="90"/>
            </w:tcMar>
          </w:tcPr>
          <w:p>
            <w:r>
              <w:rPr>
                <w:b w:val="false"/>
                <w:bCs w:val="false"/>
                <w:sz w:val="17"/>
                <w:szCs w:val="17"/>
              </w:rPr>
              <w:t xml:space="preserve">Translate a technical attack taxonomy into human decision points for the first time in this domain</w:t>
            </w:r>
          </w:p>
        </w:tc>
      </w:tr>
      <w:tr>
        <w:tc>
          <w:tcPr>
            <w:tcW w:type="dxa" w:w="2600"/>
            <w:shd w:fill="F3F4F6" w:color="auto" w:val="clear"/>
            <w:tcMar>
              <w:top w:type="dxa" w:w="70"/>
              <w:left w:type="dxa" w:w="90"/>
              <w:bottom w:type="dxa" w:w="70"/>
              <w:right w:type="dxa" w:w="90"/>
            </w:tcMar>
          </w:tcPr>
          <w:p>
            <w:r>
              <w:rPr>
                <w:b w:val="false"/>
                <w:bCs w:val="false"/>
                <w:sz w:val="17"/>
                <w:szCs w:val="17"/>
              </w:rPr>
              <w:t xml:space="preserve">Human-centered cybersecurity</w:t>
            </w:r>
          </w:p>
        </w:tc>
        <w:tc>
          <w:tcPr>
            <w:tcW w:type="dxa" w:w="2900"/>
            <w:shd w:fill="F3F4F6" w:color="auto" w:val="clear"/>
            <w:tcMar>
              <w:top w:type="dxa" w:w="70"/>
              <w:left w:type="dxa" w:w="90"/>
              <w:bottom w:type="dxa" w:w="70"/>
              <w:right w:type="dxa" w:w="90"/>
            </w:tcMar>
          </w:tcPr>
          <w:p>
            <w:r>
              <w:rPr>
                <w:b w:val="false"/>
                <w:bCs w:val="false"/>
                <w:sz w:val="17"/>
                <w:szCs w:val="17"/>
              </w:rPr>
              <w:t xml:space="preserve">Extensive</w:t>
            </w:r>
          </w:p>
        </w:tc>
        <w:tc>
          <w:tcPr>
            <w:tcW w:type="dxa" w:w="4500"/>
            <w:shd w:fill="F3F4F6" w:color="auto" w:val="clear"/>
            <w:tcMar>
              <w:top w:type="dxa" w:w="70"/>
              <w:left w:type="dxa" w:w="90"/>
              <w:bottom w:type="dxa" w:w="70"/>
              <w:right w:type="dxa" w:w="90"/>
            </w:tcMar>
          </w:tcPr>
          <w:p>
            <w:r>
              <w:rPr>
                <w:b w:val="false"/>
                <w:bCs w:val="false"/>
                <w:sz w:val="17"/>
                <w:szCs w:val="17"/>
              </w:rPr>
              <w:t xml:space="preserve">Concentrated on email/static-screen phishing</w:t>
            </w:r>
          </w:p>
        </w:tc>
        <w:tc>
          <w:tcPr>
            <w:tcW w:type="dxa" w:w="3700"/>
            <w:shd w:fill="F3F4F6" w:color="auto" w:val="clear"/>
            <w:tcMar>
              <w:top w:type="dxa" w:w="70"/>
              <w:left w:type="dxa" w:w="90"/>
              <w:bottom w:type="dxa" w:w="70"/>
              <w:right w:type="dxa" w:w="90"/>
            </w:tcMar>
          </w:tcPr>
          <w:p>
            <w:r>
              <w:rPr>
                <w:b w:val="false"/>
                <w:bCs w:val="false"/>
                <w:sz w:val="17"/>
                <w:szCs w:val="17"/>
              </w:rPr>
              <w:t xml:space="preserve">Interactive HMI deception, not a static message</w:t>
            </w:r>
          </w:p>
        </w:tc>
      </w:tr>
      <w:tr>
        <w:tc>
          <w:tcPr>
            <w:tcW w:type="dxa" w:w="2600"/>
            <w:tcMar>
              <w:top w:type="dxa" w:w="70"/>
              <w:left w:type="dxa" w:w="90"/>
              <w:bottom w:type="dxa" w:w="70"/>
              <w:right w:type="dxa" w:w="90"/>
            </w:tcMar>
          </w:tcPr>
          <w:p>
            <w:r>
              <w:rPr>
                <w:b w:val="false"/>
                <w:bCs w:val="false"/>
                <w:sz w:val="17"/>
                <w:szCs w:val="17"/>
              </w:rPr>
              <w:t xml:space="preserve">Eye tracking + cybersecurity</w:t>
            </w:r>
          </w:p>
        </w:tc>
        <w:tc>
          <w:tcPr>
            <w:tcW w:type="dxa" w:w="2900"/>
            <w:tcMar>
              <w:top w:type="dxa" w:w="70"/>
              <w:left w:type="dxa" w:w="90"/>
              <w:bottom w:type="dxa" w:w="70"/>
              <w:right w:type="dxa" w:w="90"/>
            </w:tcMar>
          </w:tcPr>
          <w:p>
            <w:r>
              <w:rPr>
                <w:b w:val="false"/>
                <w:bCs w:val="false"/>
                <w:sz w:val="17"/>
                <w:szCs w:val="17"/>
              </w:rPr>
              <w:t xml:space="preserve">Established (phishing)</w:t>
            </w:r>
          </w:p>
        </w:tc>
        <w:tc>
          <w:tcPr>
            <w:tcW w:type="dxa" w:w="4500"/>
            <w:tcMar>
              <w:top w:type="dxa" w:w="70"/>
              <w:left w:type="dxa" w:w="90"/>
              <w:bottom w:type="dxa" w:w="70"/>
              <w:right w:type="dxa" w:w="90"/>
            </w:tcMar>
          </w:tcPr>
          <w:p>
            <w:r>
              <w:rPr>
                <w:b w:val="false"/>
                <w:bCs w:val="false"/>
                <w:sz w:val="17"/>
                <w:szCs w:val="17"/>
              </w:rPr>
              <w:t xml:space="preserve">Static environments; "attention != accuracy" (McAlaney &amp; Hills) is not yet tested outside phishing</w:t>
            </w:r>
          </w:p>
        </w:tc>
        <w:tc>
          <w:tcPr>
            <w:tcW w:type="dxa" w:w="3700"/>
            <w:tcMar>
              <w:top w:type="dxa" w:w="70"/>
              <w:left w:type="dxa" w:w="90"/>
              <w:bottom w:type="dxa" w:w="70"/>
              <w:right w:type="dxa" w:w="90"/>
            </w:tcMar>
          </w:tcPr>
          <w:p>
            <w:r>
              <w:rPr>
                <w:b w:val="false"/>
                <w:bCs w:val="false"/>
                <w:sz w:val="17"/>
                <w:szCs w:val="17"/>
              </w:rPr>
              <w:t xml:space="preserve">Dynamic VR AOIs linked to an active, consequential decision</w:t>
            </w:r>
          </w:p>
        </w:tc>
      </w:tr>
      <w:tr>
        <w:tc>
          <w:tcPr>
            <w:tcW w:type="dxa" w:w="2600"/>
            <w:shd w:fill="F3F4F6" w:color="auto" w:val="clear"/>
            <w:tcMar>
              <w:top w:type="dxa" w:w="70"/>
              <w:left w:type="dxa" w:w="90"/>
              <w:bottom w:type="dxa" w:w="70"/>
              <w:right w:type="dxa" w:w="90"/>
            </w:tcMar>
          </w:tcPr>
          <w:p>
            <w:r>
              <w:rPr>
                <w:b w:val="false"/>
                <w:bCs w:val="false"/>
                <w:sz w:val="17"/>
                <w:szCs w:val="17"/>
              </w:rPr>
              <w:t xml:space="preserve">EEG + cybersecurity</w:t>
            </w:r>
          </w:p>
        </w:tc>
        <w:tc>
          <w:tcPr>
            <w:tcW w:type="dxa" w:w="2900"/>
            <w:shd w:fill="F3F4F6" w:color="auto" w:val="clear"/>
            <w:tcMar>
              <w:top w:type="dxa" w:w="70"/>
              <w:left w:type="dxa" w:w="90"/>
              <w:bottom w:type="dxa" w:w="70"/>
              <w:right w:type="dxa" w:w="90"/>
            </w:tcMar>
          </w:tcPr>
          <w:p>
            <w:r>
              <w:rPr>
                <w:b w:val="false"/>
                <w:bCs w:val="false"/>
                <w:sz w:val="17"/>
                <w:szCs w:val="17"/>
              </w:rPr>
              <w:t xml:space="preserve">Established but narrow</w:t>
            </w:r>
          </w:p>
        </w:tc>
        <w:tc>
          <w:tcPr>
            <w:tcW w:type="dxa" w:w="4500"/>
            <w:shd w:fill="F3F4F6" w:color="auto" w:val="clear"/>
            <w:tcMar>
              <w:top w:type="dxa" w:w="70"/>
              <w:left w:type="dxa" w:w="90"/>
              <w:bottom w:type="dxa" w:w="70"/>
              <w:right w:type="dxa" w:w="90"/>
            </w:tcMar>
          </w:tcPr>
          <w:p>
            <w:r>
              <w:rPr>
                <w:b w:val="false"/>
                <w:bCs w:val="false"/>
                <w:sz w:val="17"/>
                <w:szCs w:val="17"/>
              </w:rPr>
              <w:t xml:space="preserve">Highly controlled lab settings, many channels, many trials -- not representative of field conditions</w:t>
            </w:r>
          </w:p>
        </w:tc>
        <w:tc>
          <w:tcPr>
            <w:tcW w:type="dxa" w:w="3700"/>
            <w:shd w:fill="F3F4F6" w:color="auto" w:val="clear"/>
            <w:tcMar>
              <w:top w:type="dxa" w:w="70"/>
              <w:left w:type="dxa" w:w="90"/>
              <w:bottom w:type="dxa" w:w="70"/>
              <w:right w:type="dxa" w:w="90"/>
            </w:tcMar>
          </w:tcPr>
          <w:p>
            <w:r>
              <w:rPr>
                <w:b w:val="false"/>
                <w:bCs w:val="false"/>
                <w:sz w:val="17"/>
                <w:szCs w:val="17"/>
              </w:rPr>
              <w:t xml:space="preserve">Honest test of what a 4-channel consumer EEG can and cannot show in an active task. UPDATE (Oct 2026 data audit): raw EEG is now verified present for 76/140 participants (54%), fully decoded (256 Hz confirmed empirically), with 67/76 (88%) showing verified session-timestamp overlap against the matching behavioral log -- better-grounded than 'secondary/exploratory, availability TBD' implied earlier. See Section 4a.</w:t>
            </w:r>
          </w:p>
        </w:tc>
      </w:tr>
      <w:tr>
        <w:tc>
          <w:tcPr>
            <w:tcW w:type="dxa" w:w="2600"/>
            <w:tcMar>
              <w:top w:type="dxa" w:w="70"/>
              <w:left w:type="dxa" w:w="90"/>
              <w:bottom w:type="dxa" w:w="70"/>
              <w:right w:type="dxa" w:w="90"/>
            </w:tcMar>
          </w:tcPr>
          <w:p>
            <w:r>
              <w:rPr>
                <w:b w:val="false"/>
                <w:bCs w:val="false"/>
                <w:sz w:val="17"/>
                <w:szCs w:val="17"/>
              </w:rPr>
              <w:t xml:space="preserve">EEG + eye tracking (core)</w:t>
            </w:r>
          </w:p>
        </w:tc>
        <w:tc>
          <w:tcPr>
            <w:tcW w:type="dxa" w:w="2900"/>
            <w:tcMar>
              <w:top w:type="dxa" w:w="70"/>
              <w:left w:type="dxa" w:w="90"/>
              <w:bottom w:type="dxa" w:w="70"/>
              <w:right w:type="dxa" w:w="90"/>
            </w:tcMar>
          </w:tcPr>
          <w:p>
            <w:r>
              <w:rPr>
                <w:b w:val="false"/>
                <w:bCs w:val="false"/>
                <w:sz w:val="17"/>
                <w:szCs w:val="17"/>
              </w:rPr>
              <w:t xml:space="preserve">Exists but fragmented (18 papers per Thomopoulos et al.)</w:t>
            </w:r>
          </w:p>
        </w:tc>
        <w:tc>
          <w:tcPr>
            <w:tcW w:type="dxa" w:w="4500"/>
            <w:tcMar>
              <w:top w:type="dxa" w:w="70"/>
              <w:left w:type="dxa" w:w="90"/>
              <w:bottom w:type="dxa" w:w="70"/>
              <w:right w:type="dxa" w:w="90"/>
            </w:tcMar>
          </w:tcPr>
          <w:p>
            <w:r>
              <w:rPr>
                <w:b w:val="false"/>
                <w:bCs w:val="false"/>
                <w:sz w:val="17"/>
                <w:szCs w:val="17"/>
              </w:rPr>
              <w:t xml:space="preserve">Field explicitly flagged as needing more realistic, multi-sensory studies</w:t>
            </w:r>
          </w:p>
        </w:tc>
        <w:tc>
          <w:tcPr>
            <w:tcW w:type="dxa" w:w="3700"/>
            <w:tcMar>
              <w:top w:type="dxa" w:w="70"/>
              <w:left w:type="dxa" w:w="90"/>
              <w:bottom w:type="dxa" w:w="70"/>
              <w:right w:type="dxa" w:w="90"/>
            </w:tcMar>
          </w:tcPr>
          <w:p>
            <w:r>
              <w:rPr>
                <w:b w:val="false"/>
                <w:bCs w:val="false"/>
                <w:sz w:val="17"/>
                <w:szCs w:val="17"/>
              </w:rPr>
              <w:t xml:space="preserve">Directly answers the Thomopoulos et al. roadmap, in a domain they did not consider</w:t>
            </w:r>
          </w:p>
        </w:tc>
      </w:tr>
      <w:tr>
        <w:tc>
          <w:tcPr>
            <w:tcW w:type="dxa" w:w="2600"/>
            <w:shd w:fill="F3F4F6" w:color="auto" w:val="clear"/>
            <w:tcMar>
              <w:top w:type="dxa" w:w="70"/>
              <w:left w:type="dxa" w:w="90"/>
              <w:bottom w:type="dxa" w:w="70"/>
              <w:right w:type="dxa" w:w="90"/>
            </w:tcMar>
          </w:tcPr>
          <w:p>
            <w:r>
              <w:rPr>
                <w:b w:val="false"/>
                <w:bCs w:val="false"/>
                <w:sz w:val="17"/>
                <w:szCs w:val="17"/>
              </w:rPr>
              <w:t xml:space="preserve">VR / simulator cybersecurity</w:t>
            </w:r>
          </w:p>
        </w:tc>
        <w:tc>
          <w:tcPr>
            <w:tcW w:type="dxa" w:w="2900"/>
            <w:shd w:fill="F3F4F6" w:color="auto" w:val="clear"/>
            <w:tcMar>
              <w:top w:type="dxa" w:w="70"/>
              <w:left w:type="dxa" w:w="90"/>
              <w:bottom w:type="dxa" w:w="70"/>
              <w:right w:type="dxa" w:w="90"/>
            </w:tcMar>
          </w:tcPr>
          <w:p>
            <w:r>
              <w:rPr>
                <w:b w:val="false"/>
                <w:bCs w:val="false"/>
                <w:sz w:val="17"/>
                <w:szCs w:val="17"/>
              </w:rPr>
              <w:t xml:space="preserve">Exists, mostly training/education</w:t>
            </w:r>
          </w:p>
        </w:tc>
        <w:tc>
          <w:tcPr>
            <w:tcW w:type="dxa" w:w="4500"/>
            <w:shd w:fill="F3F4F6" w:color="auto" w:val="clear"/>
            <w:tcMar>
              <w:top w:type="dxa" w:w="70"/>
              <w:left w:type="dxa" w:w="90"/>
              <w:bottom w:type="dxa" w:w="70"/>
              <w:right w:type="dxa" w:w="90"/>
            </w:tcMar>
          </w:tcPr>
          <w:p>
            <w:r>
              <w:rPr>
                <w:b w:val="false"/>
                <w:bCs w:val="false"/>
                <w:sz w:val="17"/>
                <w:szCs w:val="17"/>
              </w:rPr>
              <w:t xml:space="preserve">Not measurement-oriented; no attack + physiology combination found</w:t>
            </w:r>
          </w:p>
        </w:tc>
        <w:tc>
          <w:tcPr>
            <w:tcW w:type="dxa" w:w="3700"/>
            <w:shd w:fill="F3F4F6" w:color="auto" w:val="clear"/>
            <w:tcMar>
              <w:top w:type="dxa" w:w="70"/>
              <w:left w:type="dxa" w:w="90"/>
              <w:bottom w:type="dxa" w:w="70"/>
              <w:right w:type="dxa" w:w="90"/>
            </w:tcMar>
          </w:tcPr>
          <w:p>
            <w:r>
              <w:rPr>
                <w:b w:val="false"/>
                <w:bCs w:val="false"/>
                <w:sz w:val="17"/>
                <w:szCs w:val="17"/>
              </w:rPr>
              <w:t xml:space="preserve">A measurement paradigm, not a training demo</w:t>
            </w:r>
          </w:p>
        </w:tc>
      </w:tr>
      <w:tr>
        <w:tc>
          <w:tcPr>
            <w:tcW w:type="dxa" w:w="2600"/>
            <w:tcMar>
              <w:top w:type="dxa" w:w="70"/>
              <w:left w:type="dxa" w:w="90"/>
              <w:bottom w:type="dxa" w:w="70"/>
              <w:right w:type="dxa" w:w="90"/>
            </w:tcMar>
          </w:tcPr>
          <w:p>
            <w:r>
              <w:rPr>
                <w:b w:val="false"/>
                <w:bCs w:val="false"/>
                <w:sz w:val="17"/>
                <w:szCs w:val="17"/>
              </w:rPr>
              <w:t xml:space="preserve">EV + human cybersecurity</w:t>
            </w:r>
          </w:p>
        </w:tc>
        <w:tc>
          <w:tcPr>
            <w:tcW w:type="dxa" w:w="2900"/>
            <w:tcMar>
              <w:top w:type="dxa" w:w="70"/>
              <w:left w:type="dxa" w:w="90"/>
              <w:bottom w:type="dxa" w:w="70"/>
              <w:right w:type="dxa" w:w="90"/>
            </w:tcMar>
          </w:tcPr>
          <w:p>
            <w:r>
              <w:rPr>
                <w:b w:val="false"/>
                <w:bCs w:val="false"/>
                <w:sz w:val="17"/>
                <w:szCs w:val="17"/>
              </w:rPr>
              <w:t xml:space="preserve">Essentially none found</w:t>
            </w:r>
          </w:p>
        </w:tc>
        <w:tc>
          <w:tcPr>
            <w:tcW w:type="dxa" w:w="4500"/>
            <w:tcMar>
              <w:top w:type="dxa" w:w="70"/>
              <w:left w:type="dxa" w:w="90"/>
              <w:bottom w:type="dxa" w:w="70"/>
              <w:right w:type="dxa" w:w="90"/>
            </w:tcMar>
          </w:tcPr>
          <w:p>
            <w:r>
              <w:rPr>
                <w:b w:val="false"/>
                <w:bCs w:val="false"/>
                <w:sz w:val="17"/>
                <w:szCs w:val="17"/>
              </w:rPr>
              <w:t xml:space="preserve">Major, clearly evidenced gap</w:t>
            </w:r>
          </w:p>
        </w:tc>
        <w:tc>
          <w:tcPr>
            <w:tcW w:type="dxa" w:w="3700"/>
            <w:tcMar>
              <w:top w:type="dxa" w:w="70"/>
              <w:left w:type="dxa" w:w="90"/>
              <w:bottom w:type="dxa" w:w="70"/>
              <w:right w:type="dxa" w:w="90"/>
            </w:tcMar>
          </w:tcPr>
          <w:p>
            <w:r>
              <w:rPr>
                <w:b w:val="false"/>
                <w:bCs w:val="false"/>
                <w:sz w:val="17"/>
                <w:szCs w:val="17"/>
              </w:rPr>
              <w:t xml:space="preserve">Core contribution of this project</w:t>
            </w:r>
          </w:p>
        </w:tc>
      </w:tr>
      <w:tr>
        <w:tc>
          <w:tcPr>
            <w:tcW w:type="dxa" w:w="2600"/>
            <w:shd w:fill="F3F4F6" w:color="auto" w:val="clear"/>
            <w:tcMar>
              <w:top w:type="dxa" w:w="70"/>
              <w:left w:type="dxa" w:w="90"/>
              <w:bottom w:type="dxa" w:w="70"/>
              <w:right w:type="dxa" w:w="90"/>
            </w:tcMar>
          </w:tcPr>
          <w:p>
            <w:r>
              <w:rPr>
                <w:b w:val="false"/>
                <w:bCs w:val="false"/>
                <w:sz w:val="17"/>
                <w:szCs w:val="17"/>
              </w:rPr>
              <w:t xml:space="preserve">AI trust / automation bias</w:t>
            </w:r>
          </w:p>
        </w:tc>
        <w:tc>
          <w:tcPr>
            <w:tcW w:type="dxa" w:w="2900"/>
            <w:shd w:fill="F3F4F6" w:color="auto" w:val="clear"/>
            <w:tcMar>
              <w:top w:type="dxa" w:w="70"/>
              <w:left w:type="dxa" w:w="90"/>
              <w:bottom w:type="dxa" w:w="70"/>
              <w:right w:type="dxa" w:w="90"/>
            </w:tcMar>
          </w:tcPr>
          <w:p>
            <w:r>
              <w:rPr>
                <w:b w:val="false"/>
                <w:bCs w:val="false"/>
                <w:sz w:val="17"/>
                <w:szCs w:val="17"/>
              </w:rPr>
              <w:t xml:space="preserve">Extensive behaviorally (Horowitz &amp; Kahn 2024: 9,000 adults, 9 countries); little with physiology or a malicious option</w:t>
            </w:r>
          </w:p>
        </w:tc>
        <w:tc>
          <w:tcPr>
            <w:tcW w:type="dxa" w:w="4500"/>
            <w:shd w:fill="F3F4F6" w:color="auto" w:val="clear"/>
            <w:tcMar>
              <w:top w:type="dxa" w:w="70"/>
              <w:left w:type="dxa" w:w="90"/>
              <w:bottom w:type="dxa" w:w="70"/>
              <w:right w:type="dxa" w:w="90"/>
            </w:tcMar>
          </w:tcPr>
          <w:p>
            <w:r>
              <w:rPr>
                <w:b w:val="false"/>
                <w:bCs w:val="false"/>
                <w:sz w:val="17"/>
                <w:szCs w:val="17"/>
              </w:rPr>
              <w:t xml:space="preserve">No study measures automation bias toward a malicious recommendation, in a driving/EV context, with physiology</w:t>
            </w:r>
          </w:p>
        </w:tc>
        <w:tc>
          <w:tcPr>
            <w:tcW w:type="dxa" w:w="3700"/>
            <w:shd w:fill="F3F4F6" w:color="auto" w:val="clear"/>
            <w:tcMar>
              <w:top w:type="dxa" w:w="70"/>
              <w:left w:type="dxa" w:w="90"/>
              <w:bottom w:type="dxa" w:w="70"/>
              <w:right w:type="dxa" w:w="90"/>
            </w:tcMar>
          </w:tcPr>
          <w:p>
            <w:r>
              <w:rPr>
                <w:b w:val="false"/>
                <w:bCs w:val="false"/>
                <w:sz w:val="17"/>
                <w:szCs w:val="17"/>
              </w:rPr>
              <w:t xml:space="preserve">Novel niche -- the correct / absent / malicious AI-recommendation manipulation</w:t>
            </w:r>
          </w:p>
        </w:tc>
      </w:tr>
    </w:tbl>
    <w:p>
      <w:pPr>
        <w:spacing w:after="150"/>
      </w:pPr>
      <w:r>
        <w:t xml:space="preserve">Main identified gap: existing EV-cybersecurity research is predominantly technical, while human-centered security research using eye tracking and EEG has focused almost entirely on phishing and static computer environments. Very little directly comparable research exists on human decision-making during interactive EV-charging cyber-deception in an immersive environment.</w:t>
      </w:r>
    </w:p>
    <w:p>
      <w:pPr>
        <w:pStyle w:val="Heading1"/>
        <w:spacing w:after="180" w:before="380"/>
      </w:pPr>
      <w:r>
        <w:t xml:space="preserve">4a. Verified Technical Findings -- Codebase and Data Audit (October 2026)</w:t>
      </w:r>
    </w:p>
    <w:p>
      <w:pPr>
        <w:spacing w:after="150"/>
      </w:pPr>
      <w:r>
        <w:t xml:space="preserve">A direct audit of the actual BeamNG.tech codebase and the 140 recorded participant-session folders corrected two assumptions this documentation previously carried over from the mid-semester report. Both corrections are evidence-backed (code read / file-level data inspection), not inferred.</w:t>
      </w:r>
    </w:p>
    <w:p>
      <w:pPr>
        <w:pStyle w:val="Heading2"/>
        <w:spacing w:after="120" w:before="260"/>
      </w:pPr>
      <w:r>
        <w:t xml:space="preserve">Finding 1 -- The in-game 'AI assistant' is not a kiosk-recommendation engine</w:t>
      </w:r>
    </w:p>
    <w:p>
      <w:pPr>
        <w:spacing w:after="150"/>
      </w:pPr>
      <w:r>
        <w:t xml:space="preserve">The mid-semester materials describe an AI-help button that can give correct, absent, or misleading kiosk advice, and this documentation originally built the automation-bias objective and the 'malicious AI recommendation' scenario on the premise that this mechanism already exists and could simply be reused. Direct codebase inspection found the actual in-game AI assistant is a screenshot-plus-RAG deepfake-detection chatbot -- a different function entirely. Consequence: the automation-bias objective and the malicious-AI-recommendation scenario are still recommended on their research merits (Sections 6-7 below), but both are re-scoped as new engineering work rather than a low-cost reuse of existing infrastructure. Whether the existing chatbot can be repurposed, or new recommendation logic must be built from scratch, is an open implementation decision, not a research-design one.</w:t>
      </w:r>
    </w:p>
    <w:p>
      <w:pPr>
        <w:pStyle w:val="Heading2"/>
        <w:spacing w:after="120" w:before="260"/>
      </w:pPr>
      <w:r>
        <w:t xml:space="preserve">Finding 2 -- EEG data is more complete than previously documented</w:t>
      </w:r>
    </w:p>
    <w:p>
      <w:pPr>
        <w:spacing w:after="150"/>
      </w:pPr>
      <w:r>
        <w:t xml:space="preserve">Earlier drafts of this documentation treated EEG as secondary/exploratory with an unresolved usable-n. A direct audit of backend/Muse/ data found:</w:t>
      </w:r>
    </w:p>
    <w:p>
      <w:pPr>
        <w:pStyle w:val="ListParagraph"/>
        <w:numPr>
          <w:ilvl w:val="0"/>
          <w:numId w:val="2"/>
        </w:numPr>
        <w:spacing w:after="70"/>
      </w:pPr>
      <w:r>
        <w:rPr>
          <w:b w:val="false"/>
          <w:bCs w:val="false"/>
        </w:rPr>
        <w:t xml:space="preserve">Raw EEG present for 76 of 140 participants (54%); gaps at participants 001-007 and 048-052; none above participant 088.</w:t>
      </w:r>
    </w:p>
    <w:p>
      <w:pPr>
        <w:pStyle w:val="ListParagraph"/>
        <w:numPr>
          <w:ilvl w:val="0"/>
          <w:numId w:val="2"/>
        </w:numPr>
        <w:spacing w:after="70"/>
      </w:pPr>
      <w:r>
        <w:rPr>
          <w:b w:val="false"/>
          <w:bCs w:val="false"/>
        </w:rPr>
        <w:t xml:space="preserve">All 76 files successfully decoded (4 channels: TP9/AF7/AF8/TP10; sample rate empirically confirmed at 256.0 Hz, not assumed from a spec sheet).</w:t>
      </w:r>
    </w:p>
    <w:p>
      <w:pPr>
        <w:pStyle w:val="ListParagraph"/>
        <w:numPr>
          <w:ilvl w:val="0"/>
          <w:numId w:val="2"/>
        </w:numPr>
        <w:spacing w:after="70"/>
      </w:pPr>
      <w:r>
        <w:rPr>
          <w:b w:val="false"/>
          <w:bCs w:val="false"/>
        </w:rPr>
        <w:t xml:space="preserve">67 of 76 (88%) show independently verified timestamp overlap against that participant's own behavioral session log (not inferred from filenames); 6 show a timestamp mismatch worth investigating before exclusion (participants 012, 053, 054, 055, 058, 082); 2 are incomparable (no readable session log).</w:t>
      </w:r>
    </w:p>
    <w:p>
      <w:pPr>
        <w:pStyle w:val="ListParagraph"/>
        <w:numPr>
          <w:ilvl w:val="0"/>
          <w:numId w:val="2"/>
        </w:numPr>
        <w:spacing w:after="70"/>
      </w:pPr>
      <w:r>
        <w:rPr>
          <w:b w:val="false"/>
          <w:bCs w:val="false"/>
        </w:rPr>
        <w:t xml:space="preserve">Signal quality is generally good (median flatline/dead-channel proxy 1.0%), with two clear exceptions where most of the recording is a dropout rather than real data (participants 072, 084), and one file that decoded zero EEG samples (participant 013).</w:t>
      </w:r>
    </w:p>
    <w:p>
      <w:pPr>
        <w:spacing w:after="150"/>
      </w:pPr>
      <w:r>
        <w:t xml:space="preserve">Proposed inclusion rule for EEG-eligible analysis: session-overlap confirmed, AND excluding the zero-sample and dropout-dominated cases, AND a flatline-fraction cutoff (e.g. under 10-15%, which a median of 1.0% comfortably accommodates without arbitrarily discarding good data). This lands in the high-50s to low-60s usable participants out of 140 -- the exact count should be computed against this rule directly rather than estimated, and the 6 timestamp-mismatched participants are worth a short investigation (likely a logging issue, not necessarily a data-quality one) before being folded into either the include or exclude bucket.</w:t>
      </w:r>
    </w:p>
    <w:p>
      <w:pPr>
        <w:spacing w:after="150"/>
      </w:pPr>
      <w:r>
        <w:t xml:space="preserve">Net effect on this document's claims: EEG remains secondary to eye-tracking as the primary physiological modality (that methodological choice doesn't change), but the earlier framing of EEG availability as mostly unresolved understated what is already verified. The honesty caveats in Section 8 about what a 4-channel consumer device can and cannot support still apply in full -- more participants with verified data does not loosen the evidentiary bar for EEG claims.</w:t>
      </w:r>
    </w:p>
    <w:p>
      <w:pPr>
        <w:pStyle w:val="Heading1"/>
        <w:spacing w:after="180" w:before="380"/>
      </w:pPr>
      <w:r>
        <w:t xml:space="preserve">5. Attack Taxonomy -&gt; Scenario Mapping</w:t>
      </w:r>
    </w:p>
    <w:p>
      <w:pPr>
        <w:spacing w:after="150"/>
      </w:pPr>
      <w:r>
        <w:t xml:space="preserve">Every candidate scenario was tested against three conditions: does it represent a plausible cybersecurity threat, does it create a meaningful human decision, and does it generate measurable behavioral/gaze/EEG data. Scenarios failing any condition were deprioritized rather than built.</w:t>
      </w:r>
    </w:p>
    <w:tbl>
      <w:tblPr>
        <w:tblW w:type="dxa" w:w="13500"/>
        <w:tblBorders>
          <w:top w:val="single" w:color="auto" w:sz="4"/>
          <w:left w:val="single" w:color="auto" w:sz="4"/>
          <w:bottom w:val="single" w:color="auto" w:sz="4"/>
          <w:right w:val="single" w:color="auto" w:sz="4"/>
          <w:insideH w:val="single" w:color="auto" w:sz="4"/>
          <w:insideV w:val="single" w:color="auto" w:sz="4"/>
        </w:tblBorders>
      </w:tblPr>
      <w:tblGrid>
        <w:gridCol w:w="2700"/>
        <w:gridCol w:w="3400"/>
        <w:gridCol w:w="2300"/>
        <w:gridCol w:w="1300"/>
        <w:gridCol w:w="3800"/>
      </w:tblGrid>
      <w:tr>
        <w:trPr>
          <w:tblHeader/>
        </w:trPr>
        <w:tc>
          <w:tcPr>
            <w:tcW w:type="dxa" w:w="2700"/>
            <w:shd w:fill="1F2937" w:color="auto" w:val="clear"/>
            <w:tcMar>
              <w:top w:type="dxa" w:w="70"/>
              <w:left w:type="dxa" w:w="90"/>
              <w:bottom w:type="dxa" w:w="70"/>
              <w:right w:type="dxa" w:w="90"/>
            </w:tcMar>
          </w:tcPr>
          <w:p>
            <w:r>
              <w:rPr>
                <w:b/>
                <w:bCs/>
                <w:color w:val="FFFFFF"/>
                <w:sz w:val="17"/>
                <w:szCs w:val="17"/>
              </w:rPr>
              <w:t xml:space="preserve">Scenario</w:t>
            </w:r>
          </w:p>
        </w:tc>
        <w:tc>
          <w:tcPr>
            <w:tcW w:type="dxa" w:w="3400"/>
            <w:shd w:fill="1F2937" w:color="auto" w:val="clear"/>
            <w:tcMar>
              <w:top w:type="dxa" w:w="70"/>
              <w:left w:type="dxa" w:w="90"/>
              <w:bottom w:type="dxa" w:w="70"/>
              <w:right w:type="dxa" w:w="90"/>
            </w:tcMar>
          </w:tcPr>
          <w:p>
            <w:r>
              <w:rPr>
                <w:b/>
                <w:bCs/>
                <w:color w:val="FFFFFF"/>
                <w:sz w:val="17"/>
                <w:szCs w:val="17"/>
              </w:rPr>
              <w:t xml:space="preserve">Decision created</w:t>
            </w:r>
          </w:p>
        </w:tc>
        <w:tc>
          <w:tcPr>
            <w:tcW w:type="dxa" w:w="2300"/>
            <w:shd w:fill="1F2937" w:color="auto" w:val="clear"/>
            <w:tcMar>
              <w:top w:type="dxa" w:w="70"/>
              <w:left w:type="dxa" w:w="90"/>
              <w:bottom w:type="dxa" w:w="70"/>
              <w:right w:type="dxa" w:w="90"/>
            </w:tcMar>
          </w:tcPr>
          <w:p>
            <w:r>
              <w:rPr>
                <w:b/>
                <w:bCs/>
                <w:color w:val="FFFFFF"/>
                <w:sz w:val="17"/>
                <w:szCs w:val="17"/>
              </w:rPr>
              <w:t xml:space="preserve">Status</w:t>
            </w:r>
          </w:p>
        </w:tc>
        <w:tc>
          <w:tcPr>
            <w:tcW w:type="dxa" w:w="1300"/>
            <w:shd w:fill="1F2937" w:color="auto" w:val="clear"/>
            <w:tcMar>
              <w:top w:type="dxa" w:w="70"/>
              <w:left w:type="dxa" w:w="90"/>
              <w:bottom w:type="dxa" w:w="70"/>
              <w:right w:type="dxa" w:w="90"/>
            </w:tcMar>
          </w:tcPr>
          <w:p>
            <w:r>
              <w:rPr>
                <w:b/>
                <w:bCs/>
                <w:color w:val="FFFFFF"/>
                <w:sz w:val="17"/>
                <w:szCs w:val="17"/>
              </w:rPr>
              <w:t xml:space="preserve">Priority</w:t>
            </w:r>
          </w:p>
        </w:tc>
        <w:tc>
          <w:tcPr>
            <w:tcW w:type="dxa" w:w="3800"/>
            <w:shd w:fill="1F2937" w:color="auto" w:val="clear"/>
            <w:tcMar>
              <w:top w:type="dxa" w:w="70"/>
              <w:left w:type="dxa" w:w="90"/>
              <w:bottom w:type="dxa" w:w="70"/>
              <w:right w:type="dxa" w:w="90"/>
            </w:tcMar>
          </w:tcPr>
          <w:p>
            <w:r>
              <w:rPr>
                <w:b/>
                <w:bCs/>
                <w:color w:val="FFFFFF"/>
                <w:sz w:val="17"/>
                <w:szCs w:val="17"/>
              </w:rPr>
              <w:t xml:space="preserve">Note</w:t>
            </w:r>
          </w:p>
        </w:tc>
      </w:tr>
      <w:tr>
        <w:tc>
          <w:tcPr>
            <w:tcW w:type="dxa" w:w="2700"/>
            <w:tcMar>
              <w:top w:type="dxa" w:w="70"/>
              <w:left w:type="dxa" w:w="90"/>
              <w:bottom w:type="dxa" w:w="70"/>
              <w:right w:type="dxa" w:w="90"/>
            </w:tcMar>
          </w:tcPr>
          <w:p>
            <w:r>
              <w:rPr>
                <w:b w:val="false"/>
                <w:bCs w:val="false"/>
                <w:sz w:val="17"/>
                <w:szCs w:val="17"/>
              </w:rPr>
              <w:t xml:space="preserve">Fake discount coupon</w:t>
            </w:r>
          </w:p>
        </w:tc>
        <w:tc>
          <w:tcPr>
            <w:tcW w:type="dxa" w:w="3400"/>
            <w:tcMar>
              <w:top w:type="dxa" w:w="70"/>
              <w:left w:type="dxa" w:w="90"/>
              <w:bottom w:type="dxa" w:w="70"/>
              <w:right w:type="dxa" w:w="90"/>
            </w:tcMar>
          </w:tcPr>
          <w:p>
            <w:r>
              <w:rPr>
                <w:b w:val="false"/>
                <w:bCs w:val="false"/>
                <w:sz w:val="17"/>
                <w:szCs w:val="17"/>
              </w:rPr>
              <w:t xml:space="preserve">Accept a suspicious offer or verify it</w:t>
            </w:r>
          </w:p>
        </w:tc>
        <w:tc>
          <w:tcPr>
            <w:tcW w:type="dxa" w:w="2300"/>
            <w:tcMar>
              <w:top w:type="dxa" w:w="70"/>
              <w:left w:type="dxa" w:w="90"/>
              <w:bottom w:type="dxa" w:w="70"/>
              <w:right w:type="dxa" w:w="90"/>
            </w:tcMar>
          </w:tcPr>
          <w:p>
            <w:r>
              <w:rPr>
                <w:b w:val="false"/>
                <w:bCs w:val="false"/>
                <w:sz w:val="17"/>
                <w:szCs w:val="17"/>
              </w:rPr>
              <w:t xml:space="preserve">In simulation</w:t>
            </w:r>
          </w:p>
        </w:tc>
        <w:tc>
          <w:tcPr>
            <w:tcW w:type="dxa" w:w="1300"/>
            <w:tcMar>
              <w:top w:type="dxa" w:w="70"/>
              <w:left w:type="dxa" w:w="90"/>
              <w:bottom w:type="dxa" w:w="70"/>
              <w:right w:type="dxa" w:w="90"/>
            </w:tcMar>
          </w:tcPr>
          <w:p>
            <w:r>
              <w:rPr>
                <w:b w:val="false"/>
                <w:bCs w:val="false"/>
                <w:sz w:val="17"/>
                <w:szCs w:val="17"/>
              </w:rPr>
              <w:t xml:space="preserve">--</w:t>
            </w:r>
          </w:p>
        </w:tc>
        <w:tc>
          <w:tcPr>
            <w:tcW w:type="dxa" w:w="3800"/>
            <w:tcMar>
              <w:top w:type="dxa" w:w="70"/>
              <w:left w:type="dxa" w:w="90"/>
              <w:bottom w:type="dxa" w:w="70"/>
              <w:right w:type="dxa" w:w="90"/>
            </w:tcMar>
          </w:tcPr>
          <w:p>
            <w:r>
              <w:rPr>
                <w:b w:val="false"/>
                <w:bCs w:val="false"/>
                <w:sz w:val="17"/>
                <w:szCs w:val="17"/>
              </w:rPr>
              <w:t xml:space="preserve">Already implemented</w:t>
            </w:r>
          </w:p>
        </w:tc>
      </w:tr>
      <w:tr>
        <w:tc>
          <w:tcPr>
            <w:tcW w:type="dxa" w:w="2700"/>
            <w:shd w:fill="F3F4F6" w:color="auto" w:val="clear"/>
            <w:tcMar>
              <w:top w:type="dxa" w:w="70"/>
              <w:left w:type="dxa" w:w="90"/>
              <w:bottom w:type="dxa" w:w="70"/>
              <w:right w:type="dxa" w:w="90"/>
            </w:tcMar>
          </w:tcPr>
          <w:p>
            <w:r>
              <w:rPr>
                <w:b w:val="false"/>
                <w:bCs w:val="false"/>
                <w:sz w:val="17"/>
                <w:szCs w:val="17"/>
              </w:rPr>
              <w:t xml:space="preserve">Overcharging / point skimming</w:t>
            </w:r>
          </w:p>
        </w:tc>
        <w:tc>
          <w:tcPr>
            <w:tcW w:type="dxa" w:w="3400"/>
            <w:shd w:fill="F3F4F6" w:color="auto" w:val="clear"/>
            <w:tcMar>
              <w:top w:type="dxa" w:w="70"/>
              <w:left w:type="dxa" w:w="90"/>
              <w:bottom w:type="dxa" w:w="70"/>
              <w:right w:type="dxa" w:w="90"/>
            </w:tcMar>
          </w:tcPr>
          <w:p>
            <w:r>
              <w:rPr>
                <w:b w:val="false"/>
                <w:bCs w:val="false"/>
                <w:sz w:val="17"/>
                <w:szCs w:val="17"/>
              </w:rPr>
              <w:t xml:space="preserve">Notice extra deduction; continue or abandon</w:t>
            </w:r>
          </w:p>
        </w:tc>
        <w:tc>
          <w:tcPr>
            <w:tcW w:type="dxa" w:w="2300"/>
            <w:shd w:fill="F3F4F6" w:color="auto" w:val="clear"/>
            <w:tcMar>
              <w:top w:type="dxa" w:w="70"/>
              <w:left w:type="dxa" w:w="90"/>
              <w:bottom w:type="dxa" w:w="70"/>
              <w:right w:type="dxa" w:w="90"/>
            </w:tcMar>
          </w:tcPr>
          <w:p>
            <w:r>
              <w:rPr>
                <w:b w:val="false"/>
                <w:bCs w:val="false"/>
                <w:sz w:val="17"/>
                <w:szCs w:val="17"/>
              </w:rPr>
              <w:t xml:space="preserve">In simulation</w:t>
            </w:r>
          </w:p>
        </w:tc>
        <w:tc>
          <w:tcPr>
            <w:tcW w:type="dxa" w:w="1300"/>
            <w:shd w:fill="F3F4F6" w:color="auto" w:val="clear"/>
            <w:tcMar>
              <w:top w:type="dxa" w:w="70"/>
              <w:left w:type="dxa" w:w="90"/>
              <w:bottom w:type="dxa" w:w="70"/>
              <w:right w:type="dxa" w:w="90"/>
            </w:tcMar>
          </w:tcPr>
          <w:p>
            <w:r>
              <w:rPr>
                <w:b w:val="false"/>
                <w:bCs w:val="false"/>
                <w:sz w:val="17"/>
                <w:szCs w:val="17"/>
              </w:rPr>
              <w:t xml:space="preserve">--</w:t>
            </w:r>
          </w:p>
        </w:tc>
        <w:tc>
          <w:tcPr>
            <w:tcW w:type="dxa" w:w="3800"/>
            <w:shd w:fill="F3F4F6" w:color="auto" w:val="clear"/>
            <w:tcMar>
              <w:top w:type="dxa" w:w="70"/>
              <w:left w:type="dxa" w:w="90"/>
              <w:bottom w:type="dxa" w:w="70"/>
              <w:right w:type="dxa" w:w="90"/>
            </w:tcMar>
          </w:tcPr>
          <w:p>
            <w:r>
              <w:rPr>
                <w:b w:val="false"/>
                <w:bCs w:val="false"/>
                <w:sz w:val="17"/>
                <w:szCs w:val="17"/>
              </w:rPr>
              <w:t xml:space="preserve">Already implemented</w:t>
            </w:r>
          </w:p>
        </w:tc>
      </w:tr>
      <w:tr>
        <w:tc>
          <w:tcPr>
            <w:tcW w:type="dxa" w:w="2700"/>
            <w:tcMar>
              <w:top w:type="dxa" w:w="70"/>
              <w:left w:type="dxa" w:w="90"/>
              <w:bottom w:type="dxa" w:w="70"/>
              <w:right w:type="dxa" w:w="90"/>
            </w:tcMar>
          </w:tcPr>
          <w:p>
            <w:r>
              <w:rPr>
                <w:b w:val="false"/>
                <w:bCs w:val="false"/>
                <w:sz w:val="17"/>
                <w:szCs w:val="17"/>
              </w:rPr>
              <w:t xml:space="preserve">Incomplete charge delivery</w:t>
            </w:r>
          </w:p>
        </w:tc>
        <w:tc>
          <w:tcPr>
            <w:tcW w:type="dxa" w:w="3400"/>
            <w:tcMar>
              <w:top w:type="dxa" w:w="70"/>
              <w:left w:type="dxa" w:w="90"/>
              <w:bottom w:type="dxa" w:w="70"/>
              <w:right w:type="dxa" w:w="90"/>
            </w:tcMar>
          </w:tcPr>
          <w:p>
            <w:r>
              <w:rPr>
                <w:b w:val="false"/>
                <w:bCs w:val="false"/>
                <w:sz w:val="17"/>
                <w:szCs w:val="17"/>
              </w:rPr>
              <w:t xml:space="preserve">Notice under-credit; retry or switch</w:t>
            </w:r>
          </w:p>
        </w:tc>
        <w:tc>
          <w:tcPr>
            <w:tcW w:type="dxa" w:w="2300"/>
            <w:tcMar>
              <w:top w:type="dxa" w:w="70"/>
              <w:left w:type="dxa" w:w="90"/>
              <w:bottom w:type="dxa" w:w="70"/>
              <w:right w:type="dxa" w:w="90"/>
            </w:tcMar>
          </w:tcPr>
          <w:p>
            <w:r>
              <w:rPr>
                <w:b w:val="false"/>
                <w:bCs w:val="false"/>
                <w:sz w:val="17"/>
                <w:szCs w:val="17"/>
              </w:rPr>
              <w:t xml:space="preserve">In simulation</w:t>
            </w:r>
          </w:p>
        </w:tc>
        <w:tc>
          <w:tcPr>
            <w:tcW w:type="dxa" w:w="1300"/>
            <w:tcMar>
              <w:top w:type="dxa" w:w="70"/>
              <w:left w:type="dxa" w:w="90"/>
              <w:bottom w:type="dxa" w:w="70"/>
              <w:right w:type="dxa" w:w="90"/>
            </w:tcMar>
          </w:tcPr>
          <w:p>
            <w:r>
              <w:rPr>
                <w:b w:val="false"/>
                <w:bCs w:val="false"/>
                <w:sz w:val="17"/>
                <w:szCs w:val="17"/>
              </w:rPr>
              <w:t xml:space="preserve">--</w:t>
            </w:r>
          </w:p>
        </w:tc>
        <w:tc>
          <w:tcPr>
            <w:tcW w:type="dxa" w:w="3800"/>
            <w:tcMar>
              <w:top w:type="dxa" w:w="70"/>
              <w:left w:type="dxa" w:w="90"/>
              <w:bottom w:type="dxa" w:w="70"/>
              <w:right w:type="dxa" w:w="90"/>
            </w:tcMar>
          </w:tcPr>
          <w:p>
            <w:r>
              <w:rPr>
                <w:b w:val="false"/>
                <w:bCs w:val="false"/>
                <w:sz w:val="17"/>
                <w:szCs w:val="17"/>
              </w:rPr>
              <w:t xml:space="preserve">Already implemented</w:t>
            </w:r>
          </w:p>
        </w:tc>
      </w:tr>
      <w:tr>
        <w:tc>
          <w:tcPr>
            <w:tcW w:type="dxa" w:w="2700"/>
            <w:shd w:fill="F3F4F6" w:color="auto" w:val="clear"/>
            <w:tcMar>
              <w:top w:type="dxa" w:w="70"/>
              <w:left w:type="dxa" w:w="90"/>
              <w:bottom w:type="dxa" w:w="70"/>
              <w:right w:type="dxa" w:w="90"/>
            </w:tcMar>
          </w:tcPr>
          <w:p>
            <w:r>
              <w:rPr>
                <w:b w:val="false"/>
                <w:bCs w:val="false"/>
                <w:sz w:val="17"/>
                <w:szCs w:val="17"/>
              </w:rPr>
              <w:t xml:space="preserve">Malicious AI recommendation</w:t>
            </w:r>
          </w:p>
        </w:tc>
        <w:tc>
          <w:tcPr>
            <w:tcW w:type="dxa" w:w="3400"/>
            <w:shd w:fill="F3F4F6" w:color="auto" w:val="clear"/>
            <w:tcMar>
              <w:top w:type="dxa" w:w="70"/>
              <w:left w:type="dxa" w:w="90"/>
              <w:bottom w:type="dxa" w:w="70"/>
              <w:right w:type="dxa" w:w="90"/>
            </w:tcMar>
          </w:tcPr>
          <w:p>
            <w:r>
              <w:rPr>
                <w:b w:val="false"/>
                <w:bCs w:val="false"/>
                <w:sz w:val="17"/>
                <w:szCs w:val="17"/>
              </w:rPr>
              <w:t xml:space="preserve">Follow the AI blindly or verify first</w:t>
            </w:r>
          </w:p>
        </w:tc>
        <w:tc>
          <w:tcPr>
            <w:tcW w:type="dxa" w:w="2300"/>
            <w:shd w:fill="F3F4F6" w:color="auto" w:val="clear"/>
            <w:tcMar>
              <w:top w:type="dxa" w:w="70"/>
              <w:left w:type="dxa" w:w="90"/>
              <w:bottom w:type="dxa" w:w="70"/>
              <w:right w:type="dxa" w:w="90"/>
            </w:tcMar>
          </w:tcPr>
          <w:p>
            <w:r>
              <w:rPr>
                <w:b w:val="false"/>
                <w:bCs w:val="false"/>
                <w:sz w:val="17"/>
                <w:szCs w:val="17"/>
              </w:rPr>
              <w:t xml:space="preserve">New -- shortlisted, SCOPE REVISED (codebase audit, Oct 2026)</w:t>
            </w:r>
          </w:p>
        </w:tc>
        <w:tc>
          <w:tcPr>
            <w:tcW w:type="dxa" w:w="1300"/>
            <w:shd w:fill="F3F4F6" w:color="auto" w:val="clear"/>
            <w:tcMar>
              <w:top w:type="dxa" w:w="70"/>
              <w:left w:type="dxa" w:w="90"/>
              <w:bottom w:type="dxa" w:w="70"/>
              <w:right w:type="dxa" w:w="90"/>
            </w:tcMar>
          </w:tcPr>
          <w:p>
            <w:r>
              <w:rPr>
                <w:b w:val="false"/>
                <w:bCs w:val="false"/>
                <w:sz w:val="17"/>
                <w:szCs w:val="17"/>
              </w:rPr>
              <w:t xml:space="preserve">Medium (was High)</w:t>
            </w:r>
          </w:p>
        </w:tc>
        <w:tc>
          <w:tcPr>
            <w:tcW w:type="dxa" w:w="3800"/>
            <w:shd w:fill="F3F4F6" w:color="auto" w:val="clear"/>
            <w:tcMar>
              <w:top w:type="dxa" w:w="70"/>
              <w:left w:type="dxa" w:w="90"/>
              <w:bottom w:type="dxa" w:w="70"/>
              <w:right w:type="dxa" w:w="90"/>
            </w:tcMar>
          </w:tcPr>
          <w:p>
            <w:r>
              <w:rPr>
                <w:b w:val="false"/>
                <w:bCs w:val="false"/>
                <w:sz w:val="17"/>
                <w:szCs w:val="17"/>
              </w:rPr>
              <w:t xml:space="preserve">The in-game 'AI assistant' is verified in the actual codebase to be a screenshot+RAG deepfake-detection chatbot, not a kiosk-recommendation engine -- it does NOT already do correct/absent/malicious kiosk advice. This scenario now requires building new recommendation-generation logic rather than reusing an existing one; re-prioritized down accordingly pending a decision on whether to repurpose the chatbot or build separately.</w:t>
            </w:r>
          </w:p>
        </w:tc>
      </w:tr>
      <w:tr>
        <w:tc>
          <w:tcPr>
            <w:tcW w:type="dxa" w:w="2700"/>
            <w:tcMar>
              <w:top w:type="dxa" w:w="70"/>
              <w:left w:type="dxa" w:w="90"/>
              <w:bottom w:type="dxa" w:w="70"/>
              <w:right w:type="dxa" w:w="90"/>
            </w:tcMar>
          </w:tcPr>
          <w:p>
            <w:r>
              <w:rPr>
                <w:b w:val="false"/>
                <w:bCs w:val="false"/>
                <w:sz w:val="17"/>
                <w:szCs w:val="17"/>
              </w:rPr>
              <w:t xml:space="preserve">False charge-level / data injection</w:t>
            </w:r>
          </w:p>
        </w:tc>
        <w:tc>
          <w:tcPr>
            <w:tcW w:type="dxa" w:w="3400"/>
            <w:tcMar>
              <w:top w:type="dxa" w:w="70"/>
              <w:left w:type="dxa" w:w="90"/>
              <w:bottom w:type="dxa" w:w="70"/>
              <w:right w:type="dxa" w:w="90"/>
            </w:tcMar>
          </w:tcPr>
          <w:p>
            <w:r>
              <w:rPr>
                <w:b w:val="false"/>
                <w:bCs w:val="false"/>
                <w:sz w:val="17"/>
                <w:szCs w:val="17"/>
              </w:rPr>
              <w:t xml:space="preserve">Trust the displayed value or check other cues</w:t>
            </w:r>
          </w:p>
        </w:tc>
        <w:tc>
          <w:tcPr>
            <w:tcW w:type="dxa" w:w="2300"/>
            <w:tcMar>
              <w:top w:type="dxa" w:w="70"/>
              <w:left w:type="dxa" w:w="90"/>
              <w:bottom w:type="dxa" w:w="70"/>
              <w:right w:type="dxa" w:w="90"/>
            </w:tcMar>
          </w:tcPr>
          <w:p>
            <w:r>
              <w:rPr>
                <w:b w:val="false"/>
                <w:bCs w:val="false"/>
                <w:sz w:val="17"/>
                <w:szCs w:val="17"/>
              </w:rPr>
              <w:t xml:space="preserve">New -- shortlisted</w:t>
            </w:r>
          </w:p>
        </w:tc>
        <w:tc>
          <w:tcPr>
            <w:tcW w:type="dxa" w:w="1300"/>
            <w:tcMar>
              <w:top w:type="dxa" w:w="70"/>
              <w:left w:type="dxa" w:w="90"/>
              <w:bottom w:type="dxa" w:w="70"/>
              <w:right w:type="dxa" w:w="90"/>
            </w:tcMar>
          </w:tcPr>
          <w:p>
            <w:r>
              <w:rPr>
                <w:b w:val="false"/>
                <w:bCs w:val="false"/>
                <w:sz w:val="17"/>
                <w:szCs w:val="17"/>
              </w:rPr>
              <w:t xml:space="preserve">High</w:t>
            </w:r>
          </w:p>
        </w:tc>
        <w:tc>
          <w:tcPr>
            <w:tcW w:type="dxa" w:w="3800"/>
            <w:tcMar>
              <w:top w:type="dxa" w:w="70"/>
              <w:left w:type="dxa" w:w="90"/>
              <w:bottom w:type="dxa" w:w="70"/>
              <w:right w:type="dxa" w:w="90"/>
            </w:tcMar>
          </w:tcPr>
          <w:p>
            <w:r>
              <w:rPr>
                <w:b w:val="false"/>
                <w:bCs w:val="false"/>
                <w:sz w:val="17"/>
                <w:szCs w:val="17"/>
              </w:rPr>
              <w:t xml:space="preserve">Clean visual mismatch, cheap to implement</w:t>
            </w:r>
          </w:p>
        </w:tc>
      </w:tr>
      <w:tr>
        <w:tc>
          <w:tcPr>
            <w:tcW w:type="dxa" w:w="2700"/>
            <w:shd w:fill="F3F4F6" w:color="auto" w:val="clear"/>
            <w:tcMar>
              <w:top w:type="dxa" w:w="70"/>
              <w:left w:type="dxa" w:w="90"/>
              <w:bottom w:type="dxa" w:w="70"/>
              <w:right w:type="dxa" w:w="90"/>
            </w:tcMar>
          </w:tcPr>
          <w:p>
            <w:r>
              <w:rPr>
                <w:b w:val="false"/>
                <w:bCs w:val="false"/>
                <w:sz w:val="17"/>
                <w:szCs w:val="17"/>
              </w:rPr>
              <w:t xml:space="preserve">Kiosk denial of service</w:t>
            </w:r>
          </w:p>
        </w:tc>
        <w:tc>
          <w:tcPr>
            <w:tcW w:type="dxa" w:w="3400"/>
            <w:shd w:fill="F3F4F6" w:color="auto" w:val="clear"/>
            <w:tcMar>
              <w:top w:type="dxa" w:w="70"/>
              <w:left w:type="dxa" w:w="90"/>
              <w:bottom w:type="dxa" w:w="70"/>
              <w:right w:type="dxa" w:w="90"/>
            </w:tcMar>
          </w:tcPr>
          <w:p>
            <w:r>
              <w:rPr>
                <w:b w:val="false"/>
                <w:bCs w:val="false"/>
                <w:sz w:val="17"/>
                <w:szCs w:val="17"/>
              </w:rPr>
              <w:t xml:space="preserve">Wait, retry, or switch station</w:t>
            </w:r>
          </w:p>
        </w:tc>
        <w:tc>
          <w:tcPr>
            <w:tcW w:type="dxa" w:w="2300"/>
            <w:shd w:fill="F3F4F6" w:color="auto" w:val="clear"/>
            <w:tcMar>
              <w:top w:type="dxa" w:w="70"/>
              <w:left w:type="dxa" w:w="90"/>
              <w:bottom w:type="dxa" w:w="70"/>
              <w:right w:type="dxa" w:w="90"/>
            </w:tcMar>
          </w:tcPr>
          <w:p>
            <w:r>
              <w:rPr>
                <w:b w:val="false"/>
                <w:bCs w:val="false"/>
                <w:sz w:val="17"/>
                <w:szCs w:val="17"/>
              </w:rPr>
              <w:t xml:space="preserve">New -- shortlisted</w:t>
            </w:r>
          </w:p>
        </w:tc>
        <w:tc>
          <w:tcPr>
            <w:tcW w:type="dxa" w:w="1300"/>
            <w:shd w:fill="F3F4F6" w:color="auto" w:val="clear"/>
            <w:tcMar>
              <w:top w:type="dxa" w:w="70"/>
              <w:left w:type="dxa" w:w="90"/>
              <w:bottom w:type="dxa" w:w="70"/>
              <w:right w:type="dxa" w:w="90"/>
            </w:tcMar>
          </w:tcPr>
          <w:p>
            <w:r>
              <w:rPr>
                <w:b w:val="false"/>
                <w:bCs w:val="false"/>
                <w:sz w:val="17"/>
                <w:szCs w:val="17"/>
              </w:rPr>
              <w:t xml:space="preserve">High</w:t>
            </w:r>
          </w:p>
        </w:tc>
        <w:tc>
          <w:tcPr>
            <w:tcW w:type="dxa" w:w="3800"/>
            <w:shd w:fill="F3F4F6" w:color="auto" w:val="clear"/>
            <w:tcMar>
              <w:top w:type="dxa" w:w="70"/>
              <w:left w:type="dxa" w:w="90"/>
              <w:bottom w:type="dxa" w:w="70"/>
              <w:right w:type="dxa" w:w="90"/>
            </w:tcMar>
          </w:tcPr>
          <w:p>
            <w:r>
              <w:rPr>
                <w:b w:val="false"/>
                <w:bCs w:val="false"/>
                <w:sz w:val="17"/>
                <w:szCs w:val="17"/>
              </w:rPr>
              <w:t xml:space="preserve">Tests patience/persistence, distinct from point-loss scenarios</w:t>
            </w:r>
          </w:p>
        </w:tc>
      </w:tr>
      <w:tr>
        <w:tc>
          <w:tcPr>
            <w:tcW w:type="dxa" w:w="2700"/>
            <w:tcMar>
              <w:top w:type="dxa" w:w="70"/>
              <w:left w:type="dxa" w:w="90"/>
              <w:bottom w:type="dxa" w:w="70"/>
              <w:right w:type="dxa" w:w="90"/>
            </w:tcMar>
          </w:tcPr>
          <w:p>
            <w:r>
              <w:rPr>
                <w:b w:val="false"/>
                <w:bCs w:val="false"/>
                <w:sz w:val="17"/>
                <w:szCs w:val="17"/>
              </w:rPr>
              <w:t xml:space="preserve">Spoofed navigation / fake station</w:t>
            </w:r>
          </w:p>
        </w:tc>
        <w:tc>
          <w:tcPr>
            <w:tcW w:type="dxa" w:w="3400"/>
            <w:tcMar>
              <w:top w:type="dxa" w:w="70"/>
              <w:left w:type="dxa" w:w="90"/>
              <w:bottom w:type="dxa" w:w="70"/>
              <w:right w:type="dxa" w:w="90"/>
            </w:tcMar>
          </w:tcPr>
          <w:p>
            <w:r>
              <w:rPr>
                <w:b w:val="false"/>
                <w:bCs w:val="false"/>
                <w:sz w:val="17"/>
                <w:szCs w:val="17"/>
              </w:rPr>
              <w:t xml:space="preserve">Follow a route to an attacker's station</w:t>
            </w:r>
          </w:p>
        </w:tc>
        <w:tc>
          <w:tcPr>
            <w:tcW w:type="dxa" w:w="2300"/>
            <w:tcMar>
              <w:top w:type="dxa" w:w="70"/>
              <w:left w:type="dxa" w:w="90"/>
              <w:bottom w:type="dxa" w:w="70"/>
              <w:right w:type="dxa" w:w="90"/>
            </w:tcMar>
          </w:tcPr>
          <w:p>
            <w:r>
              <w:rPr>
                <w:b w:val="false"/>
                <w:bCs w:val="false"/>
                <w:sz w:val="17"/>
                <w:szCs w:val="17"/>
              </w:rPr>
              <w:t xml:space="preserve">New -- deprioritized</w:t>
            </w:r>
          </w:p>
        </w:tc>
        <w:tc>
          <w:tcPr>
            <w:tcW w:type="dxa" w:w="1300"/>
            <w:tcMar>
              <w:top w:type="dxa" w:w="70"/>
              <w:left w:type="dxa" w:w="90"/>
              <w:bottom w:type="dxa" w:w="70"/>
              <w:right w:type="dxa" w:w="90"/>
            </w:tcMar>
          </w:tcPr>
          <w:p>
            <w:r>
              <w:rPr>
                <w:b w:val="false"/>
                <w:bCs w:val="false"/>
                <w:sz w:val="17"/>
                <w:szCs w:val="17"/>
              </w:rPr>
              <w:t xml:space="preserve">Low</w:t>
            </w:r>
          </w:p>
        </w:tc>
        <w:tc>
          <w:tcPr>
            <w:tcW w:type="dxa" w:w="3800"/>
            <w:tcMar>
              <w:top w:type="dxa" w:w="70"/>
              <w:left w:type="dxa" w:w="90"/>
              <w:bottom w:type="dxa" w:w="70"/>
              <w:right w:type="dxa" w:w="90"/>
            </w:tcMar>
          </w:tcPr>
          <w:p>
            <w:r>
              <w:rPr>
                <w:b w:val="false"/>
                <w:bCs w:val="false"/>
                <w:sz w:val="17"/>
                <w:szCs w:val="17"/>
              </w:rPr>
              <w:t xml:space="preserve">Happens during active driving -- adds EEG motion-artifact noise</w:t>
            </w:r>
          </w:p>
        </w:tc>
      </w:tr>
      <w:tr>
        <w:tc>
          <w:tcPr>
            <w:tcW w:type="dxa" w:w="2700"/>
            <w:shd w:fill="F3F4F6" w:color="auto" w:val="clear"/>
            <w:tcMar>
              <w:top w:type="dxa" w:w="70"/>
              <w:left w:type="dxa" w:w="90"/>
              <w:bottom w:type="dxa" w:w="70"/>
              <w:right w:type="dxa" w:w="90"/>
            </w:tcMar>
          </w:tcPr>
          <w:p>
            <w:r>
              <w:rPr>
                <w:b w:val="false"/>
                <w:bCs w:val="false"/>
                <w:sz w:val="17"/>
                <w:szCs w:val="17"/>
              </w:rPr>
              <w:t xml:space="preserve">Post-charge vehicle fault</w:t>
            </w:r>
          </w:p>
        </w:tc>
        <w:tc>
          <w:tcPr>
            <w:tcW w:type="dxa" w:w="3400"/>
            <w:shd w:fill="F3F4F6" w:color="auto" w:val="clear"/>
            <w:tcMar>
              <w:top w:type="dxa" w:w="70"/>
              <w:left w:type="dxa" w:w="90"/>
              <w:bottom w:type="dxa" w:w="70"/>
              <w:right w:type="dxa" w:w="90"/>
            </w:tcMar>
          </w:tcPr>
          <w:p>
            <w:r>
              <w:rPr>
                <w:b w:val="false"/>
                <w:bCs w:val="false"/>
                <w:sz w:val="17"/>
                <w:szCs w:val="17"/>
              </w:rPr>
              <w:t xml:space="preserve">Reaction to a consequence, not a choice</w:t>
            </w:r>
          </w:p>
        </w:tc>
        <w:tc>
          <w:tcPr>
            <w:tcW w:type="dxa" w:w="2300"/>
            <w:shd w:fill="F3F4F6" w:color="auto" w:val="clear"/>
            <w:tcMar>
              <w:top w:type="dxa" w:w="70"/>
              <w:left w:type="dxa" w:w="90"/>
              <w:bottom w:type="dxa" w:w="70"/>
              <w:right w:type="dxa" w:w="90"/>
            </w:tcMar>
          </w:tcPr>
          <w:p>
            <w:r>
              <w:rPr>
                <w:b w:val="false"/>
                <w:bCs w:val="false"/>
                <w:sz w:val="17"/>
                <w:szCs w:val="17"/>
              </w:rPr>
              <w:t xml:space="preserve">New -- deprioritized</w:t>
            </w:r>
          </w:p>
        </w:tc>
        <w:tc>
          <w:tcPr>
            <w:tcW w:type="dxa" w:w="1300"/>
            <w:shd w:fill="F3F4F6" w:color="auto" w:val="clear"/>
            <w:tcMar>
              <w:top w:type="dxa" w:w="70"/>
              <w:left w:type="dxa" w:w="90"/>
              <w:bottom w:type="dxa" w:w="70"/>
              <w:right w:type="dxa" w:w="90"/>
            </w:tcMar>
          </w:tcPr>
          <w:p>
            <w:r>
              <w:rPr>
                <w:b w:val="false"/>
                <w:bCs w:val="false"/>
                <w:sz w:val="17"/>
                <w:szCs w:val="17"/>
              </w:rPr>
              <w:t xml:space="preserve">Low</w:t>
            </w:r>
          </w:p>
        </w:tc>
        <w:tc>
          <w:tcPr>
            <w:tcW w:type="dxa" w:w="3800"/>
            <w:shd w:fill="F3F4F6" w:color="auto" w:val="clear"/>
            <w:tcMar>
              <w:top w:type="dxa" w:w="70"/>
              <w:left w:type="dxa" w:w="90"/>
              <w:bottom w:type="dxa" w:w="70"/>
              <w:right w:type="dxa" w:w="90"/>
            </w:tcMar>
          </w:tcPr>
          <w:p>
            <w:r>
              <w:rPr>
                <w:b w:val="false"/>
                <w:bCs w:val="false"/>
                <w:sz w:val="17"/>
                <w:szCs w:val="17"/>
              </w:rPr>
              <w:t xml:space="preserve">Measures post-decision reaction, not the decision itself</w:t>
            </w:r>
          </w:p>
        </w:tc>
      </w:tr>
    </w:tbl>
    <w:p>
      <w:pPr>
        <w:pStyle w:val="Heading1"/>
        <w:spacing w:after="180" w:before="380"/>
      </w:pPr>
      <w:r>
        <w:t xml:space="preserve">6. Novelty Analysis -- Skeptical Verdicts</w:t>
      </w:r>
    </w:p>
    <w:p>
      <w:pPr>
        <w:spacing w:after="150"/>
      </w:pPr>
      <w:r>
        <w:t xml:space="preserve">Every candidate novelty claim was tested against the closest prior work found, not accepted on the strength of "nobody has combined these things."</w:t>
      </w:r>
    </w:p>
    <w:tbl>
      <w:tblPr>
        <w:tblW w:type="dxa" w:w="13700"/>
        <w:tblBorders>
          <w:top w:val="single" w:color="auto" w:sz="4"/>
          <w:left w:val="single" w:color="auto" w:sz="4"/>
          <w:bottom w:val="single" w:color="auto" w:sz="4"/>
          <w:right w:val="single" w:color="auto" w:sz="4"/>
          <w:insideH w:val="single" w:color="auto" w:sz="4"/>
          <w:insideV w:val="single" w:color="auto" w:sz="4"/>
        </w:tblBorders>
      </w:tblPr>
      <w:tblGrid>
        <w:gridCol w:w="2600"/>
        <w:gridCol w:w="4000"/>
        <w:gridCol w:w="4300"/>
        <w:gridCol w:w="2800"/>
      </w:tblGrid>
      <w:tr>
        <w:trPr>
          <w:tblHeader/>
        </w:trPr>
        <w:tc>
          <w:tcPr>
            <w:tcW w:type="dxa" w:w="2600"/>
            <w:shd w:fill="1F2937" w:color="auto" w:val="clear"/>
            <w:tcMar>
              <w:top w:type="dxa" w:w="70"/>
              <w:left w:type="dxa" w:w="90"/>
              <w:bottom w:type="dxa" w:w="70"/>
              <w:right w:type="dxa" w:w="90"/>
            </w:tcMar>
          </w:tcPr>
          <w:p>
            <w:r>
              <w:rPr>
                <w:b/>
                <w:bCs/>
                <w:color w:val="FFFFFF"/>
                <w:sz w:val="17"/>
                <w:szCs w:val="17"/>
              </w:rPr>
              <w:t xml:space="preserve">Candidate claim</w:t>
            </w:r>
          </w:p>
        </w:tc>
        <w:tc>
          <w:tcPr>
            <w:tcW w:type="dxa" w:w="4000"/>
            <w:shd w:fill="1F2937" w:color="auto" w:val="clear"/>
            <w:tcMar>
              <w:top w:type="dxa" w:w="70"/>
              <w:left w:type="dxa" w:w="90"/>
              <w:bottom w:type="dxa" w:w="70"/>
              <w:right w:type="dxa" w:w="90"/>
            </w:tcMar>
          </w:tcPr>
          <w:p>
            <w:r>
              <w:rPr>
                <w:b/>
                <w:bCs/>
                <w:color w:val="FFFFFF"/>
                <w:sz w:val="17"/>
                <w:szCs w:val="17"/>
              </w:rPr>
              <w:t xml:space="preserve">Verdict</w:t>
            </w:r>
          </w:p>
        </w:tc>
        <w:tc>
          <w:tcPr>
            <w:tcW w:type="dxa" w:w="4300"/>
            <w:shd w:fill="1F2937" w:color="auto" w:val="clear"/>
            <w:tcMar>
              <w:top w:type="dxa" w:w="70"/>
              <w:left w:type="dxa" w:w="90"/>
              <w:bottom w:type="dxa" w:w="70"/>
              <w:right w:type="dxa" w:w="90"/>
            </w:tcMar>
          </w:tcPr>
          <w:p>
            <w:r>
              <w:rPr>
                <w:b/>
                <w:bCs/>
                <w:color w:val="FFFFFF"/>
                <w:sz w:val="17"/>
                <w:szCs w:val="17"/>
              </w:rPr>
              <w:t xml:space="preserve">Why</w:t>
            </w:r>
          </w:p>
        </w:tc>
        <w:tc>
          <w:tcPr>
            <w:tcW w:type="dxa" w:w="2800"/>
            <w:shd w:fill="1F2937" w:color="auto" w:val="clear"/>
            <w:tcMar>
              <w:top w:type="dxa" w:w="70"/>
              <w:left w:type="dxa" w:w="90"/>
              <w:bottom w:type="dxa" w:w="70"/>
              <w:right w:type="dxa" w:w="90"/>
            </w:tcMar>
          </w:tcPr>
          <w:p>
            <w:r>
              <w:rPr>
                <w:b/>
                <w:bCs/>
                <w:color w:val="FFFFFF"/>
                <w:sz w:val="17"/>
                <w:szCs w:val="17"/>
              </w:rPr>
              <w:t xml:space="preserve">Honest framing to use</w:t>
            </w:r>
          </w:p>
        </w:tc>
      </w:tr>
      <w:tr>
        <w:tc>
          <w:tcPr>
            <w:tcW w:type="dxa" w:w="2600"/>
            <w:tcMar>
              <w:top w:type="dxa" w:w="70"/>
              <w:left w:type="dxa" w:w="90"/>
              <w:bottom w:type="dxa" w:w="70"/>
              <w:right w:type="dxa" w:w="90"/>
            </w:tcMar>
          </w:tcPr>
          <w:p>
            <w:r>
              <w:rPr>
                <w:b w:val="false"/>
                <w:bCs w:val="false"/>
                <w:sz w:val="17"/>
                <w:szCs w:val="17"/>
              </w:rPr>
              <w:t xml:space="preserve">"First to combine VR + EEG + eye tracking + AI in one study"</w:t>
            </w:r>
          </w:p>
        </w:tc>
        <w:tc>
          <w:tcPr>
            <w:tcW w:type="dxa" w:w="4000"/>
            <w:tcMar>
              <w:top w:type="dxa" w:w="70"/>
              <w:left w:type="dxa" w:w="90"/>
              <w:bottom w:type="dxa" w:w="70"/>
              <w:right w:type="dxa" w:w="90"/>
            </w:tcMar>
          </w:tcPr>
          <w:p>
            <w:r>
              <w:rPr>
                <w:b w:val="false"/>
                <w:bCs w:val="false"/>
                <w:sz w:val="17"/>
                <w:szCs w:val="17"/>
              </w:rPr>
              <w:t xml:space="preserve">REJECT as the headline claim</w:t>
            </w:r>
          </w:p>
        </w:tc>
        <w:tc>
          <w:tcPr>
            <w:tcW w:type="dxa" w:w="4300"/>
            <w:tcMar>
              <w:top w:type="dxa" w:w="70"/>
              <w:left w:type="dxa" w:w="90"/>
              <w:bottom w:type="dxa" w:w="70"/>
              <w:right w:type="dxa" w:w="90"/>
            </w:tcMar>
          </w:tcPr>
          <w:p>
            <w:r>
              <w:rPr>
                <w:b w:val="false"/>
                <w:bCs w:val="false"/>
                <w:sz w:val="17"/>
                <w:szCs w:val="17"/>
              </w:rPr>
              <w:t xml:space="preserve">Weak/incremental novelty -- a reviewer can always find some prior study combining a subset of tools. Combining tools is not itself a contribution.</w:t>
            </w:r>
          </w:p>
        </w:tc>
        <w:tc>
          <w:tcPr>
            <w:tcW w:type="dxa" w:w="2800"/>
            <w:tcMar>
              <w:top w:type="dxa" w:w="70"/>
              <w:left w:type="dxa" w:w="90"/>
              <w:bottom w:type="dxa" w:w="70"/>
              <w:right w:type="dxa" w:w="90"/>
            </w:tcMar>
          </w:tcPr>
          <w:p>
            <w:r>
              <w:rPr>
                <w:b w:val="false"/>
                <w:bCs w:val="false"/>
                <w:sz w:val="17"/>
                <w:szCs w:val="17"/>
              </w:rPr>
              <w:t xml:space="preserve">Mention the combination as a methodological feature, never as the main claim.</w:t>
            </w:r>
          </w:p>
        </w:tc>
      </w:tr>
      <w:tr>
        <w:tc>
          <w:tcPr>
            <w:tcW w:type="dxa" w:w="2600"/>
            <w:shd w:fill="F3F4F6" w:color="auto" w:val="clear"/>
            <w:tcMar>
              <w:top w:type="dxa" w:w="70"/>
              <w:left w:type="dxa" w:w="90"/>
              <w:bottom w:type="dxa" w:w="70"/>
              <w:right w:type="dxa" w:w="90"/>
            </w:tcMar>
          </w:tcPr>
          <w:p>
            <w:r>
              <w:rPr>
                <w:b w:val="false"/>
                <w:bCs w:val="false"/>
                <w:sz w:val="17"/>
                <w:szCs w:val="17"/>
              </w:rPr>
              <w:t xml:space="preserve">"Human decision-making under interactive EV-charging cyber-deception, measured behaviorally + physiologically, in immersive VR"</w:t>
            </w:r>
          </w:p>
        </w:tc>
        <w:tc>
          <w:tcPr>
            <w:tcW w:type="dxa" w:w="4000"/>
            <w:shd w:fill="F3F4F6" w:color="auto" w:val="clear"/>
            <w:tcMar>
              <w:top w:type="dxa" w:w="70"/>
              <w:left w:type="dxa" w:w="90"/>
              <w:bottom w:type="dxa" w:w="70"/>
              <w:right w:type="dxa" w:w="90"/>
            </w:tcMar>
          </w:tcPr>
          <w:p>
            <w:r>
              <w:rPr>
                <w:b w:val="false"/>
                <w:bCs w:val="false"/>
                <w:sz w:val="17"/>
                <w:szCs w:val="17"/>
              </w:rPr>
              <w:t xml:space="preserve">ACCEPT -- defensible</w:t>
            </w:r>
          </w:p>
        </w:tc>
        <w:tc>
          <w:tcPr>
            <w:tcW w:type="dxa" w:w="4300"/>
            <w:shd w:fill="F3F4F6" w:color="auto" w:val="clear"/>
            <w:tcMar>
              <w:top w:type="dxa" w:w="70"/>
              <w:left w:type="dxa" w:w="90"/>
              <w:bottom w:type="dxa" w:w="70"/>
              <w:right w:type="dxa" w:w="90"/>
            </w:tcMar>
          </w:tcPr>
          <w:p>
            <w:r>
              <w:rPr>
                <w:b w:val="false"/>
                <w:bCs w:val="false"/>
                <w:sz w:val="17"/>
                <w:szCs w:val="17"/>
              </w:rPr>
              <w:t xml:space="preserve">No prior work (verified against Nasr, McAlaney &amp; Hills, Thomopoulos et al., Kurt et al., and the 2023 driving-sim trust study) studies this specific combination of domain (EV charging) + task (active multi-option decision) + modality (behavior+gaze+EEG).</w:t>
            </w:r>
          </w:p>
        </w:tc>
        <w:tc>
          <w:tcPr>
            <w:tcW w:type="dxa" w:w="2800"/>
            <w:shd w:fill="F3F4F6" w:color="auto" w:val="clear"/>
            <w:tcMar>
              <w:top w:type="dxa" w:w="70"/>
              <w:left w:type="dxa" w:w="90"/>
              <w:bottom w:type="dxa" w:w="70"/>
              <w:right w:type="dxa" w:w="90"/>
            </w:tcMar>
          </w:tcPr>
          <w:p>
            <w:r>
              <w:rPr>
                <w:b w:val="false"/>
                <w:bCs w:val="false"/>
                <w:sz w:val="17"/>
                <w:szCs w:val="17"/>
              </w:rPr>
              <w:t xml:space="preserve">Lead with the research question and domain, not the technology list.</w:t>
            </w:r>
          </w:p>
        </w:tc>
      </w:tr>
      <w:tr>
        <w:tc>
          <w:tcPr>
            <w:tcW w:type="dxa" w:w="2600"/>
            <w:tcMar>
              <w:top w:type="dxa" w:w="70"/>
              <w:left w:type="dxa" w:w="90"/>
              <w:bottom w:type="dxa" w:w="70"/>
              <w:right w:type="dxa" w:w="90"/>
            </w:tcMar>
          </w:tcPr>
          <w:p>
            <w:r>
              <w:rPr>
                <w:b w:val="false"/>
                <w:bCs w:val="false"/>
                <w:sz w:val="17"/>
                <w:szCs w:val="17"/>
              </w:rPr>
              <w:t xml:space="preserve">"Automation bias toward a malicious AI recommendation, with physiology, in a driving/EV context"</w:t>
            </w:r>
          </w:p>
        </w:tc>
        <w:tc>
          <w:tcPr>
            <w:tcW w:type="dxa" w:w="4000"/>
            <w:tcMar>
              <w:top w:type="dxa" w:w="70"/>
              <w:left w:type="dxa" w:w="90"/>
              <w:bottom w:type="dxa" w:w="70"/>
              <w:right w:type="dxa" w:w="90"/>
            </w:tcMar>
          </w:tcPr>
          <w:p>
            <w:r>
              <w:rPr>
                <w:b w:val="false"/>
                <w:bCs w:val="false"/>
                <w:sz w:val="17"/>
                <w:szCs w:val="17"/>
              </w:rPr>
              <w:t xml:space="preserve">ACCEPT -- novel niche, second contribution, BUT implementation cost revised upward</w:t>
            </w:r>
          </w:p>
        </w:tc>
        <w:tc>
          <w:tcPr>
            <w:tcW w:type="dxa" w:w="4300"/>
            <w:tcMar>
              <w:top w:type="dxa" w:w="70"/>
              <w:left w:type="dxa" w:w="90"/>
              <w:bottom w:type="dxa" w:w="70"/>
              <w:right w:type="dxa" w:w="90"/>
            </w:tcMar>
          </w:tcPr>
          <w:p>
            <w:r>
              <w:rPr>
                <w:b w:val="false"/>
                <w:bCs w:val="false"/>
                <w:sz w:val="17"/>
                <w:szCs w:val="17"/>
              </w:rPr>
              <w:t xml:space="preserve">Automation bias is well established behaviorally (Horowitz &amp; Kahn 2024, 9,000 adults); physiological measurement of trust exists in other domains but not EV/navigation with a malicious option. Codebase audit (Oct 2026) found the existing 'AI assistant' is a deepfake-detection chatbot, not a kiosk-recommendation engine -- the premise that this objective 'reuses existing infrastructure' no longer holds as stated; new recommendation logic must be built.</w:t>
            </w:r>
          </w:p>
        </w:tc>
        <w:tc>
          <w:tcPr>
            <w:tcW w:type="dxa" w:w="2800"/>
            <w:tcMar>
              <w:top w:type="dxa" w:w="70"/>
              <w:left w:type="dxa" w:w="90"/>
              <w:bottom w:type="dxa" w:w="70"/>
              <w:right w:type="dxa" w:w="90"/>
            </w:tcMar>
          </w:tcPr>
          <w:p>
            <w:r>
              <w:rPr>
                <w:b w:val="false"/>
                <w:bCs w:val="false"/>
                <w:sz w:val="17"/>
                <w:szCs w:val="17"/>
              </w:rPr>
              <w:t xml:space="preserve">Present as a secondary, well-motivated objective, not the sole contribution -- and budget it as new engineering work, not a reuse.</w:t>
            </w:r>
          </w:p>
        </w:tc>
      </w:tr>
      <w:tr>
        <w:tc>
          <w:tcPr>
            <w:tcW w:type="dxa" w:w="2600"/>
            <w:shd w:fill="F3F4F6" w:color="auto" w:val="clear"/>
            <w:tcMar>
              <w:top w:type="dxa" w:w="70"/>
              <w:left w:type="dxa" w:w="90"/>
              <w:bottom w:type="dxa" w:w="70"/>
              <w:right w:type="dxa" w:w="90"/>
            </w:tcMar>
          </w:tcPr>
          <w:p>
            <w:r>
              <w:rPr>
                <w:b w:val="false"/>
                <w:bCs w:val="false"/>
                <w:sz w:val="17"/>
                <w:szCs w:val="17"/>
              </w:rPr>
              <w:t xml:space="preserve">"EEG reveals cybersecurity vulnerability"</w:t>
            </w:r>
          </w:p>
        </w:tc>
        <w:tc>
          <w:tcPr>
            <w:tcW w:type="dxa" w:w="4000"/>
            <w:shd w:fill="F3F4F6" w:color="auto" w:val="clear"/>
            <w:tcMar>
              <w:top w:type="dxa" w:w="70"/>
              <w:left w:type="dxa" w:w="90"/>
              <w:bottom w:type="dxa" w:w="70"/>
              <w:right w:type="dxa" w:w="90"/>
            </w:tcMar>
          </w:tcPr>
          <w:p>
            <w:r>
              <w:rPr>
                <w:b w:val="false"/>
                <w:bCs w:val="false"/>
                <w:sz w:val="17"/>
                <w:szCs w:val="17"/>
              </w:rPr>
              <w:t xml:space="preserve">REJECT as stated</w:t>
            </w:r>
          </w:p>
        </w:tc>
        <w:tc>
          <w:tcPr>
            <w:tcW w:type="dxa" w:w="4300"/>
            <w:shd w:fill="F3F4F6" w:color="auto" w:val="clear"/>
            <w:tcMar>
              <w:top w:type="dxa" w:w="70"/>
              <w:left w:type="dxa" w:w="90"/>
              <w:bottom w:type="dxa" w:w="70"/>
              <w:right w:type="dxa" w:w="90"/>
            </w:tcMar>
          </w:tcPr>
          <w:p>
            <w:r>
              <w:rPr>
                <w:b w:val="false"/>
                <w:bCs w:val="false"/>
                <w:sz w:val="17"/>
                <w:szCs w:val="17"/>
              </w:rPr>
              <w:t xml:space="preserve">A 4-channel consumer EEG recorded during active driving cannot support strong single-trial neural claims; motion artifact is a serious, undisclosed-until-now risk.</w:t>
            </w:r>
          </w:p>
        </w:tc>
        <w:tc>
          <w:tcPr>
            <w:tcW w:type="dxa" w:w="2800"/>
            <w:shd w:fill="F3F4F6" w:color="auto" w:val="clear"/>
            <w:tcMar>
              <w:top w:type="dxa" w:w="70"/>
              <w:left w:type="dxa" w:w="90"/>
              <w:bottom w:type="dxa" w:w="70"/>
              <w:right w:type="dxa" w:w="90"/>
            </w:tcMar>
          </w:tcPr>
          <w:p>
            <w:r>
              <w:rPr>
                <w:b w:val="false"/>
                <w:bCs w:val="false"/>
                <w:sz w:val="17"/>
                <w:szCs w:val="17"/>
              </w:rPr>
              <w:t xml:space="preserve">Frame all EEG claims as exploratory band-power trends in low-motion windows, never as detecting a cognitive state with confidence.</w:t>
            </w:r>
          </w:p>
        </w:tc>
      </w:tr>
    </w:tbl>
    <w:p>
      <w:pPr>
        <w:pStyle w:val="Heading1"/>
        <w:spacing w:after="180" w:before="380"/>
      </w:pPr>
      <w:r>
        <w:t xml:space="preserve">7. Proposed Additional Objective(s)</w:t>
      </w:r>
    </w:p>
    <w:p>
      <w:pPr>
        <w:spacing w:after="150"/>
      </w:pPr>
      <w:r>
        <w:t xml:space="preserve">Four candidates were evaluated; two are recommended for this phase.</w:t>
      </w:r>
    </w:p>
    <w:tbl>
      <w:tblPr>
        <w:tblW w:type="dxa" w:w="13700"/>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gridCol w:w="3100"/>
        <w:gridCol w:w="3600"/>
      </w:tblGrid>
      <w:tr>
        <w:trPr>
          <w:tblHeader/>
        </w:trPr>
        <w:tc>
          <w:tcPr>
            <w:tcW w:type="dxa" w:w="2600"/>
            <w:shd w:fill="1F2937" w:color="auto" w:val="clear"/>
            <w:tcMar>
              <w:top w:type="dxa" w:w="70"/>
              <w:left w:type="dxa" w:w="90"/>
              <w:bottom w:type="dxa" w:w="70"/>
              <w:right w:type="dxa" w:w="90"/>
            </w:tcMar>
          </w:tcPr>
          <w:p>
            <w:r>
              <w:rPr>
                <w:b/>
                <w:bCs/>
                <w:color w:val="FFFFFF"/>
                <w:sz w:val="17"/>
                <w:szCs w:val="17"/>
              </w:rPr>
              <w:t xml:space="preserve">Candidate objective</w:t>
            </w:r>
          </w:p>
        </w:tc>
        <w:tc>
          <w:tcPr>
            <w:tcW w:type="dxa" w:w="4400"/>
            <w:shd w:fill="1F2937" w:color="auto" w:val="clear"/>
            <w:tcMar>
              <w:top w:type="dxa" w:w="70"/>
              <w:left w:type="dxa" w:w="90"/>
              <w:bottom w:type="dxa" w:w="70"/>
              <w:right w:type="dxa" w:w="90"/>
            </w:tcMar>
          </w:tcPr>
          <w:p>
            <w:r>
              <w:rPr>
                <w:b/>
                <w:bCs/>
                <w:color w:val="FFFFFF"/>
                <w:sz w:val="17"/>
                <w:szCs w:val="17"/>
              </w:rPr>
              <w:t xml:space="preserve">Research question</w:t>
            </w:r>
          </w:p>
        </w:tc>
        <w:tc>
          <w:tcPr>
            <w:tcW w:type="dxa" w:w="3100"/>
            <w:shd w:fill="1F2937" w:color="auto" w:val="clear"/>
            <w:tcMar>
              <w:top w:type="dxa" w:w="70"/>
              <w:left w:type="dxa" w:w="90"/>
              <w:bottom w:type="dxa" w:w="70"/>
              <w:right w:type="dxa" w:w="90"/>
            </w:tcMar>
          </w:tcPr>
          <w:p>
            <w:r>
              <w:rPr>
                <w:b/>
                <w:bCs/>
                <w:color w:val="FFFFFF"/>
                <w:sz w:val="17"/>
                <w:szCs w:val="17"/>
              </w:rPr>
              <w:t xml:space="preserve">Verdict</w:t>
            </w:r>
          </w:p>
        </w:tc>
        <w:tc>
          <w:tcPr>
            <w:tcW w:type="dxa" w:w="3600"/>
            <w:shd w:fill="1F2937" w:color="auto" w:val="clear"/>
            <w:tcMar>
              <w:top w:type="dxa" w:w="70"/>
              <w:left w:type="dxa" w:w="90"/>
              <w:bottom w:type="dxa" w:w="70"/>
              <w:right w:type="dxa" w:w="90"/>
            </w:tcMar>
          </w:tcPr>
          <w:p>
            <w:r>
              <w:rPr>
                <w:b/>
                <w:bCs/>
                <w:color w:val="FFFFFF"/>
                <w:sz w:val="17"/>
                <w:szCs w:val="17"/>
              </w:rPr>
              <w:t xml:space="preserve">Why</w:t>
            </w:r>
          </w:p>
        </w:tc>
      </w:tr>
      <w:tr>
        <w:tc>
          <w:tcPr>
            <w:tcW w:type="dxa" w:w="2600"/>
            <w:tcMar>
              <w:top w:type="dxa" w:w="70"/>
              <w:left w:type="dxa" w:w="90"/>
              <w:bottom w:type="dxa" w:w="70"/>
              <w:right w:type="dxa" w:w="90"/>
            </w:tcMar>
          </w:tcPr>
          <w:p>
            <w:r>
              <w:rPr>
                <w:b w:val="false"/>
                <w:bCs w:val="false"/>
                <w:sz w:val="17"/>
                <w:szCs w:val="17"/>
              </w:rPr>
              <w:t xml:space="preserve">AI-recommendation automation bias</w:t>
            </w:r>
          </w:p>
        </w:tc>
        <w:tc>
          <w:tcPr>
            <w:tcW w:type="dxa" w:w="4400"/>
            <w:tcMar>
              <w:top w:type="dxa" w:w="70"/>
              <w:left w:type="dxa" w:w="90"/>
              <w:bottom w:type="dxa" w:w="70"/>
              <w:right w:type="dxa" w:w="90"/>
            </w:tcMar>
          </w:tcPr>
          <w:p>
            <w:r>
              <w:rPr>
                <w:b w:val="false"/>
                <w:bCs w:val="false"/>
                <w:sz w:val="17"/>
                <w:szCs w:val="17"/>
              </w:rPr>
              <w:t xml:space="preserve">Does a malicious AI recommendation increase unsafe kiosk choices vs. a correct or absent recommendation, and does verification behavior (gaze) mediate this?</w:t>
            </w:r>
          </w:p>
        </w:tc>
        <w:tc>
          <w:tcPr>
            <w:tcW w:type="dxa" w:w="3100"/>
            <w:tcMar>
              <w:top w:type="dxa" w:w="70"/>
              <w:left w:type="dxa" w:w="90"/>
              <w:bottom w:type="dxa" w:w="70"/>
              <w:right w:type="dxa" w:w="90"/>
            </w:tcMar>
          </w:tcPr>
          <w:p>
            <w:r>
              <w:rPr>
                <w:b w:val="false"/>
                <w:bCs w:val="false"/>
                <w:sz w:val="17"/>
                <w:szCs w:val="17"/>
              </w:rPr>
              <w:t xml:space="preserve">RECOMMENDED -- revised cost</w:t>
            </w:r>
          </w:p>
        </w:tc>
        <w:tc>
          <w:tcPr>
            <w:tcW w:type="dxa" w:w="3600"/>
            <w:tcMar>
              <w:top w:type="dxa" w:w="70"/>
              <w:left w:type="dxa" w:w="90"/>
              <w:bottom w:type="dxa" w:w="70"/>
              <w:right w:type="dxa" w:w="90"/>
            </w:tcMar>
          </w:tcPr>
          <w:p>
            <w:r>
              <w:rPr>
                <w:b w:val="false"/>
                <w:bCs w:val="false"/>
                <w:sz w:val="17"/>
                <w:szCs w:val="17"/>
              </w:rPr>
              <w:t xml:space="preserve">Literature support unchanged and strong; integrates directly into the existing EEG+gaze+decision pipeline. NO LONGER a reuse of existing infrastructure: codebase audit found the in-game 'AI assistant' is a screenshot+RAG deepfake-detection chatbot, not a kiosk-recommendation engine. Requires building new recommendation-generation logic (or repurposing the chatbot, TBD) -- budget this as new work, not a cheap add-on.</w:t>
            </w:r>
          </w:p>
        </w:tc>
      </w:tr>
      <w:tr>
        <w:tc>
          <w:tcPr>
            <w:tcW w:type="dxa" w:w="2600"/>
            <w:shd w:fill="F3F4F6" w:color="auto" w:val="clear"/>
            <w:tcMar>
              <w:top w:type="dxa" w:w="70"/>
              <w:left w:type="dxa" w:w="90"/>
              <w:bottom w:type="dxa" w:w="70"/>
              <w:right w:type="dxa" w:w="90"/>
            </w:tcMar>
          </w:tcPr>
          <w:p>
            <w:r>
              <w:rPr>
                <w:b w:val="false"/>
                <w:bCs w:val="false"/>
                <w:sz w:val="17"/>
                <w:szCs w:val="17"/>
              </w:rPr>
              <w:t xml:space="preserve">Habituation / warning fatigue across stations</w:t>
            </w:r>
          </w:p>
        </w:tc>
        <w:tc>
          <w:tcPr>
            <w:tcW w:type="dxa" w:w="4400"/>
            <w:shd w:fill="F3F4F6" w:color="auto" w:val="clear"/>
            <w:tcMar>
              <w:top w:type="dxa" w:w="70"/>
              <w:left w:type="dxa" w:w="90"/>
              <w:bottom w:type="dxa" w:w="70"/>
              <w:right w:type="dxa" w:w="90"/>
            </w:tcMar>
          </w:tcPr>
          <w:p>
            <w:r>
              <w:rPr>
                <w:b w:val="false"/>
                <w:bCs w:val="false"/>
                <w:sz w:val="17"/>
                <w:szCs w:val="17"/>
              </w:rPr>
              <w:t xml:space="preserve">Does verification behavior decline across repeated stations within a session?</w:t>
            </w:r>
          </w:p>
        </w:tc>
        <w:tc>
          <w:tcPr>
            <w:tcW w:type="dxa" w:w="3100"/>
            <w:shd w:fill="F3F4F6" w:color="auto" w:val="clear"/>
            <w:tcMar>
              <w:top w:type="dxa" w:w="70"/>
              <w:left w:type="dxa" w:w="90"/>
              <w:bottom w:type="dxa" w:w="70"/>
              <w:right w:type="dxa" w:w="90"/>
            </w:tcMar>
          </w:tcPr>
          <w:p>
            <w:r>
              <w:rPr>
                <w:b w:val="false"/>
                <w:bCs w:val="false"/>
                <w:sz w:val="17"/>
                <w:szCs w:val="17"/>
              </w:rPr>
              <w:t xml:space="preserve">RECOMMENDED</w:t>
            </w:r>
          </w:p>
        </w:tc>
        <w:tc>
          <w:tcPr>
            <w:tcW w:type="dxa" w:w="3600"/>
            <w:shd w:fill="F3F4F6" w:color="auto" w:val="clear"/>
            <w:tcMar>
              <w:top w:type="dxa" w:w="70"/>
              <w:left w:type="dxa" w:w="90"/>
              <w:bottom w:type="dxa" w:w="70"/>
              <w:right w:type="dxa" w:w="90"/>
            </w:tcMar>
          </w:tcPr>
          <w:p>
            <w:r>
              <w:rPr>
                <w:b w:val="false"/>
                <w:bCs w:val="false"/>
                <w:sz w:val="17"/>
                <w:szCs w:val="17"/>
              </w:rPr>
              <w:t xml:space="preserve">Nearly free -- the 15-20 station design already produces this data; converts a real learning-effect confound into a finding instead of noise.</w:t>
            </w:r>
          </w:p>
        </w:tc>
      </w:tr>
      <w:tr>
        <w:tc>
          <w:tcPr>
            <w:tcW w:type="dxa" w:w="2600"/>
            <w:tcMar>
              <w:top w:type="dxa" w:w="70"/>
              <w:left w:type="dxa" w:w="90"/>
              <w:bottom w:type="dxa" w:w="70"/>
              <w:right w:type="dxa" w:w="90"/>
            </w:tcMar>
          </w:tcPr>
          <w:p>
            <w:r>
              <w:rPr>
                <w:b w:val="false"/>
                <w:bCs w:val="false"/>
                <w:sz w:val="17"/>
                <w:szCs w:val="17"/>
              </w:rPr>
              <w:t xml:space="preserve">Time pressure + distraction manipulation</w:t>
            </w:r>
          </w:p>
        </w:tc>
        <w:tc>
          <w:tcPr>
            <w:tcW w:type="dxa" w:w="4400"/>
            <w:tcMar>
              <w:top w:type="dxa" w:w="70"/>
              <w:left w:type="dxa" w:w="90"/>
              <w:bottom w:type="dxa" w:w="70"/>
              <w:right w:type="dxa" w:w="90"/>
            </w:tcMar>
          </w:tcPr>
          <w:p>
            <w:r>
              <w:rPr>
                <w:b w:val="false"/>
                <w:bCs w:val="false"/>
                <w:sz w:val="17"/>
                <w:szCs w:val="17"/>
              </w:rPr>
              <w:t xml:space="preserve">Does a forced decision window with audio distraction increase blind AI reliance?</w:t>
            </w:r>
          </w:p>
        </w:tc>
        <w:tc>
          <w:tcPr>
            <w:tcW w:type="dxa" w:w="3100"/>
            <w:tcMar>
              <w:top w:type="dxa" w:w="70"/>
              <w:left w:type="dxa" w:w="90"/>
              <w:bottom w:type="dxa" w:w="70"/>
              <w:right w:type="dxa" w:w="90"/>
            </w:tcMar>
          </w:tcPr>
          <w:p>
            <w:r>
              <w:rPr>
                <w:b w:val="false"/>
                <w:bCs w:val="false"/>
                <w:sz w:val="17"/>
                <w:szCs w:val="17"/>
              </w:rPr>
              <w:t xml:space="preserve">DEFER</w:t>
            </w:r>
          </w:p>
        </w:tc>
        <w:tc>
          <w:tcPr>
            <w:tcW w:type="dxa" w:w="3600"/>
            <w:tcMar>
              <w:top w:type="dxa" w:w="70"/>
              <w:left w:type="dxa" w:w="90"/>
              <w:bottom w:type="dxa" w:w="70"/>
              <w:right w:type="dxa" w:w="90"/>
            </w:tcMar>
          </w:tcPr>
          <w:p>
            <w:r>
              <w:rPr>
                <w:b w:val="false"/>
                <w:bCs w:val="false"/>
                <w:sz w:val="17"/>
                <w:szCs w:val="17"/>
              </w:rPr>
              <w:t xml:space="preserve">Promising but adds a second manipulated variable on top of AI-recommendation validity -- raises design complexity and required sample size for this semester.</w:t>
            </w:r>
          </w:p>
        </w:tc>
      </w:tr>
      <w:tr>
        <w:tc>
          <w:tcPr>
            <w:tcW w:type="dxa" w:w="2600"/>
            <w:shd w:fill="F3F4F6" w:color="auto" w:val="clear"/>
            <w:tcMar>
              <w:top w:type="dxa" w:w="70"/>
              <w:left w:type="dxa" w:w="90"/>
              <w:bottom w:type="dxa" w:w="70"/>
              <w:right w:type="dxa" w:w="90"/>
            </w:tcMar>
          </w:tcPr>
          <w:p>
            <w:r>
              <w:rPr>
                <w:b w:val="false"/>
                <w:bCs w:val="false"/>
                <w:sz w:val="17"/>
                <w:szCs w:val="17"/>
              </w:rPr>
              <w:t xml:space="preserve">Real-time in-VR warning + intervention</w:t>
            </w:r>
          </w:p>
        </w:tc>
        <w:tc>
          <w:tcPr>
            <w:tcW w:type="dxa" w:w="4400"/>
            <w:shd w:fill="F3F4F6" w:color="auto" w:val="clear"/>
            <w:tcMar>
              <w:top w:type="dxa" w:w="70"/>
              <w:left w:type="dxa" w:w="90"/>
              <w:bottom w:type="dxa" w:w="70"/>
              <w:right w:type="dxa" w:w="90"/>
            </w:tcMar>
          </w:tcPr>
          <w:p>
            <w:r>
              <w:rPr>
                <w:b w:val="false"/>
                <w:bCs w:val="false"/>
                <w:sz w:val="17"/>
                <w:szCs w:val="17"/>
              </w:rPr>
              <w:t xml:space="preserve">Does an AI-generated warning change subsequent decisions without creating new blind trust in the warning itself?</w:t>
            </w:r>
          </w:p>
        </w:tc>
        <w:tc>
          <w:tcPr>
            <w:tcW w:type="dxa" w:w="3100"/>
            <w:shd w:fill="F3F4F6" w:color="auto" w:val="clear"/>
            <w:tcMar>
              <w:top w:type="dxa" w:w="70"/>
              <w:left w:type="dxa" w:w="90"/>
              <w:bottom w:type="dxa" w:w="70"/>
              <w:right w:type="dxa" w:w="90"/>
            </w:tcMar>
          </w:tcPr>
          <w:p>
            <w:r>
              <w:rPr>
                <w:b w:val="false"/>
                <w:bCs w:val="false"/>
                <w:sz w:val="17"/>
                <w:szCs w:val="17"/>
              </w:rPr>
              <w:t xml:space="preserve">DEFER to next phase</w:t>
            </w:r>
          </w:p>
        </w:tc>
        <w:tc>
          <w:tcPr>
            <w:tcW w:type="dxa" w:w="3600"/>
            <w:shd w:fill="F3F4F6" w:color="auto" w:val="clear"/>
            <w:tcMar>
              <w:top w:type="dxa" w:w="70"/>
              <w:left w:type="dxa" w:w="90"/>
              <w:bottom w:type="dxa" w:w="70"/>
              <w:right w:type="dxa" w:w="90"/>
            </w:tcMar>
          </w:tcPr>
          <w:p>
            <w:r>
              <w:rPr>
                <w:b w:val="false"/>
                <w:bCs w:val="false"/>
                <w:sz w:val="17"/>
                <w:szCs w:val="17"/>
              </w:rPr>
              <w:t xml:space="preserve">Depends entirely on a validated risk model existing first (Objective 2) -- sequencing risk, not a scientific objection.</w:t>
            </w:r>
          </w:p>
        </w:tc>
      </w:tr>
    </w:tbl>
    <w:p>
      <w:pPr>
        <w:pStyle w:val="Heading1"/>
        <w:spacing w:after="180" w:before="380"/>
      </w:pPr>
      <w:r>
        <w:t xml:space="preserve">8. What This Project Does Not Claim (read this before presenting)</w:t>
      </w:r>
    </w:p>
    <w:p>
      <w:pPr>
        <w:pStyle w:val="ListParagraph"/>
        <w:numPr>
          <w:ilvl w:val="0"/>
          <w:numId w:val="2"/>
        </w:numPr>
        <w:spacing w:after="70"/>
      </w:pPr>
      <w:r>
        <w:rPr>
          <w:b w:val="false"/>
          <w:bCs w:val="false"/>
        </w:rPr>
        <w:t xml:space="preserve">Does not claim to be first to combine VR + EEG + eye tracking + AI -- that combination alone is not the contribution.</w:t>
      </w:r>
    </w:p>
    <w:p>
      <w:pPr>
        <w:pStyle w:val="ListParagraph"/>
        <w:numPr>
          <w:ilvl w:val="0"/>
          <w:numId w:val="2"/>
        </w:numPr>
        <w:spacing w:after="70"/>
      </w:pPr>
      <w:r>
        <w:rPr>
          <w:b w:val="false"/>
          <w:bCs w:val="false"/>
        </w:rPr>
        <w:t xml:space="preserve">Does not claim EEG can detect vulnerability -- a 4-channel consumer device during active driving supports exploratory band-power trends in low-motion windows only, not single-trial neural state detection.</w:t>
      </w:r>
    </w:p>
    <w:p>
      <w:pPr>
        <w:pStyle w:val="ListParagraph"/>
        <w:numPr>
          <w:ilvl w:val="0"/>
          <w:numId w:val="2"/>
        </w:numPr>
        <w:spacing w:after="70"/>
      </w:pPr>
      <w:r>
        <w:rPr>
          <w:b w:val="false"/>
          <w:bCs w:val="false"/>
        </w:rPr>
        <w:t xml:space="preserve">Does not claim gaze indicates understanding -- McAlaney &amp; Hills show attention and accuracy can dissociate; gaze indicates what was inspected, not what was understood.</w:t>
      </w:r>
    </w:p>
    <w:p>
      <w:pPr>
        <w:pStyle w:val="ListParagraph"/>
        <w:numPr>
          <w:ilvl w:val="0"/>
          <w:numId w:val="2"/>
        </w:numPr>
        <w:spacing w:after="70"/>
      </w:pPr>
      <w:r>
        <w:rPr>
          <w:b w:val="false"/>
          <w:bCs w:val="false"/>
        </w:rPr>
        <w:t xml:space="preserve">Does not claim deep learning is justified by default -- with ~120-150 participants, classical ML (logistic regression, random forest, XGBoost) and mixed-effects statistics are the primary analysis; deep models are kept only if they beat these baselines on held-out participants.</w:t>
      </w:r>
    </w:p>
    <w:p>
      <w:pPr>
        <w:pStyle w:val="Heading1"/>
        <w:spacing w:after="180" w:before="380"/>
      </w:pPr>
      <w:r>
        <w:t xml:space="preserve">9. Recommendation</w:t>
      </w:r>
    </w:p>
    <w:p>
      <w:pPr>
        <w:spacing w:after="150"/>
      </w:pPr>
      <w:r>
        <w:t xml:space="preserve">The research gap is evidenced, not asserted: it rests on five independently checked prior works, none of which occupies the EV-charging + interactive-decision + VR + behavior/gaze/EEG space this project occupies. The minimum viable contribution -- a well-analyzed behavioral and gaze dataset showing attack-type effects on decisions and attention -- is achievable and publishable even with EEG included only for the verified-usable subset (Section 4a), not the full sample. The recommended path forward is to continue past MTP-1 with: (1) the core decision-making study across the three existing scenarios plus the three shortlisted new ones, and (2) the AI-recommendation automation-bias objective -- still well-supported in the literature, but now correctly budgeted as new recommendation-engine engineering rather than a reuse of the existing AI assistant, since that assistant does a different job (deepfake-detection chat, not kiosk advice). EEG stays secondary to eye-tracking by design, not by default: with 76/140 participants carrying raw EEG and a proposed inclusion rule landing around the high-50s to low-60s usable, it's a real analysis arm now, not an aspirational one -- report its limitations transparently either way.</w:t>
      </w:r>
    </w:p>
    <w:p>
      <w:pPr>
        <w:pStyle w:val="Heading1"/>
        <w:spacing w:after="180" w:before="380"/>
      </w:pPr>
      <w:r>
        <w:t xml:space="preserve">10. Verified Core Bibliography</w:t>
      </w:r>
    </w:p>
    <w:tbl>
      <w:tblPr>
        <w:tblW w:type="dxa" w:w="13300"/>
        <w:tblBorders>
          <w:top w:val="single" w:color="auto" w:sz="4"/>
          <w:left w:val="single" w:color="auto" w:sz="4"/>
          <w:bottom w:val="single" w:color="auto" w:sz="4"/>
          <w:right w:val="single" w:color="auto" w:sz="4"/>
          <w:insideH w:val="single" w:color="auto" w:sz="4"/>
          <w:insideV w:val="single" w:color="auto" w:sz="4"/>
        </w:tblBorders>
      </w:tblPr>
      <w:tblGrid>
        <w:gridCol w:w="4300"/>
        <w:gridCol w:w="4900"/>
        <w:gridCol w:w="4100"/>
      </w:tblGrid>
      <w:tr>
        <w:trPr>
          <w:tblHeader/>
        </w:trPr>
        <w:tc>
          <w:tcPr>
            <w:tcW w:type="dxa" w:w="4300"/>
            <w:shd w:fill="1F2937" w:color="auto" w:val="clear"/>
            <w:tcMar>
              <w:top w:type="dxa" w:w="70"/>
              <w:left w:type="dxa" w:w="90"/>
              <w:bottom w:type="dxa" w:w="70"/>
              <w:right w:type="dxa" w:w="90"/>
            </w:tcMar>
          </w:tcPr>
          <w:p>
            <w:r>
              <w:rPr>
                <w:b/>
                <w:bCs/>
                <w:color w:val="FFFFFF"/>
                <w:sz w:val="17"/>
                <w:szCs w:val="17"/>
              </w:rPr>
              <w:t xml:space="preserve">Reference</w:t>
            </w:r>
          </w:p>
        </w:tc>
        <w:tc>
          <w:tcPr>
            <w:tcW w:type="dxa" w:w="4900"/>
            <w:shd w:fill="1F2937" w:color="auto" w:val="clear"/>
            <w:tcMar>
              <w:top w:type="dxa" w:w="70"/>
              <w:left w:type="dxa" w:w="90"/>
              <w:bottom w:type="dxa" w:w="70"/>
              <w:right w:type="dxa" w:w="90"/>
            </w:tcMar>
          </w:tcPr>
          <w:p>
            <w:r>
              <w:rPr>
                <w:b/>
                <w:bCs/>
                <w:color w:val="FFFFFF"/>
                <w:sz w:val="17"/>
                <w:szCs w:val="17"/>
              </w:rPr>
              <w:t xml:space="preserve">Venue / DOI</w:t>
            </w:r>
          </w:p>
        </w:tc>
        <w:tc>
          <w:tcPr>
            <w:tcW w:type="dxa" w:w="4100"/>
            <w:shd w:fill="1F2937" w:color="auto" w:val="clear"/>
            <w:tcMar>
              <w:top w:type="dxa" w:w="70"/>
              <w:left w:type="dxa" w:w="90"/>
              <w:bottom w:type="dxa" w:w="70"/>
              <w:right w:type="dxa" w:w="90"/>
            </w:tcMar>
          </w:tcPr>
          <w:p>
            <w:r>
              <w:rPr>
                <w:b/>
                <w:bCs/>
                <w:color w:val="FFFFFF"/>
                <w:sz w:val="17"/>
                <w:szCs w:val="17"/>
              </w:rPr>
              <w:t xml:space="preserve">Why it matters here</w:t>
            </w:r>
          </w:p>
        </w:tc>
      </w:tr>
      <w:tr>
        <w:tc>
          <w:tcPr>
            <w:tcW w:type="dxa" w:w="4300"/>
            <w:tcMar>
              <w:top w:type="dxa" w:w="70"/>
              <w:left w:type="dxa" w:w="90"/>
              <w:bottom w:type="dxa" w:w="70"/>
              <w:right w:type="dxa" w:w="90"/>
            </w:tcMar>
          </w:tcPr>
          <w:p>
            <w:r>
              <w:rPr>
                <w:b w:val="false"/>
                <w:bCs w:val="false"/>
                <w:sz w:val="17"/>
                <w:szCs w:val="17"/>
              </w:rPr>
              <w:t xml:space="preserve">Aljohani, T. &amp; Almutairi, A. (2024). A comprehensive survey of cyberattacks on EVs.</w:t>
            </w:r>
          </w:p>
        </w:tc>
        <w:tc>
          <w:tcPr>
            <w:tcW w:type="dxa" w:w="4900"/>
            <w:tcMar>
              <w:top w:type="dxa" w:w="70"/>
              <w:left w:type="dxa" w:w="90"/>
              <w:bottom w:type="dxa" w:w="70"/>
              <w:right w:type="dxa" w:w="90"/>
            </w:tcMar>
          </w:tcPr>
          <w:p>
            <w:r>
              <w:rPr>
                <w:b w:val="false"/>
                <w:bCs w:val="false"/>
                <w:sz w:val="17"/>
                <w:szCs w:val="17"/>
              </w:rPr>
              <w:t xml:space="preserve">Defence Technology 42:31-58. DOI 10.1016/j.dt.2024.06.009</w:t>
            </w:r>
          </w:p>
        </w:tc>
        <w:tc>
          <w:tcPr>
            <w:tcW w:type="dxa" w:w="4100"/>
            <w:tcMar>
              <w:top w:type="dxa" w:w="70"/>
              <w:left w:type="dxa" w:w="90"/>
              <w:bottom w:type="dxa" w:w="70"/>
              <w:right w:type="dxa" w:w="90"/>
            </w:tcMar>
          </w:tcPr>
          <w:p>
            <w:r>
              <w:rPr>
                <w:b w:val="false"/>
                <w:bCs w:val="false"/>
                <w:sz w:val="17"/>
                <w:szCs w:val="17"/>
              </w:rPr>
              <w:t xml:space="preserve">Seed taxonomy anchor; technical/CIA-based, no human-factors content -- that absence is itself part of the stated gap.</w:t>
            </w:r>
          </w:p>
        </w:tc>
      </w:tr>
      <w:tr>
        <w:tc>
          <w:tcPr>
            <w:tcW w:type="dxa" w:w="4300"/>
            <w:shd w:fill="F3F4F6" w:color="auto" w:val="clear"/>
            <w:tcMar>
              <w:top w:type="dxa" w:w="70"/>
              <w:left w:type="dxa" w:w="90"/>
              <w:bottom w:type="dxa" w:w="70"/>
              <w:right w:type="dxa" w:w="90"/>
            </w:tcMar>
          </w:tcPr>
          <w:p>
            <w:r>
              <w:rPr>
                <w:b w:val="false"/>
                <w:bCs w:val="false"/>
                <w:sz w:val="17"/>
                <w:szCs w:val="17"/>
              </w:rPr>
              <w:t xml:space="preserve">Nasr, T., Torabi, S., Bou-Harb, E., Fachkha, C., Assi, C. (2022). Power jacking your station.</w:t>
            </w:r>
          </w:p>
        </w:tc>
        <w:tc>
          <w:tcPr>
            <w:tcW w:type="dxa" w:w="4900"/>
            <w:shd w:fill="F3F4F6" w:color="auto" w:val="clear"/>
            <w:tcMar>
              <w:top w:type="dxa" w:w="70"/>
              <w:left w:type="dxa" w:w="90"/>
              <w:bottom w:type="dxa" w:w="70"/>
              <w:right w:type="dxa" w:w="90"/>
            </w:tcMar>
          </w:tcPr>
          <w:p>
            <w:r>
              <w:rPr>
                <w:b w:val="false"/>
                <w:bCs w:val="false"/>
                <w:sz w:val="17"/>
                <w:szCs w:val="17"/>
              </w:rPr>
              <w:t xml:space="preserve">Computers &amp; Security 112:102511. DOI 10.1016/j.cose.2021.102511</w:t>
            </w:r>
          </w:p>
        </w:tc>
        <w:tc>
          <w:tcPr>
            <w:tcW w:type="dxa" w:w="4100"/>
            <w:shd w:fill="F3F4F6" w:color="auto" w:val="clear"/>
            <w:tcMar>
              <w:top w:type="dxa" w:w="70"/>
              <w:left w:type="dxa" w:w="90"/>
              <w:bottom w:type="dxa" w:w="70"/>
              <w:right w:type="dxa" w:w="90"/>
            </w:tcMar>
          </w:tcPr>
          <w:p>
            <w:r>
              <w:rPr>
                <w:b w:val="false"/>
                <w:bCs w:val="false"/>
                <w:sz w:val="17"/>
                <w:szCs w:val="17"/>
              </w:rPr>
              <w:t xml:space="preserve">Demonstrated real EVCS attacks (12 CVEs, Schneider Electric) -- grounds attack realism; no human subjects.</w:t>
            </w:r>
          </w:p>
        </w:tc>
      </w:tr>
      <w:tr>
        <w:tc>
          <w:tcPr>
            <w:tcW w:type="dxa" w:w="4300"/>
            <w:tcMar>
              <w:top w:type="dxa" w:w="70"/>
              <w:left w:type="dxa" w:w="90"/>
              <w:bottom w:type="dxa" w:w="70"/>
              <w:right w:type="dxa" w:w="90"/>
            </w:tcMar>
          </w:tcPr>
          <w:p>
            <w:r>
              <w:rPr>
                <w:b w:val="false"/>
                <w:bCs w:val="false"/>
                <w:sz w:val="17"/>
                <w:szCs w:val="17"/>
              </w:rPr>
              <w:t xml:space="preserve">McAlaney, J. &amp; Hills, P.J. (2020). Understanding phishing email processing and perceived trustworthiness through eye tracking.</w:t>
            </w:r>
          </w:p>
        </w:tc>
        <w:tc>
          <w:tcPr>
            <w:tcW w:type="dxa" w:w="4900"/>
            <w:tcMar>
              <w:top w:type="dxa" w:w="70"/>
              <w:left w:type="dxa" w:w="90"/>
              <w:bottom w:type="dxa" w:w="70"/>
              <w:right w:type="dxa" w:w="90"/>
            </w:tcMar>
          </w:tcPr>
          <w:p>
            <w:r>
              <w:rPr>
                <w:b w:val="false"/>
                <w:bCs w:val="false"/>
                <w:sz w:val="17"/>
                <w:szCs w:val="17"/>
              </w:rPr>
              <w:t xml:space="preserve">Frontiers in Psychology 11:1756. DOI 10.3389/fpsyg.2020.01756</w:t>
            </w:r>
          </w:p>
        </w:tc>
        <w:tc>
          <w:tcPr>
            <w:tcW w:type="dxa" w:w="4100"/>
            <w:tcMar>
              <w:top w:type="dxa" w:w="70"/>
              <w:left w:type="dxa" w:w="90"/>
              <w:bottom w:type="dxa" w:w="70"/>
              <w:right w:type="dxa" w:w="90"/>
            </w:tcMar>
          </w:tcPr>
          <w:p>
            <w:r>
              <w:rPr>
                <w:b w:val="false"/>
                <w:bCs w:val="false"/>
                <w:sz w:val="17"/>
                <w:szCs w:val="17"/>
              </w:rPr>
              <w:t xml:space="preserve">"Attention != accuracy" caution -- do not over-claim what dwell/fixation means.</w:t>
            </w:r>
          </w:p>
        </w:tc>
      </w:tr>
      <w:tr>
        <w:tc>
          <w:tcPr>
            <w:tcW w:type="dxa" w:w="4300"/>
            <w:shd w:fill="F3F4F6" w:color="auto" w:val="clear"/>
            <w:tcMar>
              <w:top w:type="dxa" w:w="70"/>
              <w:left w:type="dxa" w:w="90"/>
              <w:bottom w:type="dxa" w:w="70"/>
              <w:right w:type="dxa" w:w="90"/>
            </w:tcMar>
          </w:tcPr>
          <w:p>
            <w:r>
              <w:rPr>
                <w:b w:val="false"/>
                <w:bCs w:val="false"/>
                <w:sz w:val="17"/>
                <w:szCs w:val="17"/>
              </w:rPr>
              <w:t xml:space="preserve">Thomopoulos, G.A., Lyras, D.P., Fidas, C.A. (2024). A systematic review and research challenges on phishing cyberattacks from an EEG and gaze-based perspective.</w:t>
            </w:r>
          </w:p>
        </w:tc>
        <w:tc>
          <w:tcPr>
            <w:tcW w:type="dxa" w:w="4900"/>
            <w:shd w:fill="F3F4F6" w:color="auto" w:val="clear"/>
            <w:tcMar>
              <w:top w:type="dxa" w:w="70"/>
              <w:left w:type="dxa" w:w="90"/>
              <w:bottom w:type="dxa" w:w="70"/>
              <w:right w:type="dxa" w:w="90"/>
            </w:tcMar>
          </w:tcPr>
          <w:p>
            <w:r>
              <w:rPr>
                <w:b w:val="false"/>
                <w:bCs w:val="false"/>
                <w:sz w:val="17"/>
                <w:szCs w:val="17"/>
              </w:rPr>
              <w:t xml:space="preserve">Personal and Ubiquitous Computing 28:449-470. DOI 10.1007/s00779-024-01794-9</w:t>
            </w:r>
          </w:p>
        </w:tc>
        <w:tc>
          <w:tcPr>
            <w:tcW w:type="dxa" w:w="4100"/>
            <w:shd w:fill="F3F4F6" w:color="auto" w:val="clear"/>
            <w:tcMar>
              <w:top w:type="dxa" w:w="70"/>
              <w:left w:type="dxa" w:w="90"/>
              <w:bottom w:type="dxa" w:w="70"/>
              <w:right w:type="dxa" w:w="90"/>
            </w:tcMar>
          </w:tcPr>
          <w:p>
            <w:r>
              <w:rPr>
                <w:b w:val="false"/>
                <w:bCs w:val="false"/>
                <w:sz w:val="17"/>
                <w:szCs w:val="17"/>
              </w:rPr>
              <w:t xml:space="preserve">Core methodological anchor; 651-to-18 screening result shows the field is small; explicit call for more realistic multi-sensory studies.</w:t>
            </w:r>
          </w:p>
        </w:tc>
      </w:tr>
      <w:tr>
        <w:tc>
          <w:tcPr>
            <w:tcW w:type="dxa" w:w="4300"/>
            <w:tcMar>
              <w:top w:type="dxa" w:w="70"/>
              <w:left w:type="dxa" w:w="90"/>
              <w:bottom w:type="dxa" w:w="70"/>
              <w:right w:type="dxa" w:w="90"/>
            </w:tcMar>
          </w:tcPr>
          <w:p>
            <w:r>
              <w:rPr>
                <w:b w:val="false"/>
                <w:bCs w:val="false"/>
                <w:sz w:val="17"/>
                <w:szCs w:val="17"/>
              </w:rPr>
              <w:t xml:space="preserve">Neupane, A. et al. (2015). A Multi-Modal Neuro-Physiological Study of Phishing Detection and Malware Warnings.</w:t>
            </w:r>
          </w:p>
        </w:tc>
        <w:tc>
          <w:tcPr>
            <w:tcW w:type="dxa" w:w="4900"/>
            <w:tcMar>
              <w:top w:type="dxa" w:w="70"/>
              <w:left w:type="dxa" w:w="90"/>
              <w:bottom w:type="dxa" w:w="70"/>
              <w:right w:type="dxa" w:w="90"/>
            </w:tcMar>
          </w:tcPr>
          <w:p>
            <w:r>
              <w:rPr>
                <w:b w:val="false"/>
                <w:bCs w:val="false"/>
                <w:sz w:val="17"/>
                <w:szCs w:val="17"/>
              </w:rPr>
              <w:t xml:space="preserve">ACM CCS '15. DOI 10.1145/2810103.2813660</w:t>
            </w:r>
          </w:p>
        </w:tc>
        <w:tc>
          <w:tcPr>
            <w:tcW w:type="dxa" w:w="4100"/>
            <w:tcMar>
              <w:top w:type="dxa" w:w="70"/>
              <w:left w:type="dxa" w:w="90"/>
              <w:bottom w:type="dxa" w:w="70"/>
              <w:right w:type="dxa" w:w="90"/>
            </w:tcMar>
          </w:tcPr>
          <w:p>
            <w:r>
              <w:rPr>
                <w:b w:val="false"/>
                <w:bCs w:val="false"/>
                <w:sz w:val="17"/>
                <w:szCs w:val="17"/>
              </w:rPr>
              <w:t xml:space="preserve">Closest EEG+gaze precedent for a security-decision task.</w:t>
            </w:r>
          </w:p>
        </w:tc>
      </w:tr>
      <w:tr>
        <w:tc>
          <w:tcPr>
            <w:tcW w:type="dxa" w:w="4300"/>
            <w:shd w:fill="F3F4F6" w:color="auto" w:val="clear"/>
            <w:tcMar>
              <w:top w:type="dxa" w:w="70"/>
              <w:left w:type="dxa" w:w="90"/>
              <w:bottom w:type="dxa" w:w="70"/>
              <w:right w:type="dxa" w:w="90"/>
            </w:tcMar>
          </w:tcPr>
          <w:p>
            <w:r>
              <w:rPr>
                <w:b w:val="false"/>
                <w:bCs w:val="false"/>
                <w:sz w:val="17"/>
                <w:szCs w:val="17"/>
              </w:rPr>
              <w:t xml:space="preserve">Kurt et al. (2026). Utilising EEG and eye-tracking in maritime GNSS spoofing incidents.</w:t>
            </w:r>
          </w:p>
        </w:tc>
        <w:tc>
          <w:tcPr>
            <w:tcW w:type="dxa" w:w="4900"/>
            <w:shd w:fill="F3F4F6" w:color="auto" w:val="clear"/>
            <w:tcMar>
              <w:top w:type="dxa" w:w="70"/>
              <w:left w:type="dxa" w:w="90"/>
              <w:bottom w:type="dxa" w:w="70"/>
              <w:right w:type="dxa" w:w="90"/>
            </w:tcMar>
          </w:tcPr>
          <w:p>
            <w:r>
              <w:rPr>
                <w:b w:val="false"/>
                <w:bCs w:val="false"/>
                <w:sz w:val="17"/>
                <w:szCs w:val="17"/>
              </w:rPr>
              <w:t xml:space="preserve">Computers &amp; Security, article S0167404826000842 -- final DOI to verify</w:t>
            </w:r>
          </w:p>
        </w:tc>
        <w:tc>
          <w:tcPr>
            <w:tcW w:type="dxa" w:w="4100"/>
            <w:shd w:fill="F3F4F6" w:color="auto" w:val="clear"/>
            <w:tcMar>
              <w:top w:type="dxa" w:w="70"/>
              <w:left w:type="dxa" w:w="90"/>
              <w:bottom w:type="dxa" w:w="70"/>
              <w:right w:type="dxa" w:w="90"/>
            </w:tcMar>
          </w:tcPr>
          <w:p>
            <w:r>
              <w:rPr>
                <w:b w:val="false"/>
                <w:bCs w:val="false"/>
                <w:sz w:val="17"/>
                <w:szCs w:val="17"/>
              </w:rPr>
              <w:t xml:space="preserve">Closest structural precedent overall: simulator + live cyberattack + EEG + gaze + behavioral outcome + SA-briefing intervention design.</w:t>
            </w:r>
          </w:p>
        </w:tc>
      </w:tr>
      <w:tr>
        <w:tc>
          <w:tcPr>
            <w:tcW w:type="dxa" w:w="4300"/>
            <w:tcMar>
              <w:top w:type="dxa" w:w="70"/>
              <w:left w:type="dxa" w:w="90"/>
              <w:bottom w:type="dxa" w:w="70"/>
              <w:right w:type="dxa" w:w="90"/>
            </w:tcMar>
          </w:tcPr>
          <w:p>
            <w:r>
              <w:rPr>
                <w:b w:val="false"/>
                <w:bCs w:val="false"/>
                <w:sz w:val="17"/>
                <w:szCs w:val="17"/>
              </w:rPr>
              <w:t xml:space="preserve">Horowitz, M.C. &amp; Kahn, L. (2024). Bending the Automation Bias Curve.</w:t>
            </w:r>
          </w:p>
        </w:tc>
        <w:tc>
          <w:tcPr>
            <w:tcW w:type="dxa" w:w="4900"/>
            <w:tcMar>
              <w:top w:type="dxa" w:w="70"/>
              <w:left w:type="dxa" w:w="90"/>
              <w:bottom w:type="dxa" w:w="70"/>
              <w:right w:type="dxa" w:w="90"/>
            </w:tcMar>
          </w:tcPr>
          <w:p>
            <w:r>
              <w:rPr>
                <w:b w:val="false"/>
                <w:bCs w:val="false"/>
                <w:sz w:val="17"/>
                <w:szCs w:val="17"/>
              </w:rPr>
              <w:t xml:space="preserve">International Studies Quarterly 68(2), sqae020. DOI 10.1093/isq/sqae020</w:t>
            </w:r>
          </w:p>
        </w:tc>
        <w:tc>
          <w:tcPr>
            <w:tcW w:type="dxa" w:w="4100"/>
            <w:tcMar>
              <w:top w:type="dxa" w:w="70"/>
              <w:left w:type="dxa" w:w="90"/>
              <w:bottom w:type="dxa" w:w="70"/>
              <w:right w:type="dxa" w:w="90"/>
            </w:tcMar>
          </w:tcPr>
          <w:p>
            <w:r>
              <w:rPr>
                <w:b w:val="false"/>
                <w:bCs w:val="false"/>
                <w:sz w:val="17"/>
                <w:szCs w:val="17"/>
              </w:rPr>
              <w:t xml:space="preserve">Large (n=9,000), preregistered evidence that automation bias is real, measurable, and non-linear with AI familiarity -- grounds the recommended 5th objective.</w:t>
            </w:r>
          </w:p>
        </w:tc>
      </w:tr>
      <w:tr>
        <w:tc>
          <w:tcPr>
            <w:tcW w:type="dxa" w:w="4300"/>
            <w:shd w:fill="F3F4F6" w:color="auto" w:val="clear"/>
            <w:tcMar>
              <w:top w:type="dxa" w:w="70"/>
              <w:left w:type="dxa" w:w="90"/>
              <w:bottom w:type="dxa" w:w="70"/>
              <w:right w:type="dxa" w:w="90"/>
            </w:tcMar>
          </w:tcPr>
          <w:p>
            <w:r>
              <w:rPr>
                <w:b w:val="false"/>
                <w:bCs w:val="false"/>
                <w:sz w:val="17"/>
                <w:szCs w:val="17"/>
              </w:rPr>
              <w:t xml:space="preserve">Parasuraman, R. &amp; Manzey, D.H. (2010). Complacency and bias in human use of automation.</w:t>
            </w:r>
          </w:p>
        </w:tc>
        <w:tc>
          <w:tcPr>
            <w:tcW w:type="dxa" w:w="4900"/>
            <w:shd w:fill="F3F4F6" w:color="auto" w:val="clear"/>
            <w:tcMar>
              <w:top w:type="dxa" w:w="70"/>
              <w:left w:type="dxa" w:w="90"/>
              <w:bottom w:type="dxa" w:w="70"/>
              <w:right w:type="dxa" w:w="90"/>
            </w:tcMar>
          </w:tcPr>
          <w:p>
            <w:r>
              <w:rPr>
                <w:b w:val="false"/>
                <w:bCs w:val="false"/>
                <w:sz w:val="17"/>
                <w:szCs w:val="17"/>
              </w:rPr>
              <w:t xml:space="preserve">Human Factors 52(3):381-410</w:t>
            </w:r>
          </w:p>
        </w:tc>
        <w:tc>
          <w:tcPr>
            <w:tcW w:type="dxa" w:w="4100"/>
            <w:shd w:fill="F3F4F6" w:color="auto" w:val="clear"/>
            <w:tcMar>
              <w:top w:type="dxa" w:w="70"/>
              <w:left w:type="dxa" w:w="90"/>
              <w:bottom w:type="dxa" w:w="70"/>
              <w:right w:type="dxa" w:w="90"/>
            </w:tcMar>
          </w:tcPr>
          <w:p>
            <w:r>
              <w:rPr>
                <w:b w:val="false"/>
                <w:bCs w:val="false"/>
                <w:sz w:val="17"/>
                <w:szCs w:val="17"/>
              </w:rPr>
              <w:t xml:space="preserve">Standard reference distinguishing commission vs. omission errors in automation reliance.</w:t>
            </w:r>
          </w:p>
        </w:tc>
      </w:tr>
      <w:tr>
        <w:tc>
          <w:tcPr>
            <w:tcW w:type="dxa" w:w="4300"/>
            <w:tcMar>
              <w:top w:type="dxa" w:w="70"/>
              <w:left w:type="dxa" w:w="90"/>
              <w:bottom w:type="dxa" w:w="70"/>
              <w:right w:type="dxa" w:w="90"/>
            </w:tcMar>
          </w:tcPr>
          <w:p>
            <w:r>
              <w:rPr>
                <w:b w:val="false"/>
                <w:bCs w:val="false"/>
                <w:sz w:val="17"/>
                <w:szCs w:val="17"/>
              </w:rPr>
              <w:t xml:space="preserve">Lee, J.D. &amp; See, K.A. (2004). Trust in automation: Designing for appropriate reliance.</w:t>
            </w:r>
          </w:p>
        </w:tc>
        <w:tc>
          <w:tcPr>
            <w:tcW w:type="dxa" w:w="4900"/>
            <w:tcMar>
              <w:top w:type="dxa" w:w="70"/>
              <w:left w:type="dxa" w:w="90"/>
              <w:bottom w:type="dxa" w:w="70"/>
              <w:right w:type="dxa" w:w="90"/>
            </w:tcMar>
          </w:tcPr>
          <w:p>
            <w:r>
              <w:rPr>
                <w:b w:val="false"/>
                <w:bCs w:val="false"/>
                <w:sz w:val="17"/>
                <w:szCs w:val="17"/>
              </w:rPr>
              <w:t xml:space="preserve">Human Factors 46(1):50-80</w:t>
            </w:r>
          </w:p>
        </w:tc>
        <w:tc>
          <w:tcPr>
            <w:tcW w:type="dxa" w:w="4100"/>
            <w:tcMar>
              <w:top w:type="dxa" w:w="70"/>
              <w:left w:type="dxa" w:w="90"/>
              <w:bottom w:type="dxa" w:w="70"/>
              <w:right w:type="dxa" w:w="90"/>
            </w:tcMar>
          </w:tcPr>
          <w:p>
            <w:r>
              <w:rPr>
                <w:b w:val="false"/>
                <w:bCs w:val="false"/>
                <w:sz w:val="17"/>
                <w:szCs w:val="17"/>
              </w:rPr>
              <w:t xml:space="preserve">Defines calibrated trust -- the target behavior for the AI-warning design, not blanket trust or distrust.</w:t>
            </w:r>
          </w:p>
        </w:tc>
      </w:tr>
    </w:tbl>
    <w:p>
      <w:pPr>
        <w:pStyle w:val="Heading1"/>
        <w:spacing w:after="180" w:before="380"/>
      </w:pPr>
      <w:r>
        <w:t xml:space="preserve">11. Evidence Matrix</w:t>
      </w:r>
    </w:p>
    <w:tbl>
      <w:tblPr>
        <w:tblW w:type="dxa" w:w="15200"/>
        <w:tblBorders>
          <w:top w:val="single" w:color="auto" w:sz="4"/>
          <w:left w:val="single" w:color="auto" w:sz="4"/>
          <w:bottom w:val="single" w:color="auto" w:sz="4"/>
          <w:right w:val="single" w:color="auto" w:sz="4"/>
          <w:insideH w:val="single" w:color="auto" w:sz="4"/>
          <w:insideV w:val="single" w:color="auto" w:sz="4"/>
        </w:tblBorders>
      </w:tblPr>
      <w:tblGrid>
        <w:gridCol w:w="2800"/>
        <w:gridCol w:w="2500"/>
        <w:gridCol w:w="2700"/>
        <w:gridCol w:w="2400"/>
        <w:gridCol w:w="4800"/>
      </w:tblGrid>
      <w:tr>
        <w:trPr>
          <w:tblHeader/>
        </w:trPr>
        <w:tc>
          <w:tcPr>
            <w:tcW w:type="dxa" w:w="2800"/>
            <w:shd w:fill="1F2937" w:color="auto" w:val="clear"/>
            <w:tcMar>
              <w:top w:type="dxa" w:w="70"/>
              <w:left w:type="dxa" w:w="90"/>
              <w:bottom w:type="dxa" w:w="70"/>
              <w:right w:type="dxa" w:w="90"/>
            </w:tcMar>
          </w:tcPr>
          <w:p>
            <w:r>
              <w:rPr>
                <w:b/>
                <w:bCs/>
                <w:color w:val="FFFFFF"/>
                <w:sz w:val="17"/>
                <w:szCs w:val="17"/>
              </w:rPr>
              <w:t xml:space="preserve">Paper</w:t>
            </w:r>
          </w:p>
        </w:tc>
        <w:tc>
          <w:tcPr>
            <w:tcW w:type="dxa" w:w="2500"/>
            <w:shd w:fill="1F2937" w:color="auto" w:val="clear"/>
            <w:tcMar>
              <w:top w:type="dxa" w:w="70"/>
              <w:left w:type="dxa" w:w="90"/>
              <w:bottom w:type="dxa" w:w="70"/>
              <w:right w:type="dxa" w:w="90"/>
            </w:tcMar>
          </w:tcPr>
          <w:p>
            <w:r>
              <w:rPr>
                <w:b/>
                <w:bCs/>
                <w:color w:val="FFFFFF"/>
                <w:sz w:val="17"/>
                <w:szCs w:val="17"/>
              </w:rPr>
              <w:t xml:space="preserve">Participants</w:t>
            </w:r>
          </w:p>
        </w:tc>
        <w:tc>
          <w:tcPr>
            <w:tcW w:type="dxa" w:w="2700"/>
            <w:shd w:fill="1F2937" w:color="auto" w:val="clear"/>
            <w:tcMar>
              <w:top w:type="dxa" w:w="70"/>
              <w:left w:type="dxa" w:w="90"/>
              <w:bottom w:type="dxa" w:w="70"/>
              <w:right w:type="dxa" w:w="90"/>
            </w:tcMar>
          </w:tcPr>
          <w:p>
            <w:r>
              <w:rPr>
                <w:b/>
                <w:bCs/>
                <w:color w:val="FFFFFF"/>
                <w:sz w:val="17"/>
                <w:szCs w:val="17"/>
              </w:rPr>
              <w:t xml:space="preserve">Modality</w:t>
            </w:r>
          </w:p>
        </w:tc>
        <w:tc>
          <w:tcPr>
            <w:tcW w:type="dxa" w:w="2400"/>
            <w:shd w:fill="1F2937" w:color="auto" w:val="clear"/>
            <w:tcMar>
              <w:top w:type="dxa" w:w="70"/>
              <w:left w:type="dxa" w:w="90"/>
              <w:bottom w:type="dxa" w:w="70"/>
              <w:right w:type="dxa" w:w="90"/>
            </w:tcMar>
          </w:tcPr>
          <w:p>
            <w:r>
              <w:rPr>
                <w:b/>
                <w:bCs/>
                <w:color w:val="FFFFFF"/>
                <w:sz w:val="17"/>
                <w:szCs w:val="17"/>
              </w:rPr>
              <w:t xml:space="preserve">Main finding</w:t>
            </w:r>
          </w:p>
        </w:tc>
        <w:tc>
          <w:tcPr>
            <w:tcW w:type="dxa" w:w="4800"/>
            <w:shd w:fill="1F2937" w:color="auto" w:val="clear"/>
            <w:tcMar>
              <w:top w:type="dxa" w:w="70"/>
              <w:left w:type="dxa" w:w="90"/>
              <w:bottom w:type="dxa" w:w="70"/>
              <w:right w:type="dxa" w:w="90"/>
            </w:tcMar>
          </w:tcPr>
          <w:p>
            <w:r>
              <w:rPr>
                <w:b/>
                <w:bCs/>
                <w:color w:val="FFFFFF"/>
                <w:sz w:val="17"/>
                <w:szCs w:val="17"/>
              </w:rPr>
              <w:t xml:space="preserve">Limitation / relevance</w:t>
            </w:r>
          </w:p>
        </w:tc>
      </w:tr>
      <w:tr>
        <w:tc>
          <w:tcPr>
            <w:tcW w:type="dxa" w:w="2800"/>
            <w:tcMar>
              <w:top w:type="dxa" w:w="70"/>
              <w:left w:type="dxa" w:w="90"/>
              <w:bottom w:type="dxa" w:w="70"/>
              <w:right w:type="dxa" w:w="90"/>
            </w:tcMar>
          </w:tcPr>
          <w:p>
            <w:r>
              <w:rPr>
                <w:b w:val="false"/>
                <w:bCs w:val="false"/>
                <w:sz w:val="17"/>
                <w:szCs w:val="17"/>
              </w:rPr>
              <w:t xml:space="preserve">Kurt et al. 2026</w:t>
            </w:r>
          </w:p>
        </w:tc>
        <w:tc>
          <w:tcPr>
            <w:tcW w:type="dxa" w:w="2500"/>
            <w:tcMar>
              <w:top w:type="dxa" w:w="70"/>
              <w:left w:type="dxa" w:w="90"/>
              <w:bottom w:type="dxa" w:w="70"/>
              <w:right w:type="dxa" w:w="90"/>
            </w:tcMar>
          </w:tcPr>
          <w:p>
            <w:r>
              <w:rPr>
                <w:b w:val="false"/>
                <w:bCs w:val="false"/>
                <w:sz w:val="17"/>
                <w:szCs w:val="17"/>
              </w:rPr>
              <w:t xml:space="preserve">61 seafarers</w:t>
            </w:r>
          </w:p>
        </w:tc>
        <w:tc>
          <w:tcPr>
            <w:tcW w:type="dxa" w:w="2700"/>
            <w:tcMar>
              <w:top w:type="dxa" w:w="70"/>
              <w:left w:type="dxa" w:w="90"/>
              <w:bottom w:type="dxa" w:w="70"/>
              <w:right w:type="dxa" w:w="90"/>
            </w:tcMar>
          </w:tcPr>
          <w:p>
            <w:r>
              <w:rPr>
                <w:b w:val="false"/>
                <w:bCs w:val="false"/>
                <w:sz w:val="17"/>
                <w:szCs w:val="17"/>
              </w:rPr>
              <w:t xml:space="preserve">EEG + eye tracking</w:t>
            </w:r>
          </w:p>
        </w:tc>
        <w:tc>
          <w:tcPr>
            <w:tcW w:type="dxa" w:w="2400"/>
            <w:tcMar>
              <w:top w:type="dxa" w:w="70"/>
              <w:left w:type="dxa" w:w="90"/>
              <w:bottom w:type="dxa" w:w="70"/>
              <w:right w:type="dxa" w:w="90"/>
            </w:tcMar>
          </w:tcPr>
          <w:p>
            <w:r>
              <w:rPr>
                <w:b w:val="false"/>
                <w:bCs w:val="false"/>
                <w:sz w:val="17"/>
                <w:szCs w:val="17"/>
              </w:rPr>
              <w:t xml:space="preserve">SA briefing increased vigilance (p=.027) and cross-checking</w:t>
            </w:r>
          </w:p>
        </w:tc>
        <w:tc>
          <w:tcPr>
            <w:tcW w:type="dxa" w:w="4800"/>
            <w:tcMar>
              <w:top w:type="dxa" w:w="70"/>
              <w:left w:type="dxa" w:w="90"/>
              <w:bottom w:type="dxa" w:w="70"/>
              <w:right w:type="dxa" w:w="90"/>
            </w:tcMar>
          </w:tcPr>
          <w:p>
            <w:r>
              <w:rPr>
                <w:b w:val="false"/>
                <w:bCs w:val="false"/>
                <w:sz w:val="17"/>
                <w:szCs w:val="17"/>
              </w:rPr>
              <w:t xml:space="preserve">Single continuous run, maritime domain -- closest methodological twin</w:t>
            </w:r>
          </w:p>
        </w:tc>
      </w:tr>
      <w:tr>
        <w:tc>
          <w:tcPr>
            <w:tcW w:type="dxa" w:w="2800"/>
            <w:shd w:fill="F3F4F6" w:color="auto" w:val="clear"/>
            <w:tcMar>
              <w:top w:type="dxa" w:w="70"/>
              <w:left w:type="dxa" w:w="90"/>
              <w:bottom w:type="dxa" w:w="70"/>
              <w:right w:type="dxa" w:w="90"/>
            </w:tcMar>
          </w:tcPr>
          <w:p>
            <w:r>
              <w:rPr>
                <w:b w:val="false"/>
                <w:bCs w:val="false"/>
                <w:sz w:val="17"/>
                <w:szCs w:val="17"/>
              </w:rPr>
              <w:t xml:space="preserve">Thomopoulos et al. 2024</w:t>
            </w:r>
          </w:p>
        </w:tc>
        <w:tc>
          <w:tcPr>
            <w:tcW w:type="dxa" w:w="2500"/>
            <w:shd w:fill="F3F4F6" w:color="auto" w:val="clear"/>
            <w:tcMar>
              <w:top w:type="dxa" w:w="70"/>
              <w:left w:type="dxa" w:w="90"/>
              <w:bottom w:type="dxa" w:w="70"/>
              <w:right w:type="dxa" w:w="90"/>
            </w:tcMar>
          </w:tcPr>
          <w:p>
            <w:r>
              <w:rPr>
                <w:b w:val="false"/>
                <w:bCs w:val="false"/>
                <w:sz w:val="17"/>
                <w:szCs w:val="17"/>
              </w:rPr>
              <w:t xml:space="preserve">Review (651-&gt;18)</w:t>
            </w:r>
          </w:p>
        </w:tc>
        <w:tc>
          <w:tcPr>
            <w:tcW w:type="dxa" w:w="2700"/>
            <w:shd w:fill="F3F4F6" w:color="auto" w:val="clear"/>
            <w:tcMar>
              <w:top w:type="dxa" w:w="70"/>
              <w:left w:type="dxa" w:w="90"/>
              <w:bottom w:type="dxa" w:w="70"/>
              <w:right w:type="dxa" w:w="90"/>
            </w:tcMar>
          </w:tcPr>
          <w:p>
            <w:r>
              <w:rPr>
                <w:b w:val="false"/>
                <w:bCs w:val="false"/>
                <w:sz w:val="17"/>
                <w:szCs w:val="17"/>
              </w:rPr>
              <w:t xml:space="preserve">EEG + eye tracking (review)</w:t>
            </w:r>
          </w:p>
        </w:tc>
        <w:tc>
          <w:tcPr>
            <w:tcW w:type="dxa" w:w="2400"/>
            <w:shd w:fill="F3F4F6" w:color="auto" w:val="clear"/>
            <w:tcMar>
              <w:top w:type="dxa" w:w="70"/>
              <w:left w:type="dxa" w:w="90"/>
              <w:bottom w:type="dxa" w:w="70"/>
              <w:right w:type="dxa" w:w="90"/>
            </w:tcMar>
          </w:tcPr>
          <w:p>
            <w:r>
              <w:rPr>
                <w:b w:val="false"/>
                <w:bCs w:val="false"/>
                <w:sz w:val="17"/>
                <w:szCs w:val="17"/>
              </w:rPr>
              <w:t xml:space="preserve">Field is small and fragmented; explicit call for realistic multi-sensory studies</w:t>
            </w:r>
          </w:p>
        </w:tc>
        <w:tc>
          <w:tcPr>
            <w:tcW w:type="dxa" w:w="4800"/>
            <w:shd w:fill="F3F4F6" w:color="auto" w:val="clear"/>
            <w:tcMar>
              <w:top w:type="dxa" w:w="70"/>
              <w:left w:type="dxa" w:w="90"/>
              <w:bottom w:type="dxa" w:w="70"/>
              <w:right w:type="dxa" w:w="90"/>
            </w:tcMar>
          </w:tcPr>
          <w:p>
            <w:r>
              <w:rPr>
                <w:b w:val="false"/>
                <w:bCs w:val="false"/>
                <w:sz w:val="17"/>
                <w:szCs w:val="17"/>
              </w:rPr>
              <w:t xml:space="preserve">A review, not a primary study -- used as the roadmap this project answers</w:t>
            </w:r>
          </w:p>
        </w:tc>
      </w:tr>
      <w:tr>
        <w:tc>
          <w:tcPr>
            <w:tcW w:type="dxa" w:w="2800"/>
            <w:tcMar>
              <w:top w:type="dxa" w:w="70"/>
              <w:left w:type="dxa" w:w="90"/>
              <w:bottom w:type="dxa" w:w="70"/>
              <w:right w:type="dxa" w:w="90"/>
            </w:tcMar>
          </w:tcPr>
          <w:p>
            <w:r>
              <w:rPr>
                <w:b w:val="false"/>
                <w:bCs w:val="false"/>
                <w:sz w:val="17"/>
                <w:szCs w:val="17"/>
              </w:rPr>
              <w:t xml:space="preserve">Nasr et al. 2022</w:t>
            </w:r>
          </w:p>
        </w:tc>
        <w:tc>
          <w:tcPr>
            <w:tcW w:type="dxa" w:w="2500"/>
            <w:tcMar>
              <w:top w:type="dxa" w:w="70"/>
              <w:left w:type="dxa" w:w="90"/>
              <w:bottom w:type="dxa" w:w="70"/>
              <w:right w:type="dxa" w:w="90"/>
            </w:tcMar>
          </w:tcPr>
          <w:p>
            <w:r>
              <w:rPr>
                <w:b w:val="false"/>
                <w:bCs w:val="false"/>
                <w:sz w:val="17"/>
                <w:szCs w:val="17"/>
              </w:rPr>
              <w:t xml:space="preserve">16 EVCS systems (no humans)</w:t>
            </w:r>
          </w:p>
        </w:tc>
        <w:tc>
          <w:tcPr>
            <w:tcW w:type="dxa" w:w="2700"/>
            <w:tcMar>
              <w:top w:type="dxa" w:w="70"/>
              <w:left w:type="dxa" w:w="90"/>
              <w:bottom w:type="dxa" w:w="70"/>
              <w:right w:type="dxa" w:w="90"/>
            </w:tcMar>
          </w:tcPr>
          <w:p>
            <w:r>
              <w:rPr>
                <w:b w:val="false"/>
                <w:bCs w:val="false"/>
                <w:sz w:val="17"/>
                <w:szCs w:val="17"/>
              </w:rPr>
              <w:t xml:space="preserve">Technical pentest</w:t>
            </w:r>
          </w:p>
        </w:tc>
        <w:tc>
          <w:tcPr>
            <w:tcW w:type="dxa" w:w="2400"/>
            <w:tcMar>
              <w:top w:type="dxa" w:w="70"/>
              <w:left w:type="dxa" w:w="90"/>
              <w:bottom w:type="dxa" w:w="70"/>
              <w:right w:type="dxa" w:w="90"/>
            </w:tcMar>
          </w:tcPr>
          <w:p>
            <w:r>
              <w:rPr>
                <w:b w:val="false"/>
                <w:bCs w:val="false"/>
                <w:sz w:val="17"/>
                <w:szCs w:val="17"/>
              </w:rPr>
              <w:t xml:space="preserve">Critical, vendor-acknowledged vulnerabilities (12 CVEs)</w:t>
            </w:r>
          </w:p>
        </w:tc>
        <w:tc>
          <w:tcPr>
            <w:tcW w:type="dxa" w:w="4800"/>
            <w:tcMar>
              <w:top w:type="dxa" w:w="70"/>
              <w:left w:type="dxa" w:w="90"/>
              <w:bottom w:type="dxa" w:w="70"/>
              <w:right w:type="dxa" w:w="90"/>
            </w:tcMar>
          </w:tcPr>
          <w:p>
            <w:r>
              <w:rPr>
                <w:b w:val="false"/>
                <w:bCs w:val="false"/>
                <w:sz w:val="17"/>
                <w:szCs w:val="17"/>
              </w:rPr>
              <w:t xml:space="preserve">No human subjects -- grounds attack realism only</w:t>
            </w:r>
          </w:p>
        </w:tc>
      </w:tr>
      <w:tr>
        <w:tc>
          <w:tcPr>
            <w:tcW w:type="dxa" w:w="2800"/>
            <w:shd w:fill="F3F4F6" w:color="auto" w:val="clear"/>
            <w:tcMar>
              <w:top w:type="dxa" w:w="70"/>
              <w:left w:type="dxa" w:w="90"/>
              <w:bottom w:type="dxa" w:w="70"/>
              <w:right w:type="dxa" w:w="90"/>
            </w:tcMar>
          </w:tcPr>
          <w:p>
            <w:r>
              <w:rPr>
                <w:b w:val="false"/>
                <w:bCs w:val="false"/>
                <w:sz w:val="17"/>
                <w:szCs w:val="17"/>
              </w:rPr>
              <w:t xml:space="preserve">McAlaney &amp; Hills 2020</w:t>
            </w:r>
          </w:p>
        </w:tc>
        <w:tc>
          <w:tcPr>
            <w:tcW w:type="dxa" w:w="2500"/>
            <w:shd w:fill="F3F4F6" w:color="auto" w:val="clear"/>
            <w:tcMar>
              <w:top w:type="dxa" w:w="70"/>
              <w:left w:type="dxa" w:w="90"/>
              <w:bottom w:type="dxa" w:w="70"/>
              <w:right w:type="dxa" w:w="90"/>
            </w:tcMar>
          </w:tcPr>
          <w:p>
            <w:r>
              <w:rPr>
                <w:b w:val="false"/>
                <w:bCs w:val="false"/>
                <w:sz w:val="17"/>
                <w:szCs w:val="17"/>
              </w:rPr>
              <w:t xml:space="preserve">22 participants</w:t>
            </w:r>
          </w:p>
        </w:tc>
        <w:tc>
          <w:tcPr>
            <w:tcW w:type="dxa" w:w="2700"/>
            <w:shd w:fill="F3F4F6" w:color="auto" w:val="clear"/>
            <w:tcMar>
              <w:top w:type="dxa" w:w="70"/>
              <w:left w:type="dxa" w:w="90"/>
              <w:bottom w:type="dxa" w:w="70"/>
              <w:right w:type="dxa" w:w="90"/>
            </w:tcMar>
          </w:tcPr>
          <w:p>
            <w:r>
              <w:rPr>
                <w:b w:val="false"/>
                <w:bCs w:val="false"/>
                <w:sz w:val="17"/>
                <w:szCs w:val="17"/>
              </w:rPr>
              <w:t xml:space="preserve">Eye tracking</w:t>
            </w:r>
          </w:p>
        </w:tc>
        <w:tc>
          <w:tcPr>
            <w:tcW w:type="dxa" w:w="2400"/>
            <w:shd w:fill="F3F4F6" w:color="auto" w:val="clear"/>
            <w:tcMar>
              <w:top w:type="dxa" w:w="70"/>
              <w:left w:type="dxa" w:w="90"/>
              <w:bottom w:type="dxa" w:w="70"/>
              <w:right w:type="dxa" w:w="90"/>
            </w:tcMar>
          </w:tcPr>
          <w:p>
            <w:r>
              <w:rPr>
                <w:b w:val="false"/>
                <w:bCs w:val="false"/>
                <w:sz w:val="17"/>
                <w:szCs w:val="17"/>
              </w:rPr>
              <w:t xml:space="preserve">Phishing indicators fixated but under-dwelled vs. expectation</w:t>
            </w:r>
          </w:p>
        </w:tc>
        <w:tc>
          <w:tcPr>
            <w:tcW w:type="dxa" w:w="4800"/>
            <w:shd w:fill="F3F4F6" w:color="auto" w:val="clear"/>
            <w:tcMar>
              <w:top w:type="dxa" w:w="70"/>
              <w:left w:type="dxa" w:w="90"/>
              <w:bottom w:type="dxa" w:w="70"/>
              <w:right w:type="dxa" w:w="90"/>
            </w:tcMar>
          </w:tcPr>
          <w:p>
            <w:r>
              <w:rPr>
                <w:b w:val="false"/>
                <w:bCs w:val="false"/>
                <w:sz w:val="17"/>
                <w:szCs w:val="17"/>
              </w:rPr>
              <w:t xml:space="preserve">Small n, static email screen -- caution against over-claiming gaze = understanding</w:t>
            </w:r>
          </w:p>
        </w:tc>
      </w:tr>
      <w:tr>
        <w:tc>
          <w:tcPr>
            <w:tcW w:type="dxa" w:w="2800"/>
            <w:tcMar>
              <w:top w:type="dxa" w:w="70"/>
              <w:left w:type="dxa" w:w="90"/>
              <w:bottom w:type="dxa" w:w="70"/>
              <w:right w:type="dxa" w:w="90"/>
            </w:tcMar>
          </w:tcPr>
          <w:p>
            <w:r>
              <w:rPr>
                <w:b w:val="false"/>
                <w:bCs w:val="false"/>
                <w:sz w:val="17"/>
                <w:szCs w:val="17"/>
              </w:rPr>
              <w:t xml:space="preserve">Horowitz &amp; Kahn 2024</w:t>
            </w:r>
          </w:p>
        </w:tc>
        <w:tc>
          <w:tcPr>
            <w:tcW w:type="dxa" w:w="2500"/>
            <w:tcMar>
              <w:top w:type="dxa" w:w="70"/>
              <w:left w:type="dxa" w:w="90"/>
              <w:bottom w:type="dxa" w:w="70"/>
              <w:right w:type="dxa" w:w="90"/>
            </w:tcMar>
          </w:tcPr>
          <w:p>
            <w:r>
              <w:rPr>
                <w:b w:val="false"/>
                <w:bCs w:val="false"/>
                <w:sz w:val="17"/>
                <w:szCs w:val="17"/>
              </w:rPr>
              <w:t xml:space="preserve">9,000 adults, 9 countries</w:t>
            </w:r>
          </w:p>
        </w:tc>
        <w:tc>
          <w:tcPr>
            <w:tcW w:type="dxa" w:w="2700"/>
            <w:tcMar>
              <w:top w:type="dxa" w:w="70"/>
              <w:left w:type="dxa" w:w="90"/>
              <w:bottom w:type="dxa" w:w="70"/>
              <w:right w:type="dxa" w:w="90"/>
            </w:tcMar>
          </w:tcPr>
          <w:p>
            <w:r>
              <w:rPr>
                <w:b w:val="false"/>
                <w:bCs w:val="false"/>
                <w:sz w:val="17"/>
                <w:szCs w:val="17"/>
              </w:rPr>
              <w:t xml:space="preserve">Behavioral (preregistered)</w:t>
            </w:r>
          </w:p>
        </w:tc>
        <w:tc>
          <w:tcPr>
            <w:tcW w:type="dxa" w:w="2400"/>
            <w:tcMar>
              <w:top w:type="dxa" w:w="70"/>
              <w:left w:type="dxa" w:w="90"/>
              <w:bottom w:type="dxa" w:w="70"/>
              <w:right w:type="dxa" w:w="90"/>
            </w:tcMar>
          </w:tcPr>
          <w:p>
            <w:r>
              <w:rPr>
                <w:b w:val="false"/>
                <w:bCs w:val="false"/>
                <w:sz w:val="17"/>
                <w:szCs w:val="17"/>
              </w:rPr>
              <w:t xml:space="preserve">Automation bias rises then plateaus with AI familiarity</w:t>
            </w:r>
          </w:p>
        </w:tc>
        <w:tc>
          <w:tcPr>
            <w:tcW w:type="dxa" w:w="4800"/>
            <w:tcMar>
              <w:top w:type="dxa" w:w="70"/>
              <w:left w:type="dxa" w:w="90"/>
              <w:bottom w:type="dxa" w:w="70"/>
              <w:right w:type="dxa" w:w="90"/>
            </w:tcMar>
          </w:tcPr>
          <w:p>
            <w:r>
              <w:rPr>
                <w:b w:val="false"/>
                <w:bCs w:val="false"/>
                <w:sz w:val="17"/>
                <w:szCs w:val="17"/>
              </w:rPr>
              <w:t xml:space="preserve">Survey/task-ID paradigm, not physiological -- behavioral grounding for Objective 5</w:t>
            </w:r>
          </w:p>
        </w:tc>
      </w:tr>
    </w:tbl>
    <w:sectPr>
      <w:pgSz w:w="15840" w:h="122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2026-10-02T19:35:07.647Z</dcterms:created>
  <dcterms:modified xsi:type="dcterms:W3CDTF">2026-10-02T19:35:07.664Z</dcterms:modified>
</cp:coreProperties>
</file>

<file path=docProps/custom.xml><?xml version="1.0" encoding="utf-8"?>
<Properties xmlns="http://schemas.openxmlformats.org/officeDocument/2006/custom-properties" xmlns:vt="http://schemas.openxmlformats.org/officeDocument/2006/docPropsVTypes"/>
</file>