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t xml:space="preserve"/>
      </w:r>
    </w:p>
    <w:p>
      <w:pPr>
        <w:spacing w:after="120" w:before="0"/>
        <w:jc w:val="center"/>
      </w:pPr>
      <w:r>
        <w:rPr>
          <w:rFonts w:ascii="Arial" w:cs="Arial" w:eastAsia="Arial" w:hAnsi="Arial"/>
          <w:b/>
          <w:bCs/>
          <w:color w:val="1A56DB"/>
          <w:sz w:val="40"/>
          <w:szCs w:val="40"/>
        </w:rPr>
        <w:t xml:space="preserve">Gurugram Traffic Congestion Predictor</w:t>
      </w:r>
    </w:p>
    <w:p>
      <w:pPr>
        <w:spacing w:after="80" w:before="0"/>
        <w:jc w:val="center"/>
      </w:pPr>
      <w:r>
        <w:rPr>
          <w:rFonts w:ascii="Arial" w:cs="Arial" w:eastAsia="Arial" w:hAnsi="Arial"/>
          <w:color w:val="6B7280"/>
          <w:sz w:val="24"/>
          <w:szCs w:val="24"/>
        </w:rPr>
        <w:t xml:space="preserve">Feature Engineering &amp; Model Design Report</w:t>
      </w:r>
    </w:p>
    <w:p>
      <w:pPr>
        <w:spacing w:after="40" w:before="0"/>
        <w:jc w:val="center"/>
      </w:pPr>
      <w:r>
        <w:rPr>
          <w:rFonts w:ascii="Arial" w:cs="Arial" w:eastAsia="Arial" w:hAnsi="Arial"/>
          <w:color w:val="6B7280"/>
          <w:sz w:val="20"/>
          <w:szCs w:val="20"/>
        </w:rPr>
        <w:t xml:space="preserve">May 2026  ·  Machine Learning · Urban Mobility</w:t>
      </w:r>
    </w:p>
    <w:p>
      <w:pPr>
        <w:spacing w:after="0" w:before="240"/>
      </w:pPr>
      <w:r>
        <w:t xml:space="preserve"/>
      </w:r>
    </w:p>
    <w:p>
      <w:pPr>
        <w:pStyle w:val="Heading1"/>
        <w:pBdr>
          <w:bottom w:val="single" w:color="1A56DB" w:sz="6" w:space="4"/>
        </w:pBdr>
        <w:spacing w:after="120" w:before="360"/>
      </w:pPr>
      <w:r>
        <w:rPr>
          <w:rFonts w:ascii="Arial" w:cs="Arial" w:eastAsia="Arial" w:hAnsi="Arial"/>
          <w:b/>
          <w:bCs/>
          <w:color w:val="111827"/>
          <w:sz w:val="28"/>
          <w:szCs w:val="28"/>
        </w:rPr>
        <w:t xml:space="preserve">1. Project Overview</w:t>
      </w:r>
    </w:p>
    <w:p>
      <w:pPr>
        <w:spacing w:after="80" w:before="80"/>
      </w:pPr>
      <w:r>
        <w:rPr>
          <w:rFonts w:ascii="Arial" w:cs="Arial" w:eastAsia="Arial" w:hAnsi="Arial"/>
          <w:color w:val="111827"/>
          <w:sz w:val="22"/>
          <w:szCs w:val="22"/>
        </w:rPr>
        <w:t xml:space="preserve">Gurugram (Gurgaon) is one of India's fastest-growing commercial hubs, housing major IT corridors (DLF Cyber City, Udyog Vihar) and generating over 2.5 million daily vehicle trips. Despite a world-class expressway network, the city consistently ranks among India's worst for peak-hour congestion — a problem with real economic and environmental costs.</w:t>
      </w:r>
    </w:p>
    <w:p>
      <w:pPr>
        <w:spacing w:after="0" w:before="120"/>
      </w:pPr>
      <w:r>
        <w:t xml:space="preserve"/>
      </w:r>
    </w:p>
    <w:p>
      <w:pPr>
        <w:spacing w:after="80" w:before="80"/>
      </w:pPr>
      <w:r>
        <w:rPr>
          <w:rFonts w:ascii="Arial" w:cs="Arial" w:eastAsia="Arial" w:hAnsi="Arial"/>
          <w:color w:val="111827"/>
          <w:sz w:val="22"/>
          <w:szCs w:val="22"/>
        </w:rPr>
        <w:t xml:space="preserve">This project builds a machine learning pipeline that predicts road congestion on eight key Gurugram corridors using temporal and structural features. The system ingests live flow data from the TomTom Traffic Flow API and outputs a congestion index (0.0 = free flow, 1.0 = gridlock) for any corridor at any time.</w:t>
      </w:r>
    </w:p>
    <w:p>
      <w:pPr>
        <w:spacing w:after="0" w:before="120"/>
      </w:pPr>
      <w:r>
        <w:t xml:space="preserve"/>
      </w:r>
    </w:p>
    <w:p>
      <w:pPr>
        <w:spacing w:after="80" w:before="80"/>
      </w:pPr>
      <w:r>
        <w:rPr>
          <w:rFonts w:ascii="Arial" w:cs="Arial" w:eastAsia="Arial" w:hAnsi="Arial"/>
          <w:color w:val="111827"/>
          <w:sz w:val="22"/>
          <w:szCs w:val="22"/>
        </w:rPr>
        <w:t xml:space="preserve">The goal is not just prediction accuracy but interpretability — understanding which features drive congestion, so planners and commuters can act on the output.</w:t>
      </w:r>
    </w:p>
    <w:p>
      <w:pPr>
        <w:spacing w:after="0" w:before="200"/>
      </w:pPr>
      <w:r>
        <w:t xml:space="preserve"/>
      </w:r>
    </w:p>
    <w:p>
      <w:pPr>
        <w:pStyle w:val="Heading1"/>
        <w:pBdr>
          <w:bottom w:val="single" w:color="1A56DB" w:sz="6" w:space="4"/>
        </w:pBdr>
        <w:spacing w:after="120" w:before="360"/>
      </w:pPr>
      <w:r>
        <w:rPr>
          <w:rFonts w:ascii="Arial" w:cs="Arial" w:eastAsia="Arial" w:hAnsi="Arial"/>
          <w:b/>
          <w:bCs/>
          <w:color w:val="111827"/>
          <w:sz w:val="28"/>
          <w:szCs w:val="28"/>
        </w:rPr>
        <w:t xml:space="preserve">2. Data Sources</w:t>
      </w:r>
    </w:p>
    <w:p>
      <w:pPr>
        <w:pStyle w:val="Heading2"/>
        <w:spacing w:after="80" w:before="240"/>
      </w:pPr>
      <w:r>
        <w:rPr>
          <w:rFonts w:ascii="Arial" w:cs="Arial" w:eastAsia="Arial" w:hAnsi="Arial"/>
          <w:b/>
          <w:bCs/>
          <w:color w:val="1A56DB"/>
          <w:sz w:val="24"/>
          <w:szCs w:val="24"/>
        </w:rPr>
        <w:t xml:space="preserve">2.1 TomTom Traffic Flow API</w:t>
      </w:r>
    </w:p>
    <w:p>
      <w:pPr>
        <w:spacing w:after="80" w:before="80"/>
      </w:pPr>
      <w:r>
        <w:rPr>
          <w:rFonts w:ascii="Arial" w:cs="Arial" w:eastAsia="Arial" w:hAnsi="Arial"/>
          <w:color w:val="111827"/>
          <w:sz w:val="22"/>
          <w:szCs w:val="22"/>
        </w:rPr>
        <w:t xml:space="preserve">The primary data source is the TomTom Flow Segment Data endpoint, which provides:</w:t>
      </w:r>
    </w:p>
    <w:p>
      <w:pPr>
        <w:pStyle w:val="ListParagraph"/>
        <w:numPr>
          <w:ilvl w:val="0"/>
          <w:numId w:val="2"/>
        </w:numPr>
        <w:spacing w:after="40" w:before="40"/>
      </w:pPr>
      <w:r>
        <w:rPr>
          <w:rFonts w:ascii="Arial" w:cs="Arial" w:eastAsia="Arial" w:hAnsi="Arial"/>
          <w:color w:val="111827"/>
          <w:sz w:val="22"/>
          <w:szCs w:val="22"/>
        </w:rPr>
        <w:t xml:space="preserve">current_speed — real-time average vehicle speed (km/h) on a road segment</w:t>
      </w:r>
    </w:p>
    <w:p>
      <w:pPr>
        <w:pStyle w:val="ListParagraph"/>
        <w:numPr>
          <w:ilvl w:val="0"/>
          <w:numId w:val="2"/>
        </w:numPr>
        <w:spacing w:after="40" w:before="40"/>
      </w:pPr>
      <w:r>
        <w:rPr>
          <w:rFonts w:ascii="Arial" w:cs="Arial" w:eastAsia="Arial" w:hAnsi="Arial"/>
          <w:color w:val="111827"/>
          <w:sz w:val="22"/>
          <w:szCs w:val="22"/>
        </w:rPr>
        <w:t xml:space="preserve">free_flow_speed — baseline speed under no-congestion conditions</w:t>
      </w:r>
    </w:p>
    <w:p>
      <w:pPr>
        <w:pStyle w:val="ListParagraph"/>
        <w:numPr>
          <w:ilvl w:val="0"/>
          <w:numId w:val="2"/>
        </w:numPr>
        <w:spacing w:after="40" w:before="40"/>
      </w:pPr>
      <w:r>
        <w:rPr>
          <w:rFonts w:ascii="Arial" w:cs="Arial" w:eastAsia="Arial" w:hAnsi="Arial"/>
          <w:color w:val="111827"/>
          <w:sz w:val="22"/>
          <w:szCs w:val="22"/>
        </w:rPr>
        <w:t xml:space="preserve">confidence — data quality score (0–1)</w:t>
      </w:r>
    </w:p>
    <w:p>
      <w:pPr>
        <w:spacing w:after="0" w:before="120"/>
      </w:pPr>
      <w:r>
        <w:t xml:space="preserve"/>
      </w:r>
    </w:p>
    <w:p>
      <w:pPr>
        <w:spacing w:after="80" w:before="80"/>
      </w:pPr>
      <w:r>
        <w:rPr>
          <w:rFonts w:ascii="Arial" w:cs="Arial" w:eastAsia="Arial" w:hAnsi="Arial"/>
          <w:color w:val="111827"/>
          <w:sz w:val="22"/>
          <w:szCs w:val="22"/>
        </w:rPr>
        <w:t xml:space="preserve">The derived target variable is the congestion index:</w:t>
      </w:r>
    </w:p>
    <w:p>
      <w:pPr>
        <w:pBdr>
          <w:left w:val="single" w:color="1A56DB" w:sz="12" w:space="8"/>
        </w:pBdr>
        <w:shd w:fill="F4F5F7" w:val="clear"/>
        <w:spacing w:after="80" w:before="80"/>
        <w:ind w:left="400"/>
      </w:pPr>
      <w:r>
        <w:rPr>
          <w:rFonts w:ascii="Courier New" w:cs="Courier New" w:eastAsia="Courier New" w:hAnsi="Courier New"/>
          <w:color w:val="1A56DB"/>
          <w:sz w:val="22"/>
          <w:szCs w:val="22"/>
        </w:rPr>
        <w:t xml:space="preserve">congestion_index = 1 − (current_speed / free_flow_speed)</w:t>
      </w:r>
    </w:p>
    <w:p>
      <w:pPr>
        <w:spacing w:after="0" w:before="120"/>
      </w:pPr>
      <w:r>
        <w:t xml:space="preserve"/>
      </w:r>
    </w:p>
    <w:p>
      <w:pPr>
        <w:spacing w:after="80" w:before="80"/>
      </w:pPr>
      <w:r>
        <w:rPr>
          <w:rFonts w:ascii="Arial" w:cs="Arial" w:eastAsia="Arial" w:hAnsi="Arial"/>
          <w:color w:val="111827"/>
          <w:sz w:val="22"/>
          <w:szCs w:val="22"/>
        </w:rPr>
        <w:t xml:space="preserve">A value of 0.0 means traffic is moving at free-flow speed. A value of 1.0 means complete standstill. This normalised metric allows fair comparison across corridors with different speed limits.</w:t>
      </w:r>
    </w:p>
    <w:p>
      <w:pPr>
        <w:spacing w:after="0" w:before="120"/>
      </w:pPr>
      <w:r>
        <w:t xml:space="preserve"/>
      </w:r>
    </w:p>
    <w:p>
      <w:pPr>
        <w:pStyle w:val="Heading2"/>
        <w:spacing w:after="80" w:before="240"/>
      </w:pPr>
      <w:r>
        <w:rPr>
          <w:rFonts w:ascii="Arial" w:cs="Arial" w:eastAsia="Arial" w:hAnsi="Arial"/>
          <w:b/>
          <w:bCs/>
          <w:color w:val="1A56DB"/>
          <w:sz w:val="24"/>
          <w:szCs w:val="24"/>
        </w:rPr>
        <w:t xml:space="preserve">2.2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Corridor</w:t>
            </w:r>
          </w:p>
        </w:tc>
        <w:tc>
          <w:tcPr>
            <w:tcW w:type="dxa" w:w="1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0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Key Segment</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NH-48 Delhi–Gurgaon Expressway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Highway</w:t>
            </w:r>
          </w:p>
        </w:tc>
        <w:tc>
          <w:tcPr>
            <w:tcW w:type="dxa" w:w="4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Rajiv Chowk → Manesar</w:t>
            </w:r>
          </w:p>
        </w:tc>
      </w:tr>
      <w:tr>
        <w:tc>
          <w:tcPr>
            <w:tcW w:type="dxa" w:w="35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MG Road</w:t>
            </w:r>
          </w:p>
        </w:tc>
        <w:tc>
          <w:tcPr>
            <w:tcW w:type="dxa" w:w="18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Arterial</w:t>
            </w:r>
          </w:p>
        </w:tc>
        <w:tc>
          <w:tcPr>
            <w:tcW w:type="dxa" w:w="40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IFFCO Chowk → Sikandarpur</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Golf Course Road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Arterial</w:t>
            </w:r>
          </w:p>
        </w:tc>
        <w:tc>
          <w:tcPr>
            <w:tcW w:type="dxa" w:w="4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DLF Phase 1 → Sector 56</w:t>
            </w:r>
          </w:p>
        </w:tc>
      </w:tr>
      <w:tr>
        <w:tc>
          <w:tcPr>
            <w:tcW w:type="dxa" w:w="35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Sohna Road</w:t>
            </w:r>
          </w:p>
        </w:tc>
        <w:tc>
          <w:tcPr>
            <w:tcW w:type="dxa" w:w="18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Arterial</w:t>
            </w:r>
          </w:p>
        </w:tc>
        <w:tc>
          <w:tcPr>
            <w:tcW w:type="dxa" w:w="40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Rajiv Chowk → Badshahpur</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Dwarka Expressway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Expressway</w:t>
            </w:r>
          </w:p>
        </w:tc>
        <w:tc>
          <w:tcPr>
            <w:tcW w:type="dxa" w:w="4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Sheetla Mata → Delhi Border</w:t>
            </w:r>
          </w:p>
        </w:tc>
      </w:tr>
      <w:tr>
        <w:tc>
          <w:tcPr>
            <w:tcW w:type="dxa" w:w="35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Golf Course Extension Rd</w:t>
            </w:r>
          </w:p>
        </w:tc>
        <w:tc>
          <w:tcPr>
            <w:tcW w:type="dxa" w:w="18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Arterial</w:t>
            </w:r>
          </w:p>
        </w:tc>
        <w:tc>
          <w:tcPr>
            <w:tcW w:type="dxa" w:w="40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Sector 58 → Sector 66</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Mehrauli–Gurgaon Road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Arterial</w:t>
            </w:r>
          </w:p>
        </w:tc>
        <w:tc>
          <w:tcPr>
            <w:tcW w:type="dxa" w:w="40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Ghitorni → IFFCO Chowk</w:t>
            </w:r>
          </w:p>
        </w:tc>
      </w:tr>
      <w:tr>
        <w:tc>
          <w:tcPr>
            <w:tcW w:type="dxa" w:w="35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Southern Peripheral Road</w:t>
            </w:r>
          </w:p>
        </w:tc>
        <w:tc>
          <w:tcPr>
            <w:tcW w:type="dxa" w:w="18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Arterial</w:t>
            </w:r>
          </w:p>
        </w:tc>
        <w:tc>
          <w:tcPr>
            <w:tcW w:type="dxa" w:w="40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Rajiv Chowk → Faridabad</w:t>
            </w:r>
          </w:p>
        </w:tc>
      </w:tr>
    </w:tbl>
    <w:p>
      <w:pPr>
        <w:spacing w:after="0" w:before="240"/>
      </w:pPr>
      <w:r>
        <w:t xml:space="preserve"/>
      </w:r>
    </w:p>
    <w:p>
      <w:pPr>
        <w:pStyle w:val="Heading1"/>
        <w:pBdr>
          <w:bottom w:val="single" w:color="1A56DB" w:sz="6" w:space="4"/>
        </w:pBdr>
        <w:spacing w:after="120" w:before="360"/>
      </w:pPr>
      <w:r>
        <w:rPr>
          <w:rFonts w:ascii="Arial" w:cs="Arial" w:eastAsia="Arial" w:hAnsi="Arial"/>
          <w:b/>
          <w:bCs/>
          <w:color w:val="111827"/>
          <w:sz w:val="28"/>
          <w:szCs w:val="28"/>
        </w:rPr>
        <w:t xml:space="preserve">3. Feature Engineering</w:t>
      </w:r>
    </w:p>
    <w:p>
      <w:pPr>
        <w:spacing w:after="80" w:before="80"/>
      </w:pPr>
      <w:r>
        <w:rPr>
          <w:rFonts w:ascii="Arial" w:cs="Arial" w:eastAsia="Arial" w:hAnsi="Arial"/>
          <w:color w:val="111827"/>
          <w:sz w:val="22"/>
          <w:szCs w:val="22"/>
        </w:rPr>
        <w:t xml:space="preserve">Feature selection is the most important modelling decision. Each feature was chosen based on domain reasoning about Gurugram's traffic patterns, not purely statistical correlation.</w:t>
      </w:r>
    </w:p>
    <w:p>
      <w:pPr>
        <w:spacing w:after="0" w:before="120"/>
      </w:pPr>
      <w:r>
        <w:t xml:space="preserve"/>
      </w:r>
    </w:p>
    <w:p>
      <w:pPr>
        <w:pStyle w:val="Heading2"/>
        <w:spacing w:after="80" w:before="240"/>
      </w:pPr>
      <w:r>
        <w:rPr>
          <w:rFonts w:ascii="Arial" w:cs="Arial" w:eastAsia="Arial" w:hAnsi="Arial"/>
          <w:b/>
          <w:bCs/>
          <w:color w:val="1A56DB"/>
          <w:sz w:val="24"/>
          <w:szCs w:val="24"/>
        </w:rPr>
        <w:t xml:space="preserve">3.1 Why hour-of-day?</w:t>
      </w:r>
    </w:p>
    <w:p>
      <w:pPr>
        <w:spacing w:after="80" w:before="80"/>
      </w:pPr>
      <w:r>
        <w:rPr>
          <w:rFonts w:ascii="Arial" w:cs="Arial" w:eastAsia="Arial" w:hAnsi="Arial"/>
          <w:color w:val="111827"/>
          <w:sz w:val="22"/>
          <w:szCs w:val="22"/>
        </w:rPr>
        <w:t xml:space="preserve">Hour is the single most predictive feature (importance: 0.51 combined across raw + cyclical encodings). Gurugram is a commuter city — the majority of residents work in the DLF/Cyber City IT corridor and travel from residential sectors 40–80. This creates two sharp, repeatable peaks:</w:t>
      </w:r>
    </w:p>
    <w:p>
      <w:pPr>
        <w:pStyle w:val="ListParagraph"/>
        <w:numPr>
          <w:ilvl w:val="0"/>
          <w:numId w:val="2"/>
        </w:numPr>
        <w:spacing w:after="40" w:before="40"/>
      </w:pPr>
      <w:r>
        <w:rPr>
          <w:rFonts w:ascii="Arial" w:cs="Arial" w:eastAsia="Arial" w:hAnsi="Arial"/>
          <w:color w:val="111827"/>
          <w:sz w:val="22"/>
          <w:szCs w:val="22"/>
        </w:rPr>
        <w:t xml:space="preserve">Morning peak (7–10 AM): Sector residents heading to Cyber City via NH-48 and MG Road</w:t>
      </w:r>
    </w:p>
    <w:p>
      <w:pPr>
        <w:pStyle w:val="ListParagraph"/>
        <w:numPr>
          <w:ilvl w:val="0"/>
          <w:numId w:val="2"/>
        </w:numPr>
        <w:spacing w:after="40" w:before="40"/>
      </w:pPr>
      <w:r>
        <w:rPr>
          <w:rFonts w:ascii="Arial" w:cs="Arial" w:eastAsia="Arial" w:hAnsi="Arial"/>
          <w:color w:val="111827"/>
          <w:sz w:val="22"/>
          <w:szCs w:val="22"/>
        </w:rPr>
        <w:t xml:space="preserve">Evening peak (5–8 PM): Return traffic, worsened by Haryana–Delhi border bottlenecks on NH-48</w:t>
      </w:r>
    </w:p>
    <w:p>
      <w:pPr>
        <w:spacing w:after="0" w:before="120"/>
      </w:pPr>
      <w:r>
        <w:t xml:space="preserve"/>
      </w:r>
    </w:p>
    <w:p>
      <w:pPr>
        <w:spacing w:after="80" w:before="80"/>
      </w:pPr>
      <w:r>
        <w:rPr>
          <w:rFonts w:ascii="Arial" w:cs="Arial" w:eastAsia="Arial" w:hAnsi="Arial"/>
          <w:color w:val="111827"/>
          <w:sz w:val="22"/>
          <w:szCs w:val="22"/>
        </w:rPr>
        <w:t xml:space="preserve">Raw hour is included alongside cyclical sin/cos encoding. Cyclical encoding treats hour 23 and hour 0 as adjacent (they are, on the clock), which plain integers fail to capture — important for modelling the late-night trough.</w:t>
      </w:r>
    </w:p>
    <w:p>
      <w:pPr>
        <w:spacing w:after="0" w:before="120"/>
      </w:pPr>
      <w:r>
        <w:t xml:space="preserve"/>
      </w:r>
    </w:p>
    <w:p>
      <w:pPr>
        <w:pStyle w:val="Heading2"/>
        <w:spacing w:after="80" w:before="240"/>
      </w:pPr>
      <w:r>
        <w:rPr>
          <w:rFonts w:ascii="Arial" w:cs="Arial" w:eastAsia="Arial" w:hAnsi="Arial"/>
          <w:b/>
          <w:bCs/>
          <w:color w:val="1A56DB"/>
          <w:sz w:val="24"/>
          <w:szCs w:val="24"/>
        </w:rPr>
        <w:t xml:space="preserve">3.2 Why day-of-week?</w:t>
      </w:r>
    </w:p>
    <w:p>
      <w:pPr>
        <w:spacing w:after="80" w:before="80"/>
      </w:pPr>
      <w:r>
        <w:rPr>
          <w:rFonts w:ascii="Arial" w:cs="Arial" w:eastAsia="Arial" w:hAnsi="Arial"/>
          <w:color w:val="111827"/>
          <w:sz w:val="22"/>
          <w:szCs w:val="22"/>
        </w:rPr>
        <w:t xml:space="preserve">Day of week captures structural demand differences that hour alone cannot:</w:t>
      </w:r>
    </w:p>
    <w:p>
      <w:pPr>
        <w:pStyle w:val="ListParagraph"/>
        <w:numPr>
          <w:ilvl w:val="0"/>
          <w:numId w:val="2"/>
        </w:numPr>
        <w:spacing w:after="40" w:before="40"/>
      </w:pPr>
      <w:r>
        <w:rPr>
          <w:rFonts w:ascii="Arial" w:cs="Arial" w:eastAsia="Arial" w:hAnsi="Arial"/>
          <w:color w:val="111827"/>
          <w:sz w:val="22"/>
          <w:szCs w:val="22"/>
        </w:rPr>
        <w:t xml:space="preserve">Weekdays (Mon–Fri): Full commuter load. Friday evenings are marginally heavier due to weekend travel starting.</w:t>
      </w:r>
    </w:p>
    <w:p>
      <w:pPr>
        <w:pStyle w:val="ListParagraph"/>
        <w:numPr>
          <w:ilvl w:val="0"/>
          <w:numId w:val="2"/>
        </w:numPr>
        <w:spacing w:after="40" w:before="40"/>
      </w:pPr>
      <w:r>
        <w:rPr>
          <w:rFonts w:ascii="Arial" w:cs="Arial" w:eastAsia="Arial" w:hAnsi="Arial"/>
          <w:color w:val="111827"/>
          <w:sz w:val="22"/>
          <w:szCs w:val="22"/>
        </w:rPr>
        <w:t xml:space="preserve">Saturday: Leisure and retail traffic (Ambience Mall, Cyber Hub) peaks mid-morning. Pattern is flatter and later.</w:t>
      </w:r>
    </w:p>
    <w:p>
      <w:pPr>
        <w:pStyle w:val="ListParagraph"/>
        <w:numPr>
          <w:ilvl w:val="0"/>
          <w:numId w:val="2"/>
        </w:numPr>
        <w:spacing w:after="40" w:before="40"/>
      </w:pPr>
      <w:r>
        <w:rPr>
          <w:rFonts w:ascii="Arial" w:cs="Arial" w:eastAsia="Arial" w:hAnsi="Arial"/>
          <w:color w:val="111827"/>
          <w:sz w:val="22"/>
          <w:szCs w:val="22"/>
        </w:rPr>
        <w:t xml:space="preserve">Sunday: Lightest day. NH-48 runs at ~40% of weekday congestion even at noon.</w:t>
      </w:r>
    </w:p>
    <w:p>
      <w:pPr>
        <w:spacing w:after="0" w:before="120"/>
      </w:pPr>
      <w:r>
        <w:t xml:space="preserve"/>
      </w:r>
    </w:p>
    <w:p>
      <w:pPr>
        <w:spacing w:after="80" w:before="80"/>
      </w:pPr>
      <w:r>
        <w:rPr>
          <w:rFonts w:ascii="Arial" w:cs="Arial" w:eastAsia="Arial" w:hAnsi="Arial"/>
          <w:color w:val="111827"/>
          <w:sz w:val="22"/>
          <w:szCs w:val="22"/>
        </w:rPr>
        <w:t xml:space="preserve">We also derive is_weekend as a binary flag. On small datasets, this collapses day_of_week's 7-level signal into a higher-amplitude 2-level one, boosting model signal without overfitting.</w:t>
      </w:r>
    </w:p>
    <w:p>
      <w:pPr>
        <w:spacing w:after="0" w:before="120"/>
      </w:pPr>
      <w:r>
        <w:t xml:space="preserve"/>
      </w:r>
    </w:p>
    <w:p>
      <w:pPr>
        <w:pStyle w:val="Heading2"/>
        <w:spacing w:after="80" w:before="240"/>
      </w:pPr>
      <w:r>
        <w:rPr>
          <w:rFonts w:ascii="Arial" w:cs="Arial" w:eastAsia="Arial" w:hAnsi="Arial"/>
          <w:b/>
          <w:bCs/>
          <w:color w:val="1A56DB"/>
          <w:sz w:val="24"/>
          <w:szCs w:val="24"/>
        </w:rPr>
        <w:t xml:space="preserve">3.3 Why road class?</w:t>
      </w:r>
    </w:p>
    <w:p>
      <w:pPr>
        <w:spacing w:after="80" w:before="80"/>
      </w:pPr>
      <w:r>
        <w:rPr>
          <w:rFonts w:ascii="Arial" w:cs="Arial" w:eastAsia="Arial" w:hAnsi="Arial"/>
          <w:color w:val="111827"/>
          <w:sz w:val="22"/>
          <w:szCs w:val="22"/>
        </w:rPr>
        <w:t xml:space="preserve">Not all roads respond to time the same way. Road class encodes structural capacity differences: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000"/>
        <w:gridCol w:w="2560"/>
      </w:tblGrid>
      <w:tr>
        <w:tc>
          <w:tcPr>
            <w:tcW w:type="dxa" w:w="1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Road Class</w:t>
            </w:r>
          </w:p>
        </w:tc>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Free-flow Speed</w:t>
            </w:r>
          </w:p>
        </w:tc>
        <w:tc>
          <w:tcPr>
            <w:tcW w:type="dxa" w:w="3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Saturation Behaviour</w:t>
            </w:r>
          </w:p>
        </w:tc>
        <w:tc>
          <w:tcPr>
            <w:tcW w:type="dxa" w:w="2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Highway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80–100 km/h</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Jams hard above ~70% capacity; slow to clear</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NH-48</w:t>
            </w:r>
          </w:p>
        </w:tc>
      </w:tr>
      <w:tr>
        <w:tc>
          <w:tcPr>
            <w:tcW w:type="dxa" w:w="18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Expressway</w:t>
            </w:r>
          </w:p>
        </w:tc>
        <w:tc>
          <w:tcPr>
            <w:tcW w:type="dxa" w:w="20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80–120 km/h</w:t>
            </w:r>
          </w:p>
        </w:tc>
        <w:tc>
          <w:tcPr>
            <w:tcW w:type="dxa" w:w="30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Freer for longer; sharp cliff when capacity hit</w:t>
            </w:r>
          </w:p>
        </w:tc>
        <w:tc>
          <w:tcPr>
            <w:tcW w:type="dxa" w:w="25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Dwarka Expy</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Arterial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40–60 km/h</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Gradual degradation; sensitive to intersections</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MG Road</w:t>
            </w:r>
          </w:p>
        </w:tc>
      </w:tr>
    </w:tbl>
    <w:p>
      <w:pPr>
        <w:spacing w:after="0" w:before="120"/>
      </w:pPr>
      <w:r>
        <w:t xml:space="preserve"/>
      </w:r>
    </w:p>
    <w:p>
      <w:pPr>
        <w:spacing w:after="80" w:before="80"/>
      </w:pPr>
      <w:r>
        <w:rPr>
          <w:rFonts w:ascii="Arial" w:cs="Arial" w:eastAsia="Arial" w:hAnsi="Arial"/>
          <w:color w:val="111827"/>
          <w:sz w:val="22"/>
          <w:szCs w:val="22"/>
        </w:rPr>
        <w:t xml:space="preserve">Including road class allows the model to learn that an arterial at 0.6 congestion index behaves differently to a highway at 0.6 — the latter will clear faster once peak ends.</w:t>
      </w:r>
    </w:p>
    <w:p>
      <w:pPr>
        <w:spacing w:after="0" w:before="120"/>
      </w:pPr>
      <w:r>
        <w:t xml:space="preserve"/>
      </w:r>
    </w:p>
    <w:p>
      <w:pPr>
        <w:pStyle w:val="Heading2"/>
        <w:spacing w:after="80" w:before="240"/>
      </w:pPr>
      <w:r>
        <w:rPr>
          <w:rFonts w:ascii="Arial" w:cs="Arial" w:eastAsia="Arial" w:hAnsi="Arial"/>
          <w:b/>
          <w:bCs/>
          <w:color w:val="1A56DB"/>
          <w:sz w:val="24"/>
          <w:szCs w:val="24"/>
        </w:rPr>
        <w:t xml:space="preserve">3.4 Domain flags</w:t>
      </w:r>
    </w:p>
    <w:p>
      <w:pPr>
        <w:spacing w:after="80" w:before="80"/>
      </w:pPr>
      <w:r>
        <w:rPr>
          <w:rFonts w:ascii="Arial" w:cs="Arial" w:eastAsia="Arial" w:hAnsi="Arial"/>
          <w:color w:val="111827"/>
          <w:sz w:val="22"/>
          <w:szCs w:val="22"/>
        </w:rPr>
        <w:t xml:space="preserve">is_peak_morning and is_peak_evening are hand-crafted binary features encoding expert domain knowledge. While the model could in principle learn the peak windows from hour alone, explicit flags:</w:t>
      </w:r>
    </w:p>
    <w:p>
      <w:pPr>
        <w:pStyle w:val="ListParagraph"/>
        <w:numPr>
          <w:ilvl w:val="0"/>
          <w:numId w:val="2"/>
        </w:numPr>
        <w:spacing w:after="40" w:before="40"/>
      </w:pPr>
      <w:r>
        <w:rPr>
          <w:rFonts w:ascii="Arial" w:cs="Arial" w:eastAsia="Arial" w:hAnsi="Arial"/>
          <w:color w:val="111827"/>
          <w:sz w:val="22"/>
          <w:szCs w:val="22"/>
        </w:rPr>
        <w:t xml:space="preserve">Improve performance on smaller datasets where the model may not see enough peak-hour samples</w:t>
      </w:r>
    </w:p>
    <w:p>
      <w:pPr>
        <w:pStyle w:val="ListParagraph"/>
        <w:numPr>
          <w:ilvl w:val="0"/>
          <w:numId w:val="2"/>
        </w:numPr>
        <w:spacing w:after="40" w:before="40"/>
      </w:pPr>
      <w:r>
        <w:rPr>
          <w:rFonts w:ascii="Arial" w:cs="Arial" w:eastAsia="Arial" w:hAnsi="Arial"/>
          <w:color w:val="111827"/>
          <w:sz w:val="22"/>
          <w:szCs w:val="22"/>
        </w:rPr>
        <w:t xml:space="preserve">Improve interpretability — feature importance scores become more actionable</w:t>
      </w:r>
    </w:p>
    <w:p>
      <w:pPr>
        <w:pStyle w:val="ListParagraph"/>
        <w:numPr>
          <w:ilvl w:val="0"/>
          <w:numId w:val="2"/>
        </w:numPr>
        <w:spacing w:after="40" w:before="40"/>
      </w:pPr>
      <w:r>
        <w:rPr>
          <w:rFonts w:ascii="Arial" w:cs="Arial" w:eastAsia="Arial" w:hAnsi="Arial"/>
          <w:color w:val="111827"/>
          <w:sz w:val="22"/>
          <w:szCs w:val="22"/>
        </w:rPr>
        <w:t xml:space="preserve">Allow easy override by a planner who knows about a special event (e.g. IPL match at a nearby venue)</w:t>
      </w:r>
    </w:p>
    <w:p>
      <w:pPr>
        <w:spacing w:after="0" w:before="200"/>
      </w:pPr>
      <w:r>
        <w:t xml:space="preserve"/>
      </w:r>
    </w:p>
    <w:p>
      <w:pPr>
        <w:pStyle w:val="Heading1"/>
        <w:pBdr>
          <w:bottom w:val="single" w:color="1A56DB" w:sz="6" w:space="4"/>
        </w:pBdr>
        <w:spacing w:after="120" w:before="360"/>
      </w:pPr>
      <w:r>
        <w:rPr>
          <w:rFonts w:ascii="Arial" w:cs="Arial" w:eastAsia="Arial" w:hAnsi="Arial"/>
          <w:b/>
          <w:bCs/>
          <w:color w:val="111827"/>
          <w:sz w:val="28"/>
          <w:szCs w:val="28"/>
        </w:rPr>
        <w:t xml:space="preserve">4. Model Selection</w:t>
      </w:r>
    </w:p>
    <w:p>
      <w:pPr>
        <w:pStyle w:val="Heading2"/>
        <w:spacing w:after="80" w:before="240"/>
      </w:pPr>
      <w:r>
        <w:rPr>
          <w:rFonts w:ascii="Arial" w:cs="Arial" w:eastAsia="Arial" w:hAnsi="Arial"/>
          <w:b/>
          <w:bCs/>
          <w:color w:val="1A56DB"/>
          <w:sz w:val="24"/>
          <w:szCs w:val="24"/>
        </w:rPr>
        <w:t xml:space="preserve">4.1 Why Gradient Boosting?</w:t>
      </w:r>
    </w:p>
    <w:p>
      <w:pPr>
        <w:spacing w:after="80" w:before="80"/>
      </w:pPr>
      <w:r>
        <w:rPr>
          <w:rFonts w:ascii="Arial" w:cs="Arial" w:eastAsia="Arial" w:hAnsi="Arial"/>
          <w:color w:val="111827"/>
          <w:sz w:val="22"/>
          <w:szCs w:val="22"/>
        </w:rPr>
        <w:t xml:space="preserve">Four candidate models were evaluated: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3360"/>
        <w:gridCol w:w="2200"/>
      </w:tblGrid>
      <w:tr>
        <w:tc>
          <w:tcPr>
            <w:tcW w:type="dxa" w:w="25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3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R² (CV)</w:t>
            </w:r>
          </w:p>
        </w:tc>
        <w:tc>
          <w:tcPr>
            <w:tcW w:type="dxa" w:w="3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Key Trade-off</w:t>
            </w:r>
          </w:p>
        </w:tc>
        <w:tc>
          <w:tcPr>
            <w:tcW w:type="dxa" w:w="2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Decision</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Linear Regression</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0.61</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Cannot capture non-linear peak interactions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Rejected</w:t>
            </w:r>
          </w:p>
        </w:tc>
      </w:tr>
      <w:tr>
        <w:tc>
          <w:tcPr>
            <w:tcW w:type="dxa" w:w="25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Random Forest</w:t>
            </w:r>
          </w:p>
        </w:tc>
        <w:tc>
          <w:tcPr>
            <w:tcW w:type="dxa" w:w="13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0.80</w:t>
            </w:r>
          </w:p>
        </w:tc>
        <w:tc>
          <w:tcPr>
            <w:tcW w:type="dxa" w:w="33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Good; GBT outperforms on small tabular data</w:t>
            </w:r>
          </w:p>
        </w:tc>
        <w:tc>
          <w:tcPr>
            <w:tcW w:type="dxa" w:w="22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Rejected</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Gradient Boosting (GBT)</w:t>
            </w:r>
          </w:p>
        </w:tc>
        <w:tc>
          <w:tcPr>
            <w:tcW w:type="dxa" w:w="13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0.84</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Best accuracy + interpretable feature importances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Selected</w:t>
            </w:r>
          </w:p>
        </w:tc>
      </w:tr>
      <w:tr>
        <w:tc>
          <w:tcPr>
            <w:tcW w:type="dxa" w:w="25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Neural Network (MLP)</w:t>
            </w:r>
          </w:p>
        </w:tc>
        <w:tc>
          <w:tcPr>
            <w:tcW w:type="dxa" w:w="13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0.82</w:t>
            </w:r>
          </w:p>
        </w:tc>
        <w:tc>
          <w:tcPr>
            <w:tcW w:type="dxa" w:w="33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Similar accuracy; black-box; overkill for 7 features</w:t>
            </w:r>
          </w:p>
        </w:tc>
        <w:tc>
          <w:tcPr>
            <w:tcW w:type="dxa" w:w="22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Rejected</w:t>
            </w:r>
          </w:p>
        </w:tc>
      </w:tr>
    </w:tbl>
    <w:p>
      <w:pPr>
        <w:spacing w:after="0" w:before="120"/>
      </w:pPr>
      <w:r>
        <w:t xml:space="preserve"/>
      </w:r>
    </w:p>
    <w:p>
      <w:pPr>
        <w:pStyle w:val="Heading2"/>
        <w:spacing w:after="80" w:before="240"/>
      </w:pPr>
      <w:r>
        <w:rPr>
          <w:rFonts w:ascii="Arial" w:cs="Arial" w:eastAsia="Arial" w:hAnsi="Arial"/>
          <w:b/>
          <w:bCs/>
          <w:color w:val="1A56DB"/>
          <w:sz w:val="24"/>
          <w:szCs w:val="24"/>
        </w:rPr>
        <w:t xml:space="preserve">4.2 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5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8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Reasoning</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n_estimators</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200</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Enough trees to converge without overfitting on 5k rows</w:t>
            </w:r>
          </w:p>
        </w:tc>
      </w:tr>
      <w:tr>
        <w:tc>
          <w:tcPr>
            <w:tcW w:type="dxa" w:w="20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learning_rate</w:t>
            </w:r>
          </w:p>
        </w:tc>
        <w:tc>
          <w:tcPr>
            <w:tcW w:type="dxa" w:w="15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0.05</w:t>
            </w:r>
          </w:p>
        </w:tc>
        <w:tc>
          <w:tcPr>
            <w:tcW w:type="dxa" w:w="58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Low rate with more trees: better generalisation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max_depth</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4</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Prevents over-complex trees on 7 features</w:t>
            </w:r>
          </w:p>
        </w:tc>
      </w:tr>
      <w:tr>
        <w:tc>
          <w:tcPr>
            <w:tcW w:type="dxa" w:w="20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subsample</w:t>
            </w:r>
          </w:p>
        </w:tc>
        <w:tc>
          <w:tcPr>
            <w:tcW w:type="dxa" w:w="15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0.8</w:t>
            </w:r>
          </w:p>
        </w:tc>
        <w:tc>
          <w:tcPr>
            <w:tcW w:type="dxa" w:w="58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Stochastic boosting reduces variance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min_samples_leaf</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10</w:t>
            </w:r>
          </w:p>
        </w:tc>
        <w:tc>
          <w:tcPr>
            <w:tcW w:type="dxa" w:w="5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Guards against fitting to noise in thin peak bins</w:t>
            </w:r>
          </w:p>
        </w:tc>
      </w:tr>
    </w:tbl>
    <w:p>
      <w:pPr>
        <w:spacing w:after="0" w:before="200"/>
      </w:pPr>
      <w:r>
        <w:t xml:space="preserve"/>
      </w:r>
    </w:p>
    <w:p>
      <w:pPr>
        <w:pStyle w:val="Heading1"/>
        <w:pBdr>
          <w:bottom w:val="single" w:color="1A56DB" w:sz="6" w:space="4"/>
        </w:pBdr>
        <w:spacing w:after="120" w:before="360"/>
      </w:pPr>
      <w:r>
        <w:rPr>
          <w:rFonts w:ascii="Arial" w:cs="Arial" w:eastAsia="Arial" w:hAnsi="Arial"/>
          <w:b/>
          <w:bCs/>
          <w:color w:val="111827"/>
          <w:sz w:val="28"/>
          <w:szCs w:val="28"/>
        </w:rPr>
        <w:t xml:space="preserve">5.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5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R² (test set)</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0.83</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Model explains 83% of congestion variance</w:t>
            </w:r>
          </w:p>
        </w:tc>
      </w:tr>
      <w:tr>
        <w:tc>
          <w:tcPr>
            <w:tcW w:type="dxa" w:w="25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MAE (test set)</w:t>
            </w:r>
          </w:p>
        </w:tc>
        <w:tc>
          <w:tcPr>
            <w:tcW w:type="dxa" w:w="15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0.031</w:t>
            </w:r>
          </w:p>
        </w:tc>
        <w:tc>
          <w:tcPr>
            <w:tcW w:type="dxa" w:w="53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Average prediction error of ~3 percentage points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R² (5-fold CV mean)</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0.84</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Consistent across folds — model generalises well</w:t>
            </w:r>
          </w:p>
        </w:tc>
      </w:tr>
      <w:tr>
        <w:tc>
          <w:tcPr>
            <w:tcW w:type="dxa" w:w="25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CV std dev</w:t>
            </w:r>
          </w:p>
        </w:tc>
        <w:tc>
          <w:tcPr>
            <w:tcW w:type="dxa" w:w="150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±0.003</w:t>
            </w:r>
          </w:p>
        </w:tc>
        <w:tc>
          <w:tcPr>
            <w:tcW w:type="dxa" w:w="5360"/>
            <w:tcBorders>
              <w:top w:val="single" w:color="D1D5DB" w:sz="1"/>
              <w:left w:val="single" w:color="D1D5DB" w:sz="1"/>
              <w:bottom w:val="single" w:color="D1D5DB" w:sz="1"/>
              <w:right w:val="single" w:color="D1D5DB" w:sz="1"/>
            </w:tcBorders>
            <w:shd w:fill="F4F5F7" w:val="clear"/>
            <w:tcMar>
              <w:top w:type="dxa" w:w="80"/>
              <w:left w:type="dxa" w:w="120"/>
              <w:bottom w:type="dxa" w:w="80"/>
              <w:right w:type="dxa" w:w="120"/>
            </w:tcMar>
          </w:tcPr>
          <w:p>
            <w:r>
              <w:rPr>
                <w:rFonts w:ascii="Arial" w:cs="Arial" w:eastAsia="Arial" w:hAnsi="Arial"/>
                <w:color w:val="111827"/>
                <w:sz w:val="20"/>
                <w:szCs w:val="20"/>
              </w:rPr>
              <w:t xml:space="preserve">Very low variance — robust to data splits</w:t>
            </w:r>
          </w:p>
        </w:tc>
      </w:tr>
    </w:tbl>
    <w:p>
      <w:pPr>
        <w:spacing w:after="0" w:before="120"/>
      </w:pPr>
      <w:r>
        <w:t xml:space="preserve"/>
      </w:r>
    </w:p>
    <w:p>
      <w:pPr>
        <w:spacing w:after="80" w:before="80"/>
      </w:pPr>
      <w:r>
        <w:rPr>
          <w:rFonts w:ascii="Arial" w:cs="Arial" w:eastAsia="Arial" w:hAnsi="Arial"/>
          <w:color w:val="111827"/>
          <w:sz w:val="22"/>
          <w:szCs w:val="22"/>
        </w:rPr>
        <w:t xml:space="preserve">The model's top features by importance are hour_sin (0.51), is_peak_morning (0.32), and day_of_week (0.06). Road class, while logically important, has lower raw importance because the dataset contains more arterial samples — a reminder that importance scores are data-dependent.</w:t>
      </w:r>
    </w:p>
    <w:p>
      <w:pPr>
        <w:spacing w:after="0" w:before="200"/>
      </w:pPr>
      <w:r>
        <w:t xml:space="preserve"/>
      </w:r>
    </w:p>
    <w:p>
      <w:pPr>
        <w:pStyle w:val="Heading1"/>
        <w:pBdr>
          <w:bottom w:val="single" w:color="1A56DB" w:sz="6" w:space="4"/>
        </w:pBdr>
        <w:spacing w:after="120" w:before="360"/>
      </w:pPr>
      <w:r>
        <w:rPr>
          <w:rFonts w:ascii="Arial" w:cs="Arial" w:eastAsia="Arial" w:hAnsi="Arial"/>
          <w:b/>
          <w:bCs/>
          <w:color w:val="111827"/>
          <w:sz w:val="28"/>
          <w:szCs w:val="28"/>
        </w:rPr>
        <w:t xml:space="preserve">6. Future Work</w:t>
      </w:r>
    </w:p>
    <w:p>
      <w:pPr>
        <w:pStyle w:val="ListParagraph"/>
        <w:numPr>
          <w:ilvl w:val="0"/>
          <w:numId w:val="2"/>
        </w:numPr>
        <w:spacing w:after="40" w:before="40"/>
      </w:pPr>
      <w:r>
        <w:rPr>
          <w:rFonts w:ascii="Arial" w:cs="Arial" w:eastAsia="Arial" w:hAnsi="Arial"/>
          <w:b/>
          <w:bCs/>
          <w:color w:val="111827"/>
          <w:sz w:val="22"/>
          <w:szCs w:val="22"/>
        </w:rPr>
        <w:t xml:space="preserve">Weather integration: </w:t>
      </w:r>
      <w:r>
        <w:rPr>
          <w:rFonts w:ascii="Arial" w:cs="Arial" w:eastAsia="Arial" w:hAnsi="Arial"/>
          <w:color w:val="111827"/>
          <w:sz w:val="22"/>
          <w:szCs w:val="22"/>
        </w:rPr>
        <w:t xml:space="preserve"/>
      </w:r>
    </w:p>
    <w:p>
      <w:pPr>
        <w:pStyle w:val="ListParagraph"/>
        <w:numPr>
          <w:ilvl w:val="0"/>
          <w:numId w:val="2"/>
        </w:numPr>
        <w:spacing w:after="40" w:before="40"/>
      </w:pPr>
      <w:r>
        <w:rPr>
          <w:rFonts w:ascii="Arial" w:cs="Arial" w:eastAsia="Arial" w:hAnsi="Arial"/>
          <w:color w:val="111827"/>
          <w:sz w:val="22"/>
          <w:szCs w:val="22"/>
        </w:rPr>
        <w:t xml:space="preserve">Rain reduces speeds on NH-48 by ~30%; fog in winter is a major multiplier. IMD API provides Gurugram weather data.</w:t>
      </w:r>
    </w:p>
    <w:p>
      <w:pPr>
        <w:pStyle w:val="ListParagraph"/>
        <w:numPr>
          <w:ilvl w:val="0"/>
          <w:numId w:val="2"/>
        </w:numPr>
        <w:spacing w:after="40" w:before="40"/>
      </w:pPr>
      <w:r>
        <w:rPr>
          <w:rFonts w:ascii="Arial" w:cs="Arial" w:eastAsia="Arial" w:hAnsi="Arial"/>
          <w:color w:val="111827"/>
          <w:sz w:val="22"/>
          <w:szCs w:val="22"/>
        </w:rPr>
        <w:t xml:space="preserve">Event detection: IPL, concerts at DLF Avenue cause non-periodic spikes the model cannot anticipate. A calendar feature or anomaly detector would help.</w:t>
      </w:r>
    </w:p>
    <w:p>
      <w:pPr>
        <w:pStyle w:val="ListParagraph"/>
        <w:numPr>
          <w:ilvl w:val="0"/>
          <w:numId w:val="2"/>
        </w:numPr>
        <w:spacing w:after="40" w:before="40"/>
      </w:pPr>
      <w:r>
        <w:rPr>
          <w:rFonts w:ascii="Arial" w:cs="Arial" w:eastAsia="Arial" w:hAnsi="Arial"/>
          <w:color w:val="111827"/>
          <w:sz w:val="22"/>
          <w:szCs w:val="22"/>
        </w:rPr>
        <w:t xml:space="preserve">Live dashboard integration: Connect the trained model to the React frontend for real-time corridor-by-corridor predictions.</w:t>
      </w:r>
    </w:p>
    <w:p>
      <w:pPr>
        <w:pStyle w:val="ListParagraph"/>
        <w:numPr>
          <w:ilvl w:val="0"/>
          <w:numId w:val="2"/>
        </w:numPr>
        <w:spacing w:after="40" w:before="40"/>
      </w:pPr>
      <w:r>
        <w:rPr>
          <w:rFonts w:ascii="Arial" w:cs="Arial" w:eastAsia="Arial" w:hAnsi="Arial"/>
          <w:color w:val="111827"/>
          <w:sz w:val="22"/>
          <w:szCs w:val="22"/>
        </w:rPr>
        <w:t xml:space="preserve">LSTM time-series model: If data collection runs for 3+ months, a sequence model can capture rolling congestion momentum.</w:t>
      </w:r>
    </w:p>
    <w:p>
      <w:pPr>
        <w:spacing w:after="0" w:before="200"/>
      </w:pPr>
      <w:r>
        <w:t xml:space="preserve"/>
      </w:r>
    </w:p>
    <w:p>
      <w:pPr>
        <w:pStyle w:val="Heading1"/>
        <w:pBdr>
          <w:bottom w:val="single" w:color="1A56DB" w:sz="6" w:space="4"/>
        </w:pBdr>
        <w:spacing w:after="120" w:before="360"/>
      </w:pPr>
      <w:r>
        <w:rPr>
          <w:rFonts w:ascii="Arial" w:cs="Arial" w:eastAsia="Arial" w:hAnsi="Arial"/>
          <w:b/>
          <w:bCs/>
          <w:color w:val="111827"/>
          <w:sz w:val="28"/>
          <w:szCs w:val="28"/>
        </w:rPr>
        <w:t xml:space="preserve">7. References</w:t>
      </w:r>
    </w:p>
    <w:p>
      <w:pPr>
        <w:spacing w:after="80" w:before="80"/>
      </w:pPr>
      <w:r>
        <w:rPr>
          <w:rFonts w:ascii="Arial" w:cs="Arial" w:eastAsia="Arial" w:hAnsi="Arial"/>
          <w:color w:val="111827"/>
          <w:sz w:val="22"/>
          <w:szCs w:val="22"/>
        </w:rPr>
        <w:t xml:space="preserve">1.  TomTom Developer Portal — Traffic Flow API v4. https://developer.tomtom.com/traffic-api</w:t>
      </w:r>
    </w:p>
    <w:p>
      <w:pPr>
        <w:spacing w:after="80" w:before="80"/>
      </w:pPr>
      <w:r>
        <w:rPr>
          <w:rFonts w:ascii="Arial" w:cs="Arial" w:eastAsia="Arial" w:hAnsi="Arial"/>
          <w:color w:val="111827"/>
          <w:sz w:val="22"/>
          <w:szCs w:val="22"/>
        </w:rPr>
        <w:t xml:space="preserve">2.  Friedman, J.H. (2001). Greedy function approximation: a gradient boosting machine. Annals of Statistics.</w:t>
      </w:r>
    </w:p>
    <w:p>
      <w:pPr>
        <w:spacing w:after="80" w:before="80"/>
      </w:pPr>
      <w:r>
        <w:rPr>
          <w:rFonts w:ascii="Arial" w:cs="Arial" w:eastAsia="Arial" w:hAnsi="Arial"/>
          <w:color w:val="111827"/>
          <w:sz w:val="22"/>
          <w:szCs w:val="22"/>
        </w:rPr>
        <w:t xml:space="preserve">3.  OpenStreetMap contributors — Gurugram road network data. https://openstreetmap.org</w:t>
      </w:r>
    </w:p>
    <w:p>
      <w:pPr>
        <w:spacing w:after="80" w:before="80"/>
      </w:pPr>
      <w:r>
        <w:rPr>
          <w:rFonts w:ascii="Arial" w:cs="Arial" w:eastAsia="Arial" w:hAnsi="Arial"/>
          <w:color w:val="111827"/>
          <w:sz w:val="22"/>
          <w:szCs w:val="22"/>
        </w:rPr>
        <w:t xml:space="preserve">4.  NITI Aayog (2023). Urban Mobility Index — Gurugram chapter.</w:t>
      </w:r>
    </w:p>
    <w:p>
      <w:pPr>
        <w:spacing w:after="80" w:before="80"/>
      </w:pPr>
      <w:r>
        <w:rPr>
          <w:rFonts w:ascii="Arial" w:cs="Arial" w:eastAsia="Arial" w:hAnsi="Arial"/>
          <w:color w:val="111827"/>
          <w:sz w:val="22"/>
          <w:szCs w:val="22"/>
        </w:rPr>
        <w:t xml:space="preserve">5.  Scikit-learn: Pedregosa et al. (2011). JMLR 12, 2825–2830.</w:t>
      </w:r>
    </w:p>
    <w:p>
      <w:pPr>
        <w:spacing w:after="0" w:before="20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28"/>
      <w:szCs w:val="28"/>
    </w:rPr>
  </w:style>
  <w:style w:type="paragraph" w:styleId="Heading2">
    <w:name w:val="Heading 2"/>
    <w:basedOn w:val="Normal"/>
    <w:next w:val="Normal"/>
    <w:qFormat/>
    <w:pPr>
      <w:spacing w:after="8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2026-05-13T05:49:53.427Z</dcterms:created>
  <dcterms:modified xsi:type="dcterms:W3CDTF">2026-05-13T05:49:53.428Z</dcterms:modified>
</cp:coreProperties>
</file>

<file path=docProps/custom.xml><?xml version="1.0" encoding="utf-8"?>
<Properties xmlns="http://schemas.openxmlformats.org/officeDocument/2006/custom-properties" xmlns:vt="http://schemas.openxmlformats.org/officeDocument/2006/docPropsVTypes"/>
</file>