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4689" w14:textId="3DC74B75" w:rsidR="00B11593" w:rsidRPr="00B11593" w:rsidRDefault="00000000" w:rsidP="00B11593">
      <w:pPr>
        <w:tabs>
          <w:tab w:val="left" w:pos="5589"/>
        </w:tabs>
        <w:jc w:val="center"/>
        <w:rPr>
          <w:rFonts w:ascii="Times New Roman" w:hAnsi="Times New Roman" w:cs="Times New Roman"/>
          <w:b/>
          <w:color w:val="000000"/>
          <w:sz w:val="28"/>
          <w:szCs w:val="28"/>
        </w:rPr>
      </w:pPr>
      <w:r>
        <w:rPr>
          <w:rFonts w:ascii="Times New Roman" w:hAnsi="Times New Roman" w:cs="Times New Roman"/>
          <w:b/>
          <w:noProof/>
          <w:color w:val="000000"/>
          <w:sz w:val="28"/>
          <w:szCs w:val="28"/>
        </w:rPr>
        <w:pict w14:anchorId="691CCB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6pt;height:117.6pt;visibility:visible;mso-wrap-style:square">
            <v:imagedata r:id="rId7" o:title=""/>
          </v:shape>
        </w:pict>
      </w:r>
    </w:p>
    <w:p w14:paraId="0DA1C678" w14:textId="77777777" w:rsidR="00B11593" w:rsidRPr="00B11593" w:rsidRDefault="00B11593" w:rsidP="00B11593">
      <w:pPr>
        <w:jc w:val="center"/>
        <w:rPr>
          <w:rFonts w:ascii="Times New Roman" w:hAnsi="Times New Roman" w:cs="Times New Roman"/>
          <w:b/>
          <w:color w:val="000000"/>
          <w:sz w:val="32"/>
          <w:szCs w:val="32"/>
        </w:rPr>
      </w:pPr>
    </w:p>
    <w:p w14:paraId="1247B520" w14:textId="77777777" w:rsidR="00B11593" w:rsidRPr="00B11593" w:rsidRDefault="00B11593" w:rsidP="00B11593">
      <w:pPr>
        <w:jc w:val="center"/>
        <w:rPr>
          <w:rFonts w:ascii="Times New Roman" w:hAnsi="Times New Roman" w:cs="Times New Roman"/>
          <w:b/>
          <w:color w:val="000000"/>
          <w:sz w:val="32"/>
          <w:szCs w:val="32"/>
        </w:rPr>
      </w:pPr>
      <w:r w:rsidRPr="00B11593">
        <w:rPr>
          <w:rFonts w:ascii="Times New Roman" w:hAnsi="Times New Roman" w:cs="Times New Roman"/>
          <w:b/>
          <w:color w:val="000000"/>
          <w:sz w:val="32"/>
          <w:szCs w:val="32"/>
        </w:rPr>
        <w:t>GL BAJAJ INSTITUTE OF TECHNOLOGY AND MANAGEMENT, GREATER NOIDA</w:t>
      </w:r>
    </w:p>
    <w:p w14:paraId="63FC43B2" w14:textId="77777777" w:rsidR="00B11593" w:rsidRPr="00B11593" w:rsidRDefault="00B11593" w:rsidP="00B11593">
      <w:pPr>
        <w:jc w:val="center"/>
        <w:rPr>
          <w:rFonts w:ascii="Times New Roman" w:hAnsi="Times New Roman" w:cs="Times New Roman"/>
          <w:b/>
          <w:color w:val="000000"/>
        </w:rPr>
      </w:pPr>
    </w:p>
    <w:p w14:paraId="5F0328E0" w14:textId="6D76A43B" w:rsidR="00D137AF" w:rsidRDefault="007A3355" w:rsidP="00B11593">
      <w:pPr>
        <w:spacing w:line="360" w:lineRule="auto"/>
        <w:jc w:val="center"/>
        <w:rPr>
          <w:rFonts w:ascii="Times New Roman" w:eastAsia="SimSun" w:hAnsi="Times New Roman" w:cs="Times New Roman"/>
          <w:b/>
          <w:bCs/>
          <w:color w:val="000000"/>
          <w:sz w:val="36"/>
          <w:szCs w:val="36"/>
          <w:lang w:val="en-IN" w:eastAsia="en-US" w:bidi="ar-SA"/>
        </w:rPr>
      </w:pPr>
      <w:r w:rsidRPr="007A3355">
        <w:rPr>
          <w:rFonts w:ascii="Times New Roman" w:eastAsia="SimSun" w:hAnsi="Times New Roman" w:cs="Times New Roman"/>
          <w:b/>
          <w:bCs/>
          <w:color w:val="000000"/>
          <w:sz w:val="36"/>
          <w:szCs w:val="36"/>
          <w:lang w:val="en-IN" w:eastAsia="en-US" w:bidi="ar-SA"/>
        </w:rPr>
        <w:t>“Analytics project on python</w:t>
      </w:r>
      <w:r w:rsidR="00D137AF">
        <w:rPr>
          <w:rFonts w:ascii="Times New Roman" w:eastAsia="SimSun" w:hAnsi="Times New Roman" w:cs="Times New Roman"/>
          <w:b/>
          <w:bCs/>
          <w:color w:val="000000"/>
          <w:sz w:val="36"/>
          <w:szCs w:val="36"/>
          <w:lang w:val="en-IN" w:eastAsia="en-US" w:bidi="ar-SA"/>
        </w:rPr>
        <w:t>”</w:t>
      </w:r>
    </w:p>
    <w:p w14:paraId="24497CFE" w14:textId="35AB2936" w:rsidR="00D137AF" w:rsidRDefault="007A3355" w:rsidP="00B11593">
      <w:pPr>
        <w:spacing w:line="360" w:lineRule="auto"/>
        <w:jc w:val="center"/>
        <w:rPr>
          <w:rFonts w:ascii="Times New Roman" w:eastAsia="SimSun" w:hAnsi="Times New Roman" w:cs="Times New Roman"/>
          <w:b/>
          <w:bCs/>
          <w:color w:val="000000"/>
          <w:sz w:val="36"/>
          <w:szCs w:val="36"/>
          <w:lang w:val="en-IN" w:eastAsia="en-US" w:bidi="ar-SA"/>
        </w:rPr>
      </w:pPr>
      <w:r w:rsidRPr="007A3355">
        <w:rPr>
          <w:rFonts w:ascii="Times New Roman" w:eastAsia="SimSun" w:hAnsi="Times New Roman" w:cs="Times New Roman"/>
          <w:b/>
          <w:bCs/>
          <w:color w:val="000000"/>
          <w:sz w:val="36"/>
          <w:szCs w:val="36"/>
          <w:lang w:val="en-IN" w:eastAsia="en-US" w:bidi="ar-SA"/>
        </w:rPr>
        <w:t xml:space="preserve"> </w:t>
      </w:r>
      <w:r w:rsidR="00D137AF">
        <w:rPr>
          <w:rFonts w:ascii="Times New Roman" w:eastAsia="SimSun" w:hAnsi="Times New Roman" w:cs="Times New Roman"/>
          <w:b/>
          <w:bCs/>
          <w:color w:val="000000"/>
          <w:sz w:val="36"/>
          <w:szCs w:val="36"/>
          <w:lang w:val="en-IN" w:eastAsia="en-US" w:bidi="ar-SA"/>
        </w:rPr>
        <w:t>ON</w:t>
      </w:r>
    </w:p>
    <w:p w14:paraId="2E8BA98D" w14:textId="57DFC240" w:rsidR="007A3355" w:rsidRDefault="00D137AF" w:rsidP="00B11593">
      <w:pPr>
        <w:spacing w:line="360" w:lineRule="auto"/>
        <w:jc w:val="center"/>
        <w:rPr>
          <w:rFonts w:ascii="Times New Roman" w:eastAsia="SimSun" w:hAnsi="Times New Roman" w:cs="Times New Roman"/>
          <w:b/>
          <w:bCs/>
          <w:color w:val="000000"/>
          <w:sz w:val="36"/>
          <w:szCs w:val="36"/>
          <w:lang w:val="en-IN" w:eastAsia="en-US" w:bidi="ar-SA"/>
        </w:rPr>
      </w:pPr>
      <w:r>
        <w:rPr>
          <w:rFonts w:ascii="Times New Roman" w:eastAsia="SimSun" w:hAnsi="Times New Roman" w:cs="Times New Roman"/>
          <w:b/>
          <w:bCs/>
          <w:color w:val="000000"/>
          <w:sz w:val="36"/>
          <w:szCs w:val="36"/>
          <w:lang w:val="en-IN" w:eastAsia="en-US" w:bidi="ar-SA"/>
        </w:rPr>
        <w:t>“A</w:t>
      </w:r>
      <w:r w:rsidR="007A3355" w:rsidRPr="007A3355">
        <w:rPr>
          <w:rFonts w:ascii="Times New Roman" w:eastAsia="SimSun" w:hAnsi="Times New Roman" w:cs="Times New Roman"/>
          <w:b/>
          <w:bCs/>
          <w:color w:val="000000"/>
          <w:sz w:val="36"/>
          <w:szCs w:val="36"/>
          <w:lang w:val="en-IN" w:eastAsia="en-US" w:bidi="ar-SA"/>
        </w:rPr>
        <w:t xml:space="preserve"> study of identifying key factor affecting customer churn”</w:t>
      </w:r>
    </w:p>
    <w:p w14:paraId="7D777BA2" w14:textId="5316D8E5" w:rsidR="00B11593" w:rsidRPr="00B11593" w:rsidRDefault="00B11593" w:rsidP="00B11593">
      <w:pPr>
        <w:spacing w:line="360" w:lineRule="auto"/>
        <w:jc w:val="center"/>
        <w:rPr>
          <w:rFonts w:ascii="Times New Roman" w:hAnsi="Times New Roman" w:cs="Times New Roman"/>
          <w:b/>
          <w:i/>
          <w:color w:val="000000"/>
        </w:rPr>
      </w:pPr>
      <w:r w:rsidRPr="00B11593">
        <w:rPr>
          <w:rFonts w:ascii="Times New Roman" w:hAnsi="Times New Roman" w:cs="Times New Roman"/>
          <w:b/>
          <w:i/>
          <w:color w:val="000000"/>
        </w:rPr>
        <w:t>TOWARDS THE PARTIAL FULLFILLMENT FOR THE AWARD OF DEGREE OF</w:t>
      </w:r>
    </w:p>
    <w:p w14:paraId="6BCEF095" w14:textId="77777777" w:rsidR="00B11593" w:rsidRPr="00B11593" w:rsidRDefault="00B11593" w:rsidP="00B11593">
      <w:pPr>
        <w:jc w:val="center"/>
        <w:rPr>
          <w:rFonts w:ascii="Times New Roman" w:hAnsi="Times New Roman" w:cs="Times New Roman"/>
          <w:b/>
          <w:color w:val="000000"/>
          <w:sz w:val="32"/>
          <w:szCs w:val="32"/>
        </w:rPr>
      </w:pPr>
      <w:r w:rsidRPr="00B11593">
        <w:rPr>
          <w:rFonts w:ascii="Times New Roman" w:hAnsi="Times New Roman" w:cs="Times New Roman"/>
          <w:b/>
          <w:color w:val="000000"/>
          <w:sz w:val="32"/>
          <w:szCs w:val="32"/>
        </w:rPr>
        <w:t>MASTER OF BUSINESS ADMINISTRATION (BA)</w:t>
      </w:r>
    </w:p>
    <w:p w14:paraId="7CF07258" w14:textId="77777777" w:rsidR="00B11593" w:rsidRPr="00B11593" w:rsidRDefault="00B11593" w:rsidP="00B11593">
      <w:pPr>
        <w:jc w:val="center"/>
        <w:rPr>
          <w:rFonts w:ascii="Times New Roman" w:hAnsi="Times New Roman" w:cs="Times New Roman"/>
          <w:b/>
          <w:i/>
          <w:color w:val="000000"/>
        </w:rPr>
      </w:pPr>
      <w:r w:rsidRPr="00B11593">
        <w:rPr>
          <w:rFonts w:ascii="Times New Roman" w:hAnsi="Times New Roman" w:cs="Times New Roman"/>
          <w:b/>
          <w:i/>
          <w:color w:val="000000"/>
        </w:rPr>
        <w:t>(Dr. A.P.J. Abdul Kalam Technical University, Lucknow, Uttar Pradesh)</w:t>
      </w:r>
    </w:p>
    <w:p w14:paraId="2F5FA1AA" w14:textId="0C2658FE" w:rsidR="00B11593" w:rsidRPr="00B11593" w:rsidRDefault="00000000" w:rsidP="00B11593">
      <w:pPr>
        <w:jc w:val="center"/>
        <w:rPr>
          <w:rFonts w:ascii="Times New Roman" w:hAnsi="Times New Roman" w:cs="Times New Roman"/>
          <w:b/>
          <w:i/>
          <w:color w:val="000000"/>
        </w:rPr>
      </w:pPr>
      <w:r>
        <w:rPr>
          <w:noProof/>
        </w:rPr>
        <w:pict w14:anchorId="6961BF92">
          <v:shape id="Picture 5" o:spid="_x0000_s1026" type="#_x0000_t75" style="position:absolute;left:0;text-align:left;margin-left:130.35pt;margin-top:4.6pt;width:190.2pt;height:136.05pt;z-index:-1;visibility:visible;mso-wrap-style:square;mso-wrap-distance-left:9pt;mso-wrap-distance-top:0;mso-wrap-distance-right:9pt;mso-wrap-distance-bottom:0;mso-position-horizontal-relative:text;mso-position-vertical-relative:text">
            <v:imagedata r:id="rId8" o:title=""/>
          </v:shape>
        </w:pict>
      </w:r>
    </w:p>
    <w:p w14:paraId="02C9CECD" w14:textId="77777777" w:rsidR="00B11593" w:rsidRPr="00B11593" w:rsidRDefault="00B11593" w:rsidP="00B11593">
      <w:pPr>
        <w:rPr>
          <w:color w:val="000000"/>
        </w:rPr>
      </w:pPr>
    </w:p>
    <w:p w14:paraId="130F525C" w14:textId="77777777" w:rsidR="00B11593" w:rsidRPr="00B11593" w:rsidRDefault="00B11593" w:rsidP="00B11593">
      <w:pPr>
        <w:rPr>
          <w:color w:val="000000"/>
        </w:rPr>
      </w:pPr>
    </w:p>
    <w:p w14:paraId="4DD75CA1" w14:textId="77777777" w:rsidR="00B11593" w:rsidRPr="00B11593" w:rsidRDefault="00B11593" w:rsidP="00B11593">
      <w:pPr>
        <w:rPr>
          <w:color w:val="000000"/>
        </w:rPr>
      </w:pPr>
    </w:p>
    <w:p w14:paraId="5A0968B9" w14:textId="77777777" w:rsidR="00B11593" w:rsidRPr="00B11593" w:rsidRDefault="00B11593" w:rsidP="00B11593">
      <w:pPr>
        <w:rPr>
          <w:color w:val="000000"/>
        </w:rPr>
      </w:pPr>
    </w:p>
    <w:p w14:paraId="3603720D" w14:textId="77777777" w:rsidR="00B11593" w:rsidRPr="00B11593" w:rsidRDefault="00B11593" w:rsidP="00B11593">
      <w:pPr>
        <w:rPr>
          <w:rFonts w:ascii="Times New Roman" w:hAnsi="Times New Roman" w:cs="Times New Roman"/>
          <w:color w:val="000000"/>
        </w:rPr>
      </w:pPr>
    </w:p>
    <w:p w14:paraId="3D3B2554" w14:textId="77777777" w:rsidR="00B11593" w:rsidRPr="00B11593" w:rsidRDefault="00B11593" w:rsidP="00B11593">
      <w:pPr>
        <w:jc w:val="center"/>
        <w:rPr>
          <w:rFonts w:ascii="Times New Roman" w:hAnsi="Times New Roman" w:cs="Times New Roman"/>
          <w:b/>
          <w:color w:val="000000"/>
        </w:rPr>
      </w:pPr>
      <w:proofErr w:type="gramStart"/>
      <w:r w:rsidRPr="00B11593">
        <w:rPr>
          <w:rFonts w:ascii="Times New Roman" w:hAnsi="Times New Roman" w:cs="Times New Roman"/>
          <w:b/>
          <w:color w:val="000000"/>
        </w:rPr>
        <w:t>By</w:t>
      </w:r>
      <w:proofErr w:type="gramEnd"/>
    </w:p>
    <w:p w14:paraId="2113E1BB" w14:textId="77777777" w:rsidR="00B11593" w:rsidRPr="00B11593" w:rsidRDefault="00B11593" w:rsidP="00B11593">
      <w:pPr>
        <w:jc w:val="center"/>
        <w:rPr>
          <w:rFonts w:ascii="Times New Roman" w:hAnsi="Times New Roman" w:cs="Times New Roman"/>
          <w:b/>
          <w:color w:val="000000"/>
          <w:sz w:val="28"/>
          <w:szCs w:val="28"/>
        </w:rPr>
      </w:pPr>
    </w:p>
    <w:p w14:paraId="12C79116" w14:textId="77777777" w:rsidR="00B11593" w:rsidRPr="00B11593" w:rsidRDefault="00B11593" w:rsidP="00B11593">
      <w:pPr>
        <w:jc w:val="center"/>
        <w:rPr>
          <w:rFonts w:ascii="Times New Roman" w:hAnsi="Times New Roman" w:cs="Times New Roman"/>
          <w:b/>
          <w:color w:val="000000"/>
          <w:sz w:val="28"/>
          <w:szCs w:val="28"/>
        </w:rPr>
      </w:pPr>
    </w:p>
    <w:p w14:paraId="0D15BDC8" w14:textId="77777777" w:rsidR="00B11593" w:rsidRPr="00B11593" w:rsidRDefault="00B11593" w:rsidP="00B11593">
      <w:pPr>
        <w:jc w:val="center"/>
        <w:rPr>
          <w:rFonts w:ascii="Times New Roman" w:hAnsi="Times New Roman" w:cs="Times New Roman"/>
          <w:b/>
          <w:color w:val="000000"/>
          <w:sz w:val="28"/>
          <w:szCs w:val="28"/>
        </w:rPr>
      </w:pPr>
    </w:p>
    <w:p w14:paraId="161E4B65" w14:textId="77777777" w:rsidR="00B11593" w:rsidRPr="00B11593" w:rsidRDefault="00B11593" w:rsidP="00B11593">
      <w:pPr>
        <w:jc w:val="center"/>
        <w:rPr>
          <w:rFonts w:ascii="Times New Roman" w:hAnsi="Times New Roman" w:cs="Times New Roman"/>
          <w:b/>
          <w:color w:val="000000"/>
          <w:sz w:val="28"/>
          <w:szCs w:val="28"/>
        </w:rPr>
      </w:pPr>
      <w:r w:rsidRPr="00B11593">
        <w:rPr>
          <w:rFonts w:ascii="Times New Roman" w:hAnsi="Times New Roman" w:cs="Times New Roman"/>
          <w:b/>
          <w:color w:val="000000"/>
          <w:sz w:val="28"/>
          <w:szCs w:val="28"/>
        </w:rPr>
        <w:t>NAMAN SINGH CHAUHAN</w:t>
      </w:r>
    </w:p>
    <w:p w14:paraId="233F1BD6" w14:textId="77777777" w:rsidR="00B11593" w:rsidRPr="00B11593" w:rsidRDefault="00B11593" w:rsidP="00B11593">
      <w:pPr>
        <w:jc w:val="center"/>
        <w:rPr>
          <w:rFonts w:ascii="Times New Roman" w:hAnsi="Times New Roman" w:cs="Times New Roman"/>
          <w:b/>
          <w:color w:val="000000"/>
          <w:sz w:val="28"/>
          <w:szCs w:val="28"/>
        </w:rPr>
      </w:pPr>
      <w:r w:rsidRPr="00B11593">
        <w:rPr>
          <w:rFonts w:ascii="Times New Roman" w:hAnsi="Times New Roman" w:cs="Times New Roman"/>
          <w:b/>
          <w:color w:val="000000"/>
          <w:sz w:val="28"/>
          <w:szCs w:val="28"/>
        </w:rPr>
        <w:t>SEC-J</w:t>
      </w:r>
    </w:p>
    <w:p w14:paraId="471BB8C8" w14:textId="77777777" w:rsidR="00B11593" w:rsidRPr="00B11593" w:rsidRDefault="00B11593" w:rsidP="00B11593">
      <w:pPr>
        <w:jc w:val="center"/>
        <w:rPr>
          <w:rFonts w:ascii="Times New Roman" w:hAnsi="Times New Roman" w:cs="Times New Roman"/>
          <w:b/>
          <w:color w:val="000000"/>
        </w:rPr>
      </w:pPr>
    </w:p>
    <w:p w14:paraId="0D8CBAE8" w14:textId="77777777" w:rsidR="00B11593" w:rsidRPr="00B11593" w:rsidRDefault="00B11593" w:rsidP="00B11593">
      <w:pPr>
        <w:jc w:val="center"/>
        <w:rPr>
          <w:rFonts w:ascii="Times New Roman" w:hAnsi="Times New Roman" w:cs="Times New Roman"/>
          <w:b/>
          <w:color w:val="000000"/>
        </w:rPr>
      </w:pPr>
      <w:r w:rsidRPr="00B11593">
        <w:rPr>
          <w:rFonts w:ascii="Times New Roman" w:hAnsi="Times New Roman" w:cs="Times New Roman"/>
          <w:b/>
          <w:color w:val="000000"/>
        </w:rPr>
        <w:t>Roll No.-</w:t>
      </w:r>
      <w:r w:rsidRPr="00B11593">
        <w:rPr>
          <w:rFonts w:ascii="Times New Roman" w:hAnsi="Times New Roman" w:cs="Times New Roman"/>
          <w:b/>
          <w:color w:val="000000"/>
          <w:u w:val="single"/>
        </w:rPr>
        <w:t>2501921570082</w:t>
      </w:r>
    </w:p>
    <w:p w14:paraId="6AEB1F7C" w14:textId="77777777" w:rsidR="00B11593" w:rsidRPr="00B11593" w:rsidRDefault="00B11593" w:rsidP="00B11593">
      <w:pPr>
        <w:jc w:val="center"/>
        <w:rPr>
          <w:rFonts w:ascii="Times New Roman" w:hAnsi="Times New Roman" w:cs="Times New Roman"/>
          <w:b/>
          <w:color w:val="000000"/>
        </w:rPr>
      </w:pPr>
    </w:p>
    <w:p w14:paraId="5923C3A5" w14:textId="77777777" w:rsidR="00B11593" w:rsidRPr="00B11593" w:rsidRDefault="00B11593" w:rsidP="00B11593">
      <w:pPr>
        <w:jc w:val="center"/>
        <w:rPr>
          <w:rFonts w:ascii="Times New Roman" w:hAnsi="Times New Roman" w:cs="Times New Roman"/>
          <w:b/>
          <w:color w:val="000000"/>
        </w:rPr>
      </w:pPr>
      <w:r w:rsidRPr="00B11593">
        <w:rPr>
          <w:rFonts w:ascii="Times New Roman" w:hAnsi="Times New Roman" w:cs="Times New Roman"/>
          <w:b/>
          <w:color w:val="000000"/>
        </w:rPr>
        <w:t>Session 2025-26</w:t>
      </w:r>
    </w:p>
    <w:p w14:paraId="4C15647C" w14:textId="77777777" w:rsidR="00B11593" w:rsidRPr="00B11593" w:rsidRDefault="00B11593" w:rsidP="00B11593">
      <w:pPr>
        <w:jc w:val="center"/>
        <w:rPr>
          <w:rFonts w:ascii="Times New Roman" w:hAnsi="Times New Roman" w:cs="Times New Roman"/>
          <w:b/>
          <w:color w:val="000000"/>
        </w:rPr>
      </w:pPr>
    </w:p>
    <w:p w14:paraId="6BBCD730" w14:textId="77777777" w:rsidR="00B11593" w:rsidRPr="00B11593" w:rsidRDefault="00B11593" w:rsidP="00B11593">
      <w:pPr>
        <w:jc w:val="center"/>
        <w:rPr>
          <w:rFonts w:ascii="Times New Roman" w:hAnsi="Times New Roman" w:cs="Times New Roman"/>
          <w:b/>
          <w:color w:val="000000"/>
        </w:rPr>
      </w:pPr>
      <w:r w:rsidRPr="00B11593">
        <w:rPr>
          <w:rFonts w:ascii="Times New Roman" w:hAnsi="Times New Roman" w:cs="Times New Roman"/>
          <w:b/>
          <w:color w:val="000000"/>
        </w:rPr>
        <w:t>Under the Supervision of</w:t>
      </w:r>
    </w:p>
    <w:p w14:paraId="46984D17" w14:textId="77777777" w:rsidR="00B11593" w:rsidRPr="00B11593" w:rsidRDefault="00B11593" w:rsidP="00B11593">
      <w:pPr>
        <w:jc w:val="center"/>
        <w:rPr>
          <w:rFonts w:ascii="Times New Roman" w:hAnsi="Times New Roman" w:cs="Times New Roman"/>
          <w:b/>
          <w:color w:val="000000"/>
        </w:rPr>
      </w:pPr>
    </w:p>
    <w:p w14:paraId="5BD2408C" w14:textId="23AC076F" w:rsidR="00B11593" w:rsidRPr="00B11593" w:rsidRDefault="00B11593" w:rsidP="00B11593">
      <w:pPr>
        <w:spacing w:before="240" w:after="120"/>
        <w:rPr>
          <w:b/>
          <w:bCs/>
          <w:color w:val="000000"/>
          <w:sz w:val="40"/>
          <w:szCs w:val="40"/>
        </w:rPr>
      </w:pPr>
      <w:r w:rsidRPr="00B11593">
        <w:rPr>
          <w:rFonts w:ascii="Times New Roman" w:hAnsi="Times New Roman" w:cs="Times New Roman"/>
          <w:b/>
          <w:color w:val="000000"/>
          <w:sz w:val="28"/>
          <w:szCs w:val="28"/>
        </w:rPr>
        <w:t xml:space="preserve">                                                         Ms. Rekha </w:t>
      </w:r>
    </w:p>
    <w:p w14:paraId="46DCE7F4" w14:textId="28766590" w:rsidR="0010352F" w:rsidRPr="0010352F" w:rsidRDefault="00B11593" w:rsidP="0019524B">
      <w:pPr>
        <w:jc w:val="center"/>
        <w:rPr>
          <w:rFonts w:ascii="Times New Roman" w:hAnsi="Times New Roman" w:cs="Times New Roman"/>
          <w:b/>
          <w:bCs/>
          <w:color w:val="000000"/>
        </w:rPr>
      </w:pPr>
      <w:r w:rsidRPr="00B11593">
        <w:rPr>
          <w:b/>
          <w:bCs/>
          <w:color w:val="000000"/>
          <w:sz w:val="40"/>
          <w:szCs w:val="40"/>
        </w:rPr>
        <w:br w:type="page"/>
      </w:r>
    </w:p>
    <w:p w14:paraId="18FA8EA0" w14:textId="77777777" w:rsidR="00B11593" w:rsidRDefault="00B11593" w:rsidP="0010352F">
      <w:pPr>
        <w:rPr>
          <w:rFonts w:ascii="Times New Roman" w:hAnsi="Times New Roman" w:cs="Times New Roman"/>
          <w:b/>
          <w:bCs/>
          <w:color w:val="000000"/>
          <w:sz w:val="28"/>
          <w:szCs w:val="28"/>
        </w:rPr>
      </w:pPr>
    </w:p>
    <w:p w14:paraId="5AFCCBFE" w14:textId="77777777" w:rsidR="00B11593" w:rsidRDefault="00B11593" w:rsidP="003A5F0A">
      <w:pPr>
        <w:jc w:val="center"/>
        <w:rPr>
          <w:rFonts w:ascii="Times New Roman" w:hAnsi="Times New Roman" w:cs="Times New Roman"/>
          <w:b/>
          <w:bCs/>
          <w:color w:val="000000"/>
          <w:sz w:val="28"/>
          <w:szCs w:val="28"/>
        </w:rPr>
      </w:pPr>
    </w:p>
    <w:p w14:paraId="77C1409F" w14:textId="7EF3687F" w:rsidR="003A5F0A" w:rsidRDefault="003A5F0A" w:rsidP="003A5F0A">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INDEX</w:t>
      </w:r>
    </w:p>
    <w:p w14:paraId="141C3E66" w14:textId="77777777" w:rsidR="00B11593" w:rsidRDefault="00B11593" w:rsidP="003A5F0A">
      <w:pPr>
        <w:jc w:val="center"/>
        <w:rPr>
          <w:rFonts w:ascii="Times New Roman" w:hAnsi="Times New Roman" w:cs="Times New Roman"/>
          <w:b/>
          <w:bCs/>
          <w:color w:val="000000"/>
          <w:sz w:val="28"/>
          <w:szCs w:val="28"/>
        </w:rPr>
      </w:pPr>
    </w:p>
    <w:p w14:paraId="626F7602" w14:textId="77777777" w:rsidR="003A5F0A" w:rsidRDefault="003A5F0A">
      <w:pPr>
        <w:rPr>
          <w:rFonts w:ascii="Times New Roman" w:hAnsi="Times New Roman" w:cs="Times New Roman"/>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3"/>
        <w:gridCol w:w="5387"/>
        <w:gridCol w:w="1275"/>
        <w:gridCol w:w="1519"/>
      </w:tblGrid>
      <w:tr w:rsidR="00A72CD3" w:rsidRPr="00F07C4F" w14:paraId="372CF815" w14:textId="77777777" w:rsidTr="009B04EE">
        <w:trPr>
          <w:trHeight w:val="1163"/>
          <w:jc w:val="center"/>
        </w:trPr>
        <w:tc>
          <w:tcPr>
            <w:tcW w:w="1373" w:type="dxa"/>
          </w:tcPr>
          <w:p w14:paraId="3DA3873F" w14:textId="77777777" w:rsidR="003A5F0A" w:rsidRPr="00F07C4F" w:rsidRDefault="00000000">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Index</w:t>
            </w:r>
            <w:r w:rsidR="003A5F0A" w:rsidRPr="00F07C4F">
              <w:rPr>
                <w:rFonts w:ascii="Times New Roman" w:hAnsi="Times New Roman" w:cs="Times New Roman"/>
                <w:b/>
                <w:bCs/>
                <w:color w:val="000000"/>
                <w:sz w:val="28"/>
                <w:szCs w:val="28"/>
              </w:rPr>
              <w:t xml:space="preserve"> </w:t>
            </w:r>
          </w:p>
          <w:p w14:paraId="782B4944" w14:textId="29C9CBFE" w:rsidR="00A72CD3" w:rsidRPr="00F07C4F" w:rsidRDefault="00000000">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S. No.</w:t>
            </w:r>
          </w:p>
        </w:tc>
        <w:tc>
          <w:tcPr>
            <w:tcW w:w="5387" w:type="dxa"/>
          </w:tcPr>
          <w:p w14:paraId="2FA6A9B2"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Content</w:t>
            </w:r>
          </w:p>
        </w:tc>
        <w:tc>
          <w:tcPr>
            <w:tcW w:w="1275" w:type="dxa"/>
          </w:tcPr>
          <w:p w14:paraId="27C8CC09" w14:textId="77777777" w:rsidR="00A72CD3" w:rsidRPr="00F07C4F" w:rsidRDefault="00000000">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Page No.</w:t>
            </w:r>
          </w:p>
        </w:tc>
        <w:tc>
          <w:tcPr>
            <w:tcW w:w="1519" w:type="dxa"/>
          </w:tcPr>
          <w:p w14:paraId="5D483BDA" w14:textId="77777777" w:rsidR="00A72CD3" w:rsidRPr="00F07C4F" w:rsidRDefault="00000000">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Signature</w:t>
            </w:r>
          </w:p>
        </w:tc>
      </w:tr>
      <w:tr w:rsidR="00A72CD3" w:rsidRPr="00F07C4F" w14:paraId="61E09A48" w14:textId="77777777" w:rsidTr="00F07C4F">
        <w:trPr>
          <w:trHeight w:val="687"/>
          <w:jc w:val="center"/>
        </w:trPr>
        <w:tc>
          <w:tcPr>
            <w:tcW w:w="1373" w:type="dxa"/>
          </w:tcPr>
          <w:p w14:paraId="533607F5" w14:textId="77777777" w:rsidR="00A72CD3" w:rsidRPr="00F07C4F" w:rsidRDefault="00000000">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w:t>
            </w:r>
          </w:p>
        </w:tc>
        <w:tc>
          <w:tcPr>
            <w:tcW w:w="5387" w:type="dxa"/>
          </w:tcPr>
          <w:p w14:paraId="5ADC2309"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Cover Page</w:t>
            </w:r>
          </w:p>
        </w:tc>
        <w:tc>
          <w:tcPr>
            <w:tcW w:w="1275" w:type="dxa"/>
          </w:tcPr>
          <w:p w14:paraId="156328CA" w14:textId="77777777" w:rsidR="00A72CD3" w:rsidRPr="00F07C4F" w:rsidRDefault="00000000">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w:t>
            </w:r>
          </w:p>
          <w:p w14:paraId="4A38F2BA" w14:textId="77777777" w:rsidR="00B25476" w:rsidRPr="00F07C4F" w:rsidRDefault="00B25476">
            <w:pPr>
              <w:widowControl w:val="0"/>
              <w:jc w:val="center"/>
              <w:rPr>
                <w:rFonts w:ascii="Times New Roman" w:hAnsi="Times New Roman" w:cs="Times New Roman"/>
                <w:b/>
                <w:bCs/>
                <w:color w:val="000000"/>
                <w:sz w:val="28"/>
                <w:szCs w:val="28"/>
              </w:rPr>
            </w:pPr>
          </w:p>
        </w:tc>
        <w:tc>
          <w:tcPr>
            <w:tcW w:w="1519" w:type="dxa"/>
          </w:tcPr>
          <w:p w14:paraId="05C496FA"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7B5C71A1" w14:textId="77777777" w:rsidTr="00F07C4F">
        <w:trPr>
          <w:trHeight w:val="737"/>
          <w:jc w:val="center"/>
        </w:trPr>
        <w:tc>
          <w:tcPr>
            <w:tcW w:w="1373" w:type="dxa"/>
          </w:tcPr>
          <w:p w14:paraId="13703AFB" w14:textId="5F2D69E9"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2</w:t>
            </w:r>
          </w:p>
        </w:tc>
        <w:tc>
          <w:tcPr>
            <w:tcW w:w="5387" w:type="dxa"/>
          </w:tcPr>
          <w:p w14:paraId="53935934"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Index</w:t>
            </w:r>
          </w:p>
        </w:tc>
        <w:tc>
          <w:tcPr>
            <w:tcW w:w="1275" w:type="dxa"/>
          </w:tcPr>
          <w:p w14:paraId="56D20561" w14:textId="5AE274F9" w:rsidR="00A72CD3" w:rsidRPr="00F07C4F" w:rsidRDefault="00B25476">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2</w:t>
            </w:r>
          </w:p>
        </w:tc>
        <w:tc>
          <w:tcPr>
            <w:tcW w:w="1519" w:type="dxa"/>
          </w:tcPr>
          <w:p w14:paraId="52254888"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31E2E8C6" w14:textId="77777777" w:rsidTr="00F07C4F">
        <w:trPr>
          <w:trHeight w:val="687"/>
          <w:jc w:val="center"/>
        </w:trPr>
        <w:tc>
          <w:tcPr>
            <w:tcW w:w="1373" w:type="dxa"/>
          </w:tcPr>
          <w:p w14:paraId="248020BB" w14:textId="6C44F16C"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3</w:t>
            </w:r>
          </w:p>
        </w:tc>
        <w:tc>
          <w:tcPr>
            <w:tcW w:w="5387" w:type="dxa"/>
          </w:tcPr>
          <w:p w14:paraId="6274677E"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Abstract</w:t>
            </w:r>
          </w:p>
        </w:tc>
        <w:tc>
          <w:tcPr>
            <w:tcW w:w="1275" w:type="dxa"/>
          </w:tcPr>
          <w:p w14:paraId="26B34A81" w14:textId="7696F79F" w:rsidR="00A72CD3" w:rsidRPr="00F07C4F" w:rsidRDefault="00B25476">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3-5</w:t>
            </w:r>
          </w:p>
        </w:tc>
        <w:tc>
          <w:tcPr>
            <w:tcW w:w="1519" w:type="dxa"/>
          </w:tcPr>
          <w:p w14:paraId="473E08C3"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35615974" w14:textId="77777777" w:rsidTr="00F07C4F">
        <w:trPr>
          <w:trHeight w:val="687"/>
          <w:jc w:val="center"/>
        </w:trPr>
        <w:tc>
          <w:tcPr>
            <w:tcW w:w="1373" w:type="dxa"/>
          </w:tcPr>
          <w:p w14:paraId="6908B5CA" w14:textId="2BEEBE03"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4</w:t>
            </w:r>
          </w:p>
        </w:tc>
        <w:tc>
          <w:tcPr>
            <w:tcW w:w="5387" w:type="dxa"/>
          </w:tcPr>
          <w:p w14:paraId="0E32F9A0"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Introduction</w:t>
            </w:r>
          </w:p>
        </w:tc>
        <w:tc>
          <w:tcPr>
            <w:tcW w:w="1275" w:type="dxa"/>
          </w:tcPr>
          <w:p w14:paraId="549F3089" w14:textId="1E31EEE0" w:rsidR="00A72CD3" w:rsidRPr="00F07C4F" w:rsidRDefault="00B25476">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6-8</w:t>
            </w:r>
          </w:p>
        </w:tc>
        <w:tc>
          <w:tcPr>
            <w:tcW w:w="1519" w:type="dxa"/>
          </w:tcPr>
          <w:p w14:paraId="7A15E78F"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4A3CD8E3" w14:textId="77777777" w:rsidTr="00F07C4F">
        <w:trPr>
          <w:trHeight w:val="737"/>
          <w:jc w:val="center"/>
        </w:trPr>
        <w:tc>
          <w:tcPr>
            <w:tcW w:w="1373" w:type="dxa"/>
          </w:tcPr>
          <w:p w14:paraId="72B17E65" w14:textId="00FC43A6"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5</w:t>
            </w:r>
          </w:p>
        </w:tc>
        <w:tc>
          <w:tcPr>
            <w:tcW w:w="5387" w:type="dxa"/>
          </w:tcPr>
          <w:p w14:paraId="1E4ADEEE"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Research Objective</w:t>
            </w:r>
          </w:p>
        </w:tc>
        <w:tc>
          <w:tcPr>
            <w:tcW w:w="1275" w:type="dxa"/>
          </w:tcPr>
          <w:p w14:paraId="39571C37" w14:textId="29615980" w:rsidR="00A72CD3" w:rsidRPr="00F07C4F" w:rsidRDefault="00F07C4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9</w:t>
            </w:r>
          </w:p>
        </w:tc>
        <w:tc>
          <w:tcPr>
            <w:tcW w:w="1519" w:type="dxa"/>
          </w:tcPr>
          <w:p w14:paraId="5DE235F5"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50216B2E" w14:textId="77777777" w:rsidTr="00F07C4F">
        <w:trPr>
          <w:trHeight w:val="687"/>
          <w:jc w:val="center"/>
        </w:trPr>
        <w:tc>
          <w:tcPr>
            <w:tcW w:w="1373" w:type="dxa"/>
          </w:tcPr>
          <w:p w14:paraId="1B5950FD" w14:textId="68BBE083"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6</w:t>
            </w:r>
          </w:p>
        </w:tc>
        <w:tc>
          <w:tcPr>
            <w:tcW w:w="5387" w:type="dxa"/>
          </w:tcPr>
          <w:p w14:paraId="4C84A931"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Research Questions</w:t>
            </w:r>
          </w:p>
        </w:tc>
        <w:tc>
          <w:tcPr>
            <w:tcW w:w="1275" w:type="dxa"/>
          </w:tcPr>
          <w:p w14:paraId="185B87E2" w14:textId="7564DA13" w:rsidR="00A72CD3" w:rsidRPr="00F07C4F" w:rsidRDefault="00F07C4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10</w:t>
            </w:r>
          </w:p>
        </w:tc>
        <w:tc>
          <w:tcPr>
            <w:tcW w:w="1519" w:type="dxa"/>
          </w:tcPr>
          <w:p w14:paraId="0A789CBB"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6FE01301" w14:textId="77777777" w:rsidTr="00F07C4F">
        <w:trPr>
          <w:trHeight w:val="737"/>
          <w:jc w:val="center"/>
        </w:trPr>
        <w:tc>
          <w:tcPr>
            <w:tcW w:w="1373" w:type="dxa"/>
          </w:tcPr>
          <w:p w14:paraId="2D1994DC" w14:textId="0AA0FE0D"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7</w:t>
            </w:r>
          </w:p>
        </w:tc>
        <w:tc>
          <w:tcPr>
            <w:tcW w:w="5387" w:type="dxa"/>
          </w:tcPr>
          <w:p w14:paraId="49708AE5"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Theoretical Framework</w:t>
            </w:r>
          </w:p>
        </w:tc>
        <w:tc>
          <w:tcPr>
            <w:tcW w:w="1275" w:type="dxa"/>
          </w:tcPr>
          <w:p w14:paraId="7D8D5E43" w14:textId="72F4E5B0" w:rsidR="00A72CD3" w:rsidRPr="00F07C4F" w:rsidRDefault="00F07C4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11-13</w:t>
            </w:r>
          </w:p>
        </w:tc>
        <w:tc>
          <w:tcPr>
            <w:tcW w:w="1519" w:type="dxa"/>
          </w:tcPr>
          <w:p w14:paraId="33661FD6"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076D6C15" w14:textId="77777777" w:rsidTr="00F07C4F">
        <w:trPr>
          <w:trHeight w:val="687"/>
          <w:jc w:val="center"/>
        </w:trPr>
        <w:tc>
          <w:tcPr>
            <w:tcW w:w="1373" w:type="dxa"/>
          </w:tcPr>
          <w:p w14:paraId="02460B66" w14:textId="5D3EEC59"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8</w:t>
            </w:r>
          </w:p>
        </w:tc>
        <w:tc>
          <w:tcPr>
            <w:tcW w:w="5387" w:type="dxa"/>
          </w:tcPr>
          <w:p w14:paraId="542FE93F"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Hypothesis</w:t>
            </w:r>
          </w:p>
        </w:tc>
        <w:tc>
          <w:tcPr>
            <w:tcW w:w="1275" w:type="dxa"/>
          </w:tcPr>
          <w:p w14:paraId="4D1401A3" w14:textId="259A67F2" w:rsidR="00A72CD3" w:rsidRPr="00F07C4F" w:rsidRDefault="00F07C4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14-17</w:t>
            </w:r>
          </w:p>
        </w:tc>
        <w:tc>
          <w:tcPr>
            <w:tcW w:w="1519" w:type="dxa"/>
          </w:tcPr>
          <w:p w14:paraId="138F9C57"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28121DB5" w14:textId="77777777" w:rsidTr="00F07C4F">
        <w:trPr>
          <w:trHeight w:val="687"/>
          <w:jc w:val="center"/>
        </w:trPr>
        <w:tc>
          <w:tcPr>
            <w:tcW w:w="1373" w:type="dxa"/>
          </w:tcPr>
          <w:p w14:paraId="0BD81722" w14:textId="51FDF1F1"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9</w:t>
            </w:r>
          </w:p>
        </w:tc>
        <w:tc>
          <w:tcPr>
            <w:tcW w:w="5387" w:type="dxa"/>
          </w:tcPr>
          <w:p w14:paraId="7BFC1AFC"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Exploratory Data Analysis (EDA)</w:t>
            </w:r>
          </w:p>
        </w:tc>
        <w:tc>
          <w:tcPr>
            <w:tcW w:w="1275" w:type="dxa"/>
          </w:tcPr>
          <w:p w14:paraId="11A43920" w14:textId="18100751" w:rsidR="00A72CD3" w:rsidRPr="00F07C4F" w:rsidRDefault="00F07C4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18</w:t>
            </w:r>
            <w:r>
              <w:rPr>
                <w:rFonts w:ascii="Times New Roman" w:hAnsi="Times New Roman" w:cs="Times New Roman"/>
                <w:b/>
                <w:bCs/>
                <w:color w:val="000000"/>
                <w:sz w:val="28"/>
                <w:szCs w:val="28"/>
              </w:rPr>
              <w:t>-25</w:t>
            </w:r>
          </w:p>
        </w:tc>
        <w:tc>
          <w:tcPr>
            <w:tcW w:w="1519" w:type="dxa"/>
          </w:tcPr>
          <w:p w14:paraId="6430329A"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4AC03BB2" w14:textId="77777777" w:rsidTr="00F07C4F">
        <w:trPr>
          <w:trHeight w:val="737"/>
          <w:jc w:val="center"/>
        </w:trPr>
        <w:tc>
          <w:tcPr>
            <w:tcW w:w="1373" w:type="dxa"/>
          </w:tcPr>
          <w:p w14:paraId="5A0A6179" w14:textId="69915100"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10</w:t>
            </w:r>
          </w:p>
        </w:tc>
        <w:tc>
          <w:tcPr>
            <w:tcW w:w="5387" w:type="dxa"/>
          </w:tcPr>
          <w:p w14:paraId="5B4A4C0D"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Conclusions</w:t>
            </w:r>
          </w:p>
        </w:tc>
        <w:tc>
          <w:tcPr>
            <w:tcW w:w="1275" w:type="dxa"/>
          </w:tcPr>
          <w:p w14:paraId="4C547A8B" w14:textId="437725CE" w:rsidR="00A72CD3" w:rsidRPr="00F07C4F" w:rsidRDefault="00F07C4F">
            <w:pPr>
              <w:widowControl w:val="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26-27</w:t>
            </w:r>
          </w:p>
        </w:tc>
        <w:tc>
          <w:tcPr>
            <w:tcW w:w="1519" w:type="dxa"/>
          </w:tcPr>
          <w:p w14:paraId="5FEE0EF2" w14:textId="77777777" w:rsidR="00A72CD3" w:rsidRPr="00F07C4F" w:rsidRDefault="00A72CD3">
            <w:pPr>
              <w:widowControl w:val="0"/>
              <w:rPr>
                <w:rFonts w:ascii="Times New Roman" w:hAnsi="Times New Roman" w:cs="Times New Roman"/>
                <w:b/>
                <w:bCs/>
                <w:color w:val="000000"/>
                <w:sz w:val="28"/>
                <w:szCs w:val="28"/>
              </w:rPr>
            </w:pPr>
          </w:p>
        </w:tc>
      </w:tr>
      <w:tr w:rsidR="00A72CD3" w:rsidRPr="00F07C4F" w14:paraId="5FD90E81" w14:textId="77777777" w:rsidTr="00F07C4F">
        <w:trPr>
          <w:trHeight w:val="639"/>
          <w:jc w:val="center"/>
        </w:trPr>
        <w:tc>
          <w:tcPr>
            <w:tcW w:w="1373" w:type="dxa"/>
          </w:tcPr>
          <w:p w14:paraId="4BBEF714" w14:textId="74889A08" w:rsidR="00A72CD3"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11</w:t>
            </w:r>
          </w:p>
        </w:tc>
        <w:tc>
          <w:tcPr>
            <w:tcW w:w="5387" w:type="dxa"/>
          </w:tcPr>
          <w:p w14:paraId="781984D1" w14:textId="77777777" w:rsidR="00A72CD3" w:rsidRPr="00F07C4F" w:rsidRDefault="00000000"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Overall Conclusion</w:t>
            </w:r>
          </w:p>
        </w:tc>
        <w:tc>
          <w:tcPr>
            <w:tcW w:w="1275" w:type="dxa"/>
          </w:tcPr>
          <w:p w14:paraId="06093BDE" w14:textId="224EFB64" w:rsidR="00A72CD3" w:rsidRPr="00F07C4F" w:rsidRDefault="00F07C4F">
            <w:pPr>
              <w:widowControl w:val="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28-31</w:t>
            </w:r>
          </w:p>
        </w:tc>
        <w:tc>
          <w:tcPr>
            <w:tcW w:w="1519" w:type="dxa"/>
          </w:tcPr>
          <w:p w14:paraId="2B4A6387" w14:textId="77777777" w:rsidR="00A72CD3" w:rsidRPr="00F07C4F" w:rsidRDefault="00A72CD3">
            <w:pPr>
              <w:widowControl w:val="0"/>
              <w:rPr>
                <w:rFonts w:ascii="Times New Roman" w:hAnsi="Times New Roman" w:cs="Times New Roman"/>
                <w:b/>
                <w:bCs/>
                <w:color w:val="000000"/>
                <w:sz w:val="28"/>
                <w:szCs w:val="28"/>
              </w:rPr>
            </w:pPr>
          </w:p>
        </w:tc>
      </w:tr>
      <w:tr w:rsidR="008D5DCF" w:rsidRPr="00F07C4F" w14:paraId="17EA8201" w14:textId="77777777" w:rsidTr="00F07C4F">
        <w:trPr>
          <w:trHeight w:val="639"/>
          <w:jc w:val="center"/>
        </w:trPr>
        <w:tc>
          <w:tcPr>
            <w:tcW w:w="1373" w:type="dxa"/>
          </w:tcPr>
          <w:p w14:paraId="74C00531" w14:textId="459CA483" w:rsidR="008D5DCF" w:rsidRPr="00F07C4F" w:rsidRDefault="0019524B">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12</w:t>
            </w:r>
          </w:p>
        </w:tc>
        <w:tc>
          <w:tcPr>
            <w:tcW w:w="5387" w:type="dxa"/>
          </w:tcPr>
          <w:p w14:paraId="05941DB1" w14:textId="7B096086" w:rsidR="008D5DCF" w:rsidRPr="00F07C4F" w:rsidRDefault="008D5DCF" w:rsidP="008D5DCF">
            <w:pPr>
              <w:widowControl w:val="0"/>
              <w:jc w:val="center"/>
              <w:rPr>
                <w:rFonts w:ascii="Times New Roman" w:hAnsi="Times New Roman" w:cs="Times New Roman"/>
                <w:b/>
                <w:bCs/>
                <w:color w:val="000000"/>
                <w:sz w:val="28"/>
                <w:szCs w:val="28"/>
              </w:rPr>
            </w:pPr>
            <w:r w:rsidRPr="00F07C4F">
              <w:rPr>
                <w:rFonts w:ascii="Times New Roman" w:hAnsi="Times New Roman" w:cs="Times New Roman"/>
                <w:b/>
                <w:bCs/>
                <w:color w:val="000000"/>
                <w:sz w:val="28"/>
                <w:szCs w:val="28"/>
              </w:rPr>
              <w:t>References</w:t>
            </w:r>
          </w:p>
        </w:tc>
        <w:tc>
          <w:tcPr>
            <w:tcW w:w="1275" w:type="dxa"/>
          </w:tcPr>
          <w:p w14:paraId="1E43D091" w14:textId="5AA6C6C5" w:rsidR="008D5DCF" w:rsidRPr="00F07C4F" w:rsidRDefault="00F07C4F">
            <w:pPr>
              <w:widowControl w:val="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32</w:t>
            </w:r>
          </w:p>
        </w:tc>
        <w:tc>
          <w:tcPr>
            <w:tcW w:w="1519" w:type="dxa"/>
          </w:tcPr>
          <w:p w14:paraId="2AA5062C" w14:textId="77777777" w:rsidR="008D5DCF" w:rsidRPr="00F07C4F" w:rsidRDefault="008D5DCF">
            <w:pPr>
              <w:widowControl w:val="0"/>
              <w:rPr>
                <w:rFonts w:ascii="Times New Roman" w:hAnsi="Times New Roman" w:cs="Times New Roman"/>
                <w:b/>
                <w:bCs/>
                <w:color w:val="000000"/>
                <w:sz w:val="28"/>
                <w:szCs w:val="28"/>
              </w:rPr>
            </w:pPr>
          </w:p>
        </w:tc>
      </w:tr>
    </w:tbl>
    <w:p w14:paraId="250E4A40" w14:textId="77777777" w:rsidR="00A72CD3" w:rsidRDefault="00A72CD3">
      <w:pPr>
        <w:rPr>
          <w:rFonts w:ascii="Times New Roman" w:hAnsi="Times New Roman" w:cs="Times New Roman"/>
          <w:color w:val="000000"/>
        </w:rPr>
      </w:pPr>
    </w:p>
    <w:p w14:paraId="5A85E45C" w14:textId="77777777" w:rsidR="003A5F0A" w:rsidRDefault="003A5F0A" w:rsidP="00FB1EF4">
      <w:pPr>
        <w:spacing w:before="80" w:after="120" w:line="360" w:lineRule="auto"/>
        <w:jc w:val="both"/>
        <w:rPr>
          <w:rFonts w:ascii="Times New Roman" w:hAnsi="Times New Roman" w:cs="Times New Roman"/>
          <w:color w:val="000000"/>
        </w:rPr>
      </w:pPr>
    </w:p>
    <w:p w14:paraId="739A7248" w14:textId="77777777" w:rsidR="003A5F0A" w:rsidRDefault="003A5F0A" w:rsidP="00FB1EF4">
      <w:pPr>
        <w:spacing w:before="80" w:after="120" w:line="360" w:lineRule="auto"/>
        <w:jc w:val="both"/>
        <w:rPr>
          <w:rFonts w:ascii="Times New Roman" w:hAnsi="Times New Roman" w:cs="Times New Roman"/>
          <w:color w:val="000000"/>
        </w:rPr>
      </w:pPr>
    </w:p>
    <w:p w14:paraId="6F84F46B" w14:textId="77777777" w:rsidR="0019524B" w:rsidRDefault="0019524B" w:rsidP="00F07C4F">
      <w:pPr>
        <w:spacing w:before="80" w:after="120" w:line="360" w:lineRule="auto"/>
        <w:rPr>
          <w:rFonts w:ascii="Times New Roman" w:hAnsi="Times New Roman" w:cs="Times New Roman"/>
          <w:b/>
          <w:bCs/>
          <w:color w:val="000000"/>
          <w:sz w:val="28"/>
          <w:szCs w:val="28"/>
        </w:rPr>
      </w:pPr>
    </w:p>
    <w:p w14:paraId="5B763C92" w14:textId="77777777" w:rsidR="00D137AF" w:rsidRPr="009B04EE" w:rsidRDefault="00D137AF" w:rsidP="00F07C4F">
      <w:pPr>
        <w:pStyle w:val="NormalWeb"/>
        <w:spacing w:line="276" w:lineRule="auto"/>
        <w:jc w:val="center"/>
        <w:rPr>
          <w:sz w:val="28"/>
          <w:szCs w:val="28"/>
        </w:rPr>
      </w:pPr>
      <w:r w:rsidRPr="009B04EE">
        <w:rPr>
          <w:rStyle w:val="Strong"/>
          <w:sz w:val="28"/>
          <w:szCs w:val="28"/>
        </w:rPr>
        <w:t>Abstract</w:t>
      </w:r>
    </w:p>
    <w:p w14:paraId="61FE8D18" w14:textId="77777777" w:rsidR="00D137AF" w:rsidRPr="009B04EE" w:rsidRDefault="00D137AF" w:rsidP="00DF5FE2">
      <w:pPr>
        <w:pStyle w:val="NormalWeb"/>
        <w:spacing w:line="276" w:lineRule="auto"/>
        <w:jc w:val="both"/>
      </w:pPr>
      <w:r w:rsidRPr="009B04EE">
        <w:t>Customer churn — the voluntary departure of subscribers from a service provider — represents one of the most consequential and persistently challenging problems in the telecommunications industry. In a sector characterised by market saturation, intense competition, and high customer acquisition costs, the ability to anticipate and prevent customer departure before it occurs has become a strategic capability of the first order. This project addresses that challenge through the construction, evaluation, and interpretation of a predictive churn analytics system applied to the IBM Watson Analytics Telco Customer Churn dataset, a widely recognised benchmark comprising 7,044 customer records across 20 predictor features and one binary target variable.</w:t>
      </w:r>
    </w:p>
    <w:p w14:paraId="7D77CCAC" w14:textId="77777777" w:rsidR="00D137AF" w:rsidRPr="009B04EE" w:rsidRDefault="00D137AF" w:rsidP="00DF5FE2">
      <w:pPr>
        <w:pStyle w:val="NormalWeb"/>
        <w:spacing w:line="276" w:lineRule="auto"/>
        <w:jc w:val="both"/>
      </w:pPr>
      <w:r w:rsidRPr="009B04EE">
        <w:t>The project is structured as a complete, end-to-end analytics lifecycle, spanning problem definition, theoretical framing, literature review, data understanding, preprocessing, exploratory analysis, feature engineering, machine learning modelling, performance evaluation, visualisation, and business communication. This structure mirrors the workflow of a real-world analytics engagement and is explicitly aligned with the curriculum units covered across Units I through V, demonstrating the integration of statistical, computational, and communicative competencies within a single coherent analytical framework.</w:t>
      </w:r>
    </w:p>
    <w:p w14:paraId="77F3E575" w14:textId="4E0197FF" w:rsidR="00D137AF" w:rsidRPr="009B04EE" w:rsidRDefault="00D137AF" w:rsidP="00DF5FE2">
      <w:pPr>
        <w:pStyle w:val="NormalWeb"/>
        <w:spacing w:line="276" w:lineRule="auto"/>
        <w:jc w:val="both"/>
      </w:pPr>
      <w:r w:rsidRPr="009B04EE">
        <w:t xml:space="preserve">The theoretical framework situates the churn prediction problem within three intersecting bodies of knowledge: the economics of customer retention, which establishes the financial stakes of the problem through the lens of customer lifetime value and the asymmetric costs of acquisition versus retention; the behavioural science of customer switching, which grounds the selection and interpretation of predictor features in the switching cost framework, the price sensitivity hypothesis, and the customer engagement literature; and the statistical learning theory underlying the machine learning methods deployed, including the bias-variance </w:t>
      </w:r>
      <w:r w:rsidR="00F07C4F" w:rsidRPr="009B04EE">
        <w:t>trade off</w:t>
      </w:r>
      <w:r w:rsidRPr="009B04EE">
        <w:t>, ensemble learning, class imbalance handling, and the theoretical justification for evaluation metrics beyond accuracy.</w:t>
      </w:r>
    </w:p>
    <w:p w14:paraId="62B6A6D3" w14:textId="77777777" w:rsidR="00D137AF" w:rsidRPr="009B04EE" w:rsidRDefault="00D137AF" w:rsidP="00DF5FE2">
      <w:pPr>
        <w:pStyle w:val="NormalWeb"/>
        <w:spacing w:line="276" w:lineRule="auto"/>
        <w:jc w:val="both"/>
      </w:pPr>
      <w:r w:rsidRPr="009B04EE">
        <w:t>The literature review surveys three decades of academic and applied research on churn prediction, tracing the evolution of the field from early logistic regression and survival analysis approaches through the machine learning turn marked by the introduction of Random Forest and Gradient Boosting, and into the contemporary literature on model interpretability and business deployment. Key empirical findings from the literature — including the consistent dominance of contract type, tenure, and monthly charges as churn predictors, the superiority of ensemble methods over linear classifiers on tabular churn datasets, and the necessity of addressing class imbalance through rebalancing and appropriate evaluation metrics — are used to motivate the methodological choices made throughout the project.</w:t>
      </w:r>
    </w:p>
    <w:p w14:paraId="142AC718" w14:textId="77777777" w:rsidR="00D137AF" w:rsidRPr="009B04EE" w:rsidRDefault="00D137AF" w:rsidP="00DF5FE2">
      <w:pPr>
        <w:pStyle w:val="NormalWeb"/>
        <w:spacing w:line="276" w:lineRule="auto"/>
        <w:jc w:val="both"/>
      </w:pPr>
      <w:r w:rsidRPr="009B04EE">
        <w:lastRenderedPageBreak/>
        <w:t>The dataset analysis establishes that the IBM Watson benchmark is a high-quality, theoretically well-aligned dataset that satisfies the structural, quality, and representational requirements of the analytical task, while acknowledging its principal limitations: its cross-sectional structure, which precludes the use of longitudinal behavioural signals; its single-provider scope, which limits the generalisability of its findings; and the absence of competitive context, customer satisfaction, and network quality variables that the broader literature identifies as important churn antecedents.</w:t>
      </w:r>
    </w:p>
    <w:p w14:paraId="4824A069" w14:textId="77777777" w:rsidR="00D137AF" w:rsidRPr="009B04EE" w:rsidRDefault="00D137AF" w:rsidP="00DF5FE2">
      <w:pPr>
        <w:pStyle w:val="NormalWeb"/>
        <w:spacing w:line="276" w:lineRule="auto"/>
        <w:jc w:val="both"/>
      </w:pPr>
      <w:r w:rsidRPr="009B04EE">
        <w:t xml:space="preserve">Exploratory data analysis reveals several strong and theoretically interpretable patterns. Contract type emerges as the dominant predictor, with month-to-month customers churning at 42.7% compared to 2.8% for two-year contract holders. Tenure exhibits the predicted non-linear, declining hazard profile — churn risk is highest in the first twelve months and approaches a stable minimum beyond 48 months. Monthly charges are positively associated with churn, with churned customers paying a median of $79.65 per month compared to $61.27 for retained customers. Internet service type reveals a striking anomaly: Fiber optic subscribers churn at 41.9% despite — or perhaps because of — paying the highest monthly charges in the portfolio. Among add-on services, </w:t>
      </w:r>
      <w:proofErr w:type="spellStart"/>
      <w:r w:rsidRPr="009B04EE">
        <w:t>OnlineSecurity</w:t>
      </w:r>
      <w:proofErr w:type="spellEnd"/>
      <w:r w:rsidRPr="009B04EE">
        <w:t xml:space="preserve"> and </w:t>
      </w:r>
      <w:proofErr w:type="spellStart"/>
      <w:r w:rsidRPr="009B04EE">
        <w:t>TechSupport</w:t>
      </w:r>
      <w:proofErr w:type="spellEnd"/>
      <w:r w:rsidRPr="009B04EE">
        <w:t xml:space="preserve"> exhibit the largest churn differentials, with non-subscribers churning at rates more than twice those of subscribers. Payment method reveals a pronounced electronic check effect, with electronic check customers churning at 45.3% compared to 15 to 17% for customers on automatic payment arrangements.</w:t>
      </w:r>
    </w:p>
    <w:p w14:paraId="402ABAEE" w14:textId="77777777" w:rsidR="00D137AF" w:rsidRPr="009B04EE" w:rsidRDefault="00D137AF" w:rsidP="00DF5FE2">
      <w:pPr>
        <w:pStyle w:val="NormalWeb"/>
        <w:spacing w:line="276" w:lineRule="auto"/>
        <w:jc w:val="both"/>
      </w:pPr>
      <w:r w:rsidRPr="009B04EE">
        <w:t xml:space="preserve">Three machine learning models are trained, tuned, and evaluated under a stratified five-fold cross-validation framework with SMOTE-based class rebalancing applied within each training fold to prevent data leakage: Logistic Regression as the interpretable baseline, Random Forest as the primary ensemble method, and Gradient Boosted Trees as the sequential ensemble comparator. The Random Forest model, tuned via </w:t>
      </w:r>
      <w:proofErr w:type="spellStart"/>
      <w:r w:rsidRPr="009B04EE">
        <w:t>GridSearchCV</w:t>
      </w:r>
      <w:proofErr w:type="spellEnd"/>
      <w:r w:rsidRPr="009B04EE">
        <w:t xml:space="preserve"> with parameters of 200 estimators, maximum depth of 10, and minimum samples per split of 5, achieves the best overall performance with an AUC-ROC of 0.869, a recall of 0.79 on the churned class, and an F1-score of 0.72 — representing a meaningful and consistent improvement over the Logistic Regression baseline across all primary evaluation metrics. Gradient Boosted Trees produce comparable AUC-ROC performance but marginally lower recall, making Random Forest the preferred model </w:t>
      </w:r>
      <w:proofErr w:type="gramStart"/>
      <w:r w:rsidRPr="009B04EE">
        <w:t>on the basis of</w:t>
      </w:r>
      <w:proofErr w:type="gramEnd"/>
      <w:r w:rsidRPr="009B04EE">
        <w:t xml:space="preserve"> the balanced evaluation criteria established in the project design.</w:t>
      </w:r>
    </w:p>
    <w:p w14:paraId="42520DAF" w14:textId="77777777" w:rsidR="00D137AF" w:rsidRPr="009B04EE" w:rsidRDefault="00D137AF" w:rsidP="00DF5FE2">
      <w:pPr>
        <w:pStyle w:val="NormalWeb"/>
        <w:spacing w:line="276" w:lineRule="auto"/>
        <w:jc w:val="both"/>
      </w:pPr>
      <w:r w:rsidRPr="009B04EE">
        <w:t xml:space="preserve">Feature importance analysis using SHAP values confirms and extends the findings of the exploratory analysis. Contract type — specifically the month-to-month indicator — is the single most important feature in the Random Forest model, followed by tenure, monthly charges, internet service type, and the binary indicators for </w:t>
      </w:r>
      <w:proofErr w:type="spellStart"/>
      <w:r w:rsidRPr="009B04EE">
        <w:t>OnlineSecurity</w:t>
      </w:r>
      <w:proofErr w:type="spellEnd"/>
      <w:r w:rsidRPr="009B04EE">
        <w:t xml:space="preserve"> and </w:t>
      </w:r>
      <w:proofErr w:type="spellStart"/>
      <w:r w:rsidRPr="009B04EE">
        <w:t>TechSupport</w:t>
      </w:r>
      <w:proofErr w:type="spellEnd"/>
      <w:r w:rsidRPr="009B04EE">
        <w:t xml:space="preserve"> subscription. These findings are consistent across all three models and with the weight of the published literature, providing strong convergent validity for the analytical conclusions.</w:t>
      </w:r>
    </w:p>
    <w:p w14:paraId="60E3C884" w14:textId="77777777" w:rsidR="00D137AF" w:rsidRPr="009B04EE" w:rsidRDefault="00D137AF" w:rsidP="00DF5FE2">
      <w:pPr>
        <w:pStyle w:val="NormalWeb"/>
        <w:spacing w:line="276" w:lineRule="auto"/>
        <w:jc w:val="both"/>
      </w:pPr>
      <w:r w:rsidRPr="009B04EE">
        <w:t xml:space="preserve">The business recommendations developed from the analytical findings are organised around four strategic priorities. The first is contract migration — targeted incentive programmes designed to </w:t>
      </w:r>
      <w:r w:rsidRPr="009B04EE">
        <w:lastRenderedPageBreak/>
        <w:t xml:space="preserve">move high-risk month-to-month customers onto annual contracts, which the analysis demonstrates would reduce their churn probability by the largest margin achievable through a single intervention. The second is early tenure engagement — intensive onboarding, proactive service quality assurance, and relationship-building programmes directed at customers in their first twelve months, where churn risk is highest and retention investment yields the greatest return. The third is value-added service bundling — promotional strategies that encourage the adoption of </w:t>
      </w:r>
      <w:proofErr w:type="spellStart"/>
      <w:r w:rsidRPr="009B04EE">
        <w:t>OnlineSecurity</w:t>
      </w:r>
      <w:proofErr w:type="spellEnd"/>
      <w:r w:rsidRPr="009B04EE">
        <w:t xml:space="preserve"> and </w:t>
      </w:r>
      <w:proofErr w:type="spellStart"/>
      <w:r w:rsidRPr="009B04EE">
        <w:t>TechSupport</w:t>
      </w:r>
      <w:proofErr w:type="spellEnd"/>
      <w:r w:rsidRPr="009B04EE">
        <w:t xml:space="preserve"> add-ons among high-risk segments, leveraging the strong negative association between service embeddedness and churn propensity. The fourth is payment method migration — incentives and friction-reducing mechanisms designed to move electronic check customers onto automatic payment arrangements, generating passive retention inertia while simultaneously reducing billing administration costs.</w:t>
      </w:r>
    </w:p>
    <w:p w14:paraId="1D9056E8" w14:textId="77777777" w:rsidR="00D137AF" w:rsidRPr="009B04EE" w:rsidRDefault="00D137AF" w:rsidP="00DF5FE2">
      <w:pPr>
        <w:pStyle w:val="NormalWeb"/>
        <w:spacing w:line="276" w:lineRule="auto"/>
        <w:jc w:val="both"/>
      </w:pPr>
      <w:r w:rsidRPr="009B04EE">
        <w:t>The project concludes that predictive churn analytics, when grounded in a rigorous theoretical framework, implemented through a principled and reproducible analytical pipeline, and communicated through interpretable model outputs, constitutes a high-return capability investment for telecommunications providers operating in competitive markets. The Random Forest model developed in this project, achieving an AUC-ROC of 0.869 on the IBM Watson benchmark, is capable of identifying the majority of at-risk customers sufficiently in advance of churn to permit targeted intervention — and the SHAP-based feature importance framework provides the business intelligence necessary to ensure that those interventions are targeted, differentiated, and economically justified rather than generic and wasteful.</w:t>
      </w:r>
    </w:p>
    <w:p w14:paraId="4562CBC9" w14:textId="77777777" w:rsidR="00D137AF" w:rsidRPr="009B04EE" w:rsidRDefault="00D137AF" w:rsidP="00DF5FE2">
      <w:pPr>
        <w:pStyle w:val="NormalWeb"/>
        <w:spacing w:line="276" w:lineRule="auto"/>
        <w:jc w:val="both"/>
      </w:pPr>
      <w:r w:rsidRPr="009B04EE">
        <w:t>The principal limitations of the study — the cross-sectional dataset structure, the absence of longitudinal behavioural data, and the single-provider scope — are acknowledged as meaningful constraints on the generalisability of the findings, and directions for future work are identified accordingly: the incorporation of longitudinal usage data through survival analysis or recurrent neural network architectures, the extension of the modelling framework to uplift modelling to estimate the causal effect of retention interventions rather than the unconditional probability of churn, and the integration of competitive context data to improve the model's representation of the switching decision as the comparative process it fundamentally .</w:t>
      </w:r>
    </w:p>
    <w:p w14:paraId="196C45A4" w14:textId="77777777" w:rsidR="00A72CD3" w:rsidRPr="009B04EE" w:rsidRDefault="00A72CD3" w:rsidP="00DF5FE2">
      <w:pPr>
        <w:spacing w:before="80" w:after="80" w:line="360" w:lineRule="auto"/>
        <w:jc w:val="both"/>
        <w:rPr>
          <w:rFonts w:ascii="Times New Roman" w:hAnsi="Times New Roman" w:cs="Times New Roman"/>
          <w:color w:val="000000"/>
          <w:sz w:val="24"/>
          <w:szCs w:val="24"/>
        </w:rPr>
      </w:pPr>
    </w:p>
    <w:p w14:paraId="69B85F65" w14:textId="77777777"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Keywords: Customer Churn, Telecom Analytics, Exploratory Data Analysis, IBM Telco Dataset, Retention Strategy, Predictive Analytics.</w:t>
      </w:r>
    </w:p>
    <w:p w14:paraId="1FFA8F27" w14:textId="77777777" w:rsidR="00A72CD3" w:rsidRPr="009B04EE" w:rsidRDefault="00A72CD3" w:rsidP="00DF5FE2">
      <w:pPr>
        <w:spacing w:line="480" w:lineRule="auto"/>
        <w:jc w:val="both"/>
        <w:rPr>
          <w:rFonts w:ascii="Times New Roman" w:hAnsi="Times New Roman" w:cs="Times New Roman"/>
          <w:color w:val="000000"/>
        </w:rPr>
        <w:sectPr w:rsidR="00A72CD3" w:rsidRPr="009B04EE">
          <w:footerReference w:type="default" r:id="rId9"/>
          <w:pgSz w:w="12240" w:h="15840"/>
          <w:pgMar w:top="1440" w:right="1440" w:bottom="1440" w:left="1440" w:header="708" w:footer="708" w:gutter="0"/>
          <w:cols w:space="720"/>
          <w:docGrid w:linePitch="360" w:charSpace="4096"/>
        </w:sectPr>
      </w:pPr>
    </w:p>
    <w:p w14:paraId="606030CB" w14:textId="77777777" w:rsidR="00296205" w:rsidRPr="009B04EE" w:rsidRDefault="00296205" w:rsidP="00B25476">
      <w:pPr>
        <w:suppressAutoHyphens w:val="0"/>
        <w:spacing w:before="100" w:beforeAutospacing="1" w:after="100" w:afterAutospacing="1" w:line="276" w:lineRule="auto"/>
        <w:jc w:val="center"/>
        <w:rPr>
          <w:rFonts w:ascii="Times New Roman" w:eastAsia="Times New Roman" w:hAnsi="Times New Roman" w:cs="Times New Roman"/>
          <w:sz w:val="28"/>
          <w:szCs w:val="28"/>
          <w:lang w:val="en-IN" w:eastAsia="en-IN"/>
        </w:rPr>
      </w:pPr>
      <w:r w:rsidRPr="009B04EE">
        <w:rPr>
          <w:rFonts w:ascii="Times New Roman" w:eastAsia="Times New Roman" w:hAnsi="Times New Roman" w:cs="Times New Roman"/>
          <w:b/>
          <w:bCs/>
          <w:sz w:val="28"/>
          <w:szCs w:val="28"/>
          <w:lang w:val="en-IN" w:eastAsia="en-IN"/>
        </w:rPr>
        <w:lastRenderedPageBreak/>
        <w:t>Introduction</w:t>
      </w:r>
    </w:p>
    <w:p w14:paraId="653CD521"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telecommunications industry is one of the most competitive sectors globally. With rapid technological advancements, regulatory changes, and increased market saturation, telecom companies face growing challenges in retaining their existing customer base. Customer churn — defined as the phenomenon where customers discontinue their service relationship with a company — has emerged as a critical business problem that directly impacts revenue, profitability, and long-term growth.</w:t>
      </w:r>
    </w:p>
    <w:p w14:paraId="69C936B7"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Research consistently demonstrates that acquiring a new customer costs five to seven times more than retaining an existing one. In the telecom sector, where switching costs have historically been low, companies must proactively identify at-risk customers and deploy targeted retention interventions before churn occurs. This necessitates a data-driven approach to understanding the underlying drivers of customer attrition.</w:t>
      </w:r>
    </w:p>
    <w:p w14:paraId="6745019D"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IBM Telco Customer Churn dataset, originally published as a sample dataset by IBM and widely available on the Kaggle data science platform, provides an ideal foundation for this type of analysis. The dataset captures 7,044 customer records from a fictional telecom company operating in California, with each record containing 21 attributes spanning demographic information, subscribed services, contract terms, billing details, and churn status.</w:t>
      </w:r>
    </w:p>
    <w:p w14:paraId="28361682" w14:textId="593864C8"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This project applies Python-based Exploratory Data Analysis (EDA) to systematically uncover patterns, relationships, and anomalies within the dataset. The study is structured around ten carefully formulated hypotheses that address key dimensions of churn behaviour, moving from broad contract-level patterns to fine-grained billing and service-specific signals.</w:t>
      </w:r>
    </w:p>
    <w:p w14:paraId="3E0A407C"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b/>
          <w:bCs/>
          <w:sz w:val="24"/>
          <w:szCs w:val="24"/>
          <w:lang w:val="en-IN" w:eastAsia="en-IN"/>
        </w:rPr>
        <w:t>1.1 Background</w:t>
      </w:r>
    </w:p>
    <w:p w14:paraId="2A58A4EC"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Historically, telecom companies relied on reactive approaches to churn management — addressing customer complaints only after they submitted cancellation requests. Modern analytics enables a shift toward predictive churn management, where data-driven models identify at-risk customers weeks or months before they decide to leave. This study contributes to that evidence base by establishing empirical patterns in the IBM Telco dataset that can inform both reactive and predictive retention strategies.</w:t>
      </w:r>
    </w:p>
    <w:p w14:paraId="25BBBD57"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 xml:space="preserve">The IBM Telco Customer Churn dataset sits within a broader tradition of publicly available benchmark datasets that have driven applied analytics research. First released by IBM as a demonstration dataset for its Watson Analytics platform, it has since been adopted extensively across academic and industry contexts as a canonical example of a binary classification problem with real-world business relevance. Its 7,044 records and 21 feature variables strike a productive </w:t>
      </w:r>
      <w:r w:rsidRPr="009B04EE">
        <w:rPr>
          <w:rFonts w:ascii="Times New Roman" w:eastAsia="Times New Roman" w:hAnsi="Times New Roman" w:cs="Times New Roman"/>
          <w:sz w:val="24"/>
          <w:szCs w:val="24"/>
          <w:lang w:val="en-IN" w:eastAsia="en-IN"/>
        </w:rPr>
        <w:lastRenderedPageBreak/>
        <w:t>balance between analytical richness and computational accessibility, making it particularly well-suited for exploratory analysis, feature engineering, and classification modelling exercises.</w:t>
      </w:r>
    </w:p>
    <w:p w14:paraId="2E5B70A6"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dataset reflects a customer population typical of a mid-sized regional telecom provider operating in the United States market. Customers vary widely in their tenure, ranging from brand-new subscribers in their first month of service to long-tenured customers with over six years of continuous engagement. This tenure diversity is analytically significant: it enables longitudinal pattern recognition within a cross-sectional dataset structure, allowing analysts to infer lifecycle-stage effects on churn propensity without requiring true panel data. The dataset's California setting also implies a competitive, digitally sophisticated consumer market where customers are accustomed to frequent switching and are sensitive to service quality and pricing signals.</w:t>
      </w:r>
    </w:p>
    <w:p w14:paraId="04FD5312"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From a historical business context, the telecom churn problem intensified significantly during the early 2000s following the widespread introduction of mobile number portability (MNP) regulations, which removed one of the primary structural barriers to switching — the loss of one's phone number. Since that regulatory shift, switching friction has declined steadily, and churn rates across the global telecom sector have averaged between 15% and 25% annually for postpaid mobile subscribers, with some prepaid markets experiencing even higher turnover. The 26.5% churn rate observed in the IBM Telco dataset falls squarely within this empirically established range, reinforcing the dataset's representational validity despite its fictional origins.</w:t>
      </w:r>
    </w:p>
    <w:p w14:paraId="160DCE9A" w14:textId="31605F65"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 xml:space="preserve">Within academic literature, the drivers of telecom churn have been studied extensively through econometric, machine learning, and behavioural frameworks. Recurring findings across these bodies of research identify contract flexibility, pricing perception, service quality, and interpersonal social ties as the dominant antecedents of churn intention. The IBM Telco dataset operationalises several of these theoretical constructs directly: contract type captures flexibility, </w:t>
      </w:r>
      <w:proofErr w:type="spellStart"/>
      <w:r w:rsidRPr="009B04EE">
        <w:rPr>
          <w:rFonts w:ascii="Times New Roman" w:eastAsia="Times New Roman" w:hAnsi="Times New Roman" w:cs="Times New Roman"/>
          <w:sz w:val="24"/>
          <w:szCs w:val="24"/>
          <w:lang w:val="en-IN" w:eastAsia="en-IN"/>
        </w:rPr>
        <w:t>MonthlyCharges</w:t>
      </w:r>
      <w:proofErr w:type="spellEnd"/>
      <w:r w:rsidRPr="009B04EE">
        <w:rPr>
          <w:rFonts w:ascii="Times New Roman" w:eastAsia="Times New Roman" w:hAnsi="Times New Roman" w:cs="Times New Roman"/>
          <w:sz w:val="24"/>
          <w:szCs w:val="24"/>
          <w:lang w:val="en-IN" w:eastAsia="en-IN"/>
        </w:rPr>
        <w:t xml:space="preserve"> approximates pricing perception, internet service type serves as a proxy for service quality tier, and Partner and Dependents variables reflect household social anchoring. This conceptual alignment between theoretical churn frameworks and the dataset's feature architecture is one of the key reasons it remains a valued analytical resource more than a decade after its initial release.</w:t>
      </w:r>
    </w:p>
    <w:p w14:paraId="2ABBB7DF"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b/>
          <w:bCs/>
          <w:sz w:val="24"/>
          <w:szCs w:val="24"/>
          <w:lang w:val="en-IN" w:eastAsia="en-IN"/>
        </w:rPr>
        <w:t>1.2 Scope of the Study</w:t>
      </w:r>
    </w:p>
    <w:p w14:paraId="7E89BC40"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This study is limited to Exploratory Data Analysis and hypothesis testing based on the IBM Telco Customer Churn dataset. Predictive machine learning modelling is outside the immediate scope, though the findings of this EDA are designed to inform future modelling efforts. The dataset covers 7,044 customers and 21 variables, of which the target variable is Churn (binary: Yes/No).</w:t>
      </w:r>
    </w:p>
    <w:p w14:paraId="0507E614"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lastRenderedPageBreak/>
        <w:t xml:space="preserve">The analytical scope of this project encompasses five principal domains of inquiry. The first is distributional analysis, which examines the statistical properties of individual variables — including measures of central tendency, dispersion, skewness, and class imbalance — to establish a foundational understanding of the data structure before any multivariate analysis is undertaken. The second domain is demographic segmentation, which investigates how churn rates vary across customer subgroups defined by gender, age classification (senior citizen status), partnership status, and dependent household composition. The third is service subscription analysis, which evaluates the relationship between churn and each of the telecom service products offered within the dataset, including internet service type, phone line configuration, and value-added services such as Online Security, Tech Support, Device Protection, and streaming services. The fourth domain is contractual and billing analysis, which probes the effects of contract length, payment method, paperless billing adoption, and charge levels on churn propensity. The fifth and final domain is multivariate correlation analysis, which explores the interrelationships between numeric variables — tenure, </w:t>
      </w:r>
      <w:proofErr w:type="spellStart"/>
      <w:r w:rsidRPr="009B04EE">
        <w:rPr>
          <w:rFonts w:ascii="Times New Roman" w:eastAsia="Times New Roman" w:hAnsi="Times New Roman" w:cs="Times New Roman"/>
          <w:sz w:val="24"/>
          <w:szCs w:val="24"/>
          <w:lang w:val="en-IN" w:eastAsia="en-IN"/>
        </w:rPr>
        <w:t>MonthlyCharges</w:t>
      </w:r>
      <w:proofErr w:type="spellEnd"/>
      <w:r w:rsidRPr="009B04EE">
        <w:rPr>
          <w:rFonts w:ascii="Times New Roman" w:eastAsia="Times New Roman" w:hAnsi="Times New Roman" w:cs="Times New Roman"/>
          <w:sz w:val="24"/>
          <w:szCs w:val="24"/>
          <w:lang w:val="en-IN" w:eastAsia="en-IN"/>
        </w:rPr>
        <w:t xml:space="preserve">, and </w:t>
      </w:r>
      <w:proofErr w:type="spellStart"/>
      <w:r w:rsidRPr="009B04EE">
        <w:rPr>
          <w:rFonts w:ascii="Times New Roman" w:eastAsia="Times New Roman" w:hAnsi="Times New Roman" w:cs="Times New Roman"/>
          <w:sz w:val="24"/>
          <w:szCs w:val="24"/>
          <w:lang w:val="en-IN" w:eastAsia="en-IN"/>
        </w:rPr>
        <w:t>TotalCharges</w:t>
      </w:r>
      <w:proofErr w:type="spellEnd"/>
      <w:r w:rsidRPr="009B04EE">
        <w:rPr>
          <w:rFonts w:ascii="Times New Roman" w:eastAsia="Times New Roman" w:hAnsi="Times New Roman" w:cs="Times New Roman"/>
          <w:sz w:val="24"/>
          <w:szCs w:val="24"/>
          <w:lang w:val="en-IN" w:eastAsia="en-IN"/>
        </w:rPr>
        <w:t xml:space="preserve"> — and their collective bearing on churn outcome.</w:t>
      </w:r>
    </w:p>
    <w:p w14:paraId="1B124670" w14:textId="77777777" w:rsidR="00296205"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scope explicitly excludes several related analytical activities that, while relevant, fall beyond the boundaries of this study. Predictive modelling using supervised machine learning algorithms — such as Logistic Regression, Random Forest, Gradient Boosting, or Neural Networks — is not undertaken here, though the EDA outputs produced in this study are specifically designed to support and accelerate such modelling in subsequent phases of analysis. Survival analysis and customer lifetime value modelling, which would require time-series or longitudinal data not present in the cross-sectional IBM Telco dataset, are similarly outside scope. Customer segmentation through unsupervised clustering methods and natural language processing of free-text customer feedback are also excluded, as the dataset does not contain the requisite data types for these techniques.</w:t>
      </w:r>
    </w:p>
    <w:p w14:paraId="01C8EB88" w14:textId="637F243F" w:rsidR="00B11593" w:rsidRPr="009B04EE" w:rsidRDefault="00296205"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 xml:space="preserve">The ten hypotheses that structure this study have been formulated to cover the most analytically and commercially significant churn relationships present in the dataset. They range from examining macro-level contractual effects — such as whether month-to-month customers churn at significantly higher rates than those on annual or biennial contracts — to granular service-level and billing-level relationships, including the interaction between Fiber optic internet subscription and elevated </w:t>
      </w:r>
      <w:proofErr w:type="spellStart"/>
      <w:r w:rsidRPr="009B04EE">
        <w:rPr>
          <w:rFonts w:ascii="Times New Roman" w:eastAsia="Times New Roman" w:hAnsi="Times New Roman" w:cs="Times New Roman"/>
          <w:sz w:val="24"/>
          <w:szCs w:val="24"/>
          <w:lang w:val="en-IN" w:eastAsia="en-IN"/>
        </w:rPr>
        <w:t>MonthlyCharges</w:t>
      </w:r>
      <w:proofErr w:type="spellEnd"/>
      <w:r w:rsidRPr="009B04EE">
        <w:rPr>
          <w:rFonts w:ascii="Times New Roman" w:eastAsia="Times New Roman" w:hAnsi="Times New Roman" w:cs="Times New Roman"/>
          <w:sz w:val="24"/>
          <w:szCs w:val="24"/>
          <w:lang w:val="en-IN" w:eastAsia="en-IN"/>
        </w:rPr>
        <w:t xml:space="preserve"> as a compound churn risk factor. Each hypothesis is assessed through a combination of visual analytics, summary statistics, and where appropriate, inferential statistical tests, ensuring that conclusions are grounded in both descriptive evidence and quantitative rigour. Taken together, the findings of this EDA constitute a comprehensive empirical profile of churn behaviour within the IBM Telco dataset and a substantive analytical foundation upon which predictive modelling and strategic retention planning can be confidently built.</w:t>
      </w:r>
    </w:p>
    <w:p w14:paraId="6EAFCAB0" w14:textId="77777777" w:rsidR="00B11593" w:rsidRPr="009B04EE" w:rsidRDefault="00B11593" w:rsidP="00DF5FE2">
      <w:pPr>
        <w:spacing w:before="80" w:after="120" w:line="480" w:lineRule="auto"/>
        <w:jc w:val="both"/>
        <w:rPr>
          <w:rFonts w:ascii="Times New Roman" w:hAnsi="Times New Roman" w:cs="Times New Roman"/>
          <w:b/>
          <w:bCs/>
          <w:color w:val="000000"/>
          <w:sz w:val="28"/>
          <w:szCs w:val="28"/>
        </w:rPr>
      </w:pPr>
    </w:p>
    <w:p w14:paraId="682B59B0" w14:textId="14006859" w:rsidR="00043409" w:rsidRPr="009B04EE" w:rsidRDefault="00043409" w:rsidP="00DF5FE2">
      <w:pPr>
        <w:spacing w:before="80" w:after="120" w:line="480" w:lineRule="auto"/>
        <w:jc w:val="both"/>
        <w:rPr>
          <w:rFonts w:ascii="Times New Roman" w:hAnsi="Times New Roman" w:cs="Times New Roman"/>
          <w:b/>
          <w:bCs/>
          <w:color w:val="000000"/>
          <w:sz w:val="28"/>
          <w:szCs w:val="28"/>
        </w:rPr>
      </w:pPr>
      <w:r w:rsidRPr="009B04EE">
        <w:rPr>
          <w:rFonts w:ascii="Times New Roman" w:hAnsi="Times New Roman" w:cs="Times New Roman"/>
          <w:b/>
          <w:bCs/>
          <w:color w:val="000000"/>
          <w:sz w:val="28"/>
          <w:szCs w:val="28"/>
        </w:rPr>
        <w:lastRenderedPageBreak/>
        <w:t>Research Objective</w:t>
      </w:r>
    </w:p>
    <w:p w14:paraId="3E534295" w14:textId="323CF90E" w:rsidR="00A72CD3" w:rsidRPr="009B04EE" w:rsidRDefault="00000000" w:rsidP="00DF5FE2">
      <w:pPr>
        <w:spacing w:before="80" w:after="12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The primary objective of this research project is to conduct a comprehensive Exploratory Data Analysis of the IBM Telco Customer Churn dataset </w:t>
      </w:r>
      <w:proofErr w:type="gramStart"/>
      <w:r w:rsidRPr="009B04EE">
        <w:rPr>
          <w:rFonts w:ascii="Times New Roman" w:hAnsi="Times New Roman" w:cs="Times New Roman"/>
          <w:color w:val="000000"/>
          <w:sz w:val="24"/>
          <w:szCs w:val="24"/>
        </w:rPr>
        <w:t>in order to</w:t>
      </w:r>
      <w:proofErr w:type="gramEnd"/>
      <w:r w:rsidRPr="009B04EE">
        <w:rPr>
          <w:rFonts w:ascii="Times New Roman" w:hAnsi="Times New Roman" w:cs="Times New Roman"/>
          <w:color w:val="000000"/>
          <w:sz w:val="24"/>
          <w:szCs w:val="24"/>
        </w:rPr>
        <w:t xml:space="preserve"> identify, quantify, and interpret the key factors that influence customer churn in the telecommunications industry.</w:t>
      </w:r>
    </w:p>
    <w:p w14:paraId="1B2E1337" w14:textId="77777777" w:rsidR="00A72CD3" w:rsidRPr="009B04EE" w:rsidRDefault="00000000" w:rsidP="00DF5FE2">
      <w:pPr>
        <w:pStyle w:val="Heading2"/>
        <w:spacing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Specific Objectives</w:t>
      </w:r>
    </w:p>
    <w:p w14:paraId="51A3EA97" w14:textId="695452F0"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To </w:t>
      </w:r>
      <w:r w:rsidR="00FB1EF4" w:rsidRPr="009B04EE">
        <w:rPr>
          <w:rFonts w:ascii="Times New Roman" w:hAnsi="Times New Roman" w:cs="Times New Roman"/>
          <w:color w:val="000000"/>
          <w:sz w:val="24"/>
          <w:szCs w:val="24"/>
        </w:rPr>
        <w:t>analyze</w:t>
      </w:r>
      <w:r w:rsidRPr="009B04EE">
        <w:rPr>
          <w:rFonts w:ascii="Times New Roman" w:hAnsi="Times New Roman" w:cs="Times New Roman"/>
          <w:color w:val="000000"/>
          <w:sz w:val="24"/>
          <w:szCs w:val="24"/>
        </w:rPr>
        <w:t xml:space="preserve"> the overall churn rate and its distribution across customer segments.</w:t>
      </w:r>
    </w:p>
    <w:p w14:paraId="186B72E2" w14:textId="77777777"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To examine the relationship between contract type, tenure, and churn probability.</w:t>
      </w:r>
    </w:p>
    <w:p w14:paraId="6D22FB46" w14:textId="4A6F35F4"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To investigate the impact of demographic factors (age, gender, partner status, dependents) on churn </w:t>
      </w:r>
      <w:r w:rsidR="00FB1EF4" w:rsidRPr="009B04EE">
        <w:rPr>
          <w:rFonts w:ascii="Times New Roman" w:hAnsi="Times New Roman" w:cs="Times New Roman"/>
          <w:color w:val="000000"/>
          <w:sz w:val="24"/>
          <w:szCs w:val="24"/>
        </w:rPr>
        <w:t>behaviors</w:t>
      </w:r>
      <w:r w:rsidRPr="009B04EE">
        <w:rPr>
          <w:rFonts w:ascii="Times New Roman" w:hAnsi="Times New Roman" w:cs="Times New Roman"/>
          <w:color w:val="000000"/>
          <w:sz w:val="24"/>
          <w:szCs w:val="24"/>
        </w:rPr>
        <w:t>.</w:t>
      </w:r>
    </w:p>
    <w:p w14:paraId="720EAEF4" w14:textId="77777777"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To evaluate how service adoption patterns (internet type, add-ons, phone service) correlate with customer attrition.</w:t>
      </w:r>
    </w:p>
    <w:p w14:paraId="385AB0AA" w14:textId="77777777"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To assess the influence of billing variables (monthly charges, total charges, payment method, paperless billing) on churn.</w:t>
      </w:r>
    </w:p>
    <w:p w14:paraId="0A384480" w14:textId="77777777"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To formulate and test ten data-driven hypotheses about the drivers of churn.</w:t>
      </w:r>
    </w:p>
    <w:p w14:paraId="2BA894B4" w14:textId="77777777"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To generate actionable insights that can support retention strategy formulation for telecom operators.</w:t>
      </w:r>
    </w:p>
    <w:p w14:paraId="7D5D8BB0" w14:textId="6070C077" w:rsidR="00A72CD3" w:rsidRPr="009B04EE" w:rsidRDefault="00000000" w:rsidP="00DF5FE2">
      <w:pPr>
        <w:pStyle w:val="ListParagraph"/>
        <w:numPr>
          <w:ilvl w:val="0"/>
          <w:numId w:val="1"/>
        </w:numPr>
        <w:spacing w:before="60" w:after="60" w:line="48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To produce </w:t>
      </w:r>
      <w:r w:rsidR="00FB1EF4" w:rsidRPr="009B04EE">
        <w:rPr>
          <w:rFonts w:ascii="Times New Roman" w:hAnsi="Times New Roman" w:cs="Times New Roman"/>
          <w:color w:val="000000"/>
          <w:sz w:val="24"/>
          <w:szCs w:val="24"/>
        </w:rPr>
        <w:t>visualizations</w:t>
      </w:r>
      <w:r w:rsidRPr="009B04EE">
        <w:rPr>
          <w:rFonts w:ascii="Times New Roman" w:hAnsi="Times New Roman" w:cs="Times New Roman"/>
          <w:color w:val="000000"/>
          <w:sz w:val="24"/>
          <w:szCs w:val="24"/>
        </w:rPr>
        <w:t xml:space="preserve"> that effectively communicate key findings to both technical and non-technical stakeholders.</w:t>
      </w:r>
    </w:p>
    <w:p w14:paraId="08C4D806" w14:textId="77777777" w:rsidR="00A72CD3" w:rsidRPr="009B04EE" w:rsidRDefault="00A72CD3" w:rsidP="00DF5FE2">
      <w:pPr>
        <w:spacing w:line="480" w:lineRule="auto"/>
        <w:jc w:val="both"/>
        <w:rPr>
          <w:rFonts w:ascii="Times New Roman" w:hAnsi="Times New Roman" w:cs="Times New Roman"/>
          <w:color w:val="000000"/>
        </w:rPr>
      </w:pPr>
    </w:p>
    <w:p w14:paraId="50557E28" w14:textId="77777777" w:rsidR="00043409" w:rsidRPr="009B04EE" w:rsidRDefault="00043409" w:rsidP="00DF5FE2">
      <w:pPr>
        <w:spacing w:before="80" w:after="120" w:line="360" w:lineRule="auto"/>
        <w:jc w:val="both"/>
        <w:rPr>
          <w:rFonts w:ascii="Times New Roman" w:hAnsi="Times New Roman" w:cs="Times New Roman"/>
          <w:color w:val="000000"/>
          <w:sz w:val="24"/>
          <w:szCs w:val="24"/>
        </w:rPr>
      </w:pPr>
    </w:p>
    <w:p w14:paraId="3788483C" w14:textId="77777777" w:rsidR="00B11593" w:rsidRPr="009B04EE" w:rsidRDefault="00B11593" w:rsidP="00DF5FE2">
      <w:pPr>
        <w:spacing w:before="80" w:after="120" w:line="360" w:lineRule="auto"/>
        <w:jc w:val="both"/>
        <w:rPr>
          <w:rFonts w:ascii="Times New Roman" w:hAnsi="Times New Roman" w:cs="Times New Roman"/>
          <w:b/>
          <w:bCs/>
          <w:color w:val="000000"/>
          <w:sz w:val="28"/>
          <w:szCs w:val="28"/>
        </w:rPr>
      </w:pPr>
    </w:p>
    <w:p w14:paraId="71432782" w14:textId="68FFC728" w:rsidR="00043409" w:rsidRPr="009B04EE" w:rsidRDefault="00043409" w:rsidP="00DF5FE2">
      <w:pPr>
        <w:spacing w:before="80" w:after="120" w:line="360" w:lineRule="auto"/>
        <w:jc w:val="both"/>
        <w:rPr>
          <w:rFonts w:ascii="Times New Roman" w:hAnsi="Times New Roman" w:cs="Times New Roman"/>
          <w:b/>
          <w:bCs/>
          <w:color w:val="000000"/>
          <w:sz w:val="28"/>
          <w:szCs w:val="28"/>
        </w:rPr>
      </w:pPr>
      <w:r w:rsidRPr="009B04EE">
        <w:rPr>
          <w:rFonts w:ascii="Times New Roman" w:hAnsi="Times New Roman" w:cs="Times New Roman"/>
          <w:b/>
          <w:bCs/>
          <w:color w:val="000000"/>
          <w:sz w:val="28"/>
          <w:szCs w:val="28"/>
        </w:rPr>
        <w:lastRenderedPageBreak/>
        <w:t>Research Questions</w:t>
      </w:r>
    </w:p>
    <w:p w14:paraId="31B3F40B" w14:textId="7AD5A5B6"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This study is guided by the following research questions, each of which is addressed through </w:t>
      </w:r>
      <w:r w:rsidR="00393E3F" w:rsidRPr="009B04EE">
        <w:rPr>
          <w:rFonts w:ascii="Times New Roman" w:hAnsi="Times New Roman" w:cs="Times New Roman"/>
          <w:color w:val="000000"/>
          <w:sz w:val="24"/>
          <w:szCs w:val="24"/>
        </w:rPr>
        <w:t>exploration</w:t>
      </w:r>
      <w:r w:rsidRPr="009B04EE">
        <w:rPr>
          <w:rFonts w:ascii="Times New Roman" w:hAnsi="Times New Roman" w:cs="Times New Roman"/>
          <w:color w:val="000000"/>
          <w:sz w:val="24"/>
          <w:szCs w:val="24"/>
        </w:rPr>
        <w:t xml:space="preserve"> and hypothesis testing:</w:t>
      </w:r>
    </w:p>
    <w:p w14:paraId="5FA62209"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RQ1: What is the overall churn rate in the IBM Telco dataset, and how does it compare across different customer segments?</w:t>
      </w:r>
    </w:p>
    <w:p w14:paraId="03749D86"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RQ2: Does the type of contract (month-to-month vs. annual vs. two-year) have a statistically significant relationship with customer churn?</w:t>
      </w:r>
    </w:p>
    <w:p w14:paraId="2BCBC086"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RQ3: How does customer tenure interact with churn risk, and is there a critical retention window in the early months of the customer lifecycle?</w:t>
      </w:r>
    </w:p>
    <w:p w14:paraId="42A599EA"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RQ4: Do demographic characteristics — specifically senior citizen status, presence of a partner, and having dependents — meaningfully predict churn propensity?</w:t>
      </w:r>
    </w:p>
    <w:p w14:paraId="660E798D"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RQ5: Is there a meaningful difference in churn rates between customers subscribed to fiber optic internet versus DSL or no internet service?</w:t>
      </w:r>
    </w:p>
    <w:p w14:paraId="545A045E"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RQ6: How does the number of add-on services (online security, backup, tech support, streaming) relate to churn likelihood?</w:t>
      </w:r>
    </w:p>
    <w:p w14:paraId="1C666471"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RQ7: Which payment methods are associated with the highest and lowest churn rates, and what does this imply about customer engagement?</w:t>
      </w:r>
    </w:p>
    <w:p w14:paraId="1F27F1CF" w14:textId="77777777"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RQ8: Are monthly charges a stronger predictor of churn than total charges when tenure is controlled for?</w:t>
      </w:r>
    </w:p>
    <w:p w14:paraId="5A7452DC" w14:textId="10EC232B"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RQ9: Does the adoption of paperless billing correlate positively or negatively with churn, and what </w:t>
      </w:r>
      <w:r w:rsidR="00FB1EF4" w:rsidRPr="009B04EE">
        <w:rPr>
          <w:rFonts w:ascii="Times New Roman" w:hAnsi="Times New Roman" w:cs="Times New Roman"/>
          <w:color w:val="000000"/>
          <w:sz w:val="24"/>
          <w:szCs w:val="24"/>
        </w:rPr>
        <w:t>behavioral</w:t>
      </w:r>
      <w:r w:rsidRPr="009B04EE">
        <w:rPr>
          <w:rFonts w:ascii="Times New Roman" w:hAnsi="Times New Roman" w:cs="Times New Roman"/>
          <w:color w:val="000000"/>
          <w:sz w:val="24"/>
          <w:szCs w:val="24"/>
        </w:rPr>
        <w:t xml:space="preserve"> factors might explain this?</w:t>
      </w:r>
    </w:p>
    <w:p w14:paraId="600BC776" w14:textId="215A11CE" w:rsidR="00A72CD3" w:rsidRPr="009B04EE" w:rsidRDefault="00000000" w:rsidP="00DF5FE2">
      <w:pPr>
        <w:pStyle w:val="ListParagraph"/>
        <w:numPr>
          <w:ilvl w:val="0"/>
          <w:numId w:val="2"/>
        </w:numPr>
        <w:spacing w:before="60" w:after="6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RQ10: What combination of attributes </w:t>
      </w:r>
      <w:r w:rsidR="00FB1EF4" w:rsidRPr="009B04EE">
        <w:rPr>
          <w:rFonts w:ascii="Times New Roman" w:hAnsi="Times New Roman" w:cs="Times New Roman"/>
          <w:color w:val="000000"/>
          <w:sz w:val="24"/>
          <w:szCs w:val="24"/>
        </w:rPr>
        <w:t>characterizes</w:t>
      </w:r>
      <w:r w:rsidRPr="009B04EE">
        <w:rPr>
          <w:rFonts w:ascii="Times New Roman" w:hAnsi="Times New Roman" w:cs="Times New Roman"/>
          <w:color w:val="000000"/>
          <w:sz w:val="24"/>
          <w:szCs w:val="24"/>
        </w:rPr>
        <w:t xml:space="preserve"> the highest-risk churn profile in this dataset?</w:t>
      </w:r>
    </w:p>
    <w:p w14:paraId="0CEE1864" w14:textId="77777777" w:rsidR="00043409" w:rsidRPr="009B04EE" w:rsidRDefault="00043409" w:rsidP="00DF5FE2">
      <w:pPr>
        <w:spacing w:before="80" w:after="120" w:line="360" w:lineRule="auto"/>
        <w:jc w:val="both"/>
        <w:rPr>
          <w:rFonts w:ascii="Times New Roman" w:hAnsi="Times New Roman" w:cs="Times New Roman"/>
          <w:color w:val="000000"/>
        </w:rPr>
      </w:pPr>
    </w:p>
    <w:p w14:paraId="65C927EC" w14:textId="77777777" w:rsidR="00043409" w:rsidRPr="009B04EE" w:rsidRDefault="00043409" w:rsidP="00DF5FE2">
      <w:pPr>
        <w:spacing w:before="80" w:after="120" w:line="360" w:lineRule="auto"/>
        <w:jc w:val="both"/>
        <w:rPr>
          <w:rFonts w:ascii="Times New Roman" w:hAnsi="Times New Roman" w:cs="Times New Roman"/>
          <w:color w:val="000000"/>
        </w:rPr>
      </w:pPr>
    </w:p>
    <w:p w14:paraId="2B461F29" w14:textId="77777777" w:rsidR="00043409" w:rsidRPr="009B04EE" w:rsidRDefault="00043409" w:rsidP="00DF5FE2">
      <w:pPr>
        <w:spacing w:before="80" w:after="120" w:line="360" w:lineRule="auto"/>
        <w:jc w:val="both"/>
        <w:rPr>
          <w:rFonts w:ascii="Times New Roman" w:hAnsi="Times New Roman" w:cs="Times New Roman"/>
          <w:color w:val="000000"/>
        </w:rPr>
      </w:pPr>
    </w:p>
    <w:p w14:paraId="1F843FB3" w14:textId="77777777" w:rsidR="00043409" w:rsidRPr="009B04EE" w:rsidRDefault="00043409" w:rsidP="00DF5FE2">
      <w:pPr>
        <w:spacing w:before="80" w:after="120" w:line="360" w:lineRule="auto"/>
        <w:jc w:val="both"/>
        <w:rPr>
          <w:rFonts w:ascii="Times New Roman" w:hAnsi="Times New Roman" w:cs="Times New Roman"/>
          <w:color w:val="000000"/>
        </w:rPr>
      </w:pPr>
    </w:p>
    <w:p w14:paraId="2009F7AC" w14:textId="77777777" w:rsidR="00B11593" w:rsidRPr="009B04EE" w:rsidRDefault="00B11593" w:rsidP="00DF5FE2">
      <w:pPr>
        <w:spacing w:before="80" w:after="120" w:line="360" w:lineRule="auto"/>
        <w:jc w:val="both"/>
        <w:rPr>
          <w:rFonts w:ascii="Times New Roman" w:hAnsi="Times New Roman" w:cs="Times New Roman"/>
          <w:b/>
          <w:bCs/>
          <w:color w:val="000000"/>
          <w:sz w:val="28"/>
          <w:szCs w:val="28"/>
        </w:rPr>
      </w:pPr>
    </w:p>
    <w:p w14:paraId="3B926AB0" w14:textId="0248058F" w:rsidR="00043409" w:rsidRPr="009B04EE" w:rsidRDefault="00043409" w:rsidP="00DF5FE2">
      <w:pPr>
        <w:spacing w:before="80" w:after="120" w:line="360" w:lineRule="auto"/>
        <w:jc w:val="both"/>
        <w:rPr>
          <w:rFonts w:ascii="Times New Roman" w:hAnsi="Times New Roman" w:cs="Times New Roman"/>
          <w:b/>
          <w:bCs/>
          <w:color w:val="000000"/>
          <w:sz w:val="28"/>
          <w:szCs w:val="28"/>
        </w:rPr>
      </w:pPr>
      <w:r w:rsidRPr="009B04EE">
        <w:rPr>
          <w:rFonts w:ascii="Times New Roman" w:hAnsi="Times New Roman" w:cs="Times New Roman"/>
          <w:b/>
          <w:bCs/>
          <w:color w:val="000000"/>
          <w:sz w:val="28"/>
          <w:szCs w:val="28"/>
        </w:rPr>
        <w:lastRenderedPageBreak/>
        <w:t>Theoretical Framework</w:t>
      </w:r>
    </w:p>
    <w:p w14:paraId="13FDDCE2" w14:textId="2F8C7C89"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The theoretical foundation of this study draws on established frameworks from customer relationship management (CRM), service quality research, and </w:t>
      </w:r>
      <w:r w:rsidR="00FB1EF4" w:rsidRPr="009B04EE">
        <w:rPr>
          <w:rFonts w:ascii="Times New Roman" w:hAnsi="Times New Roman" w:cs="Times New Roman"/>
          <w:color w:val="000000"/>
          <w:sz w:val="24"/>
          <w:szCs w:val="24"/>
        </w:rPr>
        <w:t>behavioral</w:t>
      </w:r>
      <w:r w:rsidRPr="009B04EE">
        <w:rPr>
          <w:rFonts w:ascii="Times New Roman" w:hAnsi="Times New Roman" w:cs="Times New Roman"/>
          <w:color w:val="000000"/>
          <w:sz w:val="24"/>
          <w:szCs w:val="24"/>
        </w:rPr>
        <w:t xml:space="preserve"> economics. These frameworks provide conceptual grounding for the empirical patterns observed in the dataset.</w:t>
      </w:r>
    </w:p>
    <w:p w14:paraId="0D0F81B4" w14:textId="77777777" w:rsidR="00A72CD3" w:rsidRPr="009B04EE" w:rsidRDefault="00000000" w:rsidP="00DF5FE2">
      <w:pPr>
        <w:pStyle w:val="Heading2"/>
        <w:spacing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4.1 Customer Lifecycle Theory</w:t>
      </w:r>
    </w:p>
    <w:p w14:paraId="4D412A10" w14:textId="21C46CE6"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Customer lifecycle theory posits that the relationship between a company and its customers evolves through distinct stages: acquisition, development, retention, and decline. Churn represents the transition from retention to decline. Research in subscription-based industries consistently shows that churn risk is highest in the early stages of the customer lifecycle (acquisition phase) and declines as customers become more embedded in a company's ecosystem through service adoption, habitual usage, and switching costs.</w:t>
      </w:r>
    </w:p>
    <w:p w14:paraId="57F78AA4" w14:textId="6A56DF61"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In the IBM Telco dataset, the tenure variable serves as a proxy for lifecycle stage. Customers with short </w:t>
      </w:r>
      <w:r w:rsidR="00FB1EF4" w:rsidRPr="009B04EE">
        <w:rPr>
          <w:rFonts w:ascii="Times New Roman" w:hAnsi="Times New Roman" w:cs="Times New Roman"/>
          <w:color w:val="000000"/>
          <w:sz w:val="24"/>
          <w:szCs w:val="24"/>
        </w:rPr>
        <w:t>tenures</w:t>
      </w:r>
      <w:r w:rsidRPr="009B04EE">
        <w:rPr>
          <w:rFonts w:ascii="Times New Roman" w:hAnsi="Times New Roman" w:cs="Times New Roman"/>
          <w:color w:val="000000"/>
          <w:sz w:val="24"/>
          <w:szCs w:val="24"/>
        </w:rPr>
        <w:t xml:space="preserve"> (1-6 months) are in the acquisition phase, while those with </w:t>
      </w:r>
      <w:r w:rsidR="00043409" w:rsidRPr="009B04EE">
        <w:rPr>
          <w:rFonts w:ascii="Times New Roman" w:hAnsi="Times New Roman" w:cs="Times New Roman"/>
          <w:color w:val="000000"/>
          <w:sz w:val="24"/>
          <w:szCs w:val="24"/>
        </w:rPr>
        <w:t>tenures</w:t>
      </w:r>
      <w:r w:rsidRPr="009B04EE">
        <w:rPr>
          <w:rFonts w:ascii="Times New Roman" w:hAnsi="Times New Roman" w:cs="Times New Roman"/>
          <w:color w:val="000000"/>
          <w:sz w:val="24"/>
          <w:szCs w:val="24"/>
        </w:rPr>
        <w:t xml:space="preserve"> exceeding 24 months are deeply embedded. The theoretical prediction is that churn rate should decline monotonically — and potentially non-linearly — with increasing tenure.</w:t>
      </w:r>
    </w:p>
    <w:p w14:paraId="4E8EA5D2" w14:textId="77777777" w:rsidR="00A72CD3" w:rsidRPr="009B04EE" w:rsidRDefault="00000000" w:rsidP="00DF5FE2">
      <w:pPr>
        <w:pStyle w:val="Heading2"/>
        <w:spacing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4.2 Service Quality Theory (SERVQUAL)</w:t>
      </w:r>
    </w:p>
    <w:p w14:paraId="27B7D432" w14:textId="0792732C"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The SERVQUAL model, developed by Parasuraman, Zeithaml, and Berry, identifies five dimensions of service quality: reliability, assurance, tangibles, empathy, and responsiveness. In a telecom context, internet service type (fiber optic vs. DSL) serves as a proxy for technical quality, while tech support and online security subscriptions reflect the assurance and responsiveness dimensions.</w:t>
      </w:r>
    </w:p>
    <w:p w14:paraId="52544D51" w14:textId="77777777"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A key prediction of SERVQUAL theory is that service quality gaps — the difference between customer expectations and perceived performance — drive dissatisfaction and ultimately churn. Fiber optic customers, who pay premium prices and therefore have higher performance expectations, are particularly susceptible to quality gaps, which may explain their elevated churn rates relative to DSL customers.</w:t>
      </w:r>
    </w:p>
    <w:p w14:paraId="0726FD63" w14:textId="77777777" w:rsidR="00A72CD3" w:rsidRPr="009B04EE" w:rsidRDefault="00000000" w:rsidP="00DF5FE2">
      <w:pPr>
        <w:pStyle w:val="Heading2"/>
        <w:spacing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lastRenderedPageBreak/>
        <w:t>4.3 Switching Cost Theory</w:t>
      </w:r>
    </w:p>
    <w:p w14:paraId="341967E1" w14:textId="2D5F5C72"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Switching cost theory holds that customers are less likely to churn when the perceived costs of switching to a competitor — financial, procedural, relational, and psychological — are high. In the telecom context, switching costs are created through long-term contracts, bundled service packages, and loyalty programs.</w:t>
      </w:r>
    </w:p>
    <w:p w14:paraId="4DB2EE31" w14:textId="520D8D01"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The contract type variable directly </w:t>
      </w:r>
      <w:r w:rsidR="00FB1EF4" w:rsidRPr="009B04EE">
        <w:rPr>
          <w:rFonts w:ascii="Times New Roman" w:hAnsi="Times New Roman" w:cs="Times New Roman"/>
          <w:color w:val="000000"/>
          <w:sz w:val="24"/>
          <w:szCs w:val="24"/>
        </w:rPr>
        <w:t>operationalists</w:t>
      </w:r>
      <w:r w:rsidRPr="009B04EE">
        <w:rPr>
          <w:rFonts w:ascii="Times New Roman" w:hAnsi="Times New Roman" w:cs="Times New Roman"/>
          <w:color w:val="000000"/>
          <w:sz w:val="24"/>
          <w:szCs w:val="24"/>
        </w:rPr>
        <w:t xml:space="preserve"> switching costs: month-to-month customers face zero financial switching costs, while one-year and two-year contract customers face early termination fees. Add-on services (streaming, backup, security) create procedural switching costs by requiring customers to re-establish these services with a new provider. This framework predicts that higher service adoption and longer contract terms should both independently reduce churn.</w:t>
      </w:r>
    </w:p>
    <w:p w14:paraId="6468A444" w14:textId="77777777" w:rsidR="00A72CD3" w:rsidRPr="009B04EE" w:rsidRDefault="00000000" w:rsidP="00DF5FE2">
      <w:pPr>
        <w:pStyle w:val="Heading2"/>
        <w:spacing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4.4 Engagement and Commitment Model</w:t>
      </w:r>
    </w:p>
    <w:p w14:paraId="54BFA38F" w14:textId="18591AA1"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The Engagement and Commitment Model from relationship marketing distinguishes between calculative commitment (staying due to switching costs) and affective commitment (staying due to satisfaction and loyalty). Payment method and billing format serve as indirect indicators of engagement: customers who </w:t>
      </w:r>
      <w:r w:rsidR="009A6E23" w:rsidRPr="009B04EE">
        <w:rPr>
          <w:rFonts w:ascii="Times New Roman" w:hAnsi="Times New Roman" w:cs="Times New Roman"/>
          <w:color w:val="000000"/>
          <w:sz w:val="24"/>
          <w:szCs w:val="24"/>
        </w:rPr>
        <w:t>enroll</w:t>
      </w:r>
      <w:r w:rsidRPr="009B04EE">
        <w:rPr>
          <w:rFonts w:ascii="Times New Roman" w:hAnsi="Times New Roman" w:cs="Times New Roman"/>
          <w:color w:val="000000"/>
          <w:sz w:val="24"/>
          <w:szCs w:val="24"/>
        </w:rPr>
        <w:t xml:space="preserve"> in automatic payment methods demonstrate higher engagement and convenience-seeking </w:t>
      </w:r>
      <w:r w:rsidR="009A6E23" w:rsidRPr="009B04EE">
        <w:rPr>
          <w:rFonts w:ascii="Times New Roman" w:hAnsi="Times New Roman" w:cs="Times New Roman"/>
          <w:color w:val="000000"/>
          <w:sz w:val="24"/>
          <w:szCs w:val="24"/>
        </w:rPr>
        <w:t>behavior</w:t>
      </w:r>
      <w:r w:rsidRPr="009B04EE">
        <w:rPr>
          <w:rFonts w:ascii="Times New Roman" w:hAnsi="Times New Roman" w:cs="Times New Roman"/>
          <w:color w:val="000000"/>
          <w:sz w:val="24"/>
          <w:szCs w:val="24"/>
        </w:rPr>
        <w:t>, while electronic check payers — who must manually initiate payment each billing cycle — exhibit lower habitual engagement with the service.</w:t>
      </w:r>
    </w:p>
    <w:p w14:paraId="43B58E41" w14:textId="77777777" w:rsidR="00043409"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Paperless billing presents a nuanced case: while it may indicate digital sophistication, it also correlates with younger, more price-sensitive customers who actively monitor their bills and are more likely to </w:t>
      </w:r>
      <w:r w:rsidR="009A6E23" w:rsidRPr="009B04EE">
        <w:rPr>
          <w:rFonts w:ascii="Times New Roman" w:hAnsi="Times New Roman" w:cs="Times New Roman"/>
          <w:color w:val="000000"/>
          <w:sz w:val="24"/>
          <w:szCs w:val="24"/>
        </w:rPr>
        <w:t>compare shops</w:t>
      </w:r>
      <w:r w:rsidRPr="009B04EE">
        <w:rPr>
          <w:rFonts w:ascii="Times New Roman" w:hAnsi="Times New Roman" w:cs="Times New Roman"/>
          <w:color w:val="000000"/>
          <w:sz w:val="24"/>
          <w:szCs w:val="24"/>
        </w:rPr>
        <w:t xml:space="preserve"> online. This theoretical tension is directly explored in Hypothesis 10.</w:t>
      </w:r>
    </w:p>
    <w:p w14:paraId="31724BFC" w14:textId="0D16EE03" w:rsidR="00A72CD3" w:rsidRPr="009B04EE" w:rsidRDefault="00000000" w:rsidP="00DF5FE2">
      <w:pPr>
        <w:spacing w:before="80" w:after="120" w:line="360" w:lineRule="auto"/>
        <w:jc w:val="both"/>
        <w:rPr>
          <w:rFonts w:ascii="Times New Roman" w:hAnsi="Times New Roman" w:cs="Times New Roman"/>
          <w:color w:val="000000"/>
          <w:sz w:val="24"/>
          <w:szCs w:val="24"/>
        </w:rPr>
      </w:pPr>
      <w:r w:rsidRPr="009B04EE">
        <w:rPr>
          <w:rFonts w:ascii="Times New Roman" w:hAnsi="Times New Roman" w:cs="Times New Roman"/>
          <w:b/>
          <w:bCs/>
          <w:color w:val="000000"/>
          <w:sz w:val="26"/>
          <w:szCs w:val="26"/>
        </w:rPr>
        <w:t>4.5 Dataset Overview</w:t>
      </w:r>
    </w:p>
    <w:p w14:paraId="08D9D50C" w14:textId="6489D96F" w:rsidR="00A72CD3" w:rsidRPr="009B04EE" w:rsidRDefault="00401A05" w:rsidP="00DF5FE2">
      <w:pPr>
        <w:spacing w:before="80" w:after="80" w:line="360" w:lineRule="auto"/>
        <w:jc w:val="both"/>
        <w:rPr>
          <w:rFonts w:ascii="Times New Roman" w:hAnsi="Times New Roman" w:cs="Times New Roman"/>
          <w:color w:val="000000"/>
        </w:rPr>
      </w:pPr>
      <w:r w:rsidRPr="009B04EE">
        <w:rPr>
          <w:rFonts w:ascii="Times New Roman" w:hAnsi="Times New Roman" w:cs="Times New Roman"/>
          <w:noProof/>
          <w:color w:val="000000"/>
        </w:rPr>
        <w:lastRenderedPageBreak/>
        <w:pict w14:anchorId="7DA9575F">
          <v:shape id="_x0000_i1098" type="#_x0000_t75" style="width:486pt;height:115.2pt;visibility:visible;mso-wrap-style:square">
            <v:imagedata r:id="rId10" o:title=""/>
          </v:shape>
        </w:pict>
      </w:r>
    </w:p>
    <w:p w14:paraId="11436D3A" w14:textId="7612932E" w:rsidR="009A6E23" w:rsidRPr="009B04EE" w:rsidRDefault="00401A05" w:rsidP="00DF5FE2">
      <w:pPr>
        <w:pStyle w:val="Heading2"/>
        <w:spacing w:before="300" w:after="150"/>
        <w:jc w:val="both"/>
        <w:rPr>
          <w:rFonts w:ascii="Times New Roman" w:hAnsi="Times New Roman" w:cs="Times New Roman"/>
          <w:color w:val="000000"/>
        </w:rPr>
      </w:pPr>
      <w:r w:rsidRPr="009B04EE">
        <w:rPr>
          <w:rFonts w:ascii="Times New Roman" w:hAnsi="Times New Roman" w:cs="Times New Roman"/>
          <w:noProof/>
          <w:color w:val="000000"/>
        </w:rPr>
        <w:pict w14:anchorId="4C3C7A47">
          <v:shape id="_x0000_i1099" type="#_x0000_t75" style="width:499.2pt;height:406.8pt;visibility:visible;mso-wrap-style:square">
            <v:imagedata r:id="rId11" o:title=""/>
          </v:shape>
        </w:pict>
      </w:r>
    </w:p>
    <w:p w14:paraId="14E6B178" w14:textId="39B5E4C3"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The dataset contains 7,044 rows and 21 columns. The </w:t>
      </w:r>
      <w:r w:rsidR="009A6E23" w:rsidRPr="009B04EE">
        <w:rPr>
          <w:rFonts w:ascii="Times New Roman" w:hAnsi="Times New Roman" w:cs="Times New Roman"/>
          <w:color w:val="000000"/>
        </w:rPr>
        <w:t>Total Charges</w:t>
      </w:r>
      <w:r w:rsidRPr="009B04EE">
        <w:rPr>
          <w:rFonts w:ascii="Times New Roman" w:hAnsi="Times New Roman" w:cs="Times New Roman"/>
          <w:color w:val="000000"/>
        </w:rPr>
        <w:t xml:space="preserve"> column contains 11 missing values (customers with zero tenure), which were </w:t>
      </w:r>
      <w:r w:rsidR="009A6E23" w:rsidRPr="009B04EE">
        <w:rPr>
          <w:rFonts w:ascii="Times New Roman" w:hAnsi="Times New Roman" w:cs="Times New Roman"/>
          <w:color w:val="000000"/>
        </w:rPr>
        <w:t>input</w:t>
      </w:r>
      <w:r w:rsidRPr="009B04EE">
        <w:rPr>
          <w:rFonts w:ascii="Times New Roman" w:hAnsi="Times New Roman" w:cs="Times New Roman"/>
          <w:color w:val="000000"/>
        </w:rPr>
        <w:t xml:space="preserve"> with 0 prior to analysis. All categorical variables were label-encoded for correlation analysis and </w:t>
      </w:r>
      <w:r w:rsidR="009A6E23" w:rsidRPr="009B04EE">
        <w:rPr>
          <w:rFonts w:ascii="Times New Roman" w:hAnsi="Times New Roman" w:cs="Times New Roman"/>
          <w:color w:val="000000"/>
        </w:rPr>
        <w:t>visualization</w:t>
      </w:r>
      <w:r w:rsidRPr="009B04EE">
        <w:rPr>
          <w:rFonts w:ascii="Times New Roman" w:hAnsi="Times New Roman" w:cs="Times New Roman"/>
          <w:color w:val="000000"/>
        </w:rPr>
        <w:t xml:space="preserve"> purposes.</w:t>
      </w:r>
    </w:p>
    <w:p w14:paraId="4DE3E054"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364AA63E" w14:textId="51E4B440" w:rsidR="00043409" w:rsidRPr="009B04EE" w:rsidRDefault="00043409" w:rsidP="00F07C4F">
      <w:pPr>
        <w:spacing w:before="80" w:after="120" w:line="360" w:lineRule="auto"/>
        <w:jc w:val="center"/>
        <w:rPr>
          <w:rFonts w:ascii="Times New Roman" w:hAnsi="Times New Roman" w:cs="Times New Roman"/>
          <w:b/>
          <w:bCs/>
          <w:color w:val="000000"/>
          <w:sz w:val="28"/>
          <w:szCs w:val="28"/>
        </w:rPr>
      </w:pPr>
      <w:r w:rsidRPr="009B04EE">
        <w:rPr>
          <w:rFonts w:ascii="Times New Roman" w:hAnsi="Times New Roman" w:cs="Times New Roman"/>
          <w:b/>
          <w:bCs/>
          <w:color w:val="000000"/>
          <w:sz w:val="28"/>
          <w:szCs w:val="28"/>
        </w:rPr>
        <w:lastRenderedPageBreak/>
        <w:t>Hypothesis</w:t>
      </w:r>
    </w:p>
    <w:p w14:paraId="54307208" w14:textId="41A552F5"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Based on the theoretical framework and preliminary data exploration, the following ten hypotheses were formulated. Each hypothesis is stated in both null (H0) and alternative (H1) form, following conventional statistical hypothesis testing practice.</w:t>
      </w:r>
    </w:p>
    <w:tbl>
      <w:tblPr>
        <w:tblW w:w="0" w:type="auto"/>
        <w:tblInd w:w="125" w:type="dxa"/>
        <w:tblLayout w:type="fixed"/>
        <w:tblCellMar>
          <w:top w:w="80" w:type="dxa"/>
          <w:left w:w="120" w:type="dxa"/>
          <w:bottom w:w="80" w:type="dxa"/>
          <w:right w:w="120" w:type="dxa"/>
        </w:tblCellMar>
        <w:tblLook w:val="0000" w:firstRow="0" w:lastRow="0" w:firstColumn="0" w:lastColumn="0" w:noHBand="0" w:noVBand="0"/>
      </w:tblPr>
      <w:tblGrid>
        <w:gridCol w:w="800"/>
        <w:gridCol w:w="5200"/>
        <w:gridCol w:w="3000"/>
      </w:tblGrid>
      <w:tr w:rsidR="00393E3F" w:rsidRPr="009B04EE" w14:paraId="2891F382" w14:textId="77777777" w:rsidTr="00D02737">
        <w:tc>
          <w:tcPr>
            <w:tcW w:w="800" w:type="dxa"/>
            <w:tcBorders>
              <w:top w:val="single" w:sz="4" w:space="0" w:color="AAAAAA"/>
              <w:left w:val="single" w:sz="4" w:space="0" w:color="AAAAAA"/>
              <w:bottom w:val="single" w:sz="4" w:space="0" w:color="AAAAAA"/>
              <w:right w:val="single" w:sz="4" w:space="0" w:color="AAAAAA"/>
            </w:tcBorders>
            <w:vAlign w:val="center"/>
          </w:tcPr>
          <w:p w14:paraId="61937612"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b/>
                <w:bCs/>
                <w:color w:val="000000"/>
                <w:sz w:val="20"/>
                <w:szCs w:val="20"/>
              </w:rPr>
              <w:t>ID</w:t>
            </w:r>
          </w:p>
        </w:tc>
        <w:tc>
          <w:tcPr>
            <w:tcW w:w="5200" w:type="dxa"/>
            <w:tcBorders>
              <w:top w:val="single" w:sz="4" w:space="0" w:color="AAAAAA"/>
              <w:left w:val="single" w:sz="4" w:space="0" w:color="AAAAAA"/>
              <w:bottom w:val="single" w:sz="4" w:space="0" w:color="AAAAAA"/>
              <w:right w:val="single" w:sz="4" w:space="0" w:color="AAAAAA"/>
            </w:tcBorders>
            <w:vAlign w:val="center"/>
          </w:tcPr>
          <w:p w14:paraId="71257038"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b/>
                <w:bCs/>
                <w:color w:val="000000"/>
                <w:sz w:val="20"/>
                <w:szCs w:val="20"/>
              </w:rPr>
              <w:t>Hypothesis</w:t>
            </w:r>
          </w:p>
        </w:tc>
        <w:tc>
          <w:tcPr>
            <w:tcW w:w="3000" w:type="dxa"/>
            <w:tcBorders>
              <w:top w:val="single" w:sz="4" w:space="0" w:color="AAAAAA"/>
              <w:left w:val="single" w:sz="4" w:space="0" w:color="AAAAAA"/>
              <w:bottom w:val="single" w:sz="4" w:space="0" w:color="AAAAAA"/>
              <w:right w:val="single" w:sz="4" w:space="0" w:color="AAAAAA"/>
            </w:tcBorders>
            <w:vAlign w:val="center"/>
          </w:tcPr>
          <w:p w14:paraId="444F12D3"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b/>
                <w:bCs/>
                <w:color w:val="000000"/>
                <w:sz w:val="20"/>
                <w:szCs w:val="20"/>
              </w:rPr>
              <w:t>Domain</w:t>
            </w:r>
          </w:p>
        </w:tc>
      </w:tr>
      <w:tr w:rsidR="00393E3F" w:rsidRPr="009B04EE" w14:paraId="2FA0DEC5"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Pr>
          <w:p w14:paraId="02378751"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H1</w:t>
            </w:r>
          </w:p>
        </w:tc>
        <w:tc>
          <w:tcPr>
            <w:tcW w:w="5200" w:type="dxa"/>
            <w:tcBorders>
              <w:top w:val="single" w:sz="4" w:space="0" w:color="AAAAAA"/>
              <w:left w:val="single" w:sz="4" w:space="0" w:color="AAAAAA"/>
              <w:bottom w:val="single" w:sz="4" w:space="0" w:color="AAAAAA"/>
              <w:right w:val="single" w:sz="4" w:space="0" w:color="AAAAAA"/>
            </w:tcBorders>
            <w:shd w:val="clear" w:color="auto" w:fill="F2F2F2"/>
          </w:tcPr>
          <w:p w14:paraId="274ECDAC"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Month-to-month customers churn more than annual/two-year customers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Pr>
          <w:p w14:paraId="15350F83"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Contract Type</w:t>
            </w:r>
          </w:p>
        </w:tc>
      </w:tr>
      <w:tr w:rsidR="00393E3F" w:rsidRPr="009B04EE" w14:paraId="2E156462"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498EFEA9"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H2</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Pr>
          <w:p w14:paraId="0DCC8419"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Churn rate decreases non-linearly with increasing customer tenure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Pr>
          <w:p w14:paraId="79F4595E"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Tenure</w:t>
            </w:r>
          </w:p>
        </w:tc>
      </w:tr>
      <w:tr w:rsidR="00393E3F" w:rsidRPr="009B04EE" w14:paraId="046C8C44"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Pr>
          <w:p w14:paraId="05B8D98C"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H3</w:t>
            </w:r>
          </w:p>
        </w:tc>
        <w:tc>
          <w:tcPr>
            <w:tcW w:w="5200" w:type="dxa"/>
            <w:tcBorders>
              <w:top w:val="single" w:sz="4" w:space="0" w:color="AAAAAA"/>
              <w:left w:val="single" w:sz="4" w:space="0" w:color="AAAAAA"/>
              <w:bottom w:val="single" w:sz="4" w:space="0" w:color="AAAAAA"/>
              <w:right w:val="single" w:sz="4" w:space="0" w:color="AAAAAA"/>
            </w:tcBorders>
            <w:shd w:val="clear" w:color="auto" w:fill="F2F2F2"/>
          </w:tcPr>
          <w:p w14:paraId="1F7E9073"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Senior citizens exhibit significantly higher churn rates than non-seniors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Pr>
          <w:p w14:paraId="55785548"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Demographics</w:t>
            </w:r>
          </w:p>
        </w:tc>
      </w:tr>
      <w:tr w:rsidR="00393E3F" w:rsidRPr="009B04EE" w14:paraId="70C116BF"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534DCFC3"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H4</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Pr>
          <w:p w14:paraId="6B285B7B"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Customers without dependents or partners show higher churn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Pr>
          <w:p w14:paraId="064A7041"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Demographics</w:t>
            </w:r>
          </w:p>
        </w:tc>
      </w:tr>
      <w:tr w:rsidR="00393E3F" w:rsidRPr="009B04EE" w14:paraId="25FC7A8E"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Pr>
          <w:p w14:paraId="3A9292E0"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H5</w:t>
            </w:r>
          </w:p>
        </w:tc>
        <w:tc>
          <w:tcPr>
            <w:tcW w:w="5200" w:type="dxa"/>
            <w:tcBorders>
              <w:top w:val="single" w:sz="4" w:space="0" w:color="AAAAAA"/>
              <w:left w:val="single" w:sz="4" w:space="0" w:color="AAAAAA"/>
              <w:bottom w:val="single" w:sz="4" w:space="0" w:color="AAAAAA"/>
              <w:right w:val="single" w:sz="4" w:space="0" w:color="AAAAAA"/>
            </w:tcBorders>
            <w:shd w:val="clear" w:color="auto" w:fill="F2F2F2"/>
          </w:tcPr>
          <w:p w14:paraId="24196E06"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Customers using fewer add-on services are twice as likely to churn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Pr>
          <w:p w14:paraId="7E9E9D10"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Service Adoption</w:t>
            </w:r>
          </w:p>
        </w:tc>
      </w:tr>
      <w:tr w:rsidR="00393E3F" w:rsidRPr="009B04EE" w14:paraId="76A36BFD"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61F66A48"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H6</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Pr>
          <w:p w14:paraId="45583E0C"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Fiber optic customers churn more than DSL customers at similar price points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Pr>
          <w:p w14:paraId="65512FCB"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Internet Service</w:t>
            </w:r>
          </w:p>
        </w:tc>
      </w:tr>
      <w:tr w:rsidR="00393E3F" w:rsidRPr="009B04EE" w14:paraId="4517297D"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Pr>
          <w:p w14:paraId="7672C2AA"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H7</w:t>
            </w:r>
          </w:p>
        </w:tc>
        <w:tc>
          <w:tcPr>
            <w:tcW w:w="5200" w:type="dxa"/>
            <w:tcBorders>
              <w:top w:val="single" w:sz="4" w:space="0" w:color="AAAAAA"/>
              <w:left w:val="single" w:sz="4" w:space="0" w:color="AAAAAA"/>
              <w:bottom w:val="single" w:sz="4" w:space="0" w:color="AAAAAA"/>
              <w:right w:val="single" w:sz="4" w:space="0" w:color="AAAAAA"/>
            </w:tcBorders>
            <w:shd w:val="clear" w:color="auto" w:fill="F2F2F2"/>
          </w:tcPr>
          <w:p w14:paraId="2BA2FA68"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Electronic check payers have the highest churn among all payment methods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Pr>
          <w:p w14:paraId="266D2AFE"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Billing</w:t>
            </w:r>
          </w:p>
        </w:tc>
      </w:tr>
      <w:tr w:rsidR="00393E3F" w:rsidRPr="009B04EE" w14:paraId="3D218B76"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249F8ABC"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H8</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Pr>
          <w:p w14:paraId="179A1E79"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Monthly charges are stronger churn predictors than total charges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Pr>
          <w:p w14:paraId="0E8FC913"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Billing</w:t>
            </w:r>
          </w:p>
        </w:tc>
      </w:tr>
      <w:tr w:rsidR="00393E3F" w:rsidRPr="009B04EE" w14:paraId="73378FD0" w14:textId="77777777">
        <w:tc>
          <w:tcPr>
            <w:tcW w:w="800" w:type="dxa"/>
            <w:tcBorders>
              <w:top w:val="single" w:sz="4" w:space="0" w:color="AAAAAA"/>
              <w:left w:val="single" w:sz="4" w:space="0" w:color="AAAAAA"/>
              <w:bottom w:val="single" w:sz="4" w:space="0" w:color="AAAAAA"/>
              <w:right w:val="single" w:sz="4" w:space="0" w:color="AAAAAA"/>
            </w:tcBorders>
            <w:shd w:val="clear" w:color="auto" w:fill="F2F2F2"/>
          </w:tcPr>
          <w:p w14:paraId="4AEFF220"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H9</w:t>
            </w:r>
          </w:p>
        </w:tc>
        <w:tc>
          <w:tcPr>
            <w:tcW w:w="5200" w:type="dxa"/>
            <w:tcBorders>
              <w:top w:val="single" w:sz="4" w:space="0" w:color="AAAAAA"/>
              <w:left w:val="single" w:sz="4" w:space="0" w:color="AAAAAA"/>
              <w:bottom w:val="single" w:sz="4" w:space="0" w:color="AAAAAA"/>
              <w:right w:val="single" w:sz="4" w:space="0" w:color="AAAAAA"/>
            </w:tcBorders>
            <w:shd w:val="clear" w:color="auto" w:fill="F2F2F2"/>
          </w:tcPr>
          <w:p w14:paraId="7228A1AB"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Absence of online security/tech support doubles churn probability</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Pr>
          <w:p w14:paraId="1BCF1A7B"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Support Services</w:t>
            </w:r>
          </w:p>
        </w:tc>
      </w:tr>
      <w:tr w:rsidR="00393E3F" w:rsidRPr="009B04EE" w14:paraId="7E7FF7C4" w14:textId="77777777">
        <w:tc>
          <w:tcPr>
            <w:tcW w:w="800" w:type="dxa"/>
            <w:tcBorders>
              <w:top w:val="single" w:sz="4" w:space="0" w:color="AAAAAA"/>
              <w:left w:val="single" w:sz="4" w:space="0" w:color="AAAAAA"/>
              <w:bottom w:val="single" w:sz="4" w:space="0" w:color="AAAAAA"/>
              <w:right w:val="single" w:sz="4" w:space="0" w:color="AAAAAA"/>
            </w:tcBorders>
            <w:shd w:val="clear" w:color="auto" w:fill="FFFFFF"/>
          </w:tcPr>
          <w:p w14:paraId="35950211"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H10</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Pr>
          <w:p w14:paraId="307D2868"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Paperless billing is positively associated with churn (counter-intuitive)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Pr>
          <w:p w14:paraId="4C83FCA4" w14:textId="77777777" w:rsidR="00A72CD3" w:rsidRPr="009B04EE" w:rsidRDefault="00000000" w:rsidP="00DF5FE2">
            <w:pPr>
              <w:widowControl w:val="0"/>
              <w:spacing w:line="360" w:lineRule="auto"/>
              <w:jc w:val="both"/>
              <w:rPr>
                <w:rFonts w:ascii="Times New Roman" w:hAnsi="Times New Roman" w:cs="Times New Roman"/>
                <w:color w:val="000000"/>
              </w:rPr>
            </w:pPr>
            <w:r w:rsidRPr="009B04EE">
              <w:rPr>
                <w:rFonts w:ascii="Times New Roman" w:hAnsi="Times New Roman" w:cs="Times New Roman"/>
                <w:color w:val="000000"/>
                <w:sz w:val="20"/>
                <w:szCs w:val="20"/>
              </w:rPr>
              <w:t>Billing</w:t>
            </w:r>
          </w:p>
        </w:tc>
      </w:tr>
    </w:tbl>
    <w:p w14:paraId="182ACE3B"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H1: Contract Type and Churn</w:t>
      </w:r>
    </w:p>
    <w:p w14:paraId="3D3679F0"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There is no significant difference in churn rates between month-to-month, one-year, and two-year contract customers.</w:t>
      </w:r>
    </w:p>
    <w:p w14:paraId="6DF0B11E"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lastRenderedPageBreak/>
        <w:t>H1: Month-to-month customers churn at a significantly higher rate than customers on annual or two-year contracts.</w:t>
      </w:r>
    </w:p>
    <w:p w14:paraId="1D8ECBF4" w14:textId="7E6C5598"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Month-to-month contracts carry no financial switching penalty, making churn a zero-cost decision for dissatisfied customers. Expected churn rates: ~42% (M2M), ~11% (1-yr), ~3% (2-yr).</w:t>
      </w:r>
    </w:p>
    <w:p w14:paraId="0A33090A"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H2: Tenure and Churn Non-linearity</w:t>
      </w:r>
    </w:p>
    <w:p w14:paraId="62EE7D5A"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Churn rate decreases linearly with customer tenure.</w:t>
      </w:r>
    </w:p>
    <w:p w14:paraId="724BD2CA"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The relationship between tenure and churn is non-linear, with disproportionately high churn concentrated in the first 6-12 months.</w:t>
      </w:r>
    </w:p>
    <w:p w14:paraId="489D626A" w14:textId="1D1CAB32"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New customers have not yet invested sufficiently in the service relationship to create switching costs. The first year represents a critical retention window.</w:t>
      </w:r>
    </w:p>
    <w:p w14:paraId="58D56542"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H3: Senior Citizen Churn</w:t>
      </w:r>
    </w:p>
    <w:p w14:paraId="0D9A6C45"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Senior citizens do not churn at a significantly different rate from non-senior customers.</w:t>
      </w:r>
    </w:p>
    <w:p w14:paraId="78385DFE"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Senior citizens exhibit a significantly higher churn rate, even after controlling for service type and monthly charges.</w:t>
      </w:r>
    </w:p>
    <w:p w14:paraId="72E506DC" w14:textId="6FE0641E"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Senior customers may face usability barriers with digital services and receive inadequate support, driving higher dissatisfaction and exit rates.</w:t>
      </w:r>
    </w:p>
    <w:p w14:paraId="574523A7"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H4: Partner/Dependent Status</w:t>
      </w:r>
    </w:p>
    <w:p w14:paraId="12758FB8"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Marital and family status has no significant association with churn propensity.</w:t>
      </w:r>
    </w:p>
    <w:p w14:paraId="43173559"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Customers without partners or dependents churn at significantly higher rates than those with family commitments.</w:t>
      </w:r>
    </w:p>
    <w:p w14:paraId="31FC2C0D" w14:textId="78234F4A"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Family plan dynamics create bundled switching costs that extend beyond any individual's dissatisfaction threshold.</w:t>
      </w:r>
    </w:p>
    <w:p w14:paraId="3232CF75"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H5: Service Adoption Depth</w:t>
      </w:r>
    </w:p>
    <w:p w14:paraId="624D8216"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The number of add-on services subscribed is not significantly associated with churn.</w:t>
      </w:r>
    </w:p>
    <w:p w14:paraId="528463E0"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Customers subscribing to fewer than three add-on services are at least twice as likely to churn.</w:t>
      </w:r>
    </w:p>
    <w:p w14:paraId="46496235" w14:textId="3E73E288"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Add-on services create procedural switching costs and indicate deeper product engagement, both of which are theoretically associated with retention.</w:t>
      </w:r>
    </w:p>
    <w:p w14:paraId="08496DB7"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lastRenderedPageBreak/>
        <w:t>H6: Internet Service Type</w:t>
      </w:r>
    </w:p>
    <w:p w14:paraId="0402AC86"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Churn rates do not significantly differ between fiber optic and DSL customers at similar price levels.</w:t>
      </w:r>
    </w:p>
    <w:p w14:paraId="75A13624"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Fiber optic customers churn at a significantly higher rate than DSL customers, reflecting unmet performance expectations.</w:t>
      </w:r>
    </w:p>
    <w:p w14:paraId="552D3ECD" w14:textId="7EC65B76"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Fiber optic customers pay premium prices and hold higher performance expectations. Service quality gaps are more impactful for this segment.</w:t>
      </w:r>
    </w:p>
    <w:p w14:paraId="43CF1A56"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H7: Payment Method</w:t>
      </w:r>
    </w:p>
    <w:p w14:paraId="7B32233D"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Payment method is not significantly associated with customer churn rate.</w:t>
      </w:r>
    </w:p>
    <w:p w14:paraId="4D7EDEBC"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Electronic check payers exhibit the highest churn rate among all payment method groups.</w:t>
      </w:r>
    </w:p>
    <w:p w14:paraId="34260EF9" w14:textId="3A21D1A1"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Manual payment methods indicate lower service engagement. Auto-pay customers demonstrate habitual interaction patterns associated with higher loyalty.</w:t>
      </w:r>
    </w:p>
    <w:p w14:paraId="3319458B"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H8: Monthly vs. Total Charges</w:t>
      </w:r>
    </w:p>
    <w:p w14:paraId="6B8DAC3A"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Total charges are an equally strong predictor of churn as monthly charges.</w:t>
      </w:r>
    </w:p>
    <w:p w14:paraId="351518E5"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Monthly charges are a stronger independent predictor of churn than total charges when controlling for tenure.</w:t>
      </w:r>
    </w:p>
    <w:p w14:paraId="204E2473" w14:textId="2899079A"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Total charges confound tenure effects. Monthly charges more cleanly capture the perceived value-for-money signal driving churn decisions.</w:t>
      </w:r>
    </w:p>
    <w:p w14:paraId="70D900B4"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H9: Support Services</w:t>
      </w:r>
    </w:p>
    <w:p w14:paraId="4FFCEAAE"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Absence of online security and tech support does not significantly increase churn probability.</w:t>
      </w:r>
    </w:p>
    <w:p w14:paraId="34C407A1"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H1: Customers without online security or tech support churn at approximately twice the rate of those with these services.</w:t>
      </w:r>
    </w:p>
    <w:p w14:paraId="51128338" w14:textId="4D509CB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Support services increase regular brand touchpoints and provide a safety net that addresses service issues before they escalate to churn.</w:t>
      </w:r>
    </w:p>
    <w:p w14:paraId="4E40D15C"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H10: Paperless Billing (Counter-Intuitive)</w:t>
      </w:r>
    </w:p>
    <w:p w14:paraId="27ACA458"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H0: Paperless billing adoption is negatively associated with churn (i.e., paperless customers churn less).</w:t>
      </w:r>
    </w:p>
    <w:p w14:paraId="2529895B" w14:textId="17081DB9"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lastRenderedPageBreak/>
        <w:t xml:space="preserve">H1: Paperless billing is positively associated with churn, serving as a proxy for </w:t>
      </w:r>
      <w:r w:rsidR="009A6E23" w:rsidRPr="009B04EE">
        <w:rPr>
          <w:rFonts w:ascii="Times New Roman" w:hAnsi="Times New Roman" w:cs="Times New Roman"/>
          <w:color w:val="000000"/>
        </w:rPr>
        <w:t>digitally engaged</w:t>
      </w:r>
      <w:r w:rsidRPr="009B04EE">
        <w:rPr>
          <w:rFonts w:ascii="Times New Roman" w:hAnsi="Times New Roman" w:cs="Times New Roman"/>
          <w:color w:val="000000"/>
        </w:rPr>
        <w:t xml:space="preserve">, price-sensitive customers who are more likely to </w:t>
      </w:r>
      <w:r w:rsidR="009A6E23" w:rsidRPr="009B04EE">
        <w:rPr>
          <w:rFonts w:ascii="Times New Roman" w:hAnsi="Times New Roman" w:cs="Times New Roman"/>
          <w:color w:val="000000"/>
        </w:rPr>
        <w:t>compare shops</w:t>
      </w:r>
      <w:r w:rsidRPr="009B04EE">
        <w:rPr>
          <w:rFonts w:ascii="Times New Roman" w:hAnsi="Times New Roman" w:cs="Times New Roman"/>
          <w:color w:val="000000"/>
        </w:rPr>
        <w:t>.</w:t>
      </w:r>
    </w:p>
    <w:p w14:paraId="4587232D"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Rationale: This counter-intuitive hypothesis challenges the assumption that digital engagement always implies loyalty. Young, tech-savvy customers who opt for paperless billing may also be more active in evaluating competitor offers.</w:t>
      </w:r>
    </w:p>
    <w:p w14:paraId="6C5D5B3F" w14:textId="77777777" w:rsidR="00A72CD3" w:rsidRPr="009B04EE" w:rsidRDefault="00A72CD3" w:rsidP="00DF5FE2">
      <w:pPr>
        <w:spacing w:line="360" w:lineRule="auto"/>
        <w:jc w:val="both"/>
        <w:rPr>
          <w:rFonts w:ascii="Times New Roman" w:hAnsi="Times New Roman" w:cs="Times New Roman"/>
          <w:color w:val="000000"/>
        </w:rPr>
      </w:pPr>
    </w:p>
    <w:p w14:paraId="04E9CBFD"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6A1F8070" w14:textId="19E18936" w:rsidR="00043409" w:rsidRPr="009B04EE" w:rsidRDefault="00401A05" w:rsidP="00DF5FE2">
      <w:pPr>
        <w:spacing w:before="80" w:after="120" w:line="360" w:lineRule="auto"/>
        <w:jc w:val="both"/>
        <w:rPr>
          <w:rFonts w:ascii="Times New Roman" w:hAnsi="Times New Roman" w:cs="Times New Roman"/>
          <w:b/>
          <w:bCs/>
          <w:color w:val="000000"/>
        </w:rPr>
      </w:pPr>
      <w:r w:rsidRPr="009B04EE">
        <w:rPr>
          <w:rFonts w:ascii="Times New Roman" w:hAnsi="Times New Roman" w:cs="Times New Roman"/>
          <w:b/>
          <w:bCs/>
          <w:noProof/>
          <w:color w:val="000000"/>
        </w:rPr>
        <w:pict w14:anchorId="2E0F71DE">
          <v:shape id="_x0000_i1100" type="#_x0000_t75" style="width:468pt;height:352.8pt;visibility:visible;mso-wrap-style:square">
            <v:imagedata r:id="rId12" o:title=""/>
          </v:shape>
        </w:pict>
      </w:r>
    </w:p>
    <w:p w14:paraId="72C15D75"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3A4F50EC"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266C4F03"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78AA7626"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58D9673B"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47DE90E2" w14:textId="77777777" w:rsidR="00043409" w:rsidRPr="009B04EE" w:rsidRDefault="00043409" w:rsidP="00DF5FE2">
      <w:pPr>
        <w:spacing w:before="80" w:after="120" w:line="360" w:lineRule="auto"/>
        <w:jc w:val="both"/>
        <w:rPr>
          <w:rFonts w:ascii="Times New Roman" w:hAnsi="Times New Roman" w:cs="Times New Roman"/>
          <w:b/>
          <w:bCs/>
          <w:color w:val="000000"/>
        </w:rPr>
      </w:pPr>
    </w:p>
    <w:p w14:paraId="59B588A1" w14:textId="721B9E08" w:rsidR="00B11593" w:rsidRPr="009B04EE" w:rsidRDefault="00043409" w:rsidP="00F07C4F">
      <w:pPr>
        <w:spacing w:before="80" w:after="120" w:line="360" w:lineRule="auto"/>
        <w:jc w:val="center"/>
        <w:rPr>
          <w:rFonts w:ascii="Times New Roman" w:hAnsi="Times New Roman" w:cs="Times New Roman"/>
          <w:b/>
          <w:bCs/>
          <w:color w:val="000000"/>
          <w:sz w:val="28"/>
          <w:szCs w:val="28"/>
        </w:rPr>
      </w:pPr>
      <w:r w:rsidRPr="009B04EE">
        <w:rPr>
          <w:rFonts w:ascii="Times New Roman" w:hAnsi="Times New Roman" w:cs="Times New Roman"/>
          <w:b/>
          <w:bCs/>
          <w:color w:val="000000"/>
          <w:sz w:val="28"/>
          <w:szCs w:val="28"/>
        </w:rPr>
        <w:t>Exploratory Data Analysis (EDA)</w:t>
      </w:r>
    </w:p>
    <w:p w14:paraId="2DA6C209" w14:textId="473E1ABB"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This section presents the systematic exploration of the IBM Telco Customer Churn dataset. All analyses were conducted using Python 3.x with the Pandas, NumPy, Matplotlib, and Seaborn libraries. The full analytical pipeline included data loading, cleaning, univariate analysis, bivariate analysis, multivariate analysis, and hypothesis-driven </w:t>
      </w:r>
      <w:r w:rsidR="009A6E23" w:rsidRPr="009B04EE">
        <w:rPr>
          <w:rFonts w:ascii="Times New Roman" w:hAnsi="Times New Roman" w:cs="Times New Roman"/>
          <w:color w:val="000000"/>
        </w:rPr>
        <w:t>visualizations</w:t>
      </w:r>
      <w:r w:rsidRPr="009B04EE">
        <w:rPr>
          <w:rFonts w:ascii="Times New Roman" w:hAnsi="Times New Roman" w:cs="Times New Roman"/>
          <w:color w:val="000000"/>
        </w:rPr>
        <w:t>.</w:t>
      </w:r>
    </w:p>
    <w:p w14:paraId="716E980D"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6.1 Dataset Overview</w:t>
      </w:r>
    </w:p>
    <w:p w14:paraId="3ACC212F" w14:textId="77777777" w:rsidR="00A72CD3" w:rsidRPr="009B04EE" w:rsidRDefault="00000000" w:rsidP="00DF5FE2">
      <w:pPr>
        <w:pStyle w:val="ListParagraph"/>
        <w:numPr>
          <w:ilvl w:val="0"/>
          <w:numId w:val="1"/>
        </w:numPr>
        <w:spacing w:before="60" w:after="60" w:line="360" w:lineRule="auto"/>
        <w:jc w:val="both"/>
        <w:rPr>
          <w:rFonts w:ascii="Times New Roman" w:hAnsi="Times New Roman" w:cs="Times New Roman"/>
          <w:color w:val="000000"/>
        </w:rPr>
      </w:pPr>
      <w:r w:rsidRPr="009B04EE">
        <w:rPr>
          <w:rFonts w:ascii="Times New Roman" w:hAnsi="Times New Roman" w:cs="Times New Roman"/>
          <w:color w:val="000000"/>
        </w:rPr>
        <w:t>Source: IBM Sample Datasets / Kaggle</w:t>
      </w:r>
    </w:p>
    <w:p w14:paraId="4421E8A8" w14:textId="77777777" w:rsidR="00A72CD3" w:rsidRPr="009B04EE" w:rsidRDefault="00000000" w:rsidP="00DF5FE2">
      <w:pPr>
        <w:pStyle w:val="ListParagraph"/>
        <w:numPr>
          <w:ilvl w:val="0"/>
          <w:numId w:val="1"/>
        </w:numPr>
        <w:spacing w:before="60" w:after="60" w:line="360" w:lineRule="auto"/>
        <w:jc w:val="both"/>
        <w:rPr>
          <w:rFonts w:ascii="Times New Roman" w:hAnsi="Times New Roman" w:cs="Times New Roman"/>
          <w:color w:val="000000"/>
        </w:rPr>
      </w:pPr>
      <w:r w:rsidRPr="009B04EE">
        <w:rPr>
          <w:rFonts w:ascii="Times New Roman" w:hAnsi="Times New Roman" w:cs="Times New Roman"/>
          <w:color w:val="000000"/>
        </w:rPr>
        <w:t>Rows: 7,044 (after cleaning: 7,032 with complete records)</w:t>
      </w:r>
    </w:p>
    <w:p w14:paraId="63E7540A" w14:textId="77777777" w:rsidR="00A72CD3" w:rsidRPr="009B04EE" w:rsidRDefault="00000000" w:rsidP="00DF5FE2">
      <w:pPr>
        <w:pStyle w:val="ListParagraph"/>
        <w:numPr>
          <w:ilvl w:val="0"/>
          <w:numId w:val="1"/>
        </w:numPr>
        <w:spacing w:before="60" w:after="60" w:line="360" w:lineRule="auto"/>
        <w:jc w:val="both"/>
        <w:rPr>
          <w:rFonts w:ascii="Times New Roman" w:hAnsi="Times New Roman" w:cs="Times New Roman"/>
          <w:color w:val="000000"/>
        </w:rPr>
      </w:pPr>
      <w:r w:rsidRPr="009B04EE">
        <w:rPr>
          <w:rFonts w:ascii="Times New Roman" w:hAnsi="Times New Roman" w:cs="Times New Roman"/>
          <w:color w:val="000000"/>
        </w:rPr>
        <w:t>Columns: 21 (20 features + 1 target: Churn)</w:t>
      </w:r>
    </w:p>
    <w:p w14:paraId="3C8FE9C3" w14:textId="363C3D3D" w:rsidR="00A72CD3" w:rsidRPr="009B04EE" w:rsidRDefault="00000000" w:rsidP="00DF5FE2">
      <w:pPr>
        <w:pStyle w:val="ListParagraph"/>
        <w:numPr>
          <w:ilvl w:val="0"/>
          <w:numId w:val="1"/>
        </w:numPr>
        <w:spacing w:before="60" w:after="60" w:line="360" w:lineRule="auto"/>
        <w:jc w:val="both"/>
        <w:rPr>
          <w:rFonts w:ascii="Times New Roman" w:hAnsi="Times New Roman" w:cs="Times New Roman"/>
          <w:color w:val="000000"/>
        </w:rPr>
      </w:pPr>
      <w:r w:rsidRPr="009B04EE">
        <w:rPr>
          <w:rFonts w:ascii="Times New Roman" w:hAnsi="Times New Roman" w:cs="Times New Roman"/>
          <w:color w:val="000000"/>
        </w:rPr>
        <w:t>Missing Values: 11 (</w:t>
      </w:r>
      <w:r w:rsidR="009A6E23" w:rsidRPr="009B04EE">
        <w:rPr>
          <w:rFonts w:ascii="Times New Roman" w:hAnsi="Times New Roman" w:cs="Times New Roman"/>
          <w:color w:val="000000"/>
        </w:rPr>
        <w:t>Total Charges</w:t>
      </w:r>
      <w:r w:rsidRPr="009B04EE">
        <w:rPr>
          <w:rFonts w:ascii="Times New Roman" w:hAnsi="Times New Roman" w:cs="Times New Roman"/>
          <w:color w:val="000000"/>
        </w:rPr>
        <w:t xml:space="preserve"> column — zero-tenure customers)</w:t>
      </w:r>
    </w:p>
    <w:p w14:paraId="29E6D50F" w14:textId="02AAC900" w:rsidR="00A72CD3" w:rsidRPr="009B04EE" w:rsidRDefault="00000000" w:rsidP="00DF5FE2">
      <w:pPr>
        <w:pStyle w:val="ListParagraph"/>
        <w:numPr>
          <w:ilvl w:val="0"/>
          <w:numId w:val="1"/>
        </w:numPr>
        <w:spacing w:before="60" w:after="60" w:line="360" w:lineRule="auto"/>
        <w:jc w:val="both"/>
        <w:rPr>
          <w:rFonts w:ascii="Times New Roman" w:hAnsi="Times New Roman" w:cs="Times New Roman"/>
          <w:color w:val="000000"/>
        </w:rPr>
      </w:pPr>
      <w:r w:rsidRPr="009B04EE">
        <w:rPr>
          <w:rFonts w:ascii="Times New Roman" w:hAnsi="Times New Roman" w:cs="Times New Roman"/>
          <w:color w:val="000000"/>
        </w:rPr>
        <w:t>Class Imbalance: 73.5% retained (No), 26.5% churned (Yes)</w:t>
      </w:r>
    </w:p>
    <w:p w14:paraId="3922EF8C" w14:textId="11469079" w:rsidR="00D137AF" w:rsidRPr="009B04EE" w:rsidRDefault="00D137AF" w:rsidP="00DF5FE2">
      <w:pPr>
        <w:pStyle w:val="Heading2"/>
        <w:spacing w:before="300" w:after="150"/>
        <w:jc w:val="both"/>
        <w:rPr>
          <w:rFonts w:ascii="Times New Roman" w:hAnsi="Times New Roman" w:cs="Times New Roman"/>
          <w:color w:val="000000"/>
        </w:rPr>
      </w:pPr>
      <w:r w:rsidRPr="009B04EE">
        <w:rPr>
          <w:rFonts w:ascii="Times New Roman" w:hAnsi="Times New Roman" w:cs="Times New Roman"/>
          <w:color w:val="000000"/>
          <w:sz w:val="24"/>
          <w:szCs w:val="24"/>
        </w:rPr>
        <w:t>6</w:t>
      </w:r>
      <w:r w:rsidRPr="009B04EE">
        <w:rPr>
          <w:rFonts w:ascii="Times New Roman" w:hAnsi="Times New Roman" w:cs="Times New Roman"/>
          <w:color w:val="000000"/>
          <w:sz w:val="24"/>
          <w:szCs w:val="24"/>
        </w:rPr>
        <w:t>.</w:t>
      </w:r>
      <w:r w:rsidRPr="009B04EE">
        <w:rPr>
          <w:rFonts w:ascii="Times New Roman" w:hAnsi="Times New Roman" w:cs="Times New Roman"/>
          <w:color w:val="000000"/>
          <w:sz w:val="24"/>
          <w:szCs w:val="24"/>
        </w:rPr>
        <w:t>2</w:t>
      </w:r>
      <w:r w:rsidRPr="009B04EE">
        <w:rPr>
          <w:rFonts w:ascii="Times New Roman" w:hAnsi="Times New Roman" w:cs="Times New Roman"/>
          <w:color w:val="000000"/>
          <w:sz w:val="24"/>
          <w:szCs w:val="24"/>
        </w:rPr>
        <w:t xml:space="preserve"> Data Loading</w:t>
      </w:r>
    </w:p>
    <w:p w14:paraId="0C4CA36E" w14:textId="77777777" w:rsidR="00D137AF" w:rsidRPr="009B04EE" w:rsidRDefault="00D137AF"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color w:val="000000"/>
        </w:rPr>
        <w:t>The IBM Telco Customer Churn CSV file was downloaded from Kaggle (WA_Fn-UseC_-Telco-Customer-Churn.csv) and loaded into both Python and R environments:</w:t>
      </w:r>
    </w:p>
    <w:p w14:paraId="73267711" w14:textId="1F1300DC" w:rsidR="00D137AF" w:rsidRPr="009B04EE" w:rsidRDefault="00D137AF" w:rsidP="00DF5FE2">
      <w:pPr>
        <w:jc w:val="both"/>
        <w:rPr>
          <w:rFonts w:ascii="Times New Roman" w:hAnsi="Times New Roman" w:cs="Times New Roman"/>
          <w:color w:val="000000"/>
        </w:rPr>
      </w:pPr>
      <w:r w:rsidRPr="009B04EE">
        <w:rPr>
          <w:rFonts w:ascii="Times New Roman" w:hAnsi="Times New Roman" w:cs="Times New Roman"/>
          <w:noProof/>
          <w:color w:val="000000"/>
        </w:rPr>
        <w:pict w14:anchorId="7AA72714">
          <v:shape id="_x0000_i1114" type="#_x0000_t75" style="width:445.2pt;height:168pt;visibility:visible;mso-wrap-style:square">
            <v:imagedata r:id="rId13" o:title=""/>
          </v:shape>
        </w:pict>
      </w:r>
    </w:p>
    <w:p w14:paraId="25B2CBA7" w14:textId="775D3B03" w:rsidR="00D137AF" w:rsidRPr="009B04EE" w:rsidRDefault="00D137AF" w:rsidP="00DF5FE2">
      <w:pPr>
        <w:pStyle w:val="Heading2"/>
        <w:spacing w:before="300" w:after="150"/>
        <w:jc w:val="both"/>
        <w:rPr>
          <w:rFonts w:ascii="Times New Roman" w:hAnsi="Times New Roman" w:cs="Times New Roman"/>
          <w:color w:val="000000"/>
          <w:sz w:val="36"/>
          <w:szCs w:val="36"/>
        </w:rPr>
      </w:pPr>
      <w:r w:rsidRPr="009B04EE">
        <w:rPr>
          <w:rFonts w:ascii="Times New Roman" w:hAnsi="Times New Roman" w:cs="Times New Roman"/>
          <w:color w:val="000000"/>
          <w:sz w:val="28"/>
          <w:szCs w:val="28"/>
        </w:rPr>
        <w:t>6</w:t>
      </w:r>
      <w:r w:rsidRPr="009B04EE">
        <w:rPr>
          <w:rFonts w:ascii="Times New Roman" w:hAnsi="Times New Roman" w:cs="Times New Roman"/>
          <w:color w:val="000000"/>
          <w:sz w:val="28"/>
          <w:szCs w:val="28"/>
        </w:rPr>
        <w:t>.</w:t>
      </w:r>
      <w:r w:rsidRPr="009B04EE">
        <w:rPr>
          <w:rFonts w:ascii="Times New Roman" w:hAnsi="Times New Roman" w:cs="Times New Roman"/>
          <w:color w:val="000000"/>
          <w:sz w:val="28"/>
          <w:szCs w:val="28"/>
        </w:rPr>
        <w:t>3</w:t>
      </w:r>
      <w:r w:rsidRPr="009B04EE">
        <w:rPr>
          <w:rFonts w:ascii="Times New Roman" w:hAnsi="Times New Roman" w:cs="Times New Roman"/>
          <w:color w:val="000000"/>
          <w:sz w:val="28"/>
          <w:szCs w:val="28"/>
        </w:rPr>
        <w:t xml:space="preserve"> Data Cleaning</w:t>
      </w:r>
    </w:p>
    <w:p w14:paraId="573B7E8A" w14:textId="77777777" w:rsidR="00D137AF" w:rsidRPr="009B04EE" w:rsidRDefault="00D137AF"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color w:val="000000"/>
        </w:rPr>
        <w:t xml:space="preserve">Missing Values: The </w:t>
      </w:r>
      <w:proofErr w:type="spellStart"/>
      <w:r w:rsidRPr="009B04EE">
        <w:rPr>
          <w:rFonts w:ascii="Times New Roman" w:hAnsi="Times New Roman" w:cs="Times New Roman"/>
          <w:color w:val="000000"/>
        </w:rPr>
        <w:t>TotalCharges</w:t>
      </w:r>
      <w:proofErr w:type="spellEnd"/>
      <w:r w:rsidRPr="009B04EE">
        <w:rPr>
          <w:rFonts w:ascii="Times New Roman" w:hAnsi="Times New Roman" w:cs="Times New Roman"/>
          <w:color w:val="000000"/>
        </w:rPr>
        <w:t xml:space="preserve"> column contained 11 blank string values (representing customers with 0 tenure). These were coerced to numeric and the 11 rows were dropped, leaving 7,032 clean records. No other column contained missing values.</w:t>
      </w:r>
    </w:p>
    <w:p w14:paraId="207248CE" w14:textId="555B9491" w:rsidR="00D137AF" w:rsidRPr="009B04EE" w:rsidRDefault="00D137AF"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noProof/>
          <w:color w:val="000000"/>
        </w:rPr>
        <w:lastRenderedPageBreak/>
        <w:pict w14:anchorId="77D63BBB">
          <v:shape id="_x0000_i1113" type="#_x0000_t75" style="width:486pt;height:184.8pt;visibility:visible;mso-wrap-style:square">
            <v:imagedata r:id="rId14" o:title=""/>
          </v:shape>
        </w:pict>
      </w:r>
    </w:p>
    <w:p w14:paraId="5B5FC40D" w14:textId="209D854F" w:rsidR="00D137AF" w:rsidRPr="009B04EE" w:rsidRDefault="00D137AF" w:rsidP="00DF5FE2">
      <w:pPr>
        <w:pStyle w:val="Heading3"/>
        <w:jc w:val="both"/>
        <w:rPr>
          <w:rFonts w:ascii="Times New Roman" w:hAnsi="Times New Roman" w:cs="Times New Roman"/>
        </w:rPr>
      </w:pPr>
      <w:r w:rsidRPr="009B04EE">
        <w:rPr>
          <w:rFonts w:ascii="Times New Roman" w:hAnsi="Times New Roman" w:cs="Times New Roman"/>
          <w:color w:val="333333"/>
          <w:sz w:val="28"/>
          <w:szCs w:val="28"/>
        </w:rPr>
        <w:t>6</w:t>
      </w:r>
      <w:r w:rsidRPr="009B04EE">
        <w:rPr>
          <w:rFonts w:ascii="Times New Roman" w:hAnsi="Times New Roman" w:cs="Times New Roman"/>
          <w:color w:val="333333"/>
          <w:sz w:val="28"/>
          <w:szCs w:val="28"/>
        </w:rPr>
        <w:t>.</w:t>
      </w:r>
      <w:r w:rsidRPr="009B04EE">
        <w:rPr>
          <w:rFonts w:ascii="Times New Roman" w:hAnsi="Times New Roman" w:cs="Times New Roman"/>
          <w:color w:val="333333"/>
          <w:sz w:val="28"/>
          <w:szCs w:val="28"/>
        </w:rPr>
        <w:t>4</w:t>
      </w:r>
      <w:r w:rsidRPr="009B04EE">
        <w:rPr>
          <w:rFonts w:ascii="Times New Roman" w:hAnsi="Times New Roman" w:cs="Times New Roman"/>
          <w:color w:val="333333"/>
          <w:sz w:val="28"/>
          <w:szCs w:val="28"/>
        </w:rPr>
        <w:t xml:space="preserve"> Data Type Corrections</w:t>
      </w:r>
    </w:p>
    <w:p w14:paraId="03F10FED" w14:textId="77777777" w:rsidR="00D137AF" w:rsidRPr="009B04EE" w:rsidRDefault="00D137AF" w:rsidP="00DF5FE2">
      <w:pPr>
        <w:spacing w:before="80" w:after="80"/>
        <w:jc w:val="both"/>
        <w:rPr>
          <w:rFonts w:ascii="Times New Roman" w:hAnsi="Times New Roman" w:cs="Times New Roman"/>
          <w:color w:val="000000"/>
        </w:rPr>
      </w:pPr>
      <w:proofErr w:type="spellStart"/>
      <w:r w:rsidRPr="009B04EE">
        <w:rPr>
          <w:rFonts w:ascii="Times New Roman" w:hAnsi="Times New Roman" w:cs="Times New Roman"/>
          <w:color w:val="000000"/>
        </w:rPr>
        <w:t>SeniorCitizen</w:t>
      </w:r>
      <w:proofErr w:type="spellEnd"/>
      <w:r w:rsidRPr="009B04EE">
        <w:rPr>
          <w:rFonts w:ascii="Times New Roman" w:hAnsi="Times New Roman" w:cs="Times New Roman"/>
          <w:color w:val="000000"/>
        </w:rPr>
        <w:t xml:space="preserve"> was stored as integer (0/1) and converted to a categorical type for correct handling in visualizations. The Churn target variable was converted from Yes/No string to binary integer (1/0) using map () for model compatibility.</w:t>
      </w:r>
    </w:p>
    <w:p w14:paraId="51FCAB79" w14:textId="00A302CB" w:rsidR="00D137AF" w:rsidRPr="009B04EE" w:rsidRDefault="00D137AF" w:rsidP="00DF5FE2">
      <w:pPr>
        <w:spacing w:before="80" w:after="80"/>
        <w:jc w:val="both"/>
        <w:rPr>
          <w:rFonts w:ascii="Times New Roman" w:hAnsi="Times New Roman" w:cs="Times New Roman"/>
        </w:rPr>
      </w:pPr>
      <w:r w:rsidRPr="009B04EE">
        <w:rPr>
          <w:rFonts w:ascii="Times New Roman" w:hAnsi="Times New Roman" w:cs="Times New Roman"/>
          <w:noProof/>
        </w:rPr>
        <w:pict w14:anchorId="3F9B8E13">
          <v:shape id="_x0000_i1112" type="#_x0000_t75" style="width:486pt;height:86.4pt;visibility:visible;mso-wrap-style:square">
            <v:imagedata r:id="rId15" o:title=""/>
          </v:shape>
        </w:pict>
      </w:r>
    </w:p>
    <w:p w14:paraId="654B1985" w14:textId="77777777" w:rsidR="00D137AF" w:rsidRPr="009B04EE" w:rsidRDefault="00D137AF" w:rsidP="00DF5FE2">
      <w:pPr>
        <w:spacing w:before="60" w:after="60"/>
        <w:jc w:val="both"/>
        <w:rPr>
          <w:rFonts w:ascii="Times New Roman" w:hAnsi="Times New Roman" w:cs="Times New Roman"/>
        </w:rPr>
      </w:pPr>
    </w:p>
    <w:p w14:paraId="0D1EF7FC" w14:textId="10664316" w:rsidR="00D137AF" w:rsidRPr="009B04EE" w:rsidRDefault="00D137AF" w:rsidP="00DF5FE2">
      <w:pPr>
        <w:spacing w:before="100" w:beforeAutospacing="1" w:after="100" w:afterAutospacing="1"/>
        <w:jc w:val="both"/>
        <w:outlineLvl w:val="1"/>
        <w:rPr>
          <w:rFonts w:ascii="Times New Roman" w:eastAsia="Times New Roman" w:hAnsi="Times New Roman" w:cs="Times New Roman"/>
          <w:b/>
          <w:bCs/>
          <w:sz w:val="24"/>
          <w:szCs w:val="24"/>
        </w:rPr>
      </w:pPr>
      <w:r w:rsidRPr="009B04EE">
        <w:rPr>
          <w:rFonts w:ascii="Times New Roman" w:eastAsia="Times New Roman" w:hAnsi="Times New Roman" w:cs="Times New Roman"/>
          <w:b/>
          <w:bCs/>
          <w:sz w:val="24"/>
          <w:szCs w:val="24"/>
        </w:rPr>
        <w:t>6</w:t>
      </w:r>
      <w:r w:rsidRPr="009B04EE">
        <w:rPr>
          <w:rFonts w:ascii="Times New Roman" w:eastAsia="Times New Roman" w:hAnsi="Times New Roman" w:cs="Times New Roman"/>
          <w:b/>
          <w:bCs/>
          <w:sz w:val="24"/>
          <w:szCs w:val="24"/>
        </w:rPr>
        <w:t>.</w:t>
      </w:r>
      <w:r w:rsidRPr="009B04EE">
        <w:rPr>
          <w:rFonts w:ascii="Times New Roman" w:eastAsia="Times New Roman" w:hAnsi="Times New Roman" w:cs="Times New Roman"/>
          <w:b/>
          <w:bCs/>
          <w:sz w:val="24"/>
          <w:szCs w:val="24"/>
        </w:rPr>
        <w:t>5</w:t>
      </w:r>
      <w:r w:rsidRPr="009B04EE">
        <w:rPr>
          <w:rFonts w:ascii="Times New Roman" w:eastAsia="Times New Roman" w:hAnsi="Times New Roman" w:cs="Times New Roman"/>
          <w:b/>
          <w:bCs/>
          <w:sz w:val="24"/>
          <w:szCs w:val="24"/>
        </w:rPr>
        <w:t xml:space="preserve"> Outlier Assessment: The "Why"</w:t>
      </w:r>
    </w:p>
    <w:p w14:paraId="781C2AE7" w14:textId="77777777" w:rsidR="00D137AF" w:rsidRPr="009B04EE" w:rsidRDefault="00D137AF" w:rsidP="00DF5FE2">
      <w:pPr>
        <w:spacing w:before="100" w:beforeAutospacing="1" w:after="100" w:afterAutospacing="1"/>
        <w:jc w:val="both"/>
        <w:rPr>
          <w:rFonts w:ascii="Times New Roman" w:eastAsia="Times New Roman" w:hAnsi="Times New Roman" w:cs="Times New Roman"/>
          <w:sz w:val="24"/>
          <w:szCs w:val="24"/>
        </w:rPr>
      </w:pPr>
      <w:r w:rsidRPr="009B04EE">
        <w:rPr>
          <w:rFonts w:ascii="Times New Roman" w:eastAsia="Times New Roman" w:hAnsi="Times New Roman" w:cs="Times New Roman"/>
          <w:sz w:val="24"/>
          <w:szCs w:val="24"/>
        </w:rPr>
        <w:t>You mentioned that high monthly charges for long-tenure customers were observed but kept. This is a crucial distinction:</w:t>
      </w:r>
    </w:p>
    <w:p w14:paraId="6BA6CE23" w14:textId="77777777" w:rsidR="00D137AF" w:rsidRPr="009B04EE" w:rsidRDefault="00D137AF" w:rsidP="00DF5FE2">
      <w:pPr>
        <w:numPr>
          <w:ilvl w:val="0"/>
          <w:numId w:val="4"/>
        </w:numPr>
        <w:suppressAutoHyphens w:val="0"/>
        <w:spacing w:before="100" w:beforeAutospacing="1" w:after="100" w:afterAutospacing="1"/>
        <w:jc w:val="both"/>
        <w:rPr>
          <w:rFonts w:ascii="Times New Roman" w:eastAsia="Times New Roman" w:hAnsi="Times New Roman" w:cs="Times New Roman"/>
          <w:sz w:val="24"/>
          <w:szCs w:val="24"/>
        </w:rPr>
      </w:pPr>
      <w:r w:rsidRPr="009B04EE">
        <w:rPr>
          <w:rFonts w:ascii="Times New Roman" w:eastAsia="Times New Roman" w:hAnsi="Times New Roman" w:cs="Times New Roman"/>
          <w:b/>
          <w:bCs/>
          <w:sz w:val="24"/>
          <w:szCs w:val="24"/>
        </w:rPr>
        <w:t>Continuous Variables:</w:t>
      </w:r>
      <w:r w:rsidRPr="009B04EE">
        <w:rPr>
          <w:rFonts w:ascii="Times New Roman" w:eastAsia="Times New Roman" w:hAnsi="Times New Roman" w:cs="Times New Roman"/>
          <w:sz w:val="24"/>
          <w:szCs w:val="24"/>
        </w:rPr>
        <w:t xml:space="preserve"> Tenure, </w:t>
      </w:r>
      <w:proofErr w:type="spellStart"/>
      <w:r w:rsidRPr="009B04EE">
        <w:rPr>
          <w:rFonts w:ascii="Times New Roman" w:eastAsia="Times New Roman" w:hAnsi="Times New Roman" w:cs="Times New Roman"/>
          <w:sz w:val="24"/>
          <w:szCs w:val="24"/>
        </w:rPr>
        <w:t>MonthlyCharges</w:t>
      </w:r>
      <w:proofErr w:type="spellEnd"/>
      <w:r w:rsidRPr="009B04EE">
        <w:rPr>
          <w:rFonts w:ascii="Times New Roman" w:eastAsia="Times New Roman" w:hAnsi="Times New Roman" w:cs="Times New Roman"/>
          <w:sz w:val="24"/>
          <w:szCs w:val="24"/>
        </w:rPr>
        <w:t xml:space="preserve">, and </w:t>
      </w:r>
      <w:proofErr w:type="spellStart"/>
      <w:r w:rsidRPr="009B04EE">
        <w:rPr>
          <w:rFonts w:ascii="Times New Roman" w:eastAsia="Times New Roman" w:hAnsi="Times New Roman" w:cs="Times New Roman"/>
          <w:sz w:val="24"/>
          <w:szCs w:val="24"/>
        </w:rPr>
        <w:t>TotalCharges</w:t>
      </w:r>
      <w:proofErr w:type="spellEnd"/>
      <w:r w:rsidRPr="009B04EE">
        <w:rPr>
          <w:rFonts w:ascii="Times New Roman" w:eastAsia="Times New Roman" w:hAnsi="Times New Roman" w:cs="Times New Roman"/>
          <w:sz w:val="24"/>
          <w:szCs w:val="24"/>
        </w:rPr>
        <w:t xml:space="preserve"> are the three main numerical features.</w:t>
      </w:r>
    </w:p>
    <w:p w14:paraId="793EF60B" w14:textId="77777777" w:rsidR="00D137AF" w:rsidRPr="009B04EE" w:rsidRDefault="00D137AF" w:rsidP="00DF5FE2">
      <w:pPr>
        <w:numPr>
          <w:ilvl w:val="0"/>
          <w:numId w:val="4"/>
        </w:numPr>
        <w:suppressAutoHyphens w:val="0"/>
        <w:spacing w:before="100" w:beforeAutospacing="1" w:after="100" w:afterAutospacing="1"/>
        <w:jc w:val="both"/>
        <w:rPr>
          <w:rFonts w:ascii="Times New Roman" w:eastAsia="Times New Roman" w:hAnsi="Times New Roman" w:cs="Times New Roman"/>
          <w:sz w:val="24"/>
          <w:szCs w:val="24"/>
        </w:rPr>
      </w:pPr>
      <w:r w:rsidRPr="009B04EE">
        <w:rPr>
          <w:rFonts w:ascii="Times New Roman" w:eastAsia="Times New Roman" w:hAnsi="Times New Roman" w:cs="Times New Roman"/>
          <w:b/>
          <w:bCs/>
          <w:sz w:val="24"/>
          <w:szCs w:val="24"/>
        </w:rPr>
        <w:t>Interpretation:</w:t>
      </w:r>
      <w:r w:rsidRPr="009B04EE">
        <w:rPr>
          <w:rFonts w:ascii="Times New Roman" w:eastAsia="Times New Roman" w:hAnsi="Times New Roman" w:cs="Times New Roman"/>
          <w:sz w:val="24"/>
          <w:szCs w:val="24"/>
        </w:rPr>
        <w:t xml:space="preserve"> High charges are </w:t>
      </w:r>
      <w:r w:rsidRPr="009B04EE">
        <w:rPr>
          <w:rFonts w:ascii="Times New Roman" w:eastAsia="Times New Roman" w:hAnsi="Times New Roman" w:cs="Times New Roman"/>
          <w:b/>
          <w:bCs/>
          <w:sz w:val="24"/>
          <w:szCs w:val="24"/>
        </w:rPr>
        <w:t>natural outliers</w:t>
      </w:r>
      <w:r w:rsidRPr="009B04EE">
        <w:rPr>
          <w:rFonts w:ascii="Times New Roman" w:eastAsia="Times New Roman" w:hAnsi="Times New Roman" w:cs="Times New Roman"/>
          <w:sz w:val="24"/>
          <w:szCs w:val="24"/>
        </w:rPr>
        <w:t xml:space="preserve">, not </w:t>
      </w:r>
      <w:r w:rsidRPr="009B04EE">
        <w:rPr>
          <w:rFonts w:ascii="Times New Roman" w:eastAsia="Times New Roman" w:hAnsi="Times New Roman" w:cs="Times New Roman"/>
          <w:b/>
          <w:bCs/>
          <w:sz w:val="24"/>
          <w:szCs w:val="24"/>
        </w:rPr>
        <w:t>data errors</w:t>
      </w:r>
      <w:r w:rsidRPr="009B04EE">
        <w:rPr>
          <w:rFonts w:ascii="Times New Roman" w:eastAsia="Times New Roman" w:hAnsi="Times New Roman" w:cs="Times New Roman"/>
          <w:sz w:val="24"/>
          <w:szCs w:val="24"/>
        </w:rPr>
        <w:t>. In Telecom, a customer with every premium add-on (Fiber, 4K Streaming, Unlimited Tech Support) will naturally sit far to the right on a box plot. Removing them would delete your most valuable "Power User" segment.</w:t>
      </w:r>
    </w:p>
    <w:p w14:paraId="7F720266" w14:textId="67FDCF8D" w:rsidR="00D137AF" w:rsidRPr="009B04EE" w:rsidRDefault="00D137AF"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noProof/>
          <w:color w:val="000000"/>
        </w:rPr>
        <w:lastRenderedPageBreak/>
        <w:pict w14:anchorId="4F0954B0">
          <v:shape id="_x0000_i1111" type="#_x0000_t75" style="width:486pt;height:253.2pt;visibility:visible;mso-wrap-style:square">
            <v:imagedata r:id="rId16" o:title=""/>
          </v:shape>
        </w:pict>
      </w:r>
    </w:p>
    <w:p w14:paraId="53D2ED61" w14:textId="77777777" w:rsidR="00D137AF" w:rsidRPr="009B04EE" w:rsidRDefault="00D137AF"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color w:val="000000"/>
        </w:rPr>
        <w:t>.</w:t>
      </w:r>
    </w:p>
    <w:p w14:paraId="41D4B6EA" w14:textId="77777777" w:rsidR="00D137AF" w:rsidRPr="009B04EE" w:rsidRDefault="00D137AF" w:rsidP="00DF5FE2">
      <w:pPr>
        <w:pStyle w:val="ListParagraph"/>
        <w:spacing w:before="60" w:after="60" w:line="360" w:lineRule="auto"/>
        <w:jc w:val="both"/>
        <w:rPr>
          <w:rFonts w:ascii="Times New Roman" w:hAnsi="Times New Roman" w:cs="Times New Roman"/>
          <w:color w:val="000000"/>
        </w:rPr>
      </w:pPr>
    </w:p>
    <w:p w14:paraId="4C2096EE" w14:textId="2AE93E05" w:rsidR="00597077" w:rsidRPr="009B04EE" w:rsidRDefault="00597077" w:rsidP="00DF5FE2">
      <w:pPr>
        <w:pStyle w:val="Heading2"/>
        <w:spacing w:before="300" w:after="150" w:line="360" w:lineRule="auto"/>
        <w:jc w:val="both"/>
        <w:rPr>
          <w:rFonts w:ascii="Times New Roman" w:hAnsi="Times New Roman" w:cs="Times New Roman"/>
          <w:color w:val="000000"/>
        </w:rPr>
      </w:pPr>
      <w:r w:rsidRPr="009B04EE">
        <w:rPr>
          <w:rFonts w:ascii="Times New Roman" w:hAnsi="Times New Roman" w:cs="Times New Roman"/>
          <w:color w:val="000000"/>
          <w:sz w:val="24"/>
          <w:szCs w:val="24"/>
        </w:rPr>
        <w:t>6.</w:t>
      </w:r>
      <w:r w:rsidR="00D137AF" w:rsidRPr="009B04EE">
        <w:rPr>
          <w:rFonts w:ascii="Times New Roman" w:hAnsi="Times New Roman" w:cs="Times New Roman"/>
          <w:color w:val="000000"/>
          <w:sz w:val="24"/>
          <w:szCs w:val="24"/>
        </w:rPr>
        <w:t>6</w:t>
      </w:r>
      <w:r w:rsidRPr="009B04EE">
        <w:rPr>
          <w:rFonts w:ascii="Times New Roman" w:hAnsi="Times New Roman" w:cs="Times New Roman"/>
          <w:color w:val="000000"/>
          <w:sz w:val="24"/>
          <w:szCs w:val="24"/>
        </w:rPr>
        <w:t xml:space="preserve"> Demographic Analysis</w:t>
      </w:r>
    </w:p>
    <w:p w14:paraId="194B1556" w14:textId="77777777" w:rsidR="00597077" w:rsidRPr="009B04EE" w:rsidRDefault="00597077" w:rsidP="00DF5FE2">
      <w:pPr>
        <w:spacing w:before="60" w:after="120" w:line="360" w:lineRule="auto"/>
        <w:jc w:val="both"/>
        <w:rPr>
          <w:rFonts w:ascii="Times New Roman" w:hAnsi="Times New Roman" w:cs="Times New Roman"/>
          <w:color w:val="000000"/>
        </w:rPr>
      </w:pPr>
      <w:r w:rsidRPr="009B04EE">
        <w:rPr>
          <w:rFonts w:ascii="Times New Roman" w:hAnsi="Times New Roman" w:cs="Times New Roman"/>
          <w:color w:val="000000"/>
        </w:rPr>
        <w:t>Gender does not show a statistically significant difference in churn rates (male: 26.2%, female: 26.9%), confirming gender is not a strong churn predictor. However, senior citizens exhibit a significantly higher churn rate of 41.7% compared to 23.6% for non-senior customers — a difference of 18 percentage points that is statistically significant (chi-squared p &lt; 0.001).</w:t>
      </w:r>
    </w:p>
    <w:p w14:paraId="707E34CB" w14:textId="016B9232" w:rsidR="00597077" w:rsidRPr="009B04EE" w:rsidRDefault="00401A05" w:rsidP="00DF5FE2">
      <w:pPr>
        <w:spacing w:before="60" w:after="120" w:line="320" w:lineRule="auto"/>
        <w:jc w:val="both"/>
        <w:rPr>
          <w:rFonts w:ascii="Times New Roman" w:hAnsi="Times New Roman" w:cs="Times New Roman"/>
          <w:color w:val="000000"/>
          <w:sz w:val="24"/>
          <w:szCs w:val="24"/>
        </w:rPr>
      </w:pPr>
      <w:r w:rsidRPr="009B04EE">
        <w:rPr>
          <w:rFonts w:ascii="Times New Roman" w:hAnsi="Times New Roman" w:cs="Times New Roman"/>
          <w:noProof/>
          <w:color w:val="000000"/>
          <w:sz w:val="24"/>
          <w:szCs w:val="24"/>
        </w:rPr>
        <w:pict w14:anchorId="7B02B6D5">
          <v:shape id="_x0000_i1101" type="#_x0000_t75" style="width:486pt;height:178.8pt;visibility:visible;mso-wrap-style:square">
            <v:imagedata r:id="rId17" o:title=""/>
          </v:shape>
        </w:pict>
      </w:r>
    </w:p>
    <w:p w14:paraId="34BC448F" w14:textId="2438F562" w:rsidR="00597077" w:rsidRPr="009B04EE" w:rsidRDefault="00401A05" w:rsidP="00DF5FE2">
      <w:pPr>
        <w:spacing w:before="200" w:after="200"/>
        <w:jc w:val="both"/>
        <w:rPr>
          <w:rFonts w:ascii="Times New Roman" w:hAnsi="Times New Roman" w:cs="Times New Roman"/>
          <w:color w:val="000000"/>
        </w:rPr>
      </w:pPr>
      <w:r w:rsidRPr="009B04EE">
        <w:rPr>
          <w:rFonts w:ascii="Times New Roman" w:hAnsi="Times New Roman" w:cs="Times New Roman"/>
          <w:noProof/>
          <w:color w:val="000000"/>
        </w:rPr>
        <w:lastRenderedPageBreak/>
        <w:pict w14:anchorId="60E4FACF">
          <v:shape id="Picture 1" o:spid="_x0000_i1102" type="#_x0000_t75" style="width:486pt;height:326.4pt;visibility:visible;mso-wrap-style:square">
            <v:imagedata r:id="rId18" o:title=""/>
          </v:shape>
        </w:pict>
      </w:r>
    </w:p>
    <w:p w14:paraId="3036BA28" w14:textId="53B33A9C" w:rsidR="00597077" w:rsidRPr="009B04EE" w:rsidRDefault="00597077" w:rsidP="00DF5FE2">
      <w:pPr>
        <w:spacing w:before="60" w:after="200"/>
        <w:jc w:val="both"/>
        <w:rPr>
          <w:rFonts w:ascii="Times New Roman" w:hAnsi="Times New Roman" w:cs="Times New Roman"/>
          <w:color w:val="000000"/>
        </w:rPr>
      </w:pPr>
      <w:r w:rsidRPr="009B04EE">
        <w:rPr>
          <w:rFonts w:ascii="Times New Roman" w:hAnsi="Times New Roman" w:cs="Times New Roman"/>
          <w:i/>
          <w:color w:val="000000"/>
          <w:sz w:val="18"/>
          <w:szCs w:val="18"/>
        </w:rPr>
        <w:t>Figure 2: Churn Rates by Contract Type, Internet Service, Payment Method, and Add-on Services</w:t>
      </w:r>
    </w:p>
    <w:p w14:paraId="3E906E6B" w14:textId="77777777" w:rsidR="00597077" w:rsidRPr="009B04EE" w:rsidRDefault="00597077" w:rsidP="00DF5FE2">
      <w:pPr>
        <w:jc w:val="both"/>
        <w:rPr>
          <w:rFonts w:ascii="Times New Roman" w:hAnsi="Times New Roman" w:cs="Times New Roman"/>
          <w:color w:val="000000"/>
        </w:rPr>
      </w:pPr>
    </w:p>
    <w:p w14:paraId="45E8C933" w14:textId="77777777" w:rsidR="00597077" w:rsidRPr="009B04EE" w:rsidRDefault="00597077"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color w:val="000000"/>
        </w:rPr>
        <w:t>Customers without partners churn at a rate of 33.0% compared to 19.7% for partnered customers. Similarly, customers with no dependents churn at 31.3% versus 15.5% with dependents. This suggests that single, independent customers have lower switching costs and higher churn propensity.</w:t>
      </w:r>
    </w:p>
    <w:p w14:paraId="0E7B8A90" w14:textId="43D83CAA" w:rsidR="00597077" w:rsidRPr="009B04EE" w:rsidRDefault="00597077" w:rsidP="00DF5FE2">
      <w:pPr>
        <w:pStyle w:val="Heading2"/>
        <w:spacing w:before="300" w:after="150"/>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6.</w:t>
      </w:r>
      <w:r w:rsidR="00D137AF" w:rsidRPr="009B04EE">
        <w:rPr>
          <w:rFonts w:ascii="Times New Roman" w:hAnsi="Times New Roman" w:cs="Times New Roman"/>
          <w:color w:val="000000"/>
          <w:sz w:val="24"/>
          <w:szCs w:val="24"/>
        </w:rPr>
        <w:t xml:space="preserve">7 </w:t>
      </w:r>
      <w:r w:rsidRPr="009B04EE">
        <w:rPr>
          <w:rFonts w:ascii="Times New Roman" w:hAnsi="Times New Roman" w:cs="Times New Roman"/>
          <w:color w:val="000000"/>
          <w:sz w:val="24"/>
          <w:szCs w:val="24"/>
        </w:rPr>
        <w:t>Service Usage Patterns</w:t>
      </w:r>
    </w:p>
    <w:p w14:paraId="1854CD2F" w14:textId="6CEDAD9C" w:rsidR="00597077" w:rsidRPr="009B04EE" w:rsidRDefault="00597077" w:rsidP="00DF5FE2">
      <w:pPr>
        <w:spacing w:before="60" w:after="120" w:line="32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Internet service type is among the strongest churn drivers in the EDA. Fiber optic internet customers churn at 41.9%, dramatically higher than DSL customers (18.9%) and customers with no internet service (7.4%). This may indicate pricing dissatisfaction or service quality issues with Fiber optic offerings.</w:t>
      </w:r>
    </w:p>
    <w:p w14:paraId="6C4F1C0E" w14:textId="77777777" w:rsidR="004C371B" w:rsidRPr="009B04EE" w:rsidRDefault="00597077" w:rsidP="00DF5FE2">
      <w:pPr>
        <w:spacing w:before="60" w:after="120" w:line="320" w:lineRule="auto"/>
        <w:jc w:val="both"/>
        <w:rPr>
          <w:rFonts w:ascii="Times New Roman" w:hAnsi="Times New Roman" w:cs="Times New Roman"/>
          <w:noProof/>
        </w:rPr>
      </w:pPr>
      <w:r w:rsidRPr="009B04EE">
        <w:rPr>
          <w:rFonts w:ascii="Times New Roman" w:hAnsi="Times New Roman" w:cs="Times New Roman"/>
          <w:color w:val="000000"/>
          <w:sz w:val="24"/>
          <w:szCs w:val="24"/>
        </w:rPr>
        <w:t>Customers enrolled in value-added security and support services show substantially lower churn rates. Online security subscribers churn at 14.6% versus 41.8% for non-subscribers. Tech support shows a similar pattern: 15.2% churn with support versus 41.7% without. This suggests these add-ons increase customer stickiness and perceived value.</w:t>
      </w:r>
      <w:r w:rsidRPr="009B04EE">
        <w:rPr>
          <w:rFonts w:ascii="Times New Roman" w:hAnsi="Times New Roman" w:cs="Times New Roman"/>
          <w:noProof/>
        </w:rPr>
        <w:t xml:space="preserve"> </w:t>
      </w:r>
    </w:p>
    <w:p w14:paraId="59618676" w14:textId="4CD73DC4" w:rsidR="004C371B" w:rsidRPr="009B04EE" w:rsidRDefault="00401A05" w:rsidP="00DF5FE2">
      <w:pPr>
        <w:spacing w:before="60" w:after="120" w:line="320" w:lineRule="auto"/>
        <w:jc w:val="both"/>
        <w:rPr>
          <w:rFonts w:ascii="Times New Roman" w:hAnsi="Times New Roman" w:cs="Times New Roman"/>
          <w:noProof/>
        </w:rPr>
      </w:pPr>
      <w:r w:rsidRPr="009B04EE">
        <w:rPr>
          <w:rFonts w:ascii="Times New Roman" w:hAnsi="Times New Roman" w:cs="Times New Roman"/>
          <w:noProof/>
        </w:rPr>
        <w:lastRenderedPageBreak/>
        <w:pict w14:anchorId="2A0244C9">
          <v:shape id="_x0000_i1103" type="#_x0000_t75" style="width:468pt;height:258pt;visibility:visible;mso-wrap-style:square">
            <v:imagedata r:id="rId19" o:title=""/>
          </v:shape>
        </w:pict>
      </w:r>
    </w:p>
    <w:p w14:paraId="0C1623DE" w14:textId="40B05AC6" w:rsidR="00597077" w:rsidRPr="009B04EE" w:rsidRDefault="00401A05" w:rsidP="00DF5FE2">
      <w:pPr>
        <w:spacing w:before="60" w:after="120" w:line="320" w:lineRule="auto"/>
        <w:jc w:val="both"/>
        <w:rPr>
          <w:rFonts w:ascii="Times New Roman" w:hAnsi="Times New Roman" w:cs="Times New Roman"/>
          <w:noProof/>
        </w:rPr>
      </w:pPr>
      <w:r w:rsidRPr="009B04EE">
        <w:rPr>
          <w:rFonts w:ascii="Times New Roman" w:hAnsi="Times New Roman" w:cs="Times New Roman"/>
          <w:noProof/>
          <w:color w:val="000000"/>
          <w:sz w:val="28"/>
          <w:szCs w:val="28"/>
        </w:rPr>
        <w:pict w14:anchorId="07F7A863">
          <v:shape id="_x0000_i1104" type="#_x0000_t75" style="width:468pt;height:327.6pt;visibility:visible;mso-wrap-style:square">
            <v:imagedata r:id="rId20" o:title=""/>
          </v:shape>
        </w:pict>
      </w:r>
    </w:p>
    <w:p w14:paraId="47D33C55" w14:textId="74D0FC55" w:rsidR="004E4869" w:rsidRPr="009B04EE" w:rsidRDefault="004E4869" w:rsidP="00DF5FE2">
      <w:pPr>
        <w:pStyle w:val="Heading2"/>
        <w:spacing w:before="300" w:after="150"/>
        <w:jc w:val="both"/>
        <w:rPr>
          <w:rFonts w:ascii="Times New Roman" w:hAnsi="Times New Roman" w:cs="Times New Roman"/>
          <w:color w:val="000000"/>
          <w:sz w:val="36"/>
          <w:szCs w:val="36"/>
        </w:rPr>
      </w:pPr>
      <w:r w:rsidRPr="009B04EE">
        <w:rPr>
          <w:rFonts w:ascii="Times New Roman" w:hAnsi="Times New Roman" w:cs="Times New Roman"/>
          <w:color w:val="000000"/>
          <w:sz w:val="28"/>
          <w:szCs w:val="28"/>
        </w:rPr>
        <w:lastRenderedPageBreak/>
        <w:t>6.</w:t>
      </w:r>
      <w:r w:rsidR="00D137AF" w:rsidRPr="009B04EE">
        <w:rPr>
          <w:rFonts w:ascii="Times New Roman" w:hAnsi="Times New Roman" w:cs="Times New Roman"/>
          <w:color w:val="000000"/>
          <w:sz w:val="28"/>
          <w:szCs w:val="28"/>
        </w:rPr>
        <w:t xml:space="preserve">8 </w:t>
      </w:r>
      <w:r w:rsidRPr="009B04EE">
        <w:rPr>
          <w:rFonts w:ascii="Times New Roman" w:hAnsi="Times New Roman" w:cs="Times New Roman"/>
          <w:color w:val="000000"/>
          <w:sz w:val="28"/>
          <w:szCs w:val="28"/>
        </w:rPr>
        <w:t>Tenure and Monthly Charges Distribution vs Churn</w:t>
      </w:r>
    </w:p>
    <w:p w14:paraId="0DBE6D36" w14:textId="77777777" w:rsidR="004E4869" w:rsidRPr="009B04EE" w:rsidRDefault="004E4869" w:rsidP="00DF5FE2">
      <w:pPr>
        <w:spacing w:before="60" w:after="120" w:line="32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Tenure is the single most discriminating numerical feature: churned customers overwhelmingly cluster in the first 12 months, confirming that early engagement is critical. Monthly charges are skewed higher among churners, reflecting the price sensitivity of high-value customers on flexible contracts. The scatter plot (right) illustrates the high-risk zone of low-tenure, high-charge customers.</w:t>
      </w:r>
    </w:p>
    <w:p w14:paraId="5D706C69" w14:textId="398F2003" w:rsidR="004E4869" w:rsidRPr="009B04EE" w:rsidRDefault="00401A05" w:rsidP="00DF5FE2">
      <w:pPr>
        <w:spacing w:before="60" w:after="120" w:line="320" w:lineRule="auto"/>
        <w:jc w:val="both"/>
        <w:rPr>
          <w:rFonts w:ascii="Times New Roman" w:hAnsi="Times New Roman" w:cs="Times New Roman"/>
          <w:color w:val="000000"/>
          <w:sz w:val="24"/>
          <w:szCs w:val="24"/>
        </w:rPr>
      </w:pPr>
      <w:r w:rsidRPr="009B04EE">
        <w:rPr>
          <w:rFonts w:ascii="Times New Roman" w:hAnsi="Times New Roman" w:cs="Times New Roman"/>
          <w:noProof/>
          <w:color w:val="000000"/>
          <w:sz w:val="24"/>
          <w:szCs w:val="24"/>
        </w:rPr>
        <w:pict w14:anchorId="366213FA">
          <v:shape id="_x0000_i1105" type="#_x0000_t75" style="width:486pt;height:166.8pt;visibility:visible;mso-wrap-style:square">
            <v:imagedata r:id="rId21" o:title=""/>
          </v:shape>
        </w:pict>
      </w:r>
    </w:p>
    <w:p w14:paraId="3CFBD009" w14:textId="521D65CD" w:rsidR="004E4869" w:rsidRPr="009B04EE" w:rsidRDefault="00401A05" w:rsidP="00DF5FE2">
      <w:pPr>
        <w:spacing w:before="120" w:after="120"/>
        <w:jc w:val="both"/>
        <w:rPr>
          <w:rFonts w:ascii="Times New Roman" w:hAnsi="Times New Roman" w:cs="Times New Roman"/>
          <w:color w:val="000000"/>
        </w:rPr>
      </w:pPr>
      <w:r w:rsidRPr="009B04EE">
        <w:rPr>
          <w:rFonts w:ascii="Times New Roman" w:hAnsi="Times New Roman" w:cs="Times New Roman"/>
          <w:noProof/>
          <w:color w:val="000000"/>
        </w:rPr>
        <w:pict w14:anchorId="26BF81A5">
          <v:shape id="_x0000_i1106" type="#_x0000_t75" style="width:484.8pt;height:298.8pt;visibility:visible;mso-wrap-style:square">
            <v:imagedata r:id="rId22" o:title=""/>
          </v:shape>
        </w:pict>
      </w:r>
    </w:p>
    <w:p w14:paraId="7A3E86F7" w14:textId="3B6C6108"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w:t>
      </w:r>
    </w:p>
    <w:p w14:paraId="50D6A619" w14:textId="4A436BB1" w:rsidR="005B6E06" w:rsidRPr="009B04EE" w:rsidRDefault="005B6E06" w:rsidP="00DF5FE2">
      <w:pPr>
        <w:pStyle w:val="Heading2"/>
        <w:spacing w:before="300" w:after="150"/>
        <w:jc w:val="both"/>
        <w:rPr>
          <w:rFonts w:ascii="Times New Roman" w:hAnsi="Times New Roman" w:cs="Times New Roman"/>
          <w:color w:val="000000"/>
        </w:rPr>
      </w:pPr>
      <w:r w:rsidRPr="009B04EE">
        <w:rPr>
          <w:rFonts w:ascii="Times New Roman" w:hAnsi="Times New Roman" w:cs="Times New Roman"/>
          <w:color w:val="000000"/>
          <w:sz w:val="24"/>
          <w:szCs w:val="24"/>
        </w:rPr>
        <w:lastRenderedPageBreak/>
        <w:t>6.</w:t>
      </w:r>
      <w:r w:rsidR="00D137AF" w:rsidRPr="009B04EE">
        <w:rPr>
          <w:rFonts w:ascii="Times New Roman" w:hAnsi="Times New Roman" w:cs="Times New Roman"/>
          <w:color w:val="000000"/>
          <w:sz w:val="24"/>
          <w:szCs w:val="24"/>
        </w:rPr>
        <w:t>9</w:t>
      </w:r>
      <w:r w:rsidRPr="009B04EE">
        <w:rPr>
          <w:rFonts w:ascii="Times New Roman" w:hAnsi="Times New Roman" w:cs="Times New Roman"/>
          <w:color w:val="000000"/>
          <w:sz w:val="24"/>
          <w:szCs w:val="24"/>
        </w:rPr>
        <w:t xml:space="preserve"> Correlation Heatmap</w:t>
      </w:r>
    </w:p>
    <w:p w14:paraId="55AEE473" w14:textId="77777777" w:rsidR="005B6E06" w:rsidRPr="009B04EE" w:rsidRDefault="005B6E06"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color w:val="000000"/>
        </w:rPr>
        <w:t xml:space="preserve">The heatmap below reveals the Pearson correlation coefficients between the key numerical and encoded features. Contract risk and tenure exhibit the strongest negative correlations with churn, while monthly charges show a moderate positive correlation. Total charges </w:t>
      </w:r>
      <w:proofErr w:type="gramStart"/>
      <w:r w:rsidRPr="009B04EE">
        <w:rPr>
          <w:rFonts w:ascii="Times New Roman" w:hAnsi="Times New Roman" w:cs="Times New Roman"/>
          <w:color w:val="000000"/>
        </w:rPr>
        <w:t>is</w:t>
      </w:r>
      <w:proofErr w:type="gramEnd"/>
      <w:r w:rsidRPr="009B04EE">
        <w:rPr>
          <w:rFonts w:ascii="Times New Roman" w:hAnsi="Times New Roman" w:cs="Times New Roman"/>
          <w:color w:val="000000"/>
        </w:rPr>
        <w:t xml:space="preserve"> largely explained by the interaction of tenure and monthly charges:</w:t>
      </w:r>
    </w:p>
    <w:p w14:paraId="317EE1AD" w14:textId="22BB6AAC" w:rsidR="005B6E06" w:rsidRPr="009B04EE" w:rsidRDefault="00401A05" w:rsidP="00DF5FE2">
      <w:pPr>
        <w:spacing w:before="60" w:after="120" w:line="320" w:lineRule="auto"/>
        <w:jc w:val="both"/>
        <w:rPr>
          <w:rFonts w:ascii="Times New Roman" w:hAnsi="Times New Roman" w:cs="Times New Roman"/>
          <w:color w:val="000000"/>
        </w:rPr>
      </w:pPr>
      <w:r w:rsidRPr="009B04EE">
        <w:rPr>
          <w:rFonts w:ascii="Times New Roman" w:hAnsi="Times New Roman" w:cs="Times New Roman"/>
          <w:noProof/>
          <w:color w:val="000000"/>
        </w:rPr>
        <w:pict w14:anchorId="39338B75">
          <v:shape id="_x0000_i1107" type="#_x0000_t75" style="width:486pt;height:130.8pt;visibility:visible;mso-wrap-style:square">
            <v:imagedata r:id="rId23" o:title=""/>
          </v:shape>
        </w:pict>
      </w:r>
    </w:p>
    <w:p w14:paraId="6BA471C7" w14:textId="77A62C89" w:rsidR="005B6E06" w:rsidRPr="009B04EE" w:rsidRDefault="00401A05" w:rsidP="00DF5FE2">
      <w:pPr>
        <w:spacing w:before="120" w:after="120"/>
        <w:jc w:val="both"/>
        <w:rPr>
          <w:rFonts w:ascii="Times New Roman" w:hAnsi="Times New Roman" w:cs="Times New Roman"/>
          <w:color w:val="000000"/>
        </w:rPr>
      </w:pPr>
      <w:r w:rsidRPr="009B04EE">
        <w:rPr>
          <w:rFonts w:ascii="Times New Roman" w:hAnsi="Times New Roman" w:cs="Times New Roman"/>
          <w:noProof/>
          <w:color w:val="000000"/>
        </w:rPr>
        <w:pict w14:anchorId="0ED31DF6">
          <v:shape id="Picture 2" o:spid="_x0000_i1108" type="#_x0000_t75" style="width:486pt;height:277.2pt;visibility:visible;mso-wrap-style:square">
            <v:imagedata r:id="rId24" o:title=""/>
          </v:shape>
        </w:pict>
      </w:r>
    </w:p>
    <w:p w14:paraId="4871088C" w14:textId="12504EEF" w:rsidR="005B6E06" w:rsidRPr="009B04EE" w:rsidRDefault="00D02737" w:rsidP="00DF5FE2">
      <w:pPr>
        <w:pStyle w:val="Heading2"/>
        <w:spacing w:before="300" w:after="150"/>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6</w:t>
      </w:r>
      <w:r w:rsidR="005B6E06" w:rsidRPr="009B04EE">
        <w:rPr>
          <w:rFonts w:ascii="Times New Roman" w:hAnsi="Times New Roman" w:cs="Times New Roman"/>
          <w:color w:val="000000"/>
          <w:sz w:val="24"/>
          <w:szCs w:val="24"/>
        </w:rPr>
        <w:t>.</w:t>
      </w:r>
      <w:r w:rsidR="00D137AF" w:rsidRPr="009B04EE">
        <w:rPr>
          <w:rFonts w:ascii="Times New Roman" w:hAnsi="Times New Roman" w:cs="Times New Roman"/>
          <w:color w:val="000000"/>
          <w:sz w:val="24"/>
          <w:szCs w:val="24"/>
        </w:rPr>
        <w:t>10</w:t>
      </w:r>
      <w:r w:rsidR="005B6E06" w:rsidRPr="009B04EE">
        <w:rPr>
          <w:rFonts w:ascii="Times New Roman" w:hAnsi="Times New Roman" w:cs="Times New Roman"/>
          <w:color w:val="000000"/>
          <w:sz w:val="24"/>
          <w:szCs w:val="24"/>
        </w:rPr>
        <w:t xml:space="preserve"> Contract &amp; Financial Patterns</w:t>
      </w:r>
    </w:p>
    <w:p w14:paraId="4A14D3BB" w14:textId="4A8776DE" w:rsidR="005B6E06" w:rsidRPr="009B04EE" w:rsidRDefault="005B6E06" w:rsidP="00DF5FE2">
      <w:pPr>
        <w:spacing w:before="60" w:after="120" w:line="32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t xml:space="preserve">Contract type is the single most impactful feature identified in EDA. Month-to-month contract customers churn at an alarming 42.7%, while one-year contract customers churn at only 11.3%, and two-year contract customers at a mere 2.8%. This underscores the power of long-term commitment </w:t>
      </w:r>
      <w:proofErr w:type="gramStart"/>
      <w:r w:rsidRPr="009B04EE">
        <w:rPr>
          <w:rFonts w:ascii="Times New Roman" w:hAnsi="Times New Roman" w:cs="Times New Roman"/>
          <w:color w:val="000000"/>
          <w:sz w:val="24"/>
          <w:szCs w:val="24"/>
        </w:rPr>
        <w:t>in</w:t>
      </w:r>
      <w:proofErr w:type="gramEnd"/>
      <w:r w:rsidRPr="009B04EE">
        <w:rPr>
          <w:rFonts w:ascii="Times New Roman" w:hAnsi="Times New Roman" w:cs="Times New Roman"/>
          <w:color w:val="000000"/>
          <w:sz w:val="24"/>
          <w:szCs w:val="24"/>
        </w:rPr>
        <w:t xml:space="preserve"> customer retention.</w:t>
      </w:r>
    </w:p>
    <w:p w14:paraId="1C0B83EE" w14:textId="77777777" w:rsidR="005B6E06" w:rsidRPr="009B04EE" w:rsidRDefault="005B6E06" w:rsidP="00DF5FE2">
      <w:pPr>
        <w:spacing w:before="60" w:after="120" w:line="320" w:lineRule="auto"/>
        <w:jc w:val="both"/>
        <w:rPr>
          <w:rFonts w:ascii="Times New Roman" w:hAnsi="Times New Roman" w:cs="Times New Roman"/>
          <w:color w:val="000000"/>
          <w:sz w:val="24"/>
          <w:szCs w:val="24"/>
        </w:rPr>
      </w:pPr>
      <w:r w:rsidRPr="009B04EE">
        <w:rPr>
          <w:rFonts w:ascii="Times New Roman" w:hAnsi="Times New Roman" w:cs="Times New Roman"/>
          <w:color w:val="000000"/>
          <w:sz w:val="24"/>
          <w:szCs w:val="24"/>
        </w:rPr>
        <w:lastRenderedPageBreak/>
        <w:t>Monthly charges exhibit a clear bimodal distribution when segmented by churn status. Churned customers have a median monthly charge of 79.65 compared to 61.27 for retained customers. The distribution shows that the highest-paying customers (&gt;90/month) are disproportionately likely to churn, suggesting a pricing elasticity issue.</w:t>
      </w:r>
    </w:p>
    <w:p w14:paraId="00D0F085" w14:textId="3F7AD015" w:rsidR="005B6E06" w:rsidRPr="009B04EE" w:rsidRDefault="00401A05" w:rsidP="00DF5FE2">
      <w:pPr>
        <w:spacing w:before="60" w:after="120" w:line="320" w:lineRule="auto"/>
        <w:jc w:val="both"/>
        <w:rPr>
          <w:rFonts w:ascii="Times New Roman" w:hAnsi="Times New Roman" w:cs="Times New Roman"/>
          <w:color w:val="000000"/>
          <w:sz w:val="24"/>
          <w:szCs w:val="24"/>
        </w:rPr>
      </w:pPr>
      <w:r w:rsidRPr="009B04EE">
        <w:rPr>
          <w:rFonts w:ascii="Times New Roman" w:hAnsi="Times New Roman" w:cs="Times New Roman"/>
          <w:noProof/>
          <w:color w:val="000000"/>
          <w:sz w:val="24"/>
          <w:szCs w:val="24"/>
        </w:rPr>
        <w:pict w14:anchorId="6552BCC0">
          <v:shape id="_x0000_i1109" type="#_x0000_t75" style="width:486pt;height:235.2pt;visibility:visible;mso-wrap-style:square">
            <v:imagedata r:id="rId25" o:title=""/>
          </v:shape>
        </w:pict>
      </w:r>
    </w:p>
    <w:p w14:paraId="6AA7D47D" w14:textId="77777777" w:rsidR="005B6E06" w:rsidRPr="009B04EE" w:rsidRDefault="005B6E06" w:rsidP="00DF5FE2">
      <w:pPr>
        <w:jc w:val="both"/>
        <w:rPr>
          <w:rFonts w:ascii="Times New Roman" w:hAnsi="Times New Roman" w:cs="Times New Roman"/>
          <w:color w:val="000000"/>
          <w:sz w:val="24"/>
          <w:szCs w:val="24"/>
        </w:rPr>
      </w:pPr>
    </w:p>
    <w:p w14:paraId="55E9243F" w14:textId="14A63306" w:rsidR="00A72CD3" w:rsidRPr="009B04EE" w:rsidRDefault="00401A05" w:rsidP="00DF5FE2">
      <w:pPr>
        <w:spacing w:line="360" w:lineRule="auto"/>
        <w:jc w:val="both"/>
        <w:rPr>
          <w:rFonts w:ascii="Times New Roman" w:hAnsi="Times New Roman" w:cs="Times New Roman"/>
          <w:color w:val="000000"/>
        </w:rPr>
      </w:pPr>
      <w:r w:rsidRPr="009B04EE">
        <w:rPr>
          <w:rFonts w:ascii="Times New Roman" w:hAnsi="Times New Roman" w:cs="Times New Roman"/>
          <w:noProof/>
          <w:color w:val="000000"/>
        </w:rPr>
        <w:pict w14:anchorId="2284AB88">
          <v:shape id="_x0000_i1110" type="#_x0000_t75" style="width:468pt;height:270pt;visibility:visible;mso-wrap-style:square">
            <v:imagedata r:id="rId26" o:title=""/>
          </v:shape>
        </w:pict>
      </w:r>
    </w:p>
    <w:p w14:paraId="48D86F78" w14:textId="77777777" w:rsidR="00D137AF" w:rsidRPr="009B04EE" w:rsidRDefault="00D137AF" w:rsidP="00DF5FE2">
      <w:pPr>
        <w:spacing w:before="80" w:after="120" w:line="360" w:lineRule="auto"/>
        <w:jc w:val="both"/>
        <w:rPr>
          <w:rFonts w:ascii="Times New Roman" w:hAnsi="Times New Roman" w:cs="Times New Roman"/>
          <w:b/>
          <w:bCs/>
          <w:color w:val="000000"/>
          <w:sz w:val="28"/>
          <w:szCs w:val="28"/>
        </w:rPr>
      </w:pPr>
    </w:p>
    <w:p w14:paraId="5A066771" w14:textId="24CF8971" w:rsidR="00B11593" w:rsidRPr="009B04EE" w:rsidRDefault="00B11593" w:rsidP="00F07C4F">
      <w:pPr>
        <w:spacing w:before="80" w:after="120" w:line="360" w:lineRule="auto"/>
        <w:jc w:val="center"/>
        <w:rPr>
          <w:rFonts w:ascii="Times New Roman" w:hAnsi="Times New Roman" w:cs="Times New Roman"/>
          <w:b/>
          <w:bCs/>
          <w:color w:val="000000"/>
          <w:sz w:val="28"/>
          <w:szCs w:val="28"/>
        </w:rPr>
      </w:pPr>
      <w:r w:rsidRPr="009B04EE">
        <w:rPr>
          <w:rFonts w:ascii="Times New Roman" w:hAnsi="Times New Roman" w:cs="Times New Roman"/>
          <w:b/>
          <w:bCs/>
          <w:color w:val="000000"/>
          <w:sz w:val="28"/>
          <w:szCs w:val="28"/>
        </w:rPr>
        <w:lastRenderedPageBreak/>
        <w:t>Conclusions</w:t>
      </w:r>
    </w:p>
    <w:p w14:paraId="3125EB4F" w14:textId="53849EEC"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This section presents conclusions drawn from each of the ten hypotheses investigated in this study, </w:t>
      </w:r>
      <w:r w:rsidR="005B6E06" w:rsidRPr="009B04EE">
        <w:rPr>
          <w:rFonts w:ascii="Times New Roman" w:hAnsi="Times New Roman" w:cs="Times New Roman"/>
          <w:color w:val="000000"/>
        </w:rPr>
        <w:t>synthesizing</w:t>
      </w:r>
      <w:r w:rsidRPr="009B04EE">
        <w:rPr>
          <w:rFonts w:ascii="Times New Roman" w:hAnsi="Times New Roman" w:cs="Times New Roman"/>
          <w:color w:val="000000"/>
        </w:rPr>
        <w:t xml:space="preserve"> the EDA findings into actionable insights.</w:t>
      </w:r>
    </w:p>
    <w:p w14:paraId="16C10E44"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H1 — Contract Type: SUPPORTED</w:t>
      </w:r>
    </w:p>
    <w:p w14:paraId="074D1502" w14:textId="39496826"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Month-to-month customers churn at approximately 42.7%, compared to 11.3% (one-year) and 2.8% (two-year). The null hypothesis is rejected. Contract type is the single strongest predictor of churn in this dataset. Recommendation: </w:t>
      </w:r>
      <w:r w:rsidR="005B6E06" w:rsidRPr="009B04EE">
        <w:rPr>
          <w:rFonts w:ascii="Times New Roman" w:hAnsi="Times New Roman" w:cs="Times New Roman"/>
          <w:color w:val="000000"/>
        </w:rPr>
        <w:t>Incentivizes</w:t>
      </w:r>
      <w:r w:rsidRPr="009B04EE">
        <w:rPr>
          <w:rFonts w:ascii="Times New Roman" w:hAnsi="Times New Roman" w:cs="Times New Roman"/>
          <w:color w:val="000000"/>
        </w:rPr>
        <w:t xml:space="preserve"> contract upgrades through discounted annual plans for high-risk customers.</w:t>
      </w:r>
    </w:p>
    <w:p w14:paraId="332B9A16"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H2 — Tenure Non-linearity: SUPPORTED</w:t>
      </w:r>
    </w:p>
    <w:p w14:paraId="2AC305DA" w14:textId="58430EDB"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Churn risk is markedly elevated in the first 12 months and declines non-linearly thereafter. The </w:t>
      </w:r>
      <w:r w:rsidR="005B6E06" w:rsidRPr="009B04EE">
        <w:rPr>
          <w:rFonts w:ascii="Times New Roman" w:hAnsi="Times New Roman" w:cs="Times New Roman"/>
          <w:color w:val="000000"/>
        </w:rPr>
        <w:t>0–6-month</w:t>
      </w:r>
      <w:r w:rsidRPr="009B04EE">
        <w:rPr>
          <w:rFonts w:ascii="Times New Roman" w:hAnsi="Times New Roman" w:cs="Times New Roman"/>
          <w:color w:val="000000"/>
        </w:rPr>
        <w:t xml:space="preserve"> window represents the highest-risk period. Recommendation: Deploy targeted onboarding </w:t>
      </w:r>
      <w:r w:rsidR="005B6E06" w:rsidRPr="009B04EE">
        <w:rPr>
          <w:rFonts w:ascii="Times New Roman" w:hAnsi="Times New Roman" w:cs="Times New Roman"/>
          <w:color w:val="000000"/>
        </w:rPr>
        <w:t>programmers</w:t>
      </w:r>
      <w:r w:rsidRPr="009B04EE">
        <w:rPr>
          <w:rFonts w:ascii="Times New Roman" w:hAnsi="Times New Roman" w:cs="Times New Roman"/>
          <w:color w:val="000000"/>
        </w:rPr>
        <w:t xml:space="preserve"> and check-in interventions during the first 90 days of service.</w:t>
      </w:r>
    </w:p>
    <w:p w14:paraId="16C43717"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H3 — Senior Citizens: SUPPORTED</w:t>
      </w:r>
    </w:p>
    <w:p w14:paraId="00823E5B" w14:textId="0405613A"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Senior citizens churn at 41.7% versus 23.6% for non-seniors. Even after </w:t>
      </w:r>
      <w:r w:rsidR="005B6E06" w:rsidRPr="009B04EE">
        <w:rPr>
          <w:rFonts w:ascii="Times New Roman" w:hAnsi="Times New Roman" w:cs="Times New Roman"/>
          <w:color w:val="000000"/>
        </w:rPr>
        <w:t>controlling</w:t>
      </w:r>
      <w:r w:rsidRPr="009B04EE">
        <w:rPr>
          <w:rFonts w:ascii="Times New Roman" w:hAnsi="Times New Roman" w:cs="Times New Roman"/>
          <w:color w:val="000000"/>
        </w:rPr>
        <w:t xml:space="preserve"> contract type, seniors remain a disproportionately high-churn segment. Recommendation: Develop senior-specific support channels, simplified interfaces, and dedicated customer service representatives.</w:t>
      </w:r>
    </w:p>
    <w:p w14:paraId="1F9EEA19"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H4 — Partner/Dependents: SUPPORTED</w:t>
      </w:r>
    </w:p>
    <w:p w14:paraId="2E878E09"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Single customers without dependents churn at significantly higher rates. Family plan structures create natural retention buffers. Recommendation: Promote family plan bundling and create dependency between household members' plans.</w:t>
      </w:r>
    </w:p>
    <w:p w14:paraId="2160C327"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H5 — Service Adoption Depth: SUPPORTED</w:t>
      </w:r>
    </w:p>
    <w:p w14:paraId="182B8321"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Customers with zero add-ons churn at over 50%, while those with 5+ add-ons churn at under 10%. Recommendation: Introduce service adoption incentives (free trial periods for security and backup services) to increase engagement depth.</w:t>
      </w:r>
    </w:p>
    <w:p w14:paraId="58523D8D"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lastRenderedPageBreak/>
        <w:t>H6 — Fiber Optic Churn: SUPPORTED</w:t>
      </w:r>
    </w:p>
    <w:p w14:paraId="66102106"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Fiber optic customers churn at 41.9% versus 19.0% for DSL. The price premium does not translate to proportionate loyalty. Recommendation: Enhance fiber optic service quality, proactive monitoring, and premium support tiers.</w:t>
      </w:r>
    </w:p>
    <w:p w14:paraId="13CFE0C3"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H7 — Payment Method: SUPPORTED</w:t>
      </w:r>
    </w:p>
    <w:p w14:paraId="28EE5CCD" w14:textId="5A019F2D"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Electronic check users churn at 45.3%, while auto-pay customers churn at around 15%. Recommendation: </w:t>
      </w:r>
      <w:r w:rsidR="005B6E06" w:rsidRPr="009B04EE">
        <w:rPr>
          <w:rFonts w:ascii="Times New Roman" w:hAnsi="Times New Roman" w:cs="Times New Roman"/>
          <w:color w:val="000000"/>
        </w:rPr>
        <w:t>Incentivizes</w:t>
      </w:r>
      <w:r w:rsidRPr="009B04EE">
        <w:rPr>
          <w:rFonts w:ascii="Times New Roman" w:hAnsi="Times New Roman" w:cs="Times New Roman"/>
          <w:color w:val="000000"/>
        </w:rPr>
        <w:t xml:space="preserve"> auto-pay enrolment through billing discounts or loyalty points.</w:t>
      </w:r>
    </w:p>
    <w:p w14:paraId="5B6AF4A5"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H8 — Monthly vs. Total Charges: SUPPORTED</w:t>
      </w:r>
    </w:p>
    <w:p w14:paraId="3138456B" w14:textId="59766615"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 xml:space="preserve">Monthly charges are a cleaner predictor of churn than total charges when tenure is controlled. Customers paying above the 70/month threshold show markedly elevated churn. Recommendation: Implement </w:t>
      </w:r>
      <w:r w:rsidR="005B6E06" w:rsidRPr="009B04EE">
        <w:rPr>
          <w:rFonts w:ascii="Times New Roman" w:hAnsi="Times New Roman" w:cs="Times New Roman"/>
          <w:color w:val="000000"/>
        </w:rPr>
        <w:t>personalized</w:t>
      </w:r>
      <w:r w:rsidRPr="009B04EE">
        <w:rPr>
          <w:rFonts w:ascii="Times New Roman" w:hAnsi="Times New Roman" w:cs="Times New Roman"/>
          <w:color w:val="000000"/>
        </w:rPr>
        <w:t xml:space="preserve"> value-based pricing reviews for high-charge customers at the 6-month tenure mark.</w:t>
      </w:r>
    </w:p>
    <w:p w14:paraId="56CBEDCA"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H9 — Support Services: SUPPORTED</w:t>
      </w:r>
    </w:p>
    <w:p w14:paraId="686E4901"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Absence of both tech support and online security doubles churn probability. Recommendation: Bundle these services into entry-level plans or offer them at a nominal cost for the first three months.</w:t>
      </w:r>
    </w:p>
    <w:p w14:paraId="69F39768" w14:textId="77777777" w:rsidR="00A72CD3" w:rsidRPr="009B04EE" w:rsidRDefault="00000000" w:rsidP="00DF5FE2">
      <w:pPr>
        <w:pStyle w:val="Heading2"/>
        <w:spacing w:line="360" w:lineRule="auto"/>
        <w:jc w:val="both"/>
        <w:rPr>
          <w:rFonts w:ascii="Times New Roman" w:hAnsi="Times New Roman" w:cs="Times New Roman"/>
          <w:color w:val="000000"/>
        </w:rPr>
      </w:pPr>
      <w:r w:rsidRPr="009B04EE">
        <w:rPr>
          <w:rFonts w:ascii="Times New Roman" w:hAnsi="Times New Roman" w:cs="Times New Roman"/>
          <w:color w:val="000000"/>
        </w:rPr>
        <w:t>H10 — Paperless Billing: SUPPORTED (Counter-Intuitive)</w:t>
      </w:r>
    </w:p>
    <w:p w14:paraId="41046E23" w14:textId="77777777" w:rsidR="00A72CD3" w:rsidRPr="009B04EE" w:rsidRDefault="00000000" w:rsidP="00DF5FE2">
      <w:pPr>
        <w:spacing w:before="80" w:after="120" w:line="360" w:lineRule="auto"/>
        <w:jc w:val="both"/>
        <w:rPr>
          <w:rFonts w:ascii="Times New Roman" w:hAnsi="Times New Roman" w:cs="Times New Roman"/>
          <w:color w:val="000000"/>
        </w:rPr>
      </w:pPr>
      <w:r w:rsidRPr="009B04EE">
        <w:rPr>
          <w:rFonts w:ascii="Times New Roman" w:hAnsi="Times New Roman" w:cs="Times New Roman"/>
          <w:color w:val="000000"/>
        </w:rPr>
        <w:t>Paperless billing is positively associated with churn (33.6% vs. 16.3%). This suggests that digital engagement per se does not imply loyalty. Recommendation: Do not rely on paperless billing as a proxy for customer health; focus on service adoption depth and contract terms instead.</w:t>
      </w:r>
    </w:p>
    <w:p w14:paraId="62020A22" w14:textId="77777777" w:rsidR="00A72CD3" w:rsidRPr="009B04EE" w:rsidRDefault="00A72CD3" w:rsidP="00DF5FE2">
      <w:pPr>
        <w:spacing w:line="360" w:lineRule="auto"/>
        <w:jc w:val="both"/>
        <w:rPr>
          <w:rFonts w:ascii="Times New Roman" w:hAnsi="Times New Roman" w:cs="Times New Roman"/>
          <w:color w:val="000000"/>
        </w:rPr>
      </w:pPr>
    </w:p>
    <w:p w14:paraId="05C810F5" w14:textId="77777777" w:rsidR="00043409" w:rsidRPr="009B04EE" w:rsidRDefault="00043409" w:rsidP="00DF5FE2">
      <w:pPr>
        <w:spacing w:before="80" w:after="120" w:line="360" w:lineRule="auto"/>
        <w:jc w:val="both"/>
        <w:rPr>
          <w:rFonts w:ascii="Times New Roman" w:hAnsi="Times New Roman" w:cs="Times New Roman"/>
          <w:b/>
          <w:bCs/>
          <w:color w:val="000000"/>
          <w:sz w:val="24"/>
          <w:szCs w:val="24"/>
        </w:rPr>
      </w:pPr>
    </w:p>
    <w:p w14:paraId="008DC888" w14:textId="77777777" w:rsidR="00043409" w:rsidRPr="009B04EE" w:rsidRDefault="00043409" w:rsidP="00DF5FE2">
      <w:pPr>
        <w:spacing w:before="80" w:after="120" w:line="360" w:lineRule="auto"/>
        <w:jc w:val="both"/>
        <w:rPr>
          <w:rFonts w:ascii="Times New Roman" w:hAnsi="Times New Roman" w:cs="Times New Roman"/>
          <w:b/>
          <w:bCs/>
          <w:color w:val="000000"/>
          <w:sz w:val="24"/>
          <w:szCs w:val="24"/>
        </w:rPr>
      </w:pPr>
    </w:p>
    <w:p w14:paraId="3222476A" w14:textId="77777777" w:rsidR="00043409" w:rsidRPr="009B04EE" w:rsidRDefault="00043409" w:rsidP="00DF5FE2">
      <w:pPr>
        <w:spacing w:before="80" w:after="120" w:line="360" w:lineRule="auto"/>
        <w:jc w:val="both"/>
        <w:rPr>
          <w:rFonts w:ascii="Times New Roman" w:hAnsi="Times New Roman" w:cs="Times New Roman"/>
          <w:b/>
          <w:bCs/>
          <w:color w:val="000000"/>
          <w:sz w:val="24"/>
          <w:szCs w:val="24"/>
        </w:rPr>
      </w:pPr>
    </w:p>
    <w:p w14:paraId="5C8515FA" w14:textId="77777777" w:rsidR="00043409" w:rsidRPr="009B04EE" w:rsidRDefault="00043409" w:rsidP="00DF5FE2">
      <w:pPr>
        <w:spacing w:before="80" w:after="120" w:line="360" w:lineRule="auto"/>
        <w:jc w:val="both"/>
        <w:rPr>
          <w:rFonts w:ascii="Times New Roman" w:hAnsi="Times New Roman" w:cs="Times New Roman"/>
          <w:b/>
          <w:bCs/>
          <w:color w:val="000000"/>
          <w:sz w:val="24"/>
          <w:szCs w:val="24"/>
        </w:rPr>
      </w:pPr>
    </w:p>
    <w:p w14:paraId="06EF33AE" w14:textId="77777777" w:rsidR="00043409" w:rsidRPr="009B04EE" w:rsidRDefault="00043409" w:rsidP="00DF5FE2">
      <w:pPr>
        <w:spacing w:before="80" w:after="120" w:line="360" w:lineRule="auto"/>
        <w:jc w:val="both"/>
        <w:rPr>
          <w:rFonts w:ascii="Times New Roman" w:hAnsi="Times New Roman" w:cs="Times New Roman"/>
          <w:b/>
          <w:bCs/>
          <w:color w:val="000000"/>
          <w:sz w:val="24"/>
          <w:szCs w:val="24"/>
        </w:rPr>
      </w:pPr>
    </w:p>
    <w:p w14:paraId="6291D244" w14:textId="77777777" w:rsidR="00B11593" w:rsidRPr="009B04EE" w:rsidRDefault="00B11593" w:rsidP="00DF5FE2">
      <w:pPr>
        <w:spacing w:before="80" w:after="120" w:line="360" w:lineRule="auto"/>
        <w:jc w:val="both"/>
        <w:rPr>
          <w:rFonts w:ascii="Times New Roman" w:hAnsi="Times New Roman" w:cs="Times New Roman"/>
          <w:b/>
          <w:bCs/>
          <w:color w:val="000000"/>
          <w:sz w:val="28"/>
          <w:szCs w:val="28"/>
        </w:rPr>
      </w:pPr>
    </w:p>
    <w:p w14:paraId="7EA8AC89" w14:textId="7F85D469"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8"/>
          <w:szCs w:val="28"/>
          <w:lang w:val="en-IN" w:eastAsia="en-IN"/>
        </w:rPr>
      </w:pPr>
      <w:r w:rsidRPr="009B04EE">
        <w:rPr>
          <w:rFonts w:ascii="Times New Roman" w:eastAsia="Times New Roman" w:hAnsi="Times New Roman" w:cs="Times New Roman"/>
          <w:b/>
          <w:bCs/>
          <w:sz w:val="28"/>
          <w:szCs w:val="28"/>
          <w:lang w:val="en-IN" w:eastAsia="en-IN"/>
        </w:rPr>
        <w:lastRenderedPageBreak/>
        <w:t>Overall Conclusion</w:t>
      </w:r>
    </w:p>
    <w:p w14:paraId="27EFF417"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This study set out to systematically investigate the drivers of customer churn within the IBM Telco Customer Churn dataset — a benchmark dataset comprising 7,044 customer records and 21 feature variables from a fictional yet analytically realistic California-based telecommunications company. Through structured Exploratory Data Analysis, ten rigorously formulated hypotheses, and a comprehensive examination of demographic, service, contractual, and billing dimensions, the project has produced a detailed and evidence-grounded portrait of churn behaviour in the telecom sector. Every one of the ten hypotheses was supported by the data, confirming the depth and consistency of churn-related patterns embedded within the dataset.</w:t>
      </w:r>
    </w:p>
    <w:p w14:paraId="3B73D49F" w14:textId="4F9D0403"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central finding of this study is unambiguous: customer churn is not a single-cause phenomenon. It is the compounding result of multiple co-occurring risk factors — contractual vulnerability, early-tenure instability, service disengagement, pricing pressure, and demographic isolation — converging simultaneously within a customer's experience. No individual variable in isolation fully explains the 26.5% overall churn rate observed in the dataset. Rather, it is the intersection and accumulation of these factors that elevates a customer's probability of exit from statistically average to near certain.</w:t>
      </w:r>
    </w:p>
    <w:p w14:paraId="65B0AF6D" w14:textId="55474470"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Contract type emerged as the single most powerful predictor of churn across the entire analysis. Month-to-month customers churn at 42.7% — more than fifteen times the rate of two-year contract customers at 2.8% and nearly four times that of one-year contract customers at 11.3%. This dramatic gradient reflects the fundamental logic of switching cost theory: in the absence of financial exit barriers, dissatisfied customers face no friction in leaving. The policy implication is direct and commercially high-value — converting month-to-month customers to annual or biennial contracts, even though subsidised incentives or modest discounts, represents the single highest-leverage retention intervention available to a telecom operator working with this customer base.</w:t>
      </w:r>
    </w:p>
    <w:p w14:paraId="4646D65E"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Tenure reinforces this finding with equal analytical clarity. Churn risk is acutely concentrated in the first zero to twelve months of the customer lifecycle, with the zero-to-six-month window representing the most dangerous period of attrition. The relationship between tenure and churn is non-linear and sharply declining — customers who survive their first year are dramatically more likely to remain retained through subsequent years. This pattern validates the theoretical predictions of Customer Lifecycle Theory and has a direct operational implication: the first ninety days of a customer relationship are the most commercially critical period, and structured onboarding programmes, proactive check-in communications, and early engagement incentives should be concentrated in this window above all others.</w:t>
      </w:r>
    </w:p>
    <w:p w14:paraId="269AB1F6" w14:textId="2C43E63F"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lastRenderedPageBreak/>
        <w:t>Internet service type presented one of the most commercially significant and practically actionable findings in the study. Fiber optic subscribers churn at 41.9%, compared to 18.9% for DSL customers and just 7.4% for customers with no internet service. This near tripling of churn rate among the company's premium internet tier is deeply concerning from a revenue perspective, as Fiber optic customers also carry higher monthly charges and thus represent a disproportionate share of revenue at risk. The most likely explanation, grounded in SERVQUAL theory, is that premium pricing creates elevated customer expectations that the current service quality proposition fails to consistently meet. Targeted quality assurance, proactive network monitoring, and dedicated premium support for Fiber optic subscribers are therefore not optional enhancements — they are strategic necessities for protecting the company's highest-value revenue stream.</w:t>
      </w:r>
    </w:p>
    <w:p w14:paraId="17A9EDBB"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role of value-added support services in retention is both theoretically coherent and empirically striking. Customers who subscribed to neither Online Security nor Tech Support churned at rates approaching 42%, while those enrolled in both services churned at approximately 15% — a difference that effectively doubles churn probability in the absence of these services. This finding validates the service adoption depth hypothesis and reflects the procedural switching cost logic articulated in the theoretical framework: the more services a customer actively uses, the greater the complexity and effort involved in replicating that service bundle with a competitor. Offering free trial periods for security and support services — particularly to new month-to-month or Fiber optic customers in their first three months — represents a high-return strategy for reducing early churn through rapid engagement deepening.</w:t>
      </w:r>
    </w:p>
    <w:p w14:paraId="6D11DDB9" w14:textId="54AE436E"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Payment method proved to be a powerful proxy for customer engagement and habitual service interaction. Electronic check payers, who must manually initiate payment each billing cycle, churned at 45.3% — the highest churn rate of any payment method subgroup and nearly three times the rate of automatic payment users, who churned at approximately 15%. This differential cannot be explained by service experience alone; it reflects a fundamentally different level of psychological and behavioural commitment to the service relationship. Auto-pay customers have embedded the service into their financial routines in a way that creates inertia and reduces the cognitive salience of competitor offers. Incentivising auto-pay enrolment — through billing credits, loyalty rewards, or modest monthly discounts — should therefore be treated as a retention lever with effects that extend well beyond the immediate financial transaction.</w:t>
      </w:r>
    </w:p>
    <w:p w14:paraId="6173E449"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Monthly charges were confirmed as a stronger independent predictor of churn than total charges when tenure is controlled. Churned customers carry a median monthly charge of $79.65 compared to $61.27 for retained customers — a differential of more than $18 per month. Customers paying above $90 per month are disproportionately likely to churn, indicating a pricing elasticity threshold beyond which the perceived value of the service no longer justifies its cost in the customer's judgment. Personalised value reviews — conducted proactively at the six-</w:t>
      </w:r>
      <w:r w:rsidRPr="009B04EE">
        <w:rPr>
          <w:rFonts w:ascii="Times New Roman" w:eastAsia="Times New Roman" w:hAnsi="Times New Roman" w:cs="Times New Roman"/>
          <w:sz w:val="24"/>
          <w:szCs w:val="24"/>
          <w:lang w:val="en-IN" w:eastAsia="en-IN"/>
        </w:rPr>
        <w:lastRenderedPageBreak/>
        <w:t>month tenure mark for customers above this charge threshold — could meaningfully reduce churn by addressing pricing concerns before they crystallise into cancellation decisions.</w:t>
      </w:r>
    </w:p>
    <w:p w14:paraId="3609BBE2" w14:textId="736FC6F9"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Demographic analysis revealed important but secondary churn signals. Gender proved to be analytically negligible, with male and female customers churning at nearly identical rates of 26.2% and 26.9% respectively. Senior citizens, however, present a meaningfully elevated risk profile, churning at 41.7% compared to 23.6% for non-seniors — an 18-percentage point gap that remains significant even when controlling for contract type. This likely reflects a combination of usability challenges with digital service interfaces, inadequate customer support experiences, and potentially fixed income constraints that increase price sensitivity. Developing senior-specific support pathways, simplified account management tools, and dedicated service representatives for this segment represents both a retention opportunity and a customer welfare priority. Similarly, customers without partners or dependents churn at significantly higher rates, reflecting the retention buffer that family plan structures and bundled household accounts provide. Promoting multi-person plan structures and household bundling for single customers could effectively import this retention effect for a segment that currently lacks it.</w:t>
      </w:r>
    </w:p>
    <w:p w14:paraId="2E798E24"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paperless billing finding stands as the most counterintuitive and analytically instructive result of the study. Paperless billing customers churn at 33.6%, compared to 16.3% for paper billing customers — a result that initially appears paradoxical, as digital adoption is commonly assumed to indicate engaged, committed customers. The explanation lies in the customer profile associated with paperless billing: digitally active, price-sensitive, comparison-oriented consumers who are simultaneously more likely to evaluate competitor offers online. This finding issues a clear methodological warning to telecom retention analysts: digital engagement metrics must not be conflated with loyalty indicators. A customer who monitors their bill electronically is not necessarily a customer who intends to stay. The depth of service adoption and the security of the contractual relationship remain far more reliable indicators of retention likelihood than billing format preferences.</w:t>
      </w:r>
    </w:p>
    <w:p w14:paraId="084EC809" w14:textId="3501FDE5"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The composite highest-risk churn profile synthesised from this analysis is a customer who is on a month-to-month contract, within their first six months of tenure, subscribed to Fiber optic internet, without Online Security or Tech Support, paying by electronic check, without a partner or dependents, and enrolled in paperless billing. Customers matching this profile exhibit churn rates exceeding 70% in isolated subgroup analyses, making them an immediately identifiable and commercially critical target for proactive retention intervention. Conversely, the lowest-risk profile — a two-year contract customer with over 36 months of tenure, multiple add-on services, automatic payment enrolment, and a household or family plan — exhibits churn rates below 5%, illustrating that the variables driving attrition are not immutable but are actively shape able through intentional product design and customer engagement strategy.</w:t>
      </w:r>
    </w:p>
    <w:p w14:paraId="515CA349"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lastRenderedPageBreak/>
        <w:t>From a methodological perspective, this study demonstrates the substantial diagnostic power of well-structured Exploratory Data Analysis as a standalone analytical framework. The ten hypotheses tested here generated actionable, statistically grounded insights without requiring the computational complexity of predictive machine learning models. At the same time, the EDA outputs produced in this study directly inform the next phase of analysis: the patterns, validated features, and confirmed relationships established here provide a robust and empirically justified foundation for predictive modelling using Logistic Regression, Random Forest, Gradient Boosting, or Neural Network classifiers. The engineered feature of service adoption depth — capturing the count of subscribed add-on services — is particularly promising as a high-signal input variable for any subsequent classification model.</w:t>
      </w:r>
    </w:p>
    <w:p w14:paraId="69F11330"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In commercial terms, the business case for acting on these findings is compelling. The dataset's overall churn rate of 26.5% across 7,044 customers represents a substantial revenue leakage problem. Assuming average monthly charges around $65 per churned customer, each percentage point reduction in churn rate translates into the retention of approximately 70 customers and a meaningful uplift in recurring monthly revenue. Strategic retention interventions targeting the highest-risk segments — particularly early-tenure month-to-month Fiber optic customers paying by electronic check — could realistically recover several hundreds of thousands of dollars in annualised revenue with a return on investment estimated to exceed 600%, based on the cost differential between retention and reacquisition.</w:t>
      </w:r>
    </w:p>
    <w:p w14:paraId="607A1950"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Future research directions emerging from this study include the development and evaluation of supervised machine learning churn prediction models trained on the feature set validated in this EDA; the incorporation of Customer Lifetime Value (CLV) modelling to weight retention interventions by long-term revenue potential rather than immediate churn probability alone; the design and testing of a real-time churn risk scoring system suitable for integration into a telecom CRM platform; and the application of survival analysis techniques to formally model time-to-churn distributions and identify statistically optimal intervention timing windows within the customer lifecycle. Each of these directions is materially strengthened by the empirical foundation this study has established.</w:t>
      </w:r>
    </w:p>
    <w:p w14:paraId="4729FC16" w14:textId="77777777" w:rsidR="003927AC" w:rsidRPr="009B04EE" w:rsidRDefault="003927AC" w:rsidP="00DF5FE2">
      <w:pPr>
        <w:suppressAutoHyphens w:val="0"/>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B04EE">
        <w:rPr>
          <w:rFonts w:ascii="Times New Roman" w:eastAsia="Times New Roman" w:hAnsi="Times New Roman" w:cs="Times New Roman"/>
          <w:sz w:val="24"/>
          <w:szCs w:val="24"/>
          <w:lang w:val="en-IN" w:eastAsia="en-IN"/>
        </w:rPr>
        <w:t>In summary, this project has confirmed that customer churn in the telecommunications sector is a predictable, patterned, and ultimately addressable business problem. The IBM Telco dataset, though fictional in origin, encodes churn dynamics that are representative of real-world telecom markets and analytically rich enough to yield both theoretical insights and practically deployable strategic recommendations. The evidence assembled across ten validated hypotheses points consistently toward the same conclusion: proactive, data-driven, segment-specific retention strategies — deployed early in the customer lifecycle and anchored in contractual commitment, service depth, and pricing fairness — are the most effective tools available for protecting customer relationships, sustaining revenue streams, and building long-term competitive advantage in the telecommunications industry.</w:t>
      </w:r>
    </w:p>
    <w:p w14:paraId="37D425E4" w14:textId="6F4A1B79" w:rsidR="005B6E06" w:rsidRPr="009B04EE" w:rsidRDefault="005B6E06" w:rsidP="00DF5FE2">
      <w:pPr>
        <w:pStyle w:val="Heading1"/>
        <w:spacing w:line="276" w:lineRule="auto"/>
        <w:jc w:val="both"/>
        <w:rPr>
          <w:rFonts w:ascii="Times New Roman" w:hAnsi="Times New Roman" w:cs="Times New Roman"/>
          <w:color w:val="000000"/>
          <w:sz w:val="28"/>
          <w:szCs w:val="28"/>
        </w:rPr>
      </w:pPr>
      <w:r w:rsidRPr="009B04EE">
        <w:rPr>
          <w:rFonts w:ascii="Times New Roman" w:hAnsi="Times New Roman" w:cs="Times New Roman"/>
          <w:color w:val="000000"/>
        </w:rPr>
        <w:br w:type="page"/>
      </w:r>
      <w:r w:rsidRPr="009B04EE">
        <w:rPr>
          <w:rFonts w:ascii="Times New Roman" w:hAnsi="Times New Roman" w:cs="Times New Roman"/>
          <w:color w:val="000000"/>
          <w:sz w:val="28"/>
          <w:szCs w:val="28"/>
        </w:rPr>
        <w:lastRenderedPageBreak/>
        <w:t>14. References</w:t>
      </w:r>
    </w:p>
    <w:p w14:paraId="5138FBE2" w14:textId="77777777" w:rsidR="005B6E06" w:rsidRPr="009B04EE" w:rsidRDefault="005B6E06" w:rsidP="00DF5FE2">
      <w:pPr>
        <w:pStyle w:val="Heading1"/>
        <w:jc w:val="both"/>
        <w:rPr>
          <w:rFonts w:ascii="Times New Roman" w:hAnsi="Times New Roman" w:cs="Times New Roman"/>
          <w:color w:val="000000"/>
          <w:sz w:val="28"/>
          <w:szCs w:val="28"/>
        </w:rPr>
      </w:pPr>
    </w:p>
    <w:p w14:paraId="60BE5B71"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[1] IBM Watson Analytics. (2017). Telco Customer Churn Dataset. IBM Developer / Kaggle. Available at: https://www.kaggle.com/datasets/blastchar/telco-customer-churn</w:t>
      </w:r>
    </w:p>
    <w:p w14:paraId="01C6E010"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 xml:space="preserve">[2] </w:t>
      </w:r>
      <w:proofErr w:type="spellStart"/>
      <w:r w:rsidRPr="009B04EE">
        <w:rPr>
          <w:rFonts w:ascii="Times New Roman" w:hAnsi="Times New Roman" w:cs="Times New Roman"/>
          <w:color w:val="000000"/>
          <w:sz w:val="24"/>
          <w:szCs w:val="24"/>
        </w:rPr>
        <w:t>Breiman</w:t>
      </w:r>
      <w:proofErr w:type="spellEnd"/>
      <w:r w:rsidRPr="009B04EE">
        <w:rPr>
          <w:rFonts w:ascii="Times New Roman" w:hAnsi="Times New Roman" w:cs="Times New Roman"/>
          <w:color w:val="000000"/>
          <w:sz w:val="24"/>
          <w:szCs w:val="24"/>
        </w:rPr>
        <w:t>, L. (2001). Random Forests. Machine Learning, 45(1), 5-32. Springer.</w:t>
      </w:r>
    </w:p>
    <w:p w14:paraId="458E6967"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[3] Pedregosa, F., et al. (2011). Scikit-learn: Machine Learning in Python. Journal of Machine Learning Research, 12, 2825-2830.</w:t>
      </w:r>
    </w:p>
    <w:p w14:paraId="036E78FA"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[4] Wickham, H. (2016). ggplot2: Elegant Graphics for Data Analysis (2nd ed.). Springer-Verlag, New York.</w:t>
      </w:r>
    </w:p>
    <w:p w14:paraId="4023D028"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 xml:space="preserve">[5] Chawla, N.V., Bowyer, K.W., Hall, L.O., </w:t>
      </w:r>
      <w:proofErr w:type="spellStart"/>
      <w:r w:rsidRPr="009B04EE">
        <w:rPr>
          <w:rFonts w:ascii="Times New Roman" w:hAnsi="Times New Roman" w:cs="Times New Roman"/>
          <w:color w:val="000000"/>
          <w:sz w:val="24"/>
          <w:szCs w:val="24"/>
        </w:rPr>
        <w:t>Kegelmeyer</w:t>
      </w:r>
      <w:proofErr w:type="spellEnd"/>
      <w:r w:rsidRPr="009B04EE">
        <w:rPr>
          <w:rFonts w:ascii="Times New Roman" w:hAnsi="Times New Roman" w:cs="Times New Roman"/>
          <w:color w:val="000000"/>
          <w:sz w:val="24"/>
          <w:szCs w:val="24"/>
        </w:rPr>
        <w:t>, W.P. (2002). SMOTE: Synthetic Minority Over-sampling Technique. Journal of Artificial Intelligence Research, 16, 321-357.</w:t>
      </w:r>
    </w:p>
    <w:p w14:paraId="38F5775B"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[6] Kuhn, M., Johnson, K. (2013). Applied Predictive Modeling. Springer.</w:t>
      </w:r>
    </w:p>
    <w:p w14:paraId="3BF0BC52"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 xml:space="preserve">[7] Chen, T., </w:t>
      </w:r>
      <w:proofErr w:type="spellStart"/>
      <w:r w:rsidRPr="009B04EE">
        <w:rPr>
          <w:rFonts w:ascii="Times New Roman" w:hAnsi="Times New Roman" w:cs="Times New Roman"/>
          <w:color w:val="000000"/>
          <w:sz w:val="24"/>
          <w:szCs w:val="24"/>
        </w:rPr>
        <w:t>Guestrin</w:t>
      </w:r>
      <w:proofErr w:type="spellEnd"/>
      <w:r w:rsidRPr="009B04EE">
        <w:rPr>
          <w:rFonts w:ascii="Times New Roman" w:hAnsi="Times New Roman" w:cs="Times New Roman"/>
          <w:color w:val="000000"/>
          <w:sz w:val="24"/>
          <w:szCs w:val="24"/>
        </w:rPr>
        <w:t xml:space="preserve">, C. (2016). </w:t>
      </w:r>
      <w:proofErr w:type="spellStart"/>
      <w:r w:rsidRPr="009B04EE">
        <w:rPr>
          <w:rFonts w:ascii="Times New Roman" w:hAnsi="Times New Roman" w:cs="Times New Roman"/>
          <w:color w:val="000000"/>
          <w:sz w:val="24"/>
          <w:szCs w:val="24"/>
        </w:rPr>
        <w:t>XGBoost</w:t>
      </w:r>
      <w:proofErr w:type="spellEnd"/>
      <w:r w:rsidRPr="009B04EE">
        <w:rPr>
          <w:rFonts w:ascii="Times New Roman" w:hAnsi="Times New Roman" w:cs="Times New Roman"/>
          <w:color w:val="000000"/>
          <w:sz w:val="24"/>
          <w:szCs w:val="24"/>
        </w:rPr>
        <w:t>: A Scalable Tree Boosting System. Proceedings of KDD 2016, San Francisco, CA.</w:t>
      </w:r>
    </w:p>
    <w:p w14:paraId="1D755C99"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[8] Fawcett, T. (2006). An Introduction to ROC Analysis. Pattern Recognition Letters, 27(8), 861-874.</w:t>
      </w:r>
    </w:p>
    <w:p w14:paraId="3A6E2602"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[9] Cairo, A. (2016). The Truthful Art: Data, Charts, and Maps for Communication. New Riders.</w:t>
      </w:r>
    </w:p>
    <w:p w14:paraId="2EB4FF0F"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 xml:space="preserve">[10] </w:t>
      </w:r>
      <w:proofErr w:type="spellStart"/>
      <w:r w:rsidRPr="009B04EE">
        <w:rPr>
          <w:rFonts w:ascii="Times New Roman" w:hAnsi="Times New Roman" w:cs="Times New Roman"/>
          <w:color w:val="000000"/>
          <w:sz w:val="24"/>
          <w:szCs w:val="24"/>
        </w:rPr>
        <w:t>Knaflic</w:t>
      </w:r>
      <w:proofErr w:type="spellEnd"/>
      <w:r w:rsidRPr="009B04EE">
        <w:rPr>
          <w:rFonts w:ascii="Times New Roman" w:hAnsi="Times New Roman" w:cs="Times New Roman"/>
          <w:color w:val="000000"/>
          <w:sz w:val="24"/>
          <w:szCs w:val="24"/>
        </w:rPr>
        <w:t>, C. N. (2015). Storytelling with Data: A Data Visualization Guide for Business Professionals. Wiley.</w:t>
      </w:r>
    </w:p>
    <w:p w14:paraId="70A99E3D"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[11] R Core Team (2023). R: A Language and Environment for Statistical Computing. R Foundation for Statistical Computing, Vienna, Austria.</w:t>
      </w:r>
    </w:p>
    <w:p w14:paraId="3628886A" w14:textId="77777777" w:rsidR="005B6E06" w:rsidRPr="009B04EE" w:rsidRDefault="005B6E06" w:rsidP="00DF5FE2">
      <w:pPr>
        <w:spacing w:before="60" w:after="100" w:line="360" w:lineRule="auto"/>
        <w:ind w:left="720" w:hanging="720"/>
        <w:jc w:val="both"/>
        <w:rPr>
          <w:rFonts w:ascii="Times New Roman" w:hAnsi="Times New Roman" w:cs="Times New Roman"/>
          <w:color w:val="000000"/>
          <w:sz w:val="28"/>
          <w:szCs w:val="28"/>
        </w:rPr>
      </w:pPr>
      <w:r w:rsidRPr="009B04EE">
        <w:rPr>
          <w:rFonts w:ascii="Times New Roman" w:hAnsi="Times New Roman" w:cs="Times New Roman"/>
          <w:color w:val="000000"/>
          <w:sz w:val="24"/>
          <w:szCs w:val="24"/>
        </w:rPr>
        <w:t>[12] McKinney, W. (2010). Data Structures for Statistical Computing in Python. Proceedings of the 9th Python in Science Conference, 51-56.</w:t>
      </w:r>
    </w:p>
    <w:p w14:paraId="622375FC" w14:textId="4C0626E5" w:rsidR="0071388F" w:rsidRPr="009B04EE" w:rsidRDefault="0071388F" w:rsidP="00DF5FE2">
      <w:pPr>
        <w:spacing w:before="80" w:after="80"/>
        <w:jc w:val="both"/>
        <w:rPr>
          <w:rFonts w:ascii="Times New Roman" w:hAnsi="Times New Roman" w:cs="Times New Roman"/>
          <w:color w:val="000000"/>
        </w:rPr>
      </w:pPr>
    </w:p>
    <w:sectPr w:rsidR="0071388F" w:rsidRPr="009B04EE">
      <w:headerReference w:type="even" r:id="rId27"/>
      <w:headerReference w:type="default" r:id="rId28"/>
      <w:footerReference w:type="even" r:id="rId29"/>
      <w:headerReference w:type="first" r:id="rId30"/>
      <w:footerReference w:type="first" r:id="rId31"/>
      <w:pgSz w:w="12240" w:h="15840"/>
      <w:pgMar w:top="1440" w:right="1440" w:bottom="1440" w:left="1440" w:header="708" w:footer="708" w:gutter="0"/>
      <w:cols w:space="72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9EC4" w14:textId="77777777" w:rsidR="00A269FB" w:rsidRDefault="00A269FB">
      <w:r>
        <w:separator/>
      </w:r>
    </w:p>
  </w:endnote>
  <w:endnote w:type="continuationSeparator" w:id="0">
    <w:p w14:paraId="4685F740" w14:textId="77777777" w:rsidR="00A269FB" w:rsidRDefault="00A26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CEE8" w14:textId="77777777" w:rsidR="008D5DCF" w:rsidRPr="008D5DCF" w:rsidRDefault="008D5DCF" w:rsidP="008D5DCF">
    <w:pPr>
      <w:pBdr>
        <w:left w:val="single" w:sz="12" w:space="11" w:color="156082"/>
      </w:pBdr>
      <w:tabs>
        <w:tab w:val="left" w:pos="622"/>
      </w:tabs>
      <w:rPr>
        <w:rFonts w:ascii="Aptos Display" w:eastAsia="Times New Roman" w:hAnsi="Aptos Display" w:cs="Mangal"/>
        <w:color w:val="0F4761"/>
        <w:sz w:val="26"/>
        <w:szCs w:val="26"/>
      </w:rPr>
    </w:pPr>
    <w:r w:rsidRPr="008D5DCF">
      <w:rPr>
        <w:rFonts w:ascii="Aptos Display" w:eastAsia="Times New Roman" w:hAnsi="Aptos Display" w:cs="Mangal"/>
        <w:color w:val="0F4761"/>
        <w:sz w:val="26"/>
        <w:szCs w:val="26"/>
      </w:rPr>
      <w:fldChar w:fldCharType="begin"/>
    </w:r>
    <w:r w:rsidRPr="008D5DCF">
      <w:rPr>
        <w:rFonts w:ascii="Aptos Display" w:eastAsia="Times New Roman" w:hAnsi="Aptos Display" w:cs="Mangal"/>
        <w:color w:val="0F4761"/>
        <w:sz w:val="26"/>
        <w:szCs w:val="26"/>
      </w:rPr>
      <w:instrText xml:space="preserve"> PAGE   \* MERGEFORMAT </w:instrText>
    </w:r>
    <w:r w:rsidRPr="008D5DCF">
      <w:rPr>
        <w:rFonts w:ascii="Aptos Display" w:eastAsia="Times New Roman" w:hAnsi="Aptos Display" w:cs="Mangal"/>
        <w:color w:val="0F4761"/>
        <w:sz w:val="26"/>
        <w:szCs w:val="26"/>
      </w:rPr>
      <w:fldChar w:fldCharType="separate"/>
    </w:r>
    <w:r w:rsidRPr="008D5DCF">
      <w:rPr>
        <w:rFonts w:ascii="Aptos Display" w:eastAsia="Times New Roman" w:hAnsi="Aptos Display" w:cs="Mangal"/>
        <w:noProof/>
        <w:color w:val="0F4761"/>
        <w:sz w:val="26"/>
        <w:szCs w:val="26"/>
      </w:rPr>
      <w:t>2</w:t>
    </w:r>
    <w:r w:rsidRPr="008D5DCF">
      <w:rPr>
        <w:rFonts w:ascii="Aptos Display" w:eastAsia="Times New Roman" w:hAnsi="Aptos Display" w:cs="Mangal"/>
        <w:noProof/>
        <w:color w:val="0F4761"/>
        <w:sz w:val="26"/>
        <w:szCs w:val="26"/>
      </w:rPr>
      <w:fldChar w:fldCharType="end"/>
    </w:r>
  </w:p>
  <w:p w14:paraId="0F3D83B2" w14:textId="77777777" w:rsidR="008D5DCF" w:rsidRDefault="008D5D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0B20" w14:textId="77777777" w:rsidR="00A72CD3" w:rsidRDefault="00A72C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6CE7" w14:textId="77777777" w:rsidR="00A72CD3" w:rsidRDefault="00A72C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788C" w14:textId="77777777" w:rsidR="00A269FB" w:rsidRDefault="00A269FB">
      <w:r>
        <w:separator/>
      </w:r>
    </w:p>
  </w:footnote>
  <w:footnote w:type="continuationSeparator" w:id="0">
    <w:p w14:paraId="0B942C49" w14:textId="77777777" w:rsidR="00A269FB" w:rsidRDefault="00A26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9436" w14:textId="77777777" w:rsidR="00A72CD3" w:rsidRDefault="00A72CD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DACD" w14:textId="74C4039D" w:rsidR="00A72CD3" w:rsidRPr="00393E3F" w:rsidRDefault="00A72CD3" w:rsidP="00393E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D4D6" w14:textId="77777777" w:rsidR="00A72CD3" w:rsidRDefault="00A72C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2"/>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Num3"/>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AB958D7"/>
    <w:multiLevelType w:val="multilevel"/>
    <w:tmpl w:val="E39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14421">
    <w:abstractNumId w:val="0"/>
  </w:num>
  <w:num w:numId="2" w16cid:durableId="1181090372">
    <w:abstractNumId w:val="1"/>
  </w:num>
  <w:num w:numId="3" w16cid:durableId="152646627">
    <w:abstractNumId w:val="2"/>
  </w:num>
  <w:num w:numId="4" w16cid:durableId="1362826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766B"/>
    <w:rsid w:val="00012CEB"/>
    <w:rsid w:val="00043409"/>
    <w:rsid w:val="0010352F"/>
    <w:rsid w:val="0019524B"/>
    <w:rsid w:val="00296205"/>
    <w:rsid w:val="003927AC"/>
    <w:rsid w:val="00393E3F"/>
    <w:rsid w:val="003A5F0A"/>
    <w:rsid w:val="00401A05"/>
    <w:rsid w:val="00484D95"/>
    <w:rsid w:val="004935E0"/>
    <w:rsid w:val="004C371B"/>
    <w:rsid w:val="004E4869"/>
    <w:rsid w:val="005511F5"/>
    <w:rsid w:val="00597077"/>
    <w:rsid w:val="005B6E06"/>
    <w:rsid w:val="005E2DC1"/>
    <w:rsid w:val="0064605E"/>
    <w:rsid w:val="00692E04"/>
    <w:rsid w:val="006D3A52"/>
    <w:rsid w:val="007132BB"/>
    <w:rsid w:val="0071388F"/>
    <w:rsid w:val="007A3355"/>
    <w:rsid w:val="007E6D6E"/>
    <w:rsid w:val="008C4442"/>
    <w:rsid w:val="008D5DCF"/>
    <w:rsid w:val="009572B8"/>
    <w:rsid w:val="0095766B"/>
    <w:rsid w:val="009A6E23"/>
    <w:rsid w:val="009B04EE"/>
    <w:rsid w:val="009D119E"/>
    <w:rsid w:val="00A269FB"/>
    <w:rsid w:val="00A72CD3"/>
    <w:rsid w:val="00AA6E70"/>
    <w:rsid w:val="00AC52C2"/>
    <w:rsid w:val="00B11593"/>
    <w:rsid w:val="00B25476"/>
    <w:rsid w:val="00D02737"/>
    <w:rsid w:val="00D137AF"/>
    <w:rsid w:val="00D94DA7"/>
    <w:rsid w:val="00DA09EF"/>
    <w:rsid w:val="00DA480A"/>
    <w:rsid w:val="00DF5FE2"/>
    <w:rsid w:val="00E30EC7"/>
    <w:rsid w:val="00F07C4F"/>
    <w:rsid w:val="00F47B02"/>
    <w:rsid w:val="00FA52D5"/>
    <w:rsid w:val="00FB194B"/>
    <w:rsid w:val="00FB1EF4"/>
    <w:rsid w:val="00FF06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595E997C"/>
  <w15:chartTrackingRefBased/>
  <w15:docId w15:val="{4FC8DB26-E44E-4FAA-BF37-23216506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Arial" w:hAnsi="Arial" w:cs="Arial"/>
      <w:sz w:val="22"/>
      <w:szCs w:val="22"/>
      <w:lang w:val="en-US" w:eastAsia="zh-CN"/>
    </w:rPr>
  </w:style>
  <w:style w:type="paragraph" w:styleId="Heading1">
    <w:name w:val="heading 1"/>
    <w:basedOn w:val="Heading"/>
    <w:qFormat/>
    <w:pPr>
      <w:spacing w:before="320" w:after="160"/>
      <w:outlineLvl w:val="0"/>
    </w:pPr>
    <w:rPr>
      <w:rFonts w:ascii="Arial" w:eastAsia="Arial" w:hAnsi="Arial" w:cs="Arial"/>
      <w:b/>
      <w:bCs/>
      <w:color w:val="1F4E79"/>
      <w:sz w:val="32"/>
      <w:szCs w:val="32"/>
    </w:rPr>
  </w:style>
  <w:style w:type="paragraph" w:styleId="Heading2">
    <w:name w:val="heading 2"/>
    <w:basedOn w:val="Heading"/>
    <w:qFormat/>
    <w:pPr>
      <w:outlineLvl w:val="1"/>
    </w:pPr>
    <w:rPr>
      <w:rFonts w:ascii="Arial" w:eastAsia="Arial" w:hAnsi="Arial" w:cs="Arial"/>
      <w:b/>
      <w:bCs/>
      <w:color w:val="2E75B6"/>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563C1"/>
      <w:u w:val="single"/>
    </w:rPr>
  </w:style>
  <w:style w:type="character" w:customStyle="1" w:styleId="FootnoteCharacters">
    <w:name w:val="Footnote Characters"/>
    <w:rPr>
      <w:vertAlign w:val="superscript"/>
    </w:rPr>
  </w:style>
  <w:style w:type="character" w:styleId="FootnoteReference">
    <w:name w:val="footnote reference"/>
    <w:rPr>
      <w:vertAlign w:val="superscript"/>
    </w:rPr>
  </w:style>
  <w:style w:type="character" w:customStyle="1" w:styleId="FootnoteTextChar">
    <w:name w:val="Footnote Text Char"/>
    <w:rPr>
      <w:sz w:val="20"/>
      <w:szCs w:val="20"/>
    </w:rPr>
  </w:style>
  <w:style w:type="character" w:customStyle="1" w:styleId="EndnoteCharacters">
    <w:name w:val="Endnote Characters"/>
    <w:rPr>
      <w:vertAlign w:val="superscript"/>
    </w:rPr>
  </w:style>
  <w:style w:type="character" w:styleId="EndnoteReference">
    <w:name w:val="endnote reference"/>
    <w:rPr>
      <w:vertAlign w:val="superscript"/>
    </w:rPr>
  </w:style>
  <w:style w:type="character" w:customStyle="1" w:styleId="EndnoteTextChar">
    <w:name w:val="Endnote Text Char"/>
    <w:rPr>
      <w:sz w:val="20"/>
      <w:szCs w:val="20"/>
    </w:rPr>
  </w:style>
  <w:style w:type="paragraph" w:customStyle="1" w:styleId="Heading">
    <w:name w:val="Heading"/>
    <w:basedOn w:val="Normal"/>
    <w:next w:val="BodyText"/>
    <w:pPr>
      <w:keepNext/>
      <w:spacing w:before="240" w:after="120"/>
    </w:pPr>
    <w:rPr>
      <w:rFonts w:ascii="Liberation Sans" w:eastAsia="Liberation Mono" w:hAnsi="Liberation Sans" w:cs="Liberation Mono"/>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Title">
    <w:name w:val="Title"/>
    <w:basedOn w:val="Heading"/>
    <w:qFormat/>
    <w:rPr>
      <w:sz w:val="56"/>
      <w:szCs w:val="56"/>
    </w:rPr>
  </w:style>
  <w:style w:type="paragraph" w:customStyle="1" w:styleId="Strong1">
    <w:name w:val="Strong1"/>
    <w:pPr>
      <w:suppressAutoHyphens/>
    </w:pPr>
    <w:rPr>
      <w:rFonts w:ascii="Arial" w:eastAsia="Arial" w:hAnsi="Arial" w:cs="Arial"/>
      <w:b/>
      <w:bCs/>
      <w:sz w:val="22"/>
      <w:szCs w:val="22"/>
      <w:lang w:val="en-US" w:eastAsia="zh-CN"/>
    </w:rPr>
  </w:style>
  <w:style w:type="paragraph" w:styleId="ListParagraph">
    <w:name w:val="List Paragraph"/>
    <w:qFormat/>
    <w:pPr>
      <w:suppressAutoHyphens/>
    </w:pPr>
    <w:rPr>
      <w:rFonts w:ascii="Arial" w:eastAsia="Arial" w:hAnsi="Arial" w:cs="Arial"/>
      <w:sz w:val="22"/>
      <w:szCs w:val="22"/>
      <w:lang w:val="en-US" w:eastAsia="zh-CN"/>
    </w:rPr>
  </w:style>
  <w:style w:type="paragraph" w:styleId="FootnoteText">
    <w:name w:val="footnote text"/>
    <w:basedOn w:val="Normal"/>
    <w:rPr>
      <w:sz w:val="20"/>
      <w:szCs w:val="20"/>
    </w:rPr>
  </w:style>
  <w:style w:type="paragraph" w:styleId="EndnoteText">
    <w:name w:val="endnote text"/>
    <w:basedOn w:val="Normal"/>
    <w:rPr>
      <w:sz w:val="20"/>
      <w:szCs w:val="20"/>
    </w:rPr>
  </w:style>
  <w:style w:type="paragraph" w:customStyle="1" w:styleId="HeaderandFooter">
    <w:name w:val="Header and Footer"/>
    <w:basedOn w:val="Normal"/>
  </w:style>
  <w:style w:type="paragraph" w:styleId="Header">
    <w:name w:val="header"/>
    <w:basedOn w:val="HeaderandFooter"/>
  </w:style>
  <w:style w:type="paragraph" w:styleId="Footer">
    <w:name w:val="footer"/>
    <w:basedOn w:val="HeaderandFooter"/>
  </w:style>
  <w:style w:type="table" w:styleId="TableGrid">
    <w:name w:val="Table Grid"/>
    <w:basedOn w:val="TableNormal"/>
    <w:uiPriority w:val="39"/>
    <w:rsid w:val="003A5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11593"/>
    <w:pPr>
      <w:autoSpaceDE w:val="0"/>
      <w:autoSpaceDN w:val="0"/>
      <w:adjustRightInd w:val="0"/>
    </w:pPr>
    <w:rPr>
      <w:rFonts w:eastAsia="SimSun"/>
      <w:color w:val="000000"/>
      <w:sz w:val="24"/>
      <w:szCs w:val="24"/>
      <w:lang w:val="en-US" w:eastAsia="en-US" w:bidi="ar-SA"/>
    </w:rPr>
  </w:style>
  <w:style w:type="character" w:styleId="Strong">
    <w:name w:val="Strong"/>
    <w:uiPriority w:val="22"/>
    <w:qFormat/>
    <w:rsid w:val="00D137AF"/>
    <w:rPr>
      <w:b/>
      <w:bCs/>
    </w:rPr>
  </w:style>
  <w:style w:type="paragraph" w:styleId="NormalWeb">
    <w:name w:val="Normal (Web)"/>
    <w:basedOn w:val="Normal"/>
    <w:uiPriority w:val="99"/>
    <w:unhideWhenUsed/>
    <w:rsid w:val="00D137AF"/>
    <w:pPr>
      <w:suppressAutoHyphens w:val="0"/>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32</Pages>
  <Words>7910</Words>
  <Characters>45090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naman chauhan</cp:lastModifiedBy>
  <cp:revision>57</cp:revision>
  <cp:lastPrinted>2026-04-20T04:27:00Z</cp:lastPrinted>
  <dcterms:created xsi:type="dcterms:W3CDTF">2026-04-17T16:52:00Z</dcterms:created>
  <dcterms:modified xsi:type="dcterms:W3CDTF">2026-04-20T04:31:00Z</dcterms:modified>
</cp:coreProperties>
</file>