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charts/chart2.xml" ContentType="application/vnd.openxmlformats-officedocument.drawingml.chart+xml"/>
  <Override PartName="/word/header2.xml" ContentType="application/vnd.openxmlformats-officedocument.wordprocessingml.header+xml"/>
  <Override PartName="/word/charts/chart3.xml" ContentType="application/vnd.openxmlformats-officedocument.drawingml.chart+xml"/>
  <Override PartName="/word/charts/chart4.xml" ContentType="application/vnd.openxmlformats-officedocument.drawingml.chart+xml"/>
  <Override PartName="/word/header3.xml" ContentType="application/vnd.openxmlformats-officedocument.wordprocessingml.header+xml"/>
  <Override PartName="/word/charts/chart5.xml" ContentType="application/vnd.openxmlformats-officedocument.drawingml.chart+xml"/>
  <Override PartName="/word/header4.xml" ContentType="application/vnd.openxmlformats-officedocument.wordprocessingml.header+xml"/>
  <Override PartName="/word/charts/chart6.xml" ContentType="application/vnd.openxmlformats-officedocument.drawingml.chart+xml"/>
  <Override PartName="/word/header5.xml" ContentType="application/vnd.openxmlformats-officedocument.wordprocessingml.header+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8A49" w14:textId="77777777" w:rsidR="00C53E4D" w:rsidRDefault="00C53E4D" w:rsidP="00C53E4D">
      <w:pPr>
        <w:tabs>
          <w:tab w:val="left" w:pos="5589"/>
        </w:tabs>
        <w:jc w:val="center"/>
        <w:rPr>
          <w:rFonts w:ascii="Times New Roman" w:hAnsi="Times New Roman" w:cs="Times New Roman"/>
          <w:b/>
          <w:sz w:val="28"/>
          <w:lang w:val="en-US"/>
        </w:rPr>
      </w:pPr>
      <w:bookmarkStart w:id="0" w:name="_Hlk213836933"/>
      <w:bookmarkEnd w:id="0"/>
      <w:r>
        <w:rPr>
          <w:rFonts w:ascii="Times New Roman" w:hAnsi="Times New Roman" w:cs="Times New Roman"/>
          <w:b/>
          <w:noProof/>
          <w:sz w:val="28"/>
          <w:lang w:val="en-US" w:bidi="hi-IN"/>
        </w:rPr>
        <w:drawing>
          <wp:inline distT="0" distB="0" distL="0" distR="0" wp14:anchorId="76ED8B4C" wp14:editId="76ED8B4D">
            <wp:extent cx="1948180" cy="1468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73134" cy="1487440"/>
                    </a:xfrm>
                    <a:prstGeom prst="rect">
                      <a:avLst/>
                    </a:prstGeom>
                  </pic:spPr>
                </pic:pic>
              </a:graphicData>
            </a:graphic>
          </wp:inline>
        </w:drawing>
      </w:r>
    </w:p>
    <w:p w14:paraId="76ED8A4A" w14:textId="77777777" w:rsidR="00C53E4D" w:rsidRDefault="00C53E4D" w:rsidP="00C53E4D">
      <w:pPr>
        <w:jc w:val="center"/>
        <w:rPr>
          <w:rFonts w:ascii="Times New Roman" w:hAnsi="Times New Roman" w:cs="Times New Roman"/>
          <w:b/>
          <w:sz w:val="32"/>
          <w:szCs w:val="32"/>
        </w:rPr>
      </w:pPr>
    </w:p>
    <w:p w14:paraId="76ED8A4B" w14:textId="77777777" w:rsidR="00C53E4D" w:rsidRDefault="00C53E4D" w:rsidP="00C53E4D">
      <w:pPr>
        <w:jc w:val="center"/>
        <w:rPr>
          <w:rFonts w:ascii="Times New Roman" w:hAnsi="Times New Roman" w:cs="Times New Roman"/>
          <w:b/>
          <w:sz w:val="32"/>
          <w:szCs w:val="32"/>
        </w:rPr>
      </w:pPr>
      <w:r>
        <w:rPr>
          <w:rFonts w:ascii="Times New Roman" w:hAnsi="Times New Roman" w:cs="Times New Roman"/>
          <w:b/>
          <w:sz w:val="32"/>
          <w:szCs w:val="32"/>
        </w:rPr>
        <w:t>GL BAJAJ INSTITUTE OF TECHNOLOGY AND MANAGEMENT, GREATER NOIDA</w:t>
      </w:r>
    </w:p>
    <w:p w14:paraId="76ED8A4C" w14:textId="77777777" w:rsidR="00C53E4D" w:rsidRDefault="00C53E4D" w:rsidP="00C53E4D">
      <w:pPr>
        <w:jc w:val="center"/>
        <w:rPr>
          <w:rFonts w:ascii="Times New Roman" w:hAnsi="Times New Roman" w:cs="Times New Roman"/>
          <w:b/>
          <w:sz w:val="24"/>
          <w:szCs w:val="24"/>
        </w:rPr>
      </w:pPr>
    </w:p>
    <w:p w14:paraId="76ED8A4D" w14:textId="77777777" w:rsidR="00C53E4D" w:rsidRDefault="00C53E4D" w:rsidP="00C53E4D">
      <w:pPr>
        <w:jc w:val="center"/>
        <w:rPr>
          <w:rFonts w:ascii="Times New Roman" w:hAnsi="Times New Roman" w:cs="Times New Roman"/>
          <w:b/>
          <w:sz w:val="28"/>
        </w:rPr>
      </w:pPr>
      <w:r>
        <w:rPr>
          <w:rFonts w:ascii="Times New Roman" w:hAnsi="Times New Roman" w:cs="Times New Roman"/>
          <w:b/>
          <w:sz w:val="28"/>
        </w:rPr>
        <w:t>“ASSIGNMENT-1”</w:t>
      </w:r>
    </w:p>
    <w:p w14:paraId="76ED8A4E" w14:textId="77777777" w:rsidR="00C53E4D" w:rsidRDefault="00C53E4D" w:rsidP="00C53E4D">
      <w:pPr>
        <w:spacing w:line="360" w:lineRule="auto"/>
        <w:jc w:val="center"/>
        <w:rPr>
          <w:rFonts w:ascii="Times New Roman" w:hAnsi="Times New Roman" w:cs="Times New Roman"/>
          <w:b/>
          <w:sz w:val="28"/>
        </w:rPr>
      </w:pPr>
      <w:r>
        <w:rPr>
          <w:rFonts w:ascii="Times New Roman" w:hAnsi="Times New Roman" w:cs="Times New Roman"/>
          <w:b/>
          <w:sz w:val="28"/>
        </w:rPr>
        <w:t xml:space="preserve">ON </w:t>
      </w:r>
    </w:p>
    <w:p w14:paraId="76ED8A4F" w14:textId="77777777" w:rsidR="00C53E4D" w:rsidRPr="00CE4AC3" w:rsidRDefault="00C53E4D" w:rsidP="00C53E4D">
      <w:pPr>
        <w:pStyle w:val="Default"/>
        <w:jc w:val="center"/>
        <w:rPr>
          <w:sz w:val="36"/>
          <w:szCs w:val="36"/>
        </w:rPr>
      </w:pPr>
      <w:r>
        <w:rPr>
          <w:sz w:val="36"/>
          <w:szCs w:val="36"/>
        </w:rPr>
        <w:t>IT-SKILLS 1</w:t>
      </w:r>
    </w:p>
    <w:p w14:paraId="76ED8A50" w14:textId="77777777" w:rsidR="00C53E4D" w:rsidRDefault="00C53E4D" w:rsidP="00C53E4D">
      <w:pPr>
        <w:spacing w:line="360" w:lineRule="auto"/>
        <w:jc w:val="center"/>
        <w:rPr>
          <w:rFonts w:ascii="Times New Roman" w:hAnsi="Times New Roman" w:cs="Times New Roman"/>
          <w:b/>
          <w:i/>
        </w:rPr>
      </w:pPr>
      <w:r>
        <w:rPr>
          <w:rFonts w:ascii="Times New Roman" w:hAnsi="Times New Roman" w:cs="Times New Roman"/>
          <w:b/>
          <w:i/>
        </w:rPr>
        <w:t>TOWARDS THE PARTIAL FULLFILLMENT FOR THE AWARD OF DEGREE OF</w:t>
      </w:r>
    </w:p>
    <w:p w14:paraId="76ED8A51" w14:textId="77777777" w:rsidR="00C53E4D" w:rsidRDefault="00C53E4D" w:rsidP="00C53E4D">
      <w:pPr>
        <w:jc w:val="center"/>
        <w:rPr>
          <w:rFonts w:ascii="Times New Roman" w:hAnsi="Times New Roman" w:cs="Times New Roman"/>
          <w:b/>
          <w:sz w:val="32"/>
          <w:szCs w:val="32"/>
        </w:rPr>
      </w:pPr>
      <w:r>
        <w:rPr>
          <w:rFonts w:ascii="Times New Roman" w:hAnsi="Times New Roman" w:cs="Times New Roman"/>
          <w:b/>
          <w:sz w:val="32"/>
          <w:szCs w:val="32"/>
        </w:rPr>
        <w:t>MASTER OF BUSINESS ADMINISTRATION (BA)</w:t>
      </w:r>
    </w:p>
    <w:p w14:paraId="76ED8A52" w14:textId="77777777" w:rsidR="00C53E4D" w:rsidRDefault="00C53E4D" w:rsidP="00C53E4D">
      <w:pPr>
        <w:jc w:val="center"/>
        <w:rPr>
          <w:rFonts w:ascii="Times New Roman" w:hAnsi="Times New Roman" w:cs="Times New Roman"/>
          <w:b/>
          <w:i/>
          <w:sz w:val="24"/>
          <w:szCs w:val="24"/>
        </w:rPr>
      </w:pPr>
      <w:r>
        <w:rPr>
          <w:rFonts w:ascii="Times New Roman" w:hAnsi="Times New Roman" w:cs="Times New Roman"/>
          <w:b/>
          <w:noProof/>
          <w:sz w:val="28"/>
          <w:lang w:val="en-US" w:bidi="hi-IN"/>
        </w:rPr>
        <w:drawing>
          <wp:anchor distT="0" distB="0" distL="114300" distR="114300" simplePos="0" relativeHeight="251658240" behindDoc="1" locked="0" layoutInCell="1" allowOverlap="1" wp14:anchorId="76ED8B4E" wp14:editId="76ED8B4F">
            <wp:simplePos x="0" y="0"/>
            <wp:positionH relativeFrom="column">
              <wp:posOffset>1589405</wp:posOffset>
            </wp:positionH>
            <wp:positionV relativeFrom="paragraph">
              <wp:posOffset>219075</wp:posOffset>
            </wp:positionV>
            <wp:extent cx="2415540" cy="1727835"/>
            <wp:effectExtent l="0" t="0" r="4445"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15272" cy="1728000"/>
                    </a:xfrm>
                    <a:prstGeom prst="rect">
                      <a:avLst/>
                    </a:prstGeom>
                  </pic:spPr>
                </pic:pic>
              </a:graphicData>
            </a:graphic>
          </wp:anchor>
        </w:drawing>
      </w:r>
      <w:r>
        <w:rPr>
          <w:rFonts w:ascii="Times New Roman" w:hAnsi="Times New Roman" w:cs="Times New Roman"/>
          <w:b/>
          <w:i/>
          <w:sz w:val="24"/>
          <w:szCs w:val="24"/>
        </w:rPr>
        <w:t>(Dr. A.P.J. Abdul Kalam Technical University, Lucknow, Uttar Pradesh)</w:t>
      </w:r>
    </w:p>
    <w:p w14:paraId="76ED8A53" w14:textId="77777777" w:rsidR="00C53E4D" w:rsidRDefault="00C53E4D" w:rsidP="00C53E4D">
      <w:pPr>
        <w:jc w:val="center"/>
        <w:rPr>
          <w:rFonts w:ascii="Times New Roman" w:hAnsi="Times New Roman" w:cs="Times New Roman"/>
          <w:b/>
          <w:i/>
          <w:sz w:val="24"/>
          <w:szCs w:val="24"/>
        </w:rPr>
      </w:pPr>
    </w:p>
    <w:p w14:paraId="76ED8A54" w14:textId="77777777" w:rsidR="00C53E4D" w:rsidRDefault="00C53E4D" w:rsidP="00C53E4D"/>
    <w:p w14:paraId="76ED8A55" w14:textId="77777777" w:rsidR="00C53E4D" w:rsidRDefault="00C53E4D" w:rsidP="00C53E4D"/>
    <w:p w14:paraId="76ED8A56" w14:textId="77777777" w:rsidR="00C53E4D" w:rsidRDefault="00C53E4D" w:rsidP="00C53E4D"/>
    <w:p w14:paraId="76ED8A57" w14:textId="77777777" w:rsidR="00C53E4D" w:rsidRDefault="00C53E4D" w:rsidP="00C53E4D"/>
    <w:p w14:paraId="76ED8A58" w14:textId="77777777" w:rsidR="00C53E4D" w:rsidRDefault="00C53E4D" w:rsidP="00C53E4D">
      <w:pPr>
        <w:rPr>
          <w:rFonts w:ascii="Times New Roman" w:hAnsi="Times New Roman" w:cs="Times New Roman"/>
        </w:rPr>
      </w:pPr>
    </w:p>
    <w:p w14:paraId="76ED8A59" w14:textId="77777777" w:rsidR="00C53E4D" w:rsidRDefault="00C53E4D" w:rsidP="00C53E4D">
      <w:pPr>
        <w:jc w:val="center"/>
        <w:rPr>
          <w:rFonts w:ascii="Times New Roman" w:hAnsi="Times New Roman" w:cs="Times New Roman"/>
          <w:b/>
          <w:sz w:val="24"/>
          <w:szCs w:val="24"/>
        </w:rPr>
      </w:pPr>
      <w:r>
        <w:rPr>
          <w:rFonts w:ascii="Times New Roman" w:hAnsi="Times New Roman" w:cs="Times New Roman"/>
          <w:b/>
          <w:sz w:val="24"/>
          <w:szCs w:val="24"/>
        </w:rPr>
        <w:t>By</w:t>
      </w:r>
    </w:p>
    <w:p w14:paraId="76ED8A5A" w14:textId="77777777" w:rsidR="00C53E4D" w:rsidRDefault="00C53E4D" w:rsidP="00C53E4D">
      <w:pPr>
        <w:jc w:val="center"/>
        <w:rPr>
          <w:rFonts w:ascii="Times New Roman" w:hAnsi="Times New Roman" w:cs="Times New Roman"/>
          <w:b/>
          <w:sz w:val="28"/>
        </w:rPr>
      </w:pPr>
      <w:r>
        <w:rPr>
          <w:rFonts w:ascii="Times New Roman" w:hAnsi="Times New Roman" w:cs="Times New Roman"/>
          <w:b/>
          <w:sz w:val="28"/>
        </w:rPr>
        <w:t>NAMAN SINGH CHAUHAN</w:t>
      </w:r>
    </w:p>
    <w:p w14:paraId="76ED8A5B" w14:textId="77777777" w:rsidR="00C53E4D" w:rsidRDefault="00C53E4D" w:rsidP="00C53E4D">
      <w:pPr>
        <w:jc w:val="center"/>
        <w:rPr>
          <w:rFonts w:ascii="Times New Roman" w:hAnsi="Times New Roman" w:cs="Times New Roman"/>
          <w:b/>
          <w:sz w:val="28"/>
        </w:rPr>
      </w:pPr>
      <w:r>
        <w:rPr>
          <w:rFonts w:ascii="Times New Roman" w:hAnsi="Times New Roman" w:cs="Times New Roman"/>
          <w:b/>
          <w:sz w:val="28"/>
        </w:rPr>
        <w:t>SEC-J</w:t>
      </w:r>
    </w:p>
    <w:p w14:paraId="76ED8A5C" w14:textId="77777777" w:rsidR="00C53E4D" w:rsidRDefault="00C53E4D" w:rsidP="00C53E4D">
      <w:pPr>
        <w:spacing w:after="0"/>
        <w:jc w:val="center"/>
        <w:rPr>
          <w:rFonts w:ascii="Times New Roman" w:hAnsi="Times New Roman" w:cs="Times New Roman"/>
          <w:b/>
          <w:sz w:val="24"/>
          <w:szCs w:val="24"/>
        </w:rPr>
      </w:pPr>
      <w:r>
        <w:rPr>
          <w:rFonts w:ascii="Times New Roman" w:hAnsi="Times New Roman" w:cs="Times New Roman"/>
          <w:b/>
          <w:sz w:val="24"/>
          <w:szCs w:val="24"/>
        </w:rPr>
        <w:t>Admission No.-</w:t>
      </w:r>
      <w:r w:rsidRPr="00FB4148">
        <w:rPr>
          <w:rFonts w:ascii="Times New Roman" w:hAnsi="Times New Roman" w:cs="Times New Roman"/>
          <w:b/>
          <w:sz w:val="24"/>
          <w:szCs w:val="24"/>
          <w:u w:val="single"/>
        </w:rPr>
        <w:t>25162CN108</w:t>
      </w:r>
    </w:p>
    <w:p w14:paraId="76ED8A5D" w14:textId="77777777" w:rsidR="00C53E4D" w:rsidRDefault="00C53E4D" w:rsidP="00C53E4D">
      <w:pPr>
        <w:spacing w:after="0"/>
        <w:jc w:val="center"/>
        <w:rPr>
          <w:rFonts w:ascii="Times New Roman" w:hAnsi="Times New Roman" w:cs="Times New Roman"/>
          <w:b/>
          <w:sz w:val="24"/>
          <w:szCs w:val="24"/>
        </w:rPr>
      </w:pPr>
      <w:r>
        <w:rPr>
          <w:rFonts w:ascii="Times New Roman" w:hAnsi="Times New Roman" w:cs="Times New Roman"/>
          <w:b/>
          <w:sz w:val="24"/>
          <w:szCs w:val="24"/>
        </w:rPr>
        <w:t>Session 2025-26</w:t>
      </w:r>
    </w:p>
    <w:p w14:paraId="76ED8A5E" w14:textId="77777777" w:rsidR="00C53E4D" w:rsidRDefault="00C53E4D" w:rsidP="00C53E4D">
      <w:pPr>
        <w:spacing w:after="0"/>
        <w:jc w:val="center"/>
        <w:rPr>
          <w:rFonts w:ascii="Times New Roman" w:hAnsi="Times New Roman" w:cs="Times New Roman"/>
          <w:b/>
          <w:sz w:val="24"/>
          <w:szCs w:val="24"/>
        </w:rPr>
      </w:pPr>
    </w:p>
    <w:p w14:paraId="76ED8A5F" w14:textId="77777777" w:rsidR="00C53E4D" w:rsidRDefault="00C53E4D" w:rsidP="00C53E4D">
      <w:pPr>
        <w:spacing w:after="0"/>
        <w:jc w:val="center"/>
        <w:rPr>
          <w:rFonts w:ascii="Times New Roman" w:hAnsi="Times New Roman" w:cs="Times New Roman"/>
          <w:b/>
          <w:sz w:val="24"/>
          <w:szCs w:val="24"/>
        </w:rPr>
      </w:pPr>
      <w:r>
        <w:rPr>
          <w:rFonts w:ascii="Times New Roman" w:hAnsi="Times New Roman" w:cs="Times New Roman"/>
          <w:b/>
          <w:sz w:val="24"/>
          <w:szCs w:val="24"/>
        </w:rPr>
        <w:t>Under the Supervision of</w:t>
      </w:r>
    </w:p>
    <w:p w14:paraId="76ED8A60" w14:textId="77777777" w:rsidR="00C53E4D" w:rsidRDefault="00C53E4D" w:rsidP="00C53E4D">
      <w:pPr>
        <w:spacing w:after="0"/>
        <w:jc w:val="center"/>
        <w:rPr>
          <w:rFonts w:ascii="Times New Roman" w:hAnsi="Times New Roman" w:cs="Times New Roman"/>
          <w:b/>
          <w:sz w:val="24"/>
          <w:szCs w:val="24"/>
        </w:rPr>
      </w:pPr>
    </w:p>
    <w:p w14:paraId="76ED8A61" w14:textId="77777777" w:rsidR="00BB503E" w:rsidRPr="00BB503E" w:rsidRDefault="007C6609" w:rsidP="00BB503E">
      <w:pPr>
        <w:jc w:val="center"/>
        <w:rPr>
          <w:rFonts w:ascii="Times New Roman" w:hAnsi="Times New Roman" w:cs="Times New Roman"/>
          <w:b/>
          <w:sz w:val="28"/>
        </w:rPr>
      </w:pPr>
      <w:r>
        <w:rPr>
          <w:rFonts w:ascii="Times New Roman" w:hAnsi="Times New Roman" w:cs="Times New Roman"/>
          <w:b/>
          <w:sz w:val="28"/>
        </w:rPr>
        <w:t>M</w:t>
      </w:r>
      <w:r w:rsidR="00C53E4D">
        <w:rPr>
          <w:rFonts w:ascii="Times New Roman" w:hAnsi="Times New Roman" w:cs="Times New Roman"/>
          <w:b/>
          <w:sz w:val="28"/>
        </w:rPr>
        <w:t>r.</w:t>
      </w:r>
      <w:r w:rsidR="002C1D31" w:rsidRPr="002C1D31">
        <w:rPr>
          <w:rFonts w:ascii="Times New Roman" w:hAnsi="Times New Roman" w:cs="Times New Roman"/>
          <w:b/>
          <w:sz w:val="28"/>
        </w:rPr>
        <w:t xml:space="preserve"> Vijay Kumar Singh</w:t>
      </w:r>
    </w:p>
    <w:p w14:paraId="76ED8AA7" w14:textId="77777777" w:rsidR="008104F7" w:rsidRDefault="00BB23F3" w:rsidP="00B81B2B">
      <w:pPr>
        <w:jc w:val="center"/>
        <w:rPr>
          <w:b/>
          <w:bCs/>
          <w:sz w:val="32"/>
          <w:szCs w:val="32"/>
          <w:u w:val="single"/>
        </w:rPr>
      </w:pPr>
      <w:r w:rsidRPr="00CF3619">
        <w:rPr>
          <w:b/>
          <w:bCs/>
          <w:sz w:val="32"/>
          <w:szCs w:val="32"/>
          <w:u w:val="single"/>
        </w:rPr>
        <w:lastRenderedPageBreak/>
        <w:t>COLUMN CHART</w:t>
      </w:r>
    </w:p>
    <w:p w14:paraId="7911068C" w14:textId="21EFB9CA" w:rsidR="001732B5" w:rsidRPr="00601E89" w:rsidRDefault="0065450B" w:rsidP="001732B5">
      <w:pPr>
        <w:rPr>
          <w:sz w:val="32"/>
          <w:szCs w:val="32"/>
        </w:rPr>
      </w:pPr>
      <w:bookmarkStart w:id="1" w:name="_Hlk213836758"/>
      <w:r>
        <w:rPr>
          <w:sz w:val="32"/>
          <w:szCs w:val="32"/>
        </w:rPr>
        <w:t>U</w:t>
      </w:r>
      <w:r w:rsidR="00601E89">
        <w:rPr>
          <w:sz w:val="32"/>
          <w:szCs w:val="32"/>
        </w:rPr>
        <w:t>se</w:t>
      </w:r>
      <w:r>
        <w:rPr>
          <w:sz w:val="32"/>
          <w:szCs w:val="32"/>
        </w:rPr>
        <w:t xml:space="preserve">s rectangular bar </w:t>
      </w:r>
      <w:r w:rsidR="001314DA">
        <w:rPr>
          <w:sz w:val="32"/>
          <w:szCs w:val="32"/>
        </w:rPr>
        <w:t>in vertical to c</w:t>
      </w:r>
      <w:r w:rsidR="00012D1B">
        <w:rPr>
          <w:sz w:val="32"/>
          <w:szCs w:val="32"/>
        </w:rPr>
        <w:t xml:space="preserve">ompare quantities </w:t>
      </w:r>
      <w:r w:rsidR="008233B9">
        <w:rPr>
          <w:sz w:val="32"/>
          <w:szCs w:val="32"/>
        </w:rPr>
        <w:t xml:space="preserve">and </w:t>
      </w:r>
      <w:r w:rsidR="00012D1B">
        <w:rPr>
          <w:sz w:val="32"/>
          <w:szCs w:val="32"/>
        </w:rPr>
        <w:t>ac</w:t>
      </w:r>
      <w:r w:rsidR="00DD225D">
        <w:rPr>
          <w:sz w:val="32"/>
          <w:szCs w:val="32"/>
        </w:rPr>
        <w:t>ross cat</w:t>
      </w:r>
      <w:r w:rsidR="008233B9">
        <w:rPr>
          <w:sz w:val="32"/>
          <w:szCs w:val="32"/>
        </w:rPr>
        <w:t>egories</w:t>
      </w:r>
      <w:r w:rsidR="00D571BA" w:rsidRPr="00D571BA">
        <w:rPr>
          <w:sz w:val="24"/>
          <w:szCs w:val="24"/>
        </w:rPr>
        <w:t xml:space="preserve"> </w:t>
      </w:r>
      <w:r w:rsidR="00D571BA" w:rsidRPr="008233B9">
        <w:rPr>
          <w:sz w:val="32"/>
          <w:szCs w:val="32"/>
          <w:highlight w:val="yellow"/>
        </w:rPr>
        <w:t>tracking changes over a discrete period.</w:t>
      </w:r>
    </w:p>
    <w:bookmarkEnd w:id="1"/>
    <w:p w14:paraId="76ED8AA9" w14:textId="77777777" w:rsidR="00532599" w:rsidRDefault="005A0A62" w:rsidP="00532599">
      <w:pPr>
        <w:rPr>
          <w:sz w:val="24"/>
          <w:szCs w:val="24"/>
        </w:rPr>
      </w:pPr>
      <w:r>
        <w:rPr>
          <w:noProof/>
          <w:lang w:val="en-US" w:bidi="hi-IN"/>
        </w:rPr>
        <w:drawing>
          <wp:inline distT="0" distB="0" distL="0" distR="0" wp14:anchorId="76ED8B50" wp14:editId="278FB62F">
            <wp:extent cx="5486400" cy="3200400"/>
            <wp:effectExtent l="19050" t="0" r="19050" b="0"/>
            <wp:docPr id="208379143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6ED8AAA" w14:textId="77777777" w:rsidR="00767C22" w:rsidRPr="00767C22" w:rsidRDefault="00767C22" w:rsidP="00767C22">
      <w:pPr>
        <w:rPr>
          <w:szCs w:val="22"/>
        </w:rPr>
      </w:pPr>
      <w:r w:rsidRPr="00767C22">
        <w:rPr>
          <w:b/>
          <w:bCs/>
          <w:szCs w:val="22"/>
        </w:rPr>
        <w:t>Key observations derived from the chart would be</w:t>
      </w:r>
      <w:r w:rsidRPr="00767C22">
        <w:rPr>
          <w:szCs w:val="22"/>
        </w:rPr>
        <w:t>:</w:t>
      </w:r>
    </w:p>
    <w:p w14:paraId="76ED8AAB" w14:textId="77777777" w:rsidR="00767C22" w:rsidRPr="00767C22" w:rsidRDefault="00767C22" w:rsidP="00767C22">
      <w:pPr>
        <w:numPr>
          <w:ilvl w:val="0"/>
          <w:numId w:val="22"/>
        </w:numPr>
        <w:rPr>
          <w:szCs w:val="22"/>
          <w:highlight w:val="yellow"/>
        </w:rPr>
      </w:pPr>
      <w:r w:rsidRPr="00767C22">
        <w:rPr>
          <w:b/>
          <w:bCs/>
          <w:szCs w:val="22"/>
        </w:rPr>
        <w:t>Dominance of Silk and Cotton:</w:t>
      </w:r>
      <w:r w:rsidRPr="00767C22">
        <w:rPr>
          <w:szCs w:val="22"/>
        </w:rPr>
        <w:t xml:space="preserve"> Silk maintained the highest or near-highest value in three out of the four years (2020, 2021, 2023), confirming its consistent high performance. However, </w:t>
      </w:r>
      <w:r w:rsidRPr="00767C22">
        <w:rPr>
          <w:szCs w:val="22"/>
          <w:highlight w:val="yellow"/>
        </w:rPr>
        <w:t>Cotton's value more than doubled from 2022 (202) to 2023 (488), demonstrating the most accelerated increase across the dataset.</w:t>
      </w:r>
    </w:p>
    <w:p w14:paraId="76ED8AAC" w14:textId="77777777" w:rsidR="00767C22" w:rsidRPr="00767C22" w:rsidRDefault="00767C22" w:rsidP="00767C22">
      <w:pPr>
        <w:numPr>
          <w:ilvl w:val="0"/>
          <w:numId w:val="22"/>
        </w:numPr>
        <w:rPr>
          <w:szCs w:val="22"/>
          <w:highlight w:val="yellow"/>
        </w:rPr>
      </w:pPr>
      <w:r w:rsidRPr="00767C22">
        <w:rPr>
          <w:b/>
          <w:bCs/>
          <w:szCs w:val="22"/>
        </w:rPr>
        <w:t>Wool Volatility:</w:t>
      </w:r>
      <w:r w:rsidRPr="00767C22">
        <w:rPr>
          <w:szCs w:val="22"/>
        </w:rPr>
        <w:t xml:space="preserve"> Wool showed the most varied performance, reaching a peak in 2021 (156) before experiencing a </w:t>
      </w:r>
      <w:r w:rsidR="00F22F35" w:rsidRPr="005A0A62">
        <w:rPr>
          <w:szCs w:val="22"/>
        </w:rPr>
        <w:t>notable It</w:t>
      </w:r>
      <w:r w:rsidRPr="00767C22">
        <w:rPr>
          <w:szCs w:val="22"/>
        </w:rPr>
        <w:t xml:space="preserve"> then recovered sharply in 2023 (400), indicating a volatile market or production cycle compared to the </w:t>
      </w:r>
      <w:r w:rsidRPr="00767C22">
        <w:rPr>
          <w:szCs w:val="22"/>
          <w:highlight w:val="yellow"/>
        </w:rPr>
        <w:t>steady rise of Cotton and Silk.</w:t>
      </w:r>
    </w:p>
    <w:p w14:paraId="76ED8AAD" w14:textId="77777777" w:rsidR="00767C22" w:rsidRPr="00767C22" w:rsidRDefault="00767C22" w:rsidP="00767C22">
      <w:pPr>
        <w:numPr>
          <w:ilvl w:val="0"/>
          <w:numId w:val="22"/>
        </w:numPr>
        <w:rPr>
          <w:szCs w:val="22"/>
        </w:rPr>
      </w:pPr>
      <w:r w:rsidRPr="00767C22">
        <w:rPr>
          <w:b/>
          <w:bCs/>
          <w:szCs w:val="22"/>
        </w:rPr>
        <w:t>Overall Market Growth:</w:t>
      </w:r>
      <w:r w:rsidRPr="00767C22">
        <w:rPr>
          <w:szCs w:val="22"/>
        </w:rPr>
        <w:t xml:space="preserve"> The combined total value of all three materials increased steadily, especially in 2023, which saw </w:t>
      </w:r>
      <w:r w:rsidRPr="00767C22">
        <w:rPr>
          <w:szCs w:val="22"/>
          <w:highlight w:val="yellow"/>
        </w:rPr>
        <w:t>the largest year-over-year increase</w:t>
      </w:r>
      <w:r w:rsidRPr="00767C22">
        <w:rPr>
          <w:szCs w:val="22"/>
        </w:rPr>
        <w:t xml:space="preserve">, </w:t>
      </w:r>
      <w:r w:rsidR="00F22F35" w:rsidRPr="005A0A62">
        <w:rPr>
          <w:szCs w:val="22"/>
        </w:rPr>
        <w:t>signalling</w:t>
      </w:r>
      <w:r w:rsidRPr="00767C22">
        <w:rPr>
          <w:szCs w:val="22"/>
        </w:rPr>
        <w:t xml:space="preserve"> a robust market expansion.</w:t>
      </w:r>
    </w:p>
    <w:p w14:paraId="76ED8AAE" w14:textId="77777777" w:rsidR="00532599" w:rsidRPr="005A0A62" w:rsidRDefault="0069059C" w:rsidP="00532599">
      <w:pPr>
        <w:rPr>
          <w:b/>
          <w:bCs/>
          <w:szCs w:val="22"/>
        </w:rPr>
      </w:pPr>
      <w:r w:rsidRPr="005A0A62">
        <w:rPr>
          <w:b/>
          <w:bCs/>
          <w:szCs w:val="22"/>
        </w:rPr>
        <w:t>CONCULSION</w:t>
      </w:r>
      <w:r w:rsidR="00DF3CAD" w:rsidRPr="005A0A62">
        <w:rPr>
          <w:b/>
          <w:bCs/>
          <w:szCs w:val="22"/>
        </w:rPr>
        <w:t>:</w:t>
      </w:r>
    </w:p>
    <w:p w14:paraId="76ED8AAF" w14:textId="77777777" w:rsidR="00DF3CAD" w:rsidRPr="005A0A62" w:rsidRDefault="002C4C08" w:rsidP="002C4C08">
      <w:pPr>
        <w:pStyle w:val="ListParagraph"/>
        <w:numPr>
          <w:ilvl w:val="0"/>
          <w:numId w:val="20"/>
        </w:numPr>
        <w:rPr>
          <w:szCs w:val="22"/>
        </w:rPr>
      </w:pPr>
      <w:r w:rsidRPr="005A0A62">
        <w:rPr>
          <w:szCs w:val="22"/>
        </w:rPr>
        <w:t xml:space="preserve">The most striking feature of the dataset </w:t>
      </w:r>
      <w:r w:rsidRPr="005A0A62">
        <w:rPr>
          <w:szCs w:val="22"/>
          <w:highlight w:val="yellow"/>
        </w:rPr>
        <w:t>is the volatility of Wool and the exponential growth of Cotton. Wool's sharp drop in 2022 suggests</w:t>
      </w:r>
      <w:r w:rsidRPr="005A0A62">
        <w:rPr>
          <w:szCs w:val="22"/>
        </w:rPr>
        <w:t xml:space="preserve"> it was highly sensitive to market factors that year, while </w:t>
      </w:r>
      <w:r w:rsidRPr="005A0A62">
        <w:rPr>
          <w:szCs w:val="22"/>
          <w:highlight w:val="yellow"/>
        </w:rPr>
        <w:t>Cotton's steady, strong</w:t>
      </w:r>
      <w:r w:rsidRPr="005A0A62">
        <w:rPr>
          <w:szCs w:val="22"/>
        </w:rPr>
        <w:t xml:space="preserve"> increase positioned it to almost match Silk's peak performance in 2023 (488 vs. 500).</w:t>
      </w:r>
    </w:p>
    <w:p w14:paraId="76ED8AB0" w14:textId="77777777" w:rsidR="008104F7" w:rsidRPr="005A0A62" w:rsidRDefault="008104F7">
      <w:pPr>
        <w:rPr>
          <w:szCs w:val="22"/>
        </w:rPr>
      </w:pPr>
    </w:p>
    <w:p w14:paraId="76ED8AB1" w14:textId="77777777" w:rsidR="00480E34" w:rsidRDefault="00480E34">
      <w:pPr>
        <w:sectPr w:rsidR="00480E34" w:rsidSect="00BC38F6">
          <w:headerReference w:type="default" r:id="rId11"/>
          <w:pgSz w:w="11906" w:h="16838"/>
          <w:pgMar w:top="1440" w:right="1440" w:bottom="1440" w:left="1440" w:header="708" w:footer="708" w:gutter="0"/>
          <w:cols w:space="708"/>
          <w:docGrid w:linePitch="360"/>
        </w:sectPr>
      </w:pPr>
    </w:p>
    <w:p w14:paraId="76ED8AB2" w14:textId="1E9165D5" w:rsidR="008104F7" w:rsidRPr="008233B9" w:rsidRDefault="008233B9" w:rsidP="00D36D72">
      <w:pPr>
        <w:rPr>
          <w:sz w:val="32"/>
          <w:szCs w:val="32"/>
        </w:rPr>
      </w:pPr>
      <w:r>
        <w:rPr>
          <w:sz w:val="32"/>
          <w:szCs w:val="32"/>
        </w:rPr>
        <w:lastRenderedPageBreak/>
        <w:t>Uses rectangular bar in vertical to compare quantities and across categories</w:t>
      </w:r>
      <w:r w:rsidRPr="00D571BA">
        <w:rPr>
          <w:sz w:val="24"/>
          <w:szCs w:val="24"/>
        </w:rPr>
        <w:t xml:space="preserve"> </w:t>
      </w:r>
      <w:r w:rsidRPr="008233B9">
        <w:rPr>
          <w:sz w:val="32"/>
          <w:szCs w:val="32"/>
          <w:highlight w:val="yellow"/>
        </w:rPr>
        <w:t>tracking changes over a discrete period.</w:t>
      </w:r>
    </w:p>
    <w:p w14:paraId="76ED8AB4" w14:textId="77777777" w:rsidR="00FA2E67" w:rsidRDefault="00CE1A6C">
      <w:r>
        <w:rPr>
          <w:noProof/>
          <w:lang w:val="en-US" w:bidi="hi-IN"/>
        </w:rPr>
        <w:drawing>
          <wp:inline distT="0" distB="0" distL="0" distR="0" wp14:anchorId="76ED8B52" wp14:editId="76ED8B53">
            <wp:extent cx="5486400" cy="3200400"/>
            <wp:effectExtent l="0" t="0" r="0" b="0"/>
            <wp:docPr id="89554743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ED8AB5" w14:textId="77777777" w:rsidR="003A12E3" w:rsidRPr="003A12E3" w:rsidRDefault="003A12E3" w:rsidP="003A12E3">
      <w:pPr>
        <w:rPr>
          <w:b/>
          <w:bCs/>
          <w:sz w:val="28"/>
        </w:rPr>
      </w:pPr>
      <w:r w:rsidRPr="003A12E3">
        <w:rPr>
          <w:b/>
          <w:bCs/>
          <w:sz w:val="28"/>
        </w:rPr>
        <w:t>Key Observations from the Bar Graph:</w:t>
      </w:r>
    </w:p>
    <w:p w14:paraId="76ED8AB6" w14:textId="77777777" w:rsidR="003A12E3" w:rsidRPr="003A12E3" w:rsidRDefault="003A12E3" w:rsidP="003A12E3">
      <w:pPr>
        <w:numPr>
          <w:ilvl w:val="0"/>
          <w:numId w:val="21"/>
        </w:numPr>
        <w:rPr>
          <w:sz w:val="28"/>
        </w:rPr>
      </w:pPr>
      <w:r w:rsidRPr="003A12E3">
        <w:rPr>
          <w:sz w:val="28"/>
        </w:rPr>
        <w:t xml:space="preserve">Sharpest Decline (2022-2023): The columns for </w:t>
      </w:r>
      <w:r w:rsidRPr="003A12E3">
        <w:rPr>
          <w:sz w:val="28"/>
          <w:highlight w:val="yellow"/>
        </w:rPr>
        <w:t>Banana (from 5,975 to 2,133) and Orange (from 4,988 to 2,246</w:t>
      </w:r>
      <w:r w:rsidRPr="003A12E3">
        <w:rPr>
          <w:sz w:val="28"/>
        </w:rPr>
        <w:t>) would show the most dramatic visual drop, indicating severe market contraction or supply issues for these two fruits in 2023.</w:t>
      </w:r>
    </w:p>
    <w:p w14:paraId="76ED8AB7" w14:textId="77777777" w:rsidR="003A12E3" w:rsidRPr="003A12E3" w:rsidRDefault="003A12E3" w:rsidP="003A12E3">
      <w:pPr>
        <w:numPr>
          <w:ilvl w:val="0"/>
          <w:numId w:val="21"/>
        </w:numPr>
        <w:rPr>
          <w:sz w:val="28"/>
        </w:rPr>
      </w:pPr>
      <w:r w:rsidRPr="003A12E3">
        <w:rPr>
          <w:sz w:val="28"/>
        </w:rPr>
        <w:t xml:space="preserve">Contrasting Resilience: Blueberry is the only fruit whose column height </w:t>
      </w:r>
      <w:r w:rsidRPr="003A12E3">
        <w:rPr>
          <w:sz w:val="28"/>
          <w:highlight w:val="yellow"/>
        </w:rPr>
        <w:t>increases from 2022 to 2023 (5,315 to 5,689),</w:t>
      </w:r>
      <w:r w:rsidRPr="003A12E3">
        <w:rPr>
          <w:sz w:val="28"/>
        </w:rPr>
        <w:t xml:space="preserve"> demonstrating resilience and growth during a challenging year for the other fruits.</w:t>
      </w:r>
    </w:p>
    <w:p w14:paraId="76ED8AB8" w14:textId="77777777" w:rsidR="003A12E3" w:rsidRPr="003A12E3" w:rsidRDefault="003A12E3" w:rsidP="003A12E3">
      <w:pPr>
        <w:numPr>
          <w:ilvl w:val="0"/>
          <w:numId w:val="21"/>
        </w:numPr>
        <w:rPr>
          <w:sz w:val="28"/>
        </w:rPr>
      </w:pPr>
      <w:r w:rsidRPr="003A12E3">
        <w:rPr>
          <w:sz w:val="28"/>
        </w:rPr>
        <w:t xml:space="preserve">2024 Performance: In 2024, Banana saw a significant </w:t>
      </w:r>
      <w:r w:rsidRPr="003A12E3">
        <w:rPr>
          <w:sz w:val="28"/>
          <w:highlight w:val="yellow"/>
        </w:rPr>
        <w:t>recovery (from 2,133 to 4,869</w:t>
      </w:r>
      <w:r w:rsidRPr="003A12E3">
        <w:rPr>
          <w:sz w:val="28"/>
        </w:rPr>
        <w:t xml:space="preserve">), while Grape continued its steady, year-over-year decline, shifting the relative market share among the fruits. The </w:t>
      </w:r>
      <w:r w:rsidRPr="003A12E3">
        <w:rPr>
          <w:sz w:val="28"/>
          <w:highlight w:val="yellow"/>
        </w:rPr>
        <w:t>Orange bar for 2024</w:t>
      </w:r>
      <w:r w:rsidRPr="003A12E3">
        <w:rPr>
          <w:sz w:val="28"/>
        </w:rPr>
        <w:t xml:space="preserve"> would be identical to 2023, indicating stagnation.</w:t>
      </w:r>
    </w:p>
    <w:p w14:paraId="76ED8AB9" w14:textId="77777777" w:rsidR="00CE1A6C" w:rsidRPr="006764C5" w:rsidRDefault="003A12E3">
      <w:pPr>
        <w:rPr>
          <w:sz w:val="28"/>
        </w:rPr>
        <w:sectPr w:rsidR="00CE1A6C" w:rsidRPr="006764C5" w:rsidSect="00BC38F6">
          <w:headerReference w:type="default" r:id="rId13"/>
          <w:pgSz w:w="11906" w:h="16838"/>
          <w:pgMar w:top="1440" w:right="1440" w:bottom="1440" w:left="1440" w:header="708" w:footer="708" w:gutter="0"/>
          <w:cols w:space="708"/>
          <w:docGrid w:linePitch="360"/>
        </w:sectPr>
      </w:pPr>
      <w:r w:rsidRPr="003A12E3">
        <w:rPr>
          <w:b/>
          <w:bCs/>
          <w:sz w:val="24"/>
          <w:szCs w:val="24"/>
        </w:rPr>
        <w:t>Overall Conclusion</w:t>
      </w:r>
      <w:r w:rsidRPr="003A12E3">
        <w:rPr>
          <w:sz w:val="24"/>
          <w:szCs w:val="24"/>
        </w:rPr>
        <w:t xml:space="preserve">: The market is highly segmented and volatile. </w:t>
      </w:r>
      <w:r w:rsidRPr="003A12E3">
        <w:rPr>
          <w:sz w:val="24"/>
          <w:szCs w:val="24"/>
          <w:highlight w:val="yellow"/>
        </w:rPr>
        <w:t>While Grape</w:t>
      </w:r>
      <w:r w:rsidRPr="003A12E3">
        <w:rPr>
          <w:sz w:val="24"/>
          <w:szCs w:val="24"/>
        </w:rPr>
        <w:t xml:space="preserve"> was the volume leader in 2022, it faces persistent decline. </w:t>
      </w:r>
      <w:r w:rsidRPr="003A12E3">
        <w:rPr>
          <w:sz w:val="24"/>
          <w:szCs w:val="24"/>
          <w:highlight w:val="yellow"/>
        </w:rPr>
        <w:t>Banana and Orange</w:t>
      </w:r>
      <w:r w:rsidRPr="003A12E3">
        <w:rPr>
          <w:sz w:val="24"/>
          <w:szCs w:val="24"/>
        </w:rPr>
        <w:t xml:space="preserve"> are susceptible to massive annual swings, while </w:t>
      </w:r>
      <w:r w:rsidRPr="003A12E3">
        <w:rPr>
          <w:sz w:val="24"/>
          <w:szCs w:val="24"/>
          <w:highlight w:val="yellow"/>
        </w:rPr>
        <w:t>Blueberry</w:t>
      </w:r>
      <w:r w:rsidRPr="003A12E3">
        <w:rPr>
          <w:sz w:val="28"/>
        </w:rPr>
        <w:t xml:space="preserve"> shows consistent performance but cannot compete with the peak volumes of the othe</w:t>
      </w:r>
      <w:r w:rsidR="006764C5">
        <w:rPr>
          <w:sz w:val="28"/>
        </w:rPr>
        <w:t>r.</w:t>
      </w:r>
    </w:p>
    <w:p w14:paraId="76ED8ABA" w14:textId="77777777" w:rsidR="006764C5" w:rsidRDefault="00D22A39" w:rsidP="006764C5">
      <w:pPr>
        <w:spacing w:before="100" w:beforeAutospacing="1" w:after="100" w:afterAutospacing="1" w:line="240" w:lineRule="auto"/>
        <w:jc w:val="center"/>
        <w:rPr>
          <w:b/>
          <w:bCs/>
          <w:sz w:val="28"/>
          <w:u w:val="single"/>
        </w:rPr>
      </w:pPr>
      <w:r w:rsidRPr="006764C5">
        <w:rPr>
          <w:b/>
          <w:bCs/>
          <w:sz w:val="28"/>
          <w:u w:val="single"/>
        </w:rPr>
        <w:lastRenderedPageBreak/>
        <w:t>SURFACE CHART</w:t>
      </w:r>
    </w:p>
    <w:p w14:paraId="03ABBAA7" w14:textId="51B0DD7C" w:rsidR="008233B9" w:rsidRDefault="008233B9" w:rsidP="008233B9">
      <w:pPr>
        <w:spacing w:before="100" w:beforeAutospacing="1" w:after="100" w:afterAutospacing="1" w:line="240" w:lineRule="auto"/>
        <w:rPr>
          <w:b/>
          <w:bCs/>
          <w:sz w:val="28"/>
          <w:u w:val="single"/>
        </w:rPr>
      </w:pPr>
      <w:r w:rsidRPr="00926E30">
        <w:rPr>
          <w:sz w:val="24"/>
          <w:szCs w:val="24"/>
        </w:rPr>
        <w:t xml:space="preserve">Used </w:t>
      </w:r>
      <w:r w:rsidRPr="00197E3B">
        <w:rPr>
          <w:sz w:val="24"/>
          <w:szCs w:val="24"/>
          <w:highlight w:val="yellow"/>
        </w:rPr>
        <w:t>to plot three-dimensional data</w:t>
      </w:r>
      <w:r w:rsidRPr="00926E30">
        <w:rPr>
          <w:sz w:val="24"/>
          <w:szCs w:val="24"/>
        </w:rPr>
        <w:t xml:space="preserve">, often in </w:t>
      </w:r>
      <w:r w:rsidRPr="00197E3B">
        <w:rPr>
          <w:color w:val="FF0000"/>
          <w:sz w:val="24"/>
          <w:szCs w:val="24"/>
        </w:rPr>
        <w:t>geological</w:t>
      </w:r>
      <w:r w:rsidRPr="00926E30">
        <w:rPr>
          <w:sz w:val="24"/>
          <w:szCs w:val="24"/>
        </w:rPr>
        <w:t xml:space="preserve">, </w:t>
      </w:r>
      <w:r w:rsidRPr="00197E3B">
        <w:rPr>
          <w:color w:val="FF0000"/>
          <w:sz w:val="24"/>
          <w:szCs w:val="24"/>
        </w:rPr>
        <w:t>topographical</w:t>
      </w:r>
      <w:r w:rsidRPr="00926E30">
        <w:rPr>
          <w:sz w:val="24"/>
          <w:szCs w:val="24"/>
        </w:rPr>
        <w:t xml:space="preserve">, or </w:t>
      </w:r>
      <w:r w:rsidRPr="00197E3B">
        <w:rPr>
          <w:color w:val="FF0000"/>
          <w:sz w:val="24"/>
          <w:szCs w:val="24"/>
        </w:rPr>
        <w:t>complex statistical modelling</w:t>
      </w:r>
      <w:r w:rsidRPr="00926E30">
        <w:rPr>
          <w:sz w:val="24"/>
          <w:szCs w:val="24"/>
        </w:rPr>
        <w:t>, to show the relationship between three variables</w:t>
      </w:r>
    </w:p>
    <w:p w14:paraId="76ED8ABC" w14:textId="77777777" w:rsidR="006E093F" w:rsidRPr="003040A2" w:rsidRDefault="00567312" w:rsidP="003040A2">
      <w:pPr>
        <w:spacing w:before="100" w:beforeAutospacing="1" w:after="100" w:afterAutospacing="1" w:line="240" w:lineRule="auto"/>
        <w:rPr>
          <w:szCs w:val="22"/>
        </w:rPr>
      </w:pPr>
      <w:r w:rsidRPr="008323DE">
        <w:rPr>
          <w:noProof/>
          <w:szCs w:val="22"/>
          <w:lang w:val="en-US" w:bidi="hi-IN"/>
        </w:rPr>
        <w:drawing>
          <wp:inline distT="0" distB="0" distL="0" distR="0" wp14:anchorId="76ED8B54" wp14:editId="76ED8B55">
            <wp:extent cx="5585460" cy="2407920"/>
            <wp:effectExtent l="0" t="0" r="0" b="0"/>
            <wp:docPr id="778848061" name="Chart 1">
              <a:extLst xmlns:a="http://schemas.openxmlformats.org/drawingml/2006/main">
                <a:ext uri="{FF2B5EF4-FFF2-40B4-BE49-F238E27FC236}">
                  <a16:creationId xmlns:a16="http://schemas.microsoft.com/office/drawing/2014/main" id="{21F48F3C-DDC9-26A4-319A-327A060068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ED8ABD" w14:textId="77777777" w:rsidR="008323DE" w:rsidRPr="008323DE" w:rsidRDefault="008323DE" w:rsidP="008323DE">
      <w:pPr>
        <w:spacing w:before="100" w:beforeAutospacing="1" w:after="100" w:afterAutospacing="1" w:line="240" w:lineRule="auto"/>
        <w:rPr>
          <w:b/>
          <w:bCs/>
          <w:szCs w:val="22"/>
          <w:u w:val="single"/>
        </w:rPr>
      </w:pPr>
      <w:r w:rsidRPr="008323DE">
        <w:rPr>
          <w:b/>
          <w:bCs/>
          <w:szCs w:val="22"/>
          <w:u w:val="single"/>
        </w:rPr>
        <w:t>Key Elements of the Chart:</w:t>
      </w:r>
    </w:p>
    <w:p w14:paraId="76ED8ABE" w14:textId="77777777" w:rsidR="008323DE" w:rsidRPr="008323DE" w:rsidRDefault="008323DE" w:rsidP="008323DE">
      <w:pPr>
        <w:numPr>
          <w:ilvl w:val="0"/>
          <w:numId w:val="25"/>
        </w:numPr>
        <w:spacing w:before="100" w:beforeAutospacing="1" w:after="100" w:afterAutospacing="1" w:line="240" w:lineRule="auto"/>
        <w:rPr>
          <w:szCs w:val="22"/>
        </w:rPr>
      </w:pPr>
      <w:r w:rsidRPr="008323DE">
        <w:rPr>
          <w:szCs w:val="22"/>
        </w:rPr>
        <w:t xml:space="preserve">X-Axis (Horizontal): Represents time — </w:t>
      </w:r>
      <w:r w:rsidRPr="008323DE">
        <w:rPr>
          <w:szCs w:val="22"/>
          <w:highlight w:val="yellow"/>
        </w:rPr>
        <w:t>from Nov 2021 to Mar 2022.</w:t>
      </w:r>
    </w:p>
    <w:p w14:paraId="76ED8ABF" w14:textId="77777777" w:rsidR="008323DE" w:rsidRPr="008323DE" w:rsidRDefault="008323DE" w:rsidP="008323DE">
      <w:pPr>
        <w:numPr>
          <w:ilvl w:val="0"/>
          <w:numId w:val="25"/>
        </w:numPr>
        <w:spacing w:before="100" w:beforeAutospacing="1" w:after="100" w:afterAutospacing="1" w:line="240" w:lineRule="auto"/>
        <w:rPr>
          <w:szCs w:val="22"/>
          <w:highlight w:val="yellow"/>
        </w:rPr>
      </w:pPr>
      <w:r w:rsidRPr="008323DE">
        <w:rPr>
          <w:szCs w:val="22"/>
        </w:rPr>
        <w:t xml:space="preserve">Y-Axis (Depth): Represents different Tata car models </w:t>
      </w:r>
      <w:r w:rsidRPr="008323DE">
        <w:rPr>
          <w:szCs w:val="22"/>
          <w:highlight w:val="yellow"/>
        </w:rPr>
        <w:t xml:space="preserve">— Harrier, Nexon, Tiago, Altroz, </w:t>
      </w:r>
      <w:r w:rsidRPr="00D22A39">
        <w:rPr>
          <w:szCs w:val="22"/>
          <w:highlight w:val="yellow"/>
        </w:rPr>
        <w:t>Tiger</w:t>
      </w:r>
      <w:r w:rsidRPr="008323DE">
        <w:rPr>
          <w:szCs w:val="22"/>
          <w:highlight w:val="yellow"/>
        </w:rPr>
        <w:t>, Safari, Punch.</w:t>
      </w:r>
    </w:p>
    <w:p w14:paraId="76ED8AC0" w14:textId="77777777" w:rsidR="008323DE" w:rsidRPr="008323DE" w:rsidRDefault="008323DE" w:rsidP="008323DE">
      <w:pPr>
        <w:numPr>
          <w:ilvl w:val="0"/>
          <w:numId w:val="25"/>
        </w:numPr>
        <w:spacing w:before="100" w:beforeAutospacing="1" w:after="100" w:afterAutospacing="1" w:line="240" w:lineRule="auto"/>
        <w:rPr>
          <w:szCs w:val="22"/>
        </w:rPr>
      </w:pPr>
      <w:r w:rsidRPr="008323DE">
        <w:rPr>
          <w:szCs w:val="22"/>
        </w:rPr>
        <w:t>Z-Axis (Vertical): Represents Sales Units of each model.</w:t>
      </w:r>
    </w:p>
    <w:p w14:paraId="76ED8AC1" w14:textId="77777777" w:rsidR="008323DE" w:rsidRPr="008323DE" w:rsidRDefault="008323DE" w:rsidP="008323DE">
      <w:pPr>
        <w:numPr>
          <w:ilvl w:val="0"/>
          <w:numId w:val="25"/>
        </w:numPr>
        <w:spacing w:before="100" w:beforeAutospacing="1" w:after="100" w:afterAutospacing="1" w:line="240" w:lineRule="auto"/>
        <w:rPr>
          <w:szCs w:val="22"/>
        </w:rPr>
      </w:pPr>
      <w:r w:rsidRPr="008323DE">
        <w:rPr>
          <w:szCs w:val="22"/>
        </w:rPr>
        <w:t>Colour Bands:</w:t>
      </w:r>
    </w:p>
    <w:p w14:paraId="76ED8AC2" w14:textId="77777777" w:rsidR="008323DE" w:rsidRPr="008323DE" w:rsidRDefault="008323DE" w:rsidP="008323DE">
      <w:pPr>
        <w:numPr>
          <w:ilvl w:val="1"/>
          <w:numId w:val="25"/>
        </w:numPr>
        <w:spacing w:before="100" w:beforeAutospacing="1" w:after="100" w:afterAutospacing="1" w:line="240" w:lineRule="auto"/>
        <w:rPr>
          <w:szCs w:val="22"/>
        </w:rPr>
      </w:pPr>
      <w:r w:rsidRPr="008323DE">
        <w:rPr>
          <w:szCs w:val="22"/>
          <w:highlight w:val="cyan"/>
        </w:rPr>
        <w:t>Blue (0–5000</w:t>
      </w:r>
      <w:r w:rsidRPr="008323DE">
        <w:rPr>
          <w:szCs w:val="22"/>
        </w:rPr>
        <w:t>) → Low sales range</w:t>
      </w:r>
    </w:p>
    <w:p w14:paraId="76ED8AC3" w14:textId="77777777" w:rsidR="008323DE" w:rsidRPr="008323DE" w:rsidRDefault="008323DE" w:rsidP="008323DE">
      <w:pPr>
        <w:numPr>
          <w:ilvl w:val="1"/>
          <w:numId w:val="25"/>
        </w:numPr>
        <w:spacing w:before="100" w:beforeAutospacing="1" w:after="100" w:afterAutospacing="1" w:line="240" w:lineRule="auto"/>
        <w:rPr>
          <w:szCs w:val="22"/>
        </w:rPr>
      </w:pPr>
      <w:r w:rsidRPr="008323DE">
        <w:rPr>
          <w:szCs w:val="22"/>
          <w:highlight w:val="yellow"/>
        </w:rPr>
        <w:t>Orange (5000–10000</w:t>
      </w:r>
      <w:r w:rsidRPr="008323DE">
        <w:rPr>
          <w:szCs w:val="22"/>
        </w:rPr>
        <w:t>) → Medium sales range</w:t>
      </w:r>
    </w:p>
    <w:p w14:paraId="76ED8AC4" w14:textId="77777777" w:rsidR="008323DE" w:rsidRPr="008323DE" w:rsidRDefault="008323DE" w:rsidP="008323DE">
      <w:pPr>
        <w:numPr>
          <w:ilvl w:val="1"/>
          <w:numId w:val="25"/>
        </w:numPr>
        <w:spacing w:before="100" w:beforeAutospacing="1" w:after="100" w:afterAutospacing="1" w:line="240" w:lineRule="auto"/>
        <w:rPr>
          <w:szCs w:val="22"/>
        </w:rPr>
      </w:pPr>
      <w:r w:rsidRPr="008323DE">
        <w:rPr>
          <w:szCs w:val="22"/>
          <w:highlight w:val="green"/>
        </w:rPr>
        <w:t>Green (10000–15000</w:t>
      </w:r>
      <w:r w:rsidRPr="008323DE">
        <w:rPr>
          <w:szCs w:val="22"/>
        </w:rPr>
        <w:t>) → High sales range</w:t>
      </w:r>
    </w:p>
    <w:p w14:paraId="76ED8AC5" w14:textId="77777777" w:rsidR="008323DE" w:rsidRPr="008323DE" w:rsidRDefault="008323DE" w:rsidP="008323DE">
      <w:pPr>
        <w:numPr>
          <w:ilvl w:val="0"/>
          <w:numId w:val="25"/>
        </w:numPr>
        <w:spacing w:before="100" w:beforeAutospacing="1" w:after="100" w:afterAutospacing="1" w:line="240" w:lineRule="auto"/>
        <w:rPr>
          <w:szCs w:val="22"/>
        </w:rPr>
      </w:pPr>
      <w:r w:rsidRPr="008323DE">
        <w:rPr>
          <w:szCs w:val="22"/>
        </w:rPr>
        <w:t xml:space="preserve">Purpose: To visually compare how each model’s sales changed over five months and </w:t>
      </w:r>
      <w:r w:rsidRPr="008323DE">
        <w:rPr>
          <w:szCs w:val="22"/>
          <w:highlight w:val="yellow"/>
        </w:rPr>
        <w:t>identify high- and low-performing models</w:t>
      </w:r>
      <w:r w:rsidRPr="008323DE">
        <w:rPr>
          <w:szCs w:val="22"/>
        </w:rPr>
        <w:t>.</w:t>
      </w:r>
    </w:p>
    <w:p w14:paraId="76ED8AC6" w14:textId="77777777" w:rsidR="008323DE" w:rsidRPr="008323DE" w:rsidRDefault="00D22A39" w:rsidP="008323DE">
      <w:pPr>
        <w:spacing w:before="100" w:beforeAutospacing="1" w:after="100" w:afterAutospacing="1" w:line="240" w:lineRule="auto"/>
        <w:rPr>
          <w:b/>
          <w:bCs/>
          <w:szCs w:val="22"/>
          <w:u w:val="single"/>
        </w:rPr>
      </w:pPr>
      <w:r w:rsidRPr="008323DE">
        <w:rPr>
          <w:b/>
          <w:bCs/>
          <w:szCs w:val="22"/>
          <w:u w:val="single"/>
        </w:rPr>
        <w:t>Conclusion:</w:t>
      </w:r>
    </w:p>
    <w:p w14:paraId="76ED8AC7" w14:textId="77777777" w:rsidR="008323DE" w:rsidRPr="008323DE" w:rsidRDefault="008323DE" w:rsidP="008323DE">
      <w:pPr>
        <w:spacing w:before="100" w:beforeAutospacing="1" w:after="100" w:afterAutospacing="1" w:line="240" w:lineRule="auto"/>
        <w:rPr>
          <w:szCs w:val="22"/>
        </w:rPr>
      </w:pPr>
      <w:r w:rsidRPr="008323DE">
        <w:rPr>
          <w:szCs w:val="22"/>
        </w:rPr>
        <w:t xml:space="preserve">The Surface Chart shows a clear variation in sales performance across </w:t>
      </w:r>
      <w:r w:rsidRPr="008323DE">
        <w:rPr>
          <w:szCs w:val="22"/>
          <w:highlight w:val="yellow"/>
        </w:rPr>
        <w:t>Tata’s car</w:t>
      </w:r>
      <w:r w:rsidRPr="008323DE">
        <w:rPr>
          <w:szCs w:val="22"/>
        </w:rPr>
        <w:t xml:space="preserve"> models from </w:t>
      </w:r>
      <w:r w:rsidRPr="008323DE">
        <w:rPr>
          <w:szCs w:val="22"/>
          <w:highlight w:val="yellow"/>
        </w:rPr>
        <w:t>November 2021 to March 2022.</w:t>
      </w:r>
    </w:p>
    <w:p w14:paraId="76ED8AC8" w14:textId="77777777" w:rsidR="008323DE" w:rsidRPr="008323DE" w:rsidRDefault="008323DE" w:rsidP="008323DE">
      <w:pPr>
        <w:numPr>
          <w:ilvl w:val="0"/>
          <w:numId w:val="26"/>
        </w:numPr>
        <w:spacing w:before="100" w:beforeAutospacing="1" w:after="100" w:afterAutospacing="1" w:line="240" w:lineRule="auto"/>
        <w:rPr>
          <w:szCs w:val="22"/>
        </w:rPr>
      </w:pPr>
      <w:r w:rsidRPr="008323DE">
        <w:rPr>
          <w:szCs w:val="22"/>
          <w:highlight w:val="yellow"/>
        </w:rPr>
        <w:t>Nexon</w:t>
      </w:r>
      <w:r w:rsidRPr="008323DE">
        <w:rPr>
          <w:szCs w:val="22"/>
        </w:rPr>
        <w:t xml:space="preserve"> consistently dominates the sales figures, staying in the </w:t>
      </w:r>
      <w:r w:rsidRPr="008323DE">
        <w:rPr>
          <w:szCs w:val="22"/>
          <w:highlight w:val="yellow"/>
        </w:rPr>
        <w:t>10,000–15,000 range</w:t>
      </w:r>
      <w:r w:rsidRPr="008323DE">
        <w:rPr>
          <w:szCs w:val="22"/>
        </w:rPr>
        <w:t>, showing strong customer demand.</w:t>
      </w:r>
    </w:p>
    <w:p w14:paraId="76ED8AC9" w14:textId="77777777" w:rsidR="008323DE" w:rsidRPr="008323DE" w:rsidRDefault="008323DE" w:rsidP="008323DE">
      <w:pPr>
        <w:numPr>
          <w:ilvl w:val="0"/>
          <w:numId w:val="26"/>
        </w:numPr>
        <w:spacing w:before="100" w:beforeAutospacing="1" w:after="100" w:afterAutospacing="1" w:line="240" w:lineRule="auto"/>
        <w:rPr>
          <w:szCs w:val="22"/>
        </w:rPr>
      </w:pPr>
      <w:r w:rsidRPr="008323DE">
        <w:rPr>
          <w:szCs w:val="22"/>
          <w:highlight w:val="green"/>
        </w:rPr>
        <w:t>Punch</w:t>
      </w:r>
      <w:r w:rsidRPr="008323DE">
        <w:rPr>
          <w:szCs w:val="22"/>
        </w:rPr>
        <w:t xml:space="preserve"> follows closely behind, maintaining steady growth since launch.</w:t>
      </w:r>
    </w:p>
    <w:p w14:paraId="76ED8ACA" w14:textId="77777777" w:rsidR="008323DE" w:rsidRPr="008323DE" w:rsidRDefault="008323DE" w:rsidP="008323DE">
      <w:pPr>
        <w:numPr>
          <w:ilvl w:val="0"/>
          <w:numId w:val="26"/>
        </w:numPr>
        <w:spacing w:before="100" w:beforeAutospacing="1" w:after="100" w:afterAutospacing="1" w:line="240" w:lineRule="auto"/>
        <w:rPr>
          <w:szCs w:val="22"/>
        </w:rPr>
      </w:pPr>
      <w:r w:rsidRPr="008323DE">
        <w:rPr>
          <w:szCs w:val="22"/>
          <w:highlight w:val="green"/>
        </w:rPr>
        <w:t xml:space="preserve">Tiago and </w:t>
      </w:r>
      <w:proofErr w:type="spellStart"/>
      <w:r w:rsidRPr="008323DE">
        <w:rPr>
          <w:szCs w:val="22"/>
          <w:highlight w:val="green"/>
        </w:rPr>
        <w:t>Altroz</w:t>
      </w:r>
      <w:proofErr w:type="spellEnd"/>
      <w:r w:rsidRPr="008323DE">
        <w:rPr>
          <w:szCs w:val="22"/>
          <w:highlight w:val="green"/>
        </w:rPr>
        <w:t xml:space="preserve"> perform</w:t>
      </w:r>
      <w:r w:rsidRPr="008323DE">
        <w:rPr>
          <w:szCs w:val="22"/>
        </w:rPr>
        <w:t xml:space="preserve"> moderately, fluctuating between </w:t>
      </w:r>
      <w:r w:rsidRPr="008323DE">
        <w:rPr>
          <w:szCs w:val="22"/>
          <w:highlight w:val="yellow"/>
        </w:rPr>
        <w:t>4,000–6,000 units per month.</w:t>
      </w:r>
    </w:p>
    <w:p w14:paraId="76ED8ACB" w14:textId="77777777" w:rsidR="008323DE" w:rsidRPr="008323DE" w:rsidRDefault="008323DE" w:rsidP="008323DE">
      <w:pPr>
        <w:numPr>
          <w:ilvl w:val="0"/>
          <w:numId w:val="26"/>
        </w:numPr>
        <w:spacing w:before="100" w:beforeAutospacing="1" w:after="100" w:afterAutospacing="1" w:line="240" w:lineRule="auto"/>
        <w:rPr>
          <w:szCs w:val="22"/>
        </w:rPr>
      </w:pPr>
      <w:r w:rsidRPr="008323DE">
        <w:rPr>
          <w:szCs w:val="22"/>
          <w:highlight w:val="yellow"/>
        </w:rPr>
        <w:t xml:space="preserve">Harrier, </w:t>
      </w:r>
      <w:proofErr w:type="spellStart"/>
      <w:r w:rsidRPr="008323DE">
        <w:rPr>
          <w:szCs w:val="22"/>
          <w:highlight w:val="yellow"/>
        </w:rPr>
        <w:t>Tigor</w:t>
      </w:r>
      <w:proofErr w:type="spellEnd"/>
      <w:r w:rsidRPr="008323DE">
        <w:rPr>
          <w:szCs w:val="22"/>
          <w:highlight w:val="yellow"/>
        </w:rPr>
        <w:t>, and Safari remain</w:t>
      </w:r>
      <w:r w:rsidRPr="008323DE">
        <w:rPr>
          <w:szCs w:val="22"/>
        </w:rPr>
        <w:t xml:space="preserve"> in the lower sales band, showing potential areas for marketing or model improvement.</w:t>
      </w:r>
    </w:p>
    <w:p w14:paraId="76ED8ACC" w14:textId="77777777" w:rsidR="008323DE" w:rsidRPr="008323DE" w:rsidRDefault="008323DE" w:rsidP="008323DE">
      <w:pPr>
        <w:numPr>
          <w:ilvl w:val="0"/>
          <w:numId w:val="26"/>
        </w:numPr>
        <w:spacing w:before="100" w:beforeAutospacing="1" w:after="100" w:afterAutospacing="1" w:line="240" w:lineRule="auto"/>
        <w:rPr>
          <w:szCs w:val="22"/>
        </w:rPr>
      </w:pPr>
      <w:r w:rsidRPr="008323DE">
        <w:rPr>
          <w:szCs w:val="22"/>
        </w:rPr>
        <w:t xml:space="preserve">Overall, sales across most models show a slight </w:t>
      </w:r>
      <w:r w:rsidRPr="008323DE">
        <w:rPr>
          <w:szCs w:val="22"/>
          <w:highlight w:val="yellow"/>
        </w:rPr>
        <w:t>upward trend toward March 2022,</w:t>
      </w:r>
      <w:r w:rsidRPr="008323DE">
        <w:rPr>
          <w:szCs w:val="22"/>
        </w:rPr>
        <w:t xml:space="preserve"> indicating healthy performance recovery post-winter season.</w:t>
      </w:r>
    </w:p>
    <w:p w14:paraId="76ED8ACD" w14:textId="77777777" w:rsidR="006C5A54" w:rsidRDefault="006C5A54" w:rsidP="008004C7">
      <w:pPr>
        <w:spacing w:before="100" w:beforeAutospacing="1" w:after="100" w:afterAutospacing="1" w:line="240" w:lineRule="auto"/>
        <w:jc w:val="center"/>
        <w:rPr>
          <w:rFonts w:ascii="Times New Roman" w:eastAsia="Times New Roman" w:hAnsi="Times New Roman" w:cs="Times New Roman"/>
          <w:b/>
          <w:bCs/>
          <w:kern w:val="0"/>
          <w:sz w:val="28"/>
          <w:u w:val="single"/>
          <w:lang w:eastAsia="en-IN" w:bidi="hi-IN"/>
        </w:rPr>
      </w:pPr>
    </w:p>
    <w:p w14:paraId="3A47AD63" w14:textId="77777777" w:rsidR="008233B9" w:rsidRDefault="008233B9" w:rsidP="008004C7">
      <w:pPr>
        <w:spacing w:before="100" w:beforeAutospacing="1" w:after="100" w:afterAutospacing="1" w:line="240" w:lineRule="auto"/>
        <w:jc w:val="center"/>
        <w:rPr>
          <w:rFonts w:ascii="Times New Roman" w:eastAsia="Times New Roman" w:hAnsi="Times New Roman" w:cs="Times New Roman"/>
          <w:b/>
          <w:bCs/>
          <w:kern w:val="0"/>
          <w:sz w:val="28"/>
          <w:u w:val="single"/>
          <w:lang w:eastAsia="en-IN" w:bidi="hi-IN"/>
        </w:rPr>
      </w:pPr>
    </w:p>
    <w:p w14:paraId="76ED8ACE" w14:textId="77777777" w:rsidR="008004C7" w:rsidRPr="00C01FFB" w:rsidRDefault="008004C7" w:rsidP="008004C7">
      <w:pPr>
        <w:spacing w:before="100" w:beforeAutospacing="1" w:after="100" w:afterAutospacing="1" w:line="240" w:lineRule="auto"/>
        <w:jc w:val="center"/>
        <w:rPr>
          <w:rFonts w:ascii="Times New Roman" w:eastAsia="Times New Roman" w:hAnsi="Times New Roman" w:cs="Times New Roman"/>
          <w:b/>
          <w:bCs/>
          <w:kern w:val="0"/>
          <w:sz w:val="28"/>
          <w:u w:val="single"/>
          <w:lang w:eastAsia="en-IN" w:bidi="hi-IN"/>
        </w:rPr>
      </w:pPr>
      <w:r w:rsidRPr="00C01FFB">
        <w:rPr>
          <w:rFonts w:ascii="Times New Roman" w:eastAsia="Times New Roman" w:hAnsi="Times New Roman" w:cs="Times New Roman"/>
          <w:b/>
          <w:bCs/>
          <w:kern w:val="0"/>
          <w:sz w:val="28"/>
          <w:u w:val="single"/>
          <w:lang w:eastAsia="en-IN" w:bidi="hi-IN"/>
        </w:rPr>
        <w:lastRenderedPageBreak/>
        <w:t>LINE CHART</w:t>
      </w:r>
    </w:p>
    <w:p w14:paraId="76ED8ACF" w14:textId="24691F9C" w:rsidR="008004C7" w:rsidRPr="008233B9" w:rsidRDefault="00E32BB6" w:rsidP="008233B9">
      <w:pPr>
        <w:numPr>
          <w:ilvl w:val="0"/>
          <w:numId w:val="19"/>
        </w:numPr>
        <w:spacing w:line="240" w:lineRule="auto"/>
        <w:rPr>
          <w:sz w:val="24"/>
          <w:szCs w:val="24"/>
        </w:rPr>
      </w:pPr>
      <w:r w:rsidRPr="00926E30">
        <w:rPr>
          <w:sz w:val="24"/>
          <w:szCs w:val="24"/>
        </w:rPr>
        <w:t xml:space="preserve">The best way to visualize the </w:t>
      </w:r>
      <w:r w:rsidRPr="0064358F">
        <w:rPr>
          <w:sz w:val="24"/>
          <w:szCs w:val="24"/>
          <w:highlight w:val="yellow"/>
        </w:rPr>
        <w:t>relationship</w:t>
      </w:r>
      <w:r w:rsidRPr="00926E30">
        <w:rPr>
          <w:sz w:val="24"/>
          <w:szCs w:val="24"/>
        </w:rPr>
        <w:t xml:space="preserve"> (</w:t>
      </w:r>
      <w:r w:rsidRPr="0064358F">
        <w:rPr>
          <w:sz w:val="24"/>
          <w:szCs w:val="24"/>
          <w:highlight w:val="cyan"/>
        </w:rPr>
        <w:t>correlation or lack there</w:t>
      </w:r>
      <w:r>
        <w:rPr>
          <w:sz w:val="24"/>
          <w:szCs w:val="24"/>
          <w:highlight w:val="cyan"/>
        </w:rPr>
        <w:t>o</w:t>
      </w:r>
      <w:r w:rsidRPr="0064358F">
        <w:rPr>
          <w:sz w:val="24"/>
          <w:szCs w:val="24"/>
          <w:highlight w:val="cyan"/>
        </w:rPr>
        <w:t>f</w:t>
      </w:r>
      <w:r>
        <w:rPr>
          <w:sz w:val="24"/>
          <w:szCs w:val="24"/>
          <w:highlight w:val="cyan"/>
        </w:rPr>
        <w:t>)</w:t>
      </w:r>
      <w:r w:rsidRPr="0064358F">
        <w:rPr>
          <w:sz w:val="24"/>
          <w:szCs w:val="24"/>
          <w:highlight w:val="cyan"/>
        </w:rPr>
        <w:t xml:space="preserve"> between two numerical variables.</w:t>
      </w:r>
    </w:p>
    <w:p w14:paraId="76ED8AD0" w14:textId="77777777" w:rsidR="008004C7" w:rsidRDefault="008004C7" w:rsidP="008004C7">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Pr>
          <w:noProof/>
          <w:lang w:val="en-US" w:bidi="hi-IN"/>
        </w:rPr>
        <w:drawing>
          <wp:inline distT="0" distB="0" distL="0" distR="0" wp14:anchorId="76ED8B56" wp14:editId="79EA1658">
            <wp:extent cx="5844540" cy="2499360"/>
            <wp:effectExtent l="0" t="0" r="0" b="0"/>
            <wp:docPr id="904160353" name="Chart 1">
              <a:extLst xmlns:a="http://schemas.openxmlformats.org/drawingml/2006/main">
                <a:ext uri="{FF2B5EF4-FFF2-40B4-BE49-F238E27FC236}">
                  <a16:creationId xmlns:a16="http://schemas.microsoft.com/office/drawing/2014/main" id="{823CEA6B-D5DE-6BB9-0E8D-A759E83CF5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6ED8AD1" w14:textId="77777777" w:rsidR="008004C7" w:rsidRPr="00031FF5" w:rsidRDefault="008004C7" w:rsidP="008004C7">
      <w:pPr>
        <w:spacing w:before="100" w:beforeAutospacing="1" w:after="100" w:afterAutospacing="1" w:line="240" w:lineRule="auto"/>
        <w:rPr>
          <w:rFonts w:ascii="Times New Roman" w:eastAsia="Times New Roman" w:hAnsi="Times New Roman" w:cs="Times New Roman"/>
          <w:b/>
          <w:bCs/>
          <w:kern w:val="0"/>
          <w:szCs w:val="22"/>
          <w:lang w:eastAsia="en-IN" w:bidi="hi-IN"/>
        </w:rPr>
      </w:pPr>
      <w:r w:rsidRPr="00031FF5">
        <w:rPr>
          <w:rFonts w:ascii="Times New Roman" w:eastAsia="Times New Roman" w:hAnsi="Times New Roman" w:cs="Times New Roman"/>
          <w:b/>
          <w:bCs/>
          <w:kern w:val="0"/>
          <w:szCs w:val="22"/>
          <w:lang w:eastAsia="en-IN" w:bidi="hi-IN"/>
        </w:rPr>
        <w:t>Key Observations</w:t>
      </w:r>
    </w:p>
    <w:p w14:paraId="76ED8AD2" w14:textId="77777777" w:rsidR="008004C7" w:rsidRPr="00031FF5" w:rsidRDefault="008004C7" w:rsidP="008004C7">
      <w:pPr>
        <w:spacing w:before="100" w:beforeAutospacing="1" w:after="100" w:afterAutospacing="1" w:line="240" w:lineRule="auto"/>
        <w:rPr>
          <w:rFonts w:ascii="Times New Roman" w:eastAsia="Times New Roman" w:hAnsi="Times New Roman" w:cs="Times New Roman"/>
          <w:b/>
          <w:bCs/>
          <w:kern w:val="0"/>
          <w:szCs w:val="22"/>
          <w:lang w:eastAsia="en-IN" w:bidi="hi-IN"/>
        </w:rPr>
      </w:pPr>
      <w:r w:rsidRPr="00031FF5">
        <w:rPr>
          <w:rFonts w:ascii="Times New Roman" w:eastAsia="Times New Roman" w:hAnsi="Times New Roman" w:cs="Times New Roman"/>
          <w:b/>
          <w:bCs/>
          <w:kern w:val="0"/>
          <w:szCs w:val="22"/>
          <w:lang w:eastAsia="en-IN" w:bidi="hi-IN"/>
        </w:rPr>
        <w:t>Profit Margin (%) (Blue Line - Left Axis)</w:t>
      </w:r>
    </w:p>
    <w:p w14:paraId="76ED8AD3" w14:textId="77777777" w:rsidR="008004C7" w:rsidRPr="00031FF5" w:rsidRDefault="008004C7" w:rsidP="008004C7">
      <w:pPr>
        <w:numPr>
          <w:ilvl w:val="0"/>
          <w:numId w:val="36"/>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 xml:space="preserve">Starting High: Profit Margin begins at </w:t>
      </w:r>
      <w:r w:rsidRPr="002F2836">
        <w:rPr>
          <w:rFonts w:ascii="Times New Roman" w:eastAsia="Times New Roman" w:hAnsi="Times New Roman" w:cs="Times New Roman"/>
          <w:kern w:val="0"/>
          <w:szCs w:val="22"/>
          <w:highlight w:val="yellow"/>
          <w:lang w:eastAsia="en-IN" w:bidi="hi-IN"/>
        </w:rPr>
        <w:t>its peak in January (approx. 15%).</w:t>
      </w:r>
    </w:p>
    <w:p w14:paraId="76ED8AD4" w14:textId="77777777" w:rsidR="008004C7" w:rsidRPr="002F2836" w:rsidRDefault="008004C7" w:rsidP="008004C7">
      <w:pPr>
        <w:numPr>
          <w:ilvl w:val="0"/>
          <w:numId w:val="36"/>
        </w:numPr>
        <w:spacing w:before="100" w:beforeAutospacing="1" w:after="100" w:afterAutospacing="1" w:line="240" w:lineRule="auto"/>
        <w:rPr>
          <w:rFonts w:ascii="Times New Roman" w:eastAsia="Times New Roman" w:hAnsi="Times New Roman" w:cs="Times New Roman"/>
          <w:kern w:val="0"/>
          <w:szCs w:val="22"/>
          <w:highlight w:val="yellow"/>
          <w:lang w:eastAsia="en-IN" w:bidi="hi-IN"/>
        </w:rPr>
      </w:pPr>
      <w:r w:rsidRPr="00031FF5">
        <w:rPr>
          <w:rFonts w:ascii="Times New Roman" w:eastAsia="Times New Roman" w:hAnsi="Times New Roman" w:cs="Times New Roman"/>
          <w:kern w:val="0"/>
          <w:szCs w:val="22"/>
          <w:lang w:eastAsia="en-IN" w:bidi="hi-IN"/>
        </w:rPr>
        <w:t xml:space="preserve">Trough in March: It declines consistently to its </w:t>
      </w:r>
      <w:r w:rsidRPr="002F2836">
        <w:rPr>
          <w:rFonts w:ascii="Times New Roman" w:eastAsia="Times New Roman" w:hAnsi="Times New Roman" w:cs="Times New Roman"/>
          <w:kern w:val="0"/>
          <w:szCs w:val="22"/>
          <w:highlight w:val="yellow"/>
          <w:lang w:eastAsia="en-IN" w:bidi="hi-IN"/>
        </w:rPr>
        <w:t>lowest point in March (approx. 8%).</w:t>
      </w:r>
    </w:p>
    <w:p w14:paraId="76ED8AD5" w14:textId="77777777" w:rsidR="008004C7" w:rsidRPr="00031FF5" w:rsidRDefault="008004C7" w:rsidP="008004C7">
      <w:pPr>
        <w:numPr>
          <w:ilvl w:val="0"/>
          <w:numId w:val="36"/>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Recovery and End Peak: The margin then rises sharply through April, reaching its peak again in May (approx. 16%).</w:t>
      </w:r>
    </w:p>
    <w:p w14:paraId="76ED8AD6" w14:textId="77777777" w:rsidR="008004C7" w:rsidRPr="00031FF5" w:rsidRDefault="008004C7" w:rsidP="008004C7">
      <w:pPr>
        <w:numPr>
          <w:ilvl w:val="0"/>
          <w:numId w:val="36"/>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Overall Trend: The margin follows a V-shaped pattern over the five months.</w:t>
      </w:r>
    </w:p>
    <w:p w14:paraId="76ED8AD7" w14:textId="77777777" w:rsidR="008004C7" w:rsidRPr="00031FF5" w:rsidRDefault="008004C7" w:rsidP="008004C7">
      <w:pPr>
        <w:spacing w:before="100" w:beforeAutospacing="1" w:after="100" w:afterAutospacing="1" w:line="240" w:lineRule="auto"/>
        <w:rPr>
          <w:rFonts w:ascii="Times New Roman" w:eastAsia="Times New Roman" w:hAnsi="Times New Roman" w:cs="Times New Roman"/>
          <w:b/>
          <w:bCs/>
          <w:kern w:val="0"/>
          <w:szCs w:val="22"/>
          <w:lang w:eastAsia="en-IN" w:bidi="hi-IN"/>
        </w:rPr>
      </w:pPr>
      <w:r w:rsidRPr="00031FF5">
        <w:rPr>
          <w:rFonts w:ascii="Times New Roman" w:eastAsia="Times New Roman" w:hAnsi="Times New Roman" w:cs="Times New Roman"/>
          <w:b/>
          <w:bCs/>
          <w:kern w:val="0"/>
          <w:szCs w:val="22"/>
          <w:lang w:eastAsia="en-IN" w:bidi="hi-IN"/>
        </w:rPr>
        <w:t>Sales Volume (Units) (Orange Line - Right Axis)</w:t>
      </w:r>
    </w:p>
    <w:p w14:paraId="76ED8AD8" w14:textId="77777777" w:rsidR="008004C7" w:rsidRPr="00031FF5" w:rsidRDefault="008004C7" w:rsidP="008004C7">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Starting Low: Sales Volume begins low in January (approx. 10,000 units).</w:t>
      </w:r>
    </w:p>
    <w:p w14:paraId="76ED8AD9" w14:textId="77777777" w:rsidR="008004C7" w:rsidRPr="00031FF5" w:rsidRDefault="008004C7" w:rsidP="008004C7">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Peak in March: It rises consistently to its highest point in March (approx. 25,000 units).</w:t>
      </w:r>
    </w:p>
    <w:p w14:paraId="76ED8ADA" w14:textId="77777777" w:rsidR="008004C7" w:rsidRPr="00031FF5" w:rsidRDefault="008004C7" w:rsidP="008004C7">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Decline to Trough: The volume then decreases sharply through April, hitting its lowest point in May (approx. 12,000 units).</w:t>
      </w:r>
    </w:p>
    <w:p w14:paraId="76ED8ADB" w14:textId="77777777" w:rsidR="008004C7" w:rsidRPr="00031FF5" w:rsidRDefault="008004C7" w:rsidP="008004C7">
      <w:pPr>
        <w:numPr>
          <w:ilvl w:val="0"/>
          <w:numId w:val="37"/>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Overall Trend: The volume follows an inverted V-shaped pattern over the five months.</w:t>
      </w:r>
    </w:p>
    <w:p w14:paraId="76ED8ADC" w14:textId="18CFD6EA" w:rsidR="008004C7" w:rsidRPr="00031FF5" w:rsidRDefault="00B90D6E" w:rsidP="008004C7">
      <w:p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b/>
          <w:bCs/>
          <w:kern w:val="0"/>
          <w:szCs w:val="22"/>
          <w:lang w:eastAsia="en-IN" w:bidi="hi-IN"/>
        </w:rPr>
        <w:t>Conclusion</w:t>
      </w:r>
      <w:r w:rsidRPr="00031FF5">
        <w:rPr>
          <w:rFonts w:ascii="Times New Roman" w:eastAsia="Times New Roman" w:hAnsi="Times New Roman" w:cs="Times New Roman"/>
          <w:kern w:val="0"/>
          <w:szCs w:val="22"/>
          <w:lang w:eastAsia="en-IN" w:bidi="hi-IN"/>
        </w:rPr>
        <w:t xml:space="preserve"> The</w:t>
      </w:r>
      <w:r w:rsidR="008004C7" w:rsidRPr="00031FF5">
        <w:rPr>
          <w:rFonts w:ascii="Times New Roman" w:eastAsia="Times New Roman" w:hAnsi="Times New Roman" w:cs="Times New Roman"/>
          <w:kern w:val="0"/>
          <w:szCs w:val="22"/>
          <w:lang w:eastAsia="en-IN" w:bidi="hi-IN"/>
        </w:rPr>
        <w:t xml:space="preserve"> chart clearly demonstrates a strong inverse (negative) correlation between Profit Margin (%) and Sales Volume (Units). Peak Divergence (March): The two metrics are mirror images of each other and cross paths in March. The month of highest Sales Volume (25,000 units) coincides precisely with the month of lowest Profit Margin (8%).</w:t>
      </w:r>
    </w:p>
    <w:p w14:paraId="76ED8ADD" w14:textId="77777777" w:rsidR="008004C7" w:rsidRPr="00031FF5" w:rsidRDefault="008004C7" w:rsidP="008004C7">
      <w:pPr>
        <w:numPr>
          <w:ilvl w:val="0"/>
          <w:numId w:val="38"/>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Strategic Trade-Off: This inverse relationship implies that strategies used to drive high sales volume (like price reductions, promotions, or heavy discounts) are effectively reducing the profit generated per unit. Conversely, when the company maintains a high margin (January and May), its sales volume is significantly lower</w:t>
      </w:r>
    </w:p>
    <w:p w14:paraId="76ED8ADE" w14:textId="77777777" w:rsidR="007F5096" w:rsidRPr="008004C7" w:rsidRDefault="008004C7" w:rsidP="007F5096">
      <w:pPr>
        <w:numPr>
          <w:ilvl w:val="0"/>
          <w:numId w:val="38"/>
        </w:numPr>
        <w:spacing w:before="100" w:beforeAutospacing="1" w:after="100" w:afterAutospacing="1" w:line="240" w:lineRule="auto"/>
        <w:rPr>
          <w:rFonts w:ascii="Times New Roman" w:eastAsia="Times New Roman" w:hAnsi="Times New Roman" w:cs="Times New Roman"/>
          <w:kern w:val="0"/>
          <w:szCs w:val="22"/>
          <w:lang w:eastAsia="en-IN" w:bidi="hi-IN"/>
        </w:rPr>
      </w:pPr>
      <w:r w:rsidRPr="00031FF5">
        <w:rPr>
          <w:rFonts w:ascii="Times New Roman" w:eastAsia="Times New Roman" w:hAnsi="Times New Roman" w:cs="Times New Roman"/>
          <w:kern w:val="0"/>
          <w:szCs w:val="22"/>
          <w:lang w:eastAsia="en-IN" w:bidi="hi-IN"/>
        </w:rPr>
        <w:t>Net Profit Consideration: To fully evaluate performance, an analysis of Total Net Profit (Volume × Margin) would be necessary to determine which strategy (high volume/low margin in March vs. low volume/high margin in May) yielded the best financial result.</w:t>
      </w:r>
    </w:p>
    <w:p w14:paraId="76ED8ADF" w14:textId="77777777" w:rsidR="00B07CBB" w:rsidRDefault="00B07CBB"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sectPr w:rsidR="00B07CBB" w:rsidSect="00BC38F6">
          <w:headerReference w:type="default" r:id="rId16"/>
          <w:pgSz w:w="11906" w:h="16838"/>
          <w:pgMar w:top="1440" w:right="1440" w:bottom="1440" w:left="1440" w:header="708" w:footer="708" w:gutter="0"/>
          <w:cols w:space="708"/>
          <w:docGrid w:linePitch="360"/>
        </w:sectPr>
      </w:pPr>
    </w:p>
    <w:p w14:paraId="76ED8AE1" w14:textId="7E7C65BD" w:rsidR="00B07CBB" w:rsidRDefault="008233B9"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926E30">
        <w:rPr>
          <w:sz w:val="24"/>
          <w:szCs w:val="24"/>
        </w:rPr>
        <w:lastRenderedPageBreak/>
        <w:t xml:space="preserve">Used to </w:t>
      </w:r>
      <w:r w:rsidRPr="00D413A3">
        <w:rPr>
          <w:sz w:val="24"/>
          <w:szCs w:val="24"/>
          <w:highlight w:val="yellow"/>
        </w:rPr>
        <w:t>show the proportion of categories within a whole</w:t>
      </w:r>
      <w:r w:rsidRPr="00926E30">
        <w:rPr>
          <w:sz w:val="24"/>
          <w:szCs w:val="24"/>
        </w:rPr>
        <w:t>, but it is generally best for a very small number of categories (2 to 5).</w:t>
      </w:r>
    </w:p>
    <w:p w14:paraId="7A05BEE4" w14:textId="16FCA09D" w:rsidR="008233B9" w:rsidRDefault="008233B9" w:rsidP="00E41452">
      <w:pPr>
        <w:spacing w:before="100" w:beforeAutospacing="1" w:after="100" w:afterAutospacing="1" w:line="240" w:lineRule="auto"/>
        <w:ind w:left="720"/>
        <w:rPr>
          <w:rFonts w:ascii="Times New Roman" w:eastAsia="Times New Roman" w:hAnsi="Times New Roman" w:cs="Times New Roman"/>
          <w:b/>
          <w:bCs/>
          <w:kern w:val="0"/>
          <w:sz w:val="32"/>
          <w:szCs w:val="32"/>
          <w:u w:val="single"/>
          <w:lang w:eastAsia="en-IN" w:bidi="hi-IN"/>
        </w:rPr>
      </w:pPr>
      <w:r>
        <w:rPr>
          <w:noProof/>
          <w:lang w:val="en-US" w:bidi="hi-IN"/>
        </w:rPr>
        <w:drawing>
          <wp:inline distT="0" distB="0" distL="0" distR="0" wp14:anchorId="74AA672C" wp14:editId="4844EF68">
            <wp:extent cx="4572000" cy="2743200"/>
            <wp:effectExtent l="19050" t="0" r="19050" b="0"/>
            <wp:docPr id="315328741" name="Chart 1">
              <a:extLst xmlns:a="http://schemas.openxmlformats.org/drawingml/2006/main">
                <a:ext uri="{FF2B5EF4-FFF2-40B4-BE49-F238E27FC236}">
                  <a16:creationId xmlns:a16="http://schemas.microsoft.com/office/drawing/2014/main" id="{F5A3E3DC-E2AE-B7A3-D2B9-9BDC8100E4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6ED8AE2" w14:textId="77777777" w:rsidR="00E41452" w:rsidRPr="00E41452" w:rsidRDefault="00E41452" w:rsidP="00E41452">
      <w:pPr>
        <w:spacing w:before="100" w:beforeAutospacing="1" w:after="100" w:afterAutospacing="1" w:line="240" w:lineRule="auto"/>
        <w:ind w:left="720"/>
        <w:rPr>
          <w:rFonts w:ascii="Times New Roman" w:eastAsia="Times New Roman" w:hAnsi="Times New Roman" w:cs="Times New Roman"/>
          <w:b/>
          <w:bCs/>
          <w:kern w:val="0"/>
          <w:sz w:val="32"/>
          <w:szCs w:val="32"/>
          <w:u w:val="single"/>
          <w:lang w:eastAsia="en-IN" w:bidi="hi-IN"/>
        </w:rPr>
      </w:pPr>
      <w:r w:rsidRPr="00E41452">
        <w:rPr>
          <w:rFonts w:ascii="Times New Roman" w:eastAsia="Times New Roman" w:hAnsi="Times New Roman" w:cs="Times New Roman"/>
          <w:b/>
          <w:bCs/>
          <w:kern w:val="0"/>
          <w:sz w:val="32"/>
          <w:szCs w:val="32"/>
          <w:u w:val="single"/>
          <w:lang w:eastAsia="en-IN" w:bidi="hi-IN"/>
        </w:rPr>
        <w:t>Key Observations:</w:t>
      </w:r>
    </w:p>
    <w:p w14:paraId="76ED8AE3" w14:textId="77777777" w:rsidR="00E41452" w:rsidRPr="00E41452" w:rsidRDefault="00E41452" w:rsidP="00E41452">
      <w:pPr>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en-IN" w:bidi="hi-IN"/>
        </w:rPr>
      </w:pPr>
      <w:r w:rsidRPr="00E41452">
        <w:rPr>
          <w:rFonts w:ascii="Times New Roman" w:eastAsia="Times New Roman" w:hAnsi="Times New Roman" w:cs="Times New Roman"/>
          <w:kern w:val="0"/>
          <w:sz w:val="32"/>
          <w:szCs w:val="32"/>
          <w:lang w:eastAsia="en-IN" w:bidi="hi-IN"/>
        </w:rPr>
        <w:t xml:space="preserve">Fixed Costs Dominate: Rent is the single largest expenditure, </w:t>
      </w:r>
      <w:r w:rsidRPr="00E41452">
        <w:rPr>
          <w:rFonts w:ascii="Times New Roman" w:eastAsia="Times New Roman" w:hAnsi="Times New Roman" w:cs="Times New Roman"/>
          <w:kern w:val="0"/>
          <w:sz w:val="32"/>
          <w:szCs w:val="32"/>
          <w:highlight w:val="yellow"/>
          <w:lang w:eastAsia="en-IN" w:bidi="hi-IN"/>
        </w:rPr>
        <w:t>accounting for 50%</w:t>
      </w:r>
      <w:r w:rsidRPr="00E41452">
        <w:rPr>
          <w:rFonts w:ascii="Times New Roman" w:eastAsia="Times New Roman" w:hAnsi="Times New Roman" w:cs="Times New Roman"/>
          <w:kern w:val="0"/>
          <w:sz w:val="32"/>
          <w:szCs w:val="32"/>
          <w:lang w:eastAsia="en-IN" w:bidi="hi-IN"/>
        </w:rPr>
        <w:t xml:space="preserve"> of the total amount.</w:t>
      </w:r>
    </w:p>
    <w:p w14:paraId="76ED8AE4" w14:textId="77777777" w:rsidR="00E41452" w:rsidRPr="00E41452" w:rsidRDefault="00E41452" w:rsidP="00E41452">
      <w:pPr>
        <w:numPr>
          <w:ilvl w:val="0"/>
          <w:numId w:val="24"/>
        </w:numPr>
        <w:spacing w:before="100" w:beforeAutospacing="1" w:after="100" w:afterAutospacing="1" w:line="240" w:lineRule="auto"/>
        <w:rPr>
          <w:rFonts w:ascii="Times New Roman" w:eastAsia="Times New Roman" w:hAnsi="Times New Roman" w:cs="Times New Roman"/>
          <w:kern w:val="0"/>
          <w:sz w:val="32"/>
          <w:szCs w:val="32"/>
          <w:highlight w:val="yellow"/>
          <w:lang w:eastAsia="en-IN" w:bidi="hi-IN"/>
        </w:rPr>
      </w:pPr>
      <w:r w:rsidRPr="00E41452">
        <w:rPr>
          <w:rFonts w:ascii="Times New Roman" w:eastAsia="Times New Roman" w:hAnsi="Times New Roman" w:cs="Times New Roman"/>
          <w:kern w:val="0"/>
          <w:sz w:val="32"/>
          <w:szCs w:val="32"/>
          <w:lang w:eastAsia="en-IN" w:bidi="hi-IN"/>
        </w:rPr>
        <w:t xml:space="preserve">Essential Spending: Food is the second largest </w:t>
      </w:r>
      <w:r w:rsidRPr="00E41452">
        <w:rPr>
          <w:rFonts w:ascii="Times New Roman" w:eastAsia="Times New Roman" w:hAnsi="Times New Roman" w:cs="Times New Roman"/>
          <w:kern w:val="0"/>
          <w:sz w:val="32"/>
          <w:szCs w:val="32"/>
          <w:highlight w:val="yellow"/>
          <w:lang w:eastAsia="en-IN" w:bidi="hi-IN"/>
        </w:rPr>
        <w:t>expense at 30%.</w:t>
      </w:r>
    </w:p>
    <w:p w14:paraId="76ED8AE5" w14:textId="77777777" w:rsidR="00E41452" w:rsidRPr="00E41452" w:rsidRDefault="00E41452" w:rsidP="00E41452">
      <w:pPr>
        <w:numPr>
          <w:ilvl w:val="0"/>
          <w:numId w:val="24"/>
        </w:numPr>
        <w:spacing w:before="100" w:beforeAutospacing="1" w:after="100" w:afterAutospacing="1" w:line="240" w:lineRule="auto"/>
        <w:rPr>
          <w:rFonts w:ascii="Times New Roman" w:eastAsia="Times New Roman" w:hAnsi="Times New Roman" w:cs="Times New Roman"/>
          <w:kern w:val="0"/>
          <w:sz w:val="32"/>
          <w:szCs w:val="32"/>
          <w:lang w:eastAsia="en-IN" w:bidi="hi-IN"/>
        </w:rPr>
      </w:pPr>
      <w:r w:rsidRPr="00E41452">
        <w:rPr>
          <w:rFonts w:ascii="Times New Roman" w:eastAsia="Times New Roman" w:hAnsi="Times New Roman" w:cs="Times New Roman"/>
          <w:kern w:val="0"/>
          <w:sz w:val="32"/>
          <w:szCs w:val="32"/>
          <w:lang w:eastAsia="en-IN" w:bidi="hi-IN"/>
        </w:rPr>
        <w:t xml:space="preserve">Minimal Allocation to Growth/Discretion: The combined allocation for both </w:t>
      </w:r>
      <w:r w:rsidRPr="00E41452">
        <w:rPr>
          <w:rFonts w:ascii="Times New Roman" w:eastAsia="Times New Roman" w:hAnsi="Times New Roman" w:cs="Times New Roman"/>
          <w:kern w:val="0"/>
          <w:sz w:val="32"/>
          <w:szCs w:val="32"/>
          <w:highlight w:val="yellow"/>
          <w:lang w:eastAsia="en-IN" w:bidi="hi-IN"/>
        </w:rPr>
        <w:t>Travel and Savings</w:t>
      </w:r>
      <w:r w:rsidRPr="00E41452">
        <w:rPr>
          <w:rFonts w:ascii="Times New Roman" w:eastAsia="Times New Roman" w:hAnsi="Times New Roman" w:cs="Times New Roman"/>
          <w:kern w:val="0"/>
          <w:sz w:val="32"/>
          <w:szCs w:val="32"/>
          <w:lang w:eastAsia="en-IN" w:bidi="hi-IN"/>
        </w:rPr>
        <w:t xml:space="preserve"> is only </w:t>
      </w:r>
      <w:r w:rsidRPr="00E41452">
        <w:rPr>
          <w:rFonts w:ascii="Times New Roman" w:eastAsia="Times New Roman" w:hAnsi="Times New Roman" w:cs="Times New Roman"/>
          <w:kern w:val="0"/>
          <w:sz w:val="32"/>
          <w:szCs w:val="32"/>
          <w:highlight w:val="yellow"/>
          <w:lang w:eastAsia="en-IN" w:bidi="hi-IN"/>
        </w:rPr>
        <w:t>20% (10% each),</w:t>
      </w:r>
      <w:r w:rsidRPr="00E41452">
        <w:rPr>
          <w:rFonts w:ascii="Times New Roman" w:eastAsia="Times New Roman" w:hAnsi="Times New Roman" w:cs="Times New Roman"/>
          <w:kern w:val="0"/>
          <w:sz w:val="32"/>
          <w:szCs w:val="32"/>
          <w:lang w:eastAsia="en-IN" w:bidi="hi-IN"/>
        </w:rPr>
        <w:t xml:space="preserve"> indicating a highly constrained budget where discretionary spending and </w:t>
      </w:r>
      <w:r w:rsidRPr="00E41452">
        <w:rPr>
          <w:rFonts w:ascii="Times New Roman" w:eastAsia="Times New Roman" w:hAnsi="Times New Roman" w:cs="Times New Roman"/>
          <w:kern w:val="0"/>
          <w:sz w:val="32"/>
          <w:szCs w:val="32"/>
          <w:highlight w:val="yellow"/>
          <w:lang w:eastAsia="en-IN" w:bidi="hi-IN"/>
        </w:rPr>
        <w:t>future financial security (savings</w:t>
      </w:r>
      <w:r w:rsidRPr="00E41452">
        <w:rPr>
          <w:rFonts w:ascii="Times New Roman" w:eastAsia="Times New Roman" w:hAnsi="Times New Roman" w:cs="Times New Roman"/>
          <w:kern w:val="0"/>
          <w:sz w:val="32"/>
          <w:szCs w:val="32"/>
          <w:lang w:eastAsia="en-IN" w:bidi="hi-IN"/>
        </w:rPr>
        <w:t>) take a lower priority compared to immediate necessities.</w:t>
      </w:r>
    </w:p>
    <w:p w14:paraId="76ED8AE6" w14:textId="77777777" w:rsidR="00E41452" w:rsidRPr="002C18E5" w:rsidRDefault="00E41452" w:rsidP="00E41452">
      <w:pPr>
        <w:spacing w:before="100" w:beforeAutospacing="1" w:after="100" w:afterAutospacing="1" w:line="240" w:lineRule="auto"/>
        <w:ind w:left="720"/>
        <w:rPr>
          <w:rFonts w:ascii="Times New Roman" w:eastAsia="Times New Roman" w:hAnsi="Times New Roman" w:cs="Times New Roman"/>
          <w:kern w:val="0"/>
          <w:sz w:val="32"/>
          <w:szCs w:val="32"/>
          <w:lang w:eastAsia="en-IN" w:bidi="hi-IN"/>
        </w:rPr>
      </w:pPr>
      <w:r w:rsidRPr="00E41452">
        <w:rPr>
          <w:rFonts w:ascii="Times New Roman" w:eastAsia="Times New Roman" w:hAnsi="Times New Roman" w:cs="Times New Roman"/>
          <w:b/>
          <w:bCs/>
          <w:kern w:val="0"/>
          <w:sz w:val="32"/>
          <w:szCs w:val="32"/>
          <w:lang w:eastAsia="en-IN" w:bidi="hi-IN"/>
        </w:rPr>
        <w:t>Overall Conclusion</w:t>
      </w:r>
      <w:r w:rsidRPr="00E41452">
        <w:rPr>
          <w:rFonts w:ascii="Times New Roman" w:eastAsia="Times New Roman" w:hAnsi="Times New Roman" w:cs="Times New Roman"/>
          <w:kern w:val="0"/>
          <w:sz w:val="32"/>
          <w:szCs w:val="32"/>
          <w:lang w:eastAsia="en-IN" w:bidi="hi-IN"/>
        </w:rPr>
        <w:t xml:space="preserve">: </w:t>
      </w:r>
    </w:p>
    <w:p w14:paraId="76ED8AE7" w14:textId="77777777" w:rsidR="00E41452" w:rsidRPr="00E41452" w:rsidRDefault="00E41452" w:rsidP="00E41452">
      <w:pPr>
        <w:spacing w:before="100" w:beforeAutospacing="1" w:after="100" w:afterAutospacing="1" w:line="240" w:lineRule="auto"/>
        <w:ind w:left="720"/>
        <w:rPr>
          <w:rFonts w:ascii="Times New Roman" w:eastAsia="Times New Roman" w:hAnsi="Times New Roman" w:cs="Times New Roman"/>
          <w:b/>
          <w:bCs/>
          <w:kern w:val="0"/>
          <w:sz w:val="32"/>
          <w:szCs w:val="32"/>
          <w:lang w:eastAsia="en-IN" w:bidi="hi-IN"/>
        </w:rPr>
      </w:pPr>
      <w:r w:rsidRPr="00E41452">
        <w:rPr>
          <w:rFonts w:ascii="Times New Roman" w:eastAsia="Times New Roman" w:hAnsi="Times New Roman" w:cs="Times New Roman"/>
          <w:kern w:val="0"/>
          <w:sz w:val="32"/>
          <w:szCs w:val="32"/>
          <w:lang w:eastAsia="en-IN" w:bidi="hi-IN"/>
        </w:rPr>
        <w:t xml:space="preserve">The current spending pattern is heavily weighted towards immediate </w:t>
      </w:r>
      <w:r w:rsidRPr="00E41452">
        <w:rPr>
          <w:rFonts w:ascii="Times New Roman" w:eastAsia="Times New Roman" w:hAnsi="Times New Roman" w:cs="Times New Roman"/>
          <w:kern w:val="0"/>
          <w:sz w:val="32"/>
          <w:szCs w:val="32"/>
          <w:highlight w:val="yellow"/>
          <w:lang w:eastAsia="en-IN" w:bidi="hi-IN"/>
        </w:rPr>
        <w:t>living costs (80%),</w:t>
      </w:r>
      <w:r w:rsidRPr="00E41452">
        <w:rPr>
          <w:rFonts w:ascii="Times New Roman" w:eastAsia="Times New Roman" w:hAnsi="Times New Roman" w:cs="Times New Roman"/>
          <w:kern w:val="0"/>
          <w:sz w:val="32"/>
          <w:szCs w:val="32"/>
          <w:lang w:eastAsia="en-IN" w:bidi="hi-IN"/>
        </w:rPr>
        <w:t xml:space="preserve"> suggesting a limited capacity for </w:t>
      </w:r>
      <w:r w:rsidRPr="00E41452">
        <w:rPr>
          <w:rFonts w:ascii="Times New Roman" w:eastAsia="Times New Roman" w:hAnsi="Times New Roman" w:cs="Times New Roman"/>
          <w:kern w:val="0"/>
          <w:sz w:val="32"/>
          <w:szCs w:val="32"/>
          <w:highlight w:val="yellow"/>
          <w:lang w:eastAsia="en-IN" w:bidi="hi-IN"/>
        </w:rPr>
        <w:t>financial flexibility, investment,</w:t>
      </w:r>
      <w:r w:rsidRPr="00E41452">
        <w:rPr>
          <w:rFonts w:ascii="Times New Roman" w:eastAsia="Times New Roman" w:hAnsi="Times New Roman" w:cs="Times New Roman"/>
          <w:kern w:val="0"/>
          <w:sz w:val="32"/>
          <w:szCs w:val="32"/>
          <w:lang w:eastAsia="en-IN" w:bidi="hi-IN"/>
        </w:rPr>
        <w:t xml:space="preserve"> or significant discretionary spending.</w:t>
      </w:r>
    </w:p>
    <w:p w14:paraId="76ED8AE8" w14:textId="77777777" w:rsidR="00EC08D2" w:rsidRPr="00EC08D2" w:rsidRDefault="00EC08D2" w:rsidP="00EC08D2">
      <w:pPr>
        <w:spacing w:before="100" w:beforeAutospacing="1" w:after="100" w:afterAutospacing="1" w:line="240" w:lineRule="auto"/>
        <w:ind w:left="720"/>
        <w:rPr>
          <w:rFonts w:ascii="Times New Roman" w:eastAsia="Times New Roman" w:hAnsi="Times New Roman" w:cs="Times New Roman"/>
          <w:kern w:val="0"/>
          <w:sz w:val="28"/>
          <w:lang w:eastAsia="en-IN" w:bidi="hi-IN"/>
        </w:rPr>
      </w:pPr>
    </w:p>
    <w:p w14:paraId="76ED8AE9" w14:textId="77777777" w:rsidR="00B07CBB" w:rsidRDefault="00B07CBB"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14:paraId="76ED8AEA" w14:textId="77777777" w:rsidR="003922C1" w:rsidRDefault="003922C1"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sectPr w:rsidR="003922C1" w:rsidSect="00BC38F6">
          <w:headerReference w:type="default" r:id="rId18"/>
          <w:pgSz w:w="11906" w:h="16838"/>
          <w:pgMar w:top="1440" w:right="1440" w:bottom="1440" w:left="1440" w:header="708" w:footer="708" w:gutter="0"/>
          <w:cols w:space="708"/>
          <w:docGrid w:linePitch="360"/>
        </w:sectPr>
      </w:pPr>
    </w:p>
    <w:p w14:paraId="76ED8AEB" w14:textId="77777777" w:rsidR="00B07CBB" w:rsidRPr="00A25A51" w:rsidRDefault="00B24F1D" w:rsidP="0075086A">
      <w:pPr>
        <w:spacing w:before="100" w:beforeAutospacing="1" w:after="100" w:afterAutospacing="1" w:line="240" w:lineRule="auto"/>
        <w:jc w:val="center"/>
        <w:rPr>
          <w:rFonts w:ascii="Times New Roman" w:eastAsia="Times New Roman" w:hAnsi="Times New Roman" w:cs="Times New Roman"/>
          <w:b/>
          <w:bCs/>
          <w:kern w:val="0"/>
          <w:sz w:val="32"/>
          <w:szCs w:val="32"/>
          <w:u w:val="single"/>
          <w:lang w:eastAsia="en-IN" w:bidi="hi-IN"/>
        </w:rPr>
      </w:pPr>
      <w:r w:rsidRPr="00A25A51">
        <w:rPr>
          <w:rFonts w:ascii="Times New Roman" w:eastAsia="Times New Roman" w:hAnsi="Times New Roman" w:cs="Times New Roman"/>
          <w:b/>
          <w:bCs/>
          <w:kern w:val="0"/>
          <w:sz w:val="32"/>
          <w:szCs w:val="32"/>
          <w:u w:val="single"/>
          <w:lang w:eastAsia="en-IN" w:bidi="hi-IN"/>
        </w:rPr>
        <w:lastRenderedPageBreak/>
        <w:t>AREA CHART</w:t>
      </w:r>
    </w:p>
    <w:p w14:paraId="76ED8AED" w14:textId="0935E490" w:rsidR="00B8140B" w:rsidRPr="008233B9" w:rsidRDefault="008233B9" w:rsidP="008233B9">
      <w:pPr>
        <w:numPr>
          <w:ilvl w:val="0"/>
          <w:numId w:val="19"/>
        </w:numPr>
        <w:spacing w:line="240" w:lineRule="auto"/>
        <w:rPr>
          <w:sz w:val="24"/>
          <w:szCs w:val="24"/>
        </w:rPr>
      </w:pPr>
      <w:r w:rsidRPr="00926E30">
        <w:rPr>
          <w:sz w:val="24"/>
          <w:szCs w:val="24"/>
        </w:rPr>
        <w:t xml:space="preserve">Like a Line Chart, but the </w:t>
      </w:r>
      <w:r w:rsidRPr="00AE13F2">
        <w:rPr>
          <w:color w:val="FF0000"/>
          <w:sz w:val="24"/>
          <w:szCs w:val="24"/>
        </w:rPr>
        <w:t>area beneath</w:t>
      </w:r>
      <w:r w:rsidRPr="00926E30">
        <w:rPr>
          <w:sz w:val="24"/>
          <w:szCs w:val="24"/>
        </w:rPr>
        <w:t xml:space="preserve"> the line is filled, which emphasizes the magnitude or </w:t>
      </w:r>
      <w:r w:rsidRPr="00AE13F2">
        <w:rPr>
          <w:sz w:val="24"/>
          <w:szCs w:val="24"/>
          <w:highlight w:val="yellow"/>
        </w:rPr>
        <w:t>accumulated total over time</w:t>
      </w:r>
      <w:r w:rsidRPr="00926E30">
        <w:rPr>
          <w:sz w:val="24"/>
          <w:szCs w:val="24"/>
        </w:rPr>
        <w:t>.</w:t>
      </w:r>
    </w:p>
    <w:p w14:paraId="4E22DF73" w14:textId="63F9A302" w:rsidR="008233B9" w:rsidRDefault="008233B9" w:rsidP="00A37678">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rPr>
      </w:pPr>
      <w:r>
        <w:rPr>
          <w:noProof/>
          <w:lang w:val="en-US" w:bidi="hi-IN"/>
        </w:rPr>
        <w:drawing>
          <wp:inline distT="0" distB="0" distL="0" distR="0" wp14:anchorId="7AEF6B20" wp14:editId="12D3AE97">
            <wp:extent cx="5731510" cy="2615138"/>
            <wp:effectExtent l="0" t="0" r="0" b="0"/>
            <wp:docPr id="856788653" name="Chart 1">
              <a:extLst xmlns:a="http://schemas.openxmlformats.org/drawingml/2006/main">
                <a:ext uri="{FF2B5EF4-FFF2-40B4-BE49-F238E27FC236}">
                  <a16:creationId xmlns:a16="http://schemas.microsoft.com/office/drawing/2014/main" id="{5997B346-D955-7221-428C-7D00CCA4AC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6ED8AEE" w14:textId="77777777" w:rsidR="00A37678" w:rsidRPr="00A37678" w:rsidRDefault="00A37678" w:rsidP="00A37678">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rPr>
      </w:pPr>
      <w:r w:rsidRPr="00A37678">
        <w:rPr>
          <w:rFonts w:ascii="Times New Roman" w:eastAsia="Times New Roman" w:hAnsi="Times New Roman" w:cs="Times New Roman"/>
          <w:b/>
          <w:bCs/>
          <w:kern w:val="0"/>
          <w:sz w:val="24"/>
          <w:szCs w:val="24"/>
          <w:u w:val="single"/>
          <w:lang w:eastAsia="en-IN" w:bidi="hi-IN"/>
        </w:rPr>
        <w:t>Key Observations:</w:t>
      </w:r>
    </w:p>
    <w:p w14:paraId="76ED8AEF" w14:textId="77777777" w:rsidR="00A37678" w:rsidRPr="00021876" w:rsidRDefault="00A37678" w:rsidP="00A37678">
      <w:pPr>
        <w:numPr>
          <w:ilvl w:val="0"/>
          <w:numId w:val="28"/>
        </w:numPr>
        <w:spacing w:before="100" w:beforeAutospacing="1" w:after="100" w:afterAutospacing="1" w:line="240" w:lineRule="auto"/>
        <w:rPr>
          <w:rFonts w:ascii="Times New Roman" w:eastAsia="Times New Roman" w:hAnsi="Times New Roman" w:cs="Times New Roman"/>
          <w:kern w:val="0"/>
          <w:sz w:val="24"/>
          <w:szCs w:val="24"/>
          <w:highlight w:val="yellow"/>
          <w:lang w:eastAsia="en-IN" w:bidi="hi-IN"/>
        </w:rPr>
      </w:pPr>
      <w:r w:rsidRPr="00A37678">
        <w:rPr>
          <w:rFonts w:ascii="Times New Roman" w:eastAsia="Times New Roman" w:hAnsi="Times New Roman" w:cs="Times New Roman"/>
          <w:kern w:val="0"/>
          <w:sz w:val="24"/>
          <w:szCs w:val="24"/>
          <w:lang w:eastAsia="en-IN" w:bidi="hi-IN"/>
        </w:rPr>
        <w:t xml:space="preserve">Total Market Expansion: The overall market size (represented by the top line of the stack) shows consistent growth from </w:t>
      </w:r>
      <w:r w:rsidRPr="00021876">
        <w:rPr>
          <w:rFonts w:ascii="Times New Roman" w:eastAsia="Times New Roman" w:hAnsi="Times New Roman" w:cs="Times New Roman"/>
          <w:kern w:val="0"/>
          <w:sz w:val="24"/>
          <w:szCs w:val="24"/>
          <w:highlight w:val="cyan"/>
          <w:lang w:eastAsia="en-IN" w:bidi="hi-IN"/>
        </w:rPr>
        <w:t>November 2021 (</w:t>
      </w:r>
      <w:r w:rsidR="00021876" w:rsidRPr="00021876">
        <w:rPr>
          <w:rFonts w:ascii="Times New Roman" w:eastAsia="Times New Roman" w:hAnsi="Times New Roman" w:cs="Times New Roman"/>
          <w:kern w:val="0"/>
          <w:sz w:val="24"/>
          <w:szCs w:val="24"/>
          <w:highlight w:val="cyan"/>
          <w:lang w:eastAsia="en-IN" w:bidi="hi-IN"/>
        </w:rPr>
        <w:t>approx.</w:t>
      </w:r>
      <w:r w:rsidRPr="00021876">
        <w:rPr>
          <w:rFonts w:ascii="Times New Roman" w:eastAsia="Times New Roman" w:hAnsi="Times New Roman" w:cs="Times New Roman"/>
          <w:kern w:val="0"/>
          <w:sz w:val="24"/>
          <w:szCs w:val="24"/>
          <w:highlight w:val="cyan"/>
          <w:lang w:eastAsia="en-IN" w:bidi="hi-IN"/>
        </w:rPr>
        <w:t>29,000)</w:t>
      </w:r>
      <w:r w:rsidRPr="00A37678">
        <w:rPr>
          <w:rFonts w:ascii="Times New Roman" w:eastAsia="Times New Roman" w:hAnsi="Times New Roman" w:cs="Times New Roman"/>
          <w:kern w:val="0"/>
          <w:sz w:val="24"/>
          <w:szCs w:val="24"/>
          <w:lang w:eastAsia="en-IN" w:bidi="hi-IN"/>
        </w:rPr>
        <w:t xml:space="preserve"> to a peak in </w:t>
      </w:r>
      <w:r w:rsidRPr="00021876">
        <w:rPr>
          <w:rFonts w:ascii="Times New Roman" w:eastAsia="Times New Roman" w:hAnsi="Times New Roman" w:cs="Times New Roman"/>
          <w:kern w:val="0"/>
          <w:sz w:val="24"/>
          <w:szCs w:val="24"/>
          <w:highlight w:val="yellow"/>
          <w:lang w:eastAsia="en-IN" w:bidi="hi-IN"/>
        </w:rPr>
        <w:t>January 2022 (</w:t>
      </w:r>
      <w:r w:rsidR="00021876" w:rsidRPr="00021876">
        <w:rPr>
          <w:rFonts w:ascii="Times New Roman" w:eastAsia="Times New Roman" w:hAnsi="Times New Roman" w:cs="Times New Roman"/>
          <w:kern w:val="0"/>
          <w:sz w:val="24"/>
          <w:szCs w:val="24"/>
          <w:highlight w:val="yellow"/>
          <w:lang w:eastAsia="en-IN" w:bidi="hi-IN"/>
        </w:rPr>
        <w:t>approx.</w:t>
      </w:r>
      <w:r w:rsidRPr="00021876">
        <w:rPr>
          <w:rFonts w:ascii="Times New Roman" w:eastAsia="Times New Roman" w:hAnsi="Times New Roman" w:cs="Times New Roman"/>
          <w:kern w:val="0"/>
          <w:sz w:val="24"/>
          <w:szCs w:val="24"/>
          <w:highlight w:val="yellow"/>
          <w:lang w:eastAsia="en-IN" w:bidi="hi-IN"/>
        </w:rPr>
        <w:t>41,000</w:t>
      </w:r>
      <w:r w:rsidRPr="00A37678">
        <w:rPr>
          <w:rFonts w:ascii="Times New Roman" w:eastAsia="Times New Roman" w:hAnsi="Times New Roman" w:cs="Times New Roman"/>
          <w:kern w:val="0"/>
          <w:sz w:val="24"/>
          <w:szCs w:val="24"/>
          <w:lang w:eastAsia="en-IN" w:bidi="hi-IN"/>
        </w:rPr>
        <w:t xml:space="preserve">), followed by a slight dip in </w:t>
      </w:r>
      <w:r w:rsidRPr="00021876">
        <w:rPr>
          <w:rFonts w:ascii="Times New Roman" w:eastAsia="Times New Roman" w:hAnsi="Times New Roman" w:cs="Times New Roman"/>
          <w:kern w:val="0"/>
          <w:sz w:val="24"/>
          <w:szCs w:val="24"/>
          <w:highlight w:val="yellow"/>
          <w:lang w:eastAsia="en-IN" w:bidi="hi-IN"/>
        </w:rPr>
        <w:t>February 2022 (</w:t>
      </w:r>
      <w:r w:rsidR="00021876" w:rsidRPr="00021876">
        <w:rPr>
          <w:rFonts w:ascii="Times New Roman" w:eastAsia="Times New Roman" w:hAnsi="Times New Roman" w:cs="Times New Roman"/>
          <w:kern w:val="0"/>
          <w:sz w:val="24"/>
          <w:szCs w:val="24"/>
          <w:highlight w:val="yellow"/>
          <w:lang w:eastAsia="en-IN" w:bidi="hi-IN"/>
        </w:rPr>
        <w:t>approx</w:t>
      </w:r>
      <w:r w:rsidRPr="00021876">
        <w:rPr>
          <w:rFonts w:ascii="Times New Roman" w:eastAsia="Times New Roman" w:hAnsi="Times New Roman" w:cs="Times New Roman"/>
          <w:kern w:val="0"/>
          <w:sz w:val="24"/>
          <w:szCs w:val="24"/>
          <w:highlight w:val="yellow"/>
          <w:lang w:eastAsia="en-IN" w:bidi="hi-IN"/>
        </w:rPr>
        <w:t>40,000).</w:t>
      </w:r>
    </w:p>
    <w:p w14:paraId="76ED8AF0" w14:textId="77777777" w:rsidR="00A37678" w:rsidRPr="00A37678" w:rsidRDefault="00A37678" w:rsidP="00A376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021876">
        <w:rPr>
          <w:rFonts w:ascii="Times New Roman" w:eastAsia="Times New Roman" w:hAnsi="Times New Roman" w:cs="Times New Roman"/>
          <w:kern w:val="0"/>
          <w:sz w:val="24"/>
          <w:szCs w:val="24"/>
          <w:highlight w:val="yellow"/>
          <w:lang w:eastAsia="en-IN" w:bidi="hi-IN"/>
        </w:rPr>
        <w:t>Nexon's Core Contribution</w:t>
      </w:r>
      <w:r w:rsidRPr="00A37678">
        <w:rPr>
          <w:rFonts w:ascii="Times New Roman" w:eastAsia="Times New Roman" w:hAnsi="Times New Roman" w:cs="Times New Roman"/>
          <w:kern w:val="0"/>
          <w:sz w:val="24"/>
          <w:szCs w:val="24"/>
          <w:lang w:eastAsia="en-IN" w:bidi="hi-IN"/>
        </w:rPr>
        <w:t>: Nexon (the largest orange area at the base of the stack) is the single biggest driver of the total volume. Its massive base determines the overall shape and trend of the chart.</w:t>
      </w:r>
    </w:p>
    <w:p w14:paraId="76ED8AF1" w14:textId="77777777" w:rsidR="00A37678" w:rsidRPr="00A37678" w:rsidRDefault="00A37678" w:rsidP="00A376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021876">
        <w:rPr>
          <w:rFonts w:ascii="Times New Roman" w:eastAsia="Times New Roman" w:hAnsi="Times New Roman" w:cs="Times New Roman"/>
          <w:kern w:val="0"/>
          <w:sz w:val="24"/>
          <w:szCs w:val="24"/>
          <w:highlight w:val="cyan"/>
          <w:lang w:eastAsia="en-IN" w:bidi="hi-IN"/>
        </w:rPr>
        <w:t>Harrier's Minimal Impact</w:t>
      </w:r>
      <w:r w:rsidRPr="00A37678">
        <w:rPr>
          <w:rFonts w:ascii="Times New Roman" w:eastAsia="Times New Roman" w:hAnsi="Times New Roman" w:cs="Times New Roman"/>
          <w:kern w:val="0"/>
          <w:sz w:val="24"/>
          <w:szCs w:val="24"/>
          <w:lang w:eastAsia="en-IN" w:bidi="hi-IN"/>
        </w:rPr>
        <w:t>: Harrier (the dark blue area at the very bottom) has a proportionally minimal contribution to the total sales volume, despite being a separate model.</w:t>
      </w:r>
    </w:p>
    <w:p w14:paraId="76ED8AF2" w14:textId="77777777" w:rsidR="00A37678" w:rsidRPr="00A37678" w:rsidRDefault="00A37678" w:rsidP="00A3767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021876">
        <w:rPr>
          <w:rFonts w:ascii="Times New Roman" w:eastAsia="Times New Roman" w:hAnsi="Times New Roman" w:cs="Times New Roman"/>
          <w:kern w:val="0"/>
          <w:sz w:val="24"/>
          <w:szCs w:val="24"/>
          <w:highlight w:val="yellow"/>
          <w:lang w:eastAsia="en-IN" w:bidi="hi-IN"/>
        </w:rPr>
        <w:t>Mid-Tier Stability</w:t>
      </w:r>
      <w:r w:rsidRPr="00A37678">
        <w:rPr>
          <w:rFonts w:ascii="Times New Roman" w:eastAsia="Times New Roman" w:hAnsi="Times New Roman" w:cs="Times New Roman"/>
          <w:kern w:val="0"/>
          <w:sz w:val="24"/>
          <w:szCs w:val="24"/>
          <w:lang w:eastAsia="en-IN" w:bidi="hi-IN"/>
        </w:rPr>
        <w:t xml:space="preserve">: The stacked layers representing the mid-tier models </w:t>
      </w:r>
      <w:r w:rsidRPr="00021876">
        <w:rPr>
          <w:rFonts w:ascii="Times New Roman" w:eastAsia="Times New Roman" w:hAnsi="Times New Roman" w:cs="Times New Roman"/>
          <w:kern w:val="0"/>
          <w:sz w:val="24"/>
          <w:szCs w:val="24"/>
          <w:highlight w:val="cyan"/>
          <w:lang w:eastAsia="en-IN" w:bidi="hi-IN"/>
        </w:rPr>
        <w:t xml:space="preserve">(Tiago, Altroz, </w:t>
      </w:r>
      <w:proofErr w:type="spellStart"/>
      <w:r w:rsidRPr="00021876">
        <w:rPr>
          <w:rFonts w:ascii="Times New Roman" w:eastAsia="Times New Roman" w:hAnsi="Times New Roman" w:cs="Times New Roman"/>
          <w:kern w:val="0"/>
          <w:sz w:val="24"/>
          <w:szCs w:val="24"/>
          <w:highlight w:val="cyan"/>
          <w:lang w:eastAsia="en-IN" w:bidi="hi-IN"/>
        </w:rPr>
        <w:t>Tigor</w:t>
      </w:r>
      <w:proofErr w:type="spellEnd"/>
      <w:r w:rsidRPr="00021876">
        <w:rPr>
          <w:rFonts w:ascii="Times New Roman" w:eastAsia="Times New Roman" w:hAnsi="Times New Roman" w:cs="Times New Roman"/>
          <w:kern w:val="0"/>
          <w:sz w:val="24"/>
          <w:szCs w:val="24"/>
          <w:highlight w:val="cyan"/>
          <w:lang w:eastAsia="en-IN" w:bidi="hi-IN"/>
        </w:rPr>
        <w:t>, Safari, and Punch)</w:t>
      </w:r>
      <w:r w:rsidRPr="00A37678">
        <w:rPr>
          <w:rFonts w:ascii="Times New Roman" w:eastAsia="Times New Roman" w:hAnsi="Times New Roman" w:cs="Times New Roman"/>
          <w:kern w:val="0"/>
          <w:sz w:val="24"/>
          <w:szCs w:val="24"/>
          <w:lang w:eastAsia="en-IN" w:bidi="hi-IN"/>
        </w:rPr>
        <w:t xml:space="preserve"> show relatively stable contribution levels, without any one model dramatically overtaking the others' market share within the total volume.</w:t>
      </w:r>
    </w:p>
    <w:p w14:paraId="76ED8AF3" w14:textId="77777777" w:rsidR="00A37678" w:rsidRPr="00A37678" w:rsidRDefault="00A37678" w:rsidP="00A37678">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A37678">
        <w:rPr>
          <w:rFonts w:ascii="Times New Roman" w:eastAsia="Times New Roman" w:hAnsi="Times New Roman" w:cs="Times New Roman"/>
          <w:b/>
          <w:bCs/>
          <w:kern w:val="0"/>
          <w:sz w:val="24"/>
          <w:szCs w:val="24"/>
          <w:u w:val="single"/>
          <w:lang w:eastAsia="en-IN" w:bidi="hi-IN"/>
        </w:rPr>
        <w:t>Overall Conclusion</w:t>
      </w:r>
      <w:r w:rsidRPr="00A37678">
        <w:rPr>
          <w:rFonts w:ascii="Times New Roman" w:eastAsia="Times New Roman" w:hAnsi="Times New Roman" w:cs="Times New Roman"/>
          <w:kern w:val="0"/>
          <w:sz w:val="24"/>
          <w:szCs w:val="24"/>
          <w:lang w:eastAsia="en-IN" w:bidi="hi-IN"/>
        </w:rPr>
        <w:t xml:space="preserve">: While the total sales volume expanded significantly up to </w:t>
      </w:r>
      <w:r w:rsidRPr="00021876">
        <w:rPr>
          <w:rFonts w:ascii="Times New Roman" w:eastAsia="Times New Roman" w:hAnsi="Times New Roman" w:cs="Times New Roman"/>
          <w:kern w:val="0"/>
          <w:sz w:val="24"/>
          <w:szCs w:val="24"/>
          <w:highlight w:val="yellow"/>
          <w:lang w:eastAsia="en-IN" w:bidi="hi-IN"/>
        </w:rPr>
        <w:t>January 2022, this growth was fundamentally powered by the high-volume sales of the Nexon</w:t>
      </w:r>
      <w:r w:rsidRPr="00A37678">
        <w:rPr>
          <w:rFonts w:ascii="Times New Roman" w:eastAsia="Times New Roman" w:hAnsi="Times New Roman" w:cs="Times New Roman"/>
          <w:kern w:val="0"/>
          <w:sz w:val="24"/>
          <w:szCs w:val="24"/>
          <w:lang w:eastAsia="en-IN" w:bidi="hi-IN"/>
        </w:rPr>
        <w:t>. The market's success is highly dependent on the continued performance of this one key model.</w:t>
      </w:r>
    </w:p>
    <w:p w14:paraId="76ED8AF4" w14:textId="77777777" w:rsidR="00A37678" w:rsidRPr="00A37678" w:rsidRDefault="00A37678" w:rsidP="00A37678">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14:paraId="76ED8AF5" w14:textId="77777777" w:rsidR="00157F04" w:rsidRDefault="00157F04"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sectPr w:rsidR="00157F04" w:rsidSect="00BC38F6">
          <w:headerReference w:type="default" r:id="rId20"/>
          <w:pgSz w:w="11906" w:h="16838"/>
          <w:pgMar w:top="1440" w:right="1440" w:bottom="1440" w:left="1440" w:header="708" w:footer="708" w:gutter="0"/>
          <w:cols w:space="708"/>
          <w:docGrid w:linePitch="360"/>
        </w:sectPr>
      </w:pPr>
    </w:p>
    <w:p w14:paraId="76ED8AF6" w14:textId="77777777" w:rsidR="00B07CBB" w:rsidRDefault="003C1966" w:rsidP="003C1966">
      <w:pPr>
        <w:spacing w:before="100" w:beforeAutospacing="1" w:after="100" w:afterAutospacing="1" w:line="240" w:lineRule="auto"/>
        <w:jc w:val="center"/>
        <w:rPr>
          <w:rFonts w:ascii="Times New Roman" w:eastAsia="Times New Roman" w:hAnsi="Times New Roman" w:cs="Times New Roman"/>
          <w:b/>
          <w:bCs/>
          <w:kern w:val="0"/>
          <w:sz w:val="28"/>
          <w:u w:val="single"/>
          <w:lang w:eastAsia="en-IN" w:bidi="hi-IN"/>
        </w:rPr>
      </w:pPr>
      <w:r w:rsidRPr="003B4FFA">
        <w:rPr>
          <w:rFonts w:ascii="Times New Roman" w:eastAsia="Times New Roman" w:hAnsi="Times New Roman" w:cs="Times New Roman"/>
          <w:b/>
          <w:bCs/>
          <w:kern w:val="0"/>
          <w:sz w:val="28"/>
          <w:u w:val="single"/>
          <w:lang w:eastAsia="en-IN" w:bidi="hi-IN"/>
        </w:rPr>
        <w:lastRenderedPageBreak/>
        <w:t>HISTOGRAM</w:t>
      </w:r>
    </w:p>
    <w:p w14:paraId="782187B4" w14:textId="4889FA4C" w:rsidR="00DF2963" w:rsidRDefault="00DF2963" w:rsidP="00DF2963">
      <w:pPr>
        <w:numPr>
          <w:ilvl w:val="0"/>
          <w:numId w:val="17"/>
        </w:numPr>
        <w:spacing w:line="240" w:lineRule="auto"/>
        <w:rPr>
          <w:sz w:val="24"/>
          <w:szCs w:val="24"/>
        </w:rPr>
      </w:pPr>
      <w:r w:rsidRPr="00926E30">
        <w:rPr>
          <w:sz w:val="24"/>
          <w:szCs w:val="24"/>
        </w:rPr>
        <w:t xml:space="preserve">Specifically designed to </w:t>
      </w:r>
      <w:r w:rsidRPr="00B835E4">
        <w:rPr>
          <w:sz w:val="24"/>
          <w:szCs w:val="24"/>
          <w:highlight w:val="yellow"/>
        </w:rPr>
        <w:t>show the distribution of a single continuous variable</w:t>
      </w:r>
      <w:r w:rsidRPr="00926E30">
        <w:rPr>
          <w:sz w:val="24"/>
          <w:szCs w:val="24"/>
        </w:rPr>
        <w:t>. The bars represent the frequency count within predefined ranges (bins).</w:t>
      </w:r>
    </w:p>
    <w:p w14:paraId="631569A1" w14:textId="3419A41B" w:rsidR="00AC4D03" w:rsidRDefault="00AC4D03" w:rsidP="00AC4D03">
      <w:pPr>
        <w:spacing w:line="240" w:lineRule="auto"/>
        <w:ind w:left="720"/>
        <w:rPr>
          <w:sz w:val="24"/>
          <w:szCs w:val="24"/>
        </w:rPr>
      </w:pPr>
      <w:r>
        <w:rPr>
          <w:noProof/>
          <w:sz w:val="24"/>
          <w:szCs w:val="24"/>
        </w:rPr>
        <mc:AlternateContent>
          <mc:Choice Requires="cx1">
            <w:drawing>
              <wp:inline distT="0" distB="0" distL="0" distR="0" wp14:anchorId="56B95EE6" wp14:editId="3F5CFA21">
                <wp:extent cx="5486400" cy="3200400"/>
                <wp:effectExtent l="0" t="0" r="0" b="0"/>
                <wp:docPr id="1537256694"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1"/>
                  </a:graphicData>
                </a:graphic>
              </wp:inline>
            </w:drawing>
          </mc:Choice>
          <mc:Fallback>
            <w:drawing>
              <wp:inline distT="0" distB="0" distL="0" distR="0" wp14:anchorId="56B95EE6" wp14:editId="3F5CFA21">
                <wp:extent cx="5486400" cy="3200400"/>
                <wp:effectExtent l="0" t="0" r="0" b="0"/>
                <wp:docPr id="1537256694"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37256694" name="Chart 1"/>
                        <pic:cNvPicPr>
                          <a:picLocks noGrp="1" noRot="1" noChangeAspect="1" noMove="1" noResize="1" noEditPoints="1" noAdjustHandles="1" noChangeArrowheads="1" noChangeShapeType="1"/>
                        </pic:cNvPicPr>
                      </pic:nvPicPr>
                      <pic:blipFill>
                        <a:blip r:embed="rId22"/>
                        <a:stretch>
                          <a:fillRect/>
                        </a:stretch>
                      </pic:blipFill>
                      <pic:spPr>
                        <a:xfrm>
                          <a:off x="0" y="0"/>
                          <a:ext cx="5486400" cy="3200400"/>
                        </a:xfrm>
                        <a:prstGeom prst="rect">
                          <a:avLst/>
                        </a:prstGeom>
                      </pic:spPr>
                    </pic:pic>
                  </a:graphicData>
                </a:graphic>
              </wp:inline>
            </w:drawing>
          </mc:Fallback>
        </mc:AlternateContent>
      </w:r>
    </w:p>
    <w:p w14:paraId="76ED8AF9" w14:textId="3DAE8B13" w:rsidR="001A5A04" w:rsidRPr="00AC4D03" w:rsidRDefault="001A5A04" w:rsidP="001A5A04">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AC4D03">
        <w:rPr>
          <w:rFonts w:ascii="Times New Roman" w:eastAsia="Times New Roman" w:hAnsi="Times New Roman" w:cs="Times New Roman"/>
          <w:b/>
          <w:bCs/>
          <w:kern w:val="0"/>
          <w:sz w:val="36"/>
          <w:szCs w:val="36"/>
          <w:u w:val="single"/>
          <w:lang w:eastAsia="en-IN" w:bidi="hi-IN"/>
        </w:rPr>
        <w:t>Key Observations:</w:t>
      </w:r>
    </w:p>
    <w:p w14:paraId="76ED8AFA" w14:textId="77777777" w:rsidR="001A5A04" w:rsidRPr="00021876" w:rsidRDefault="001A5A04" w:rsidP="001A5A04">
      <w:pPr>
        <w:numPr>
          <w:ilvl w:val="0"/>
          <w:numId w:val="30"/>
        </w:numPr>
        <w:spacing w:before="100" w:beforeAutospacing="1" w:after="100" w:afterAutospacing="1" w:line="240" w:lineRule="auto"/>
        <w:rPr>
          <w:rFonts w:ascii="Times New Roman" w:eastAsia="Times New Roman" w:hAnsi="Times New Roman" w:cs="Times New Roman"/>
          <w:kern w:val="0"/>
          <w:sz w:val="28"/>
          <w:highlight w:val="yellow"/>
          <w:lang w:eastAsia="en-IN" w:bidi="hi-IN"/>
        </w:rPr>
      </w:pPr>
      <w:r w:rsidRPr="001A5A04">
        <w:rPr>
          <w:rFonts w:ascii="Times New Roman" w:eastAsia="Times New Roman" w:hAnsi="Times New Roman" w:cs="Times New Roman"/>
          <w:kern w:val="0"/>
          <w:sz w:val="28"/>
          <w:lang w:eastAsia="en-IN" w:bidi="hi-IN"/>
        </w:rPr>
        <w:t xml:space="preserve">Dominant Concentration: Most of the data points fall within the lower range of values </w:t>
      </w:r>
      <w:r w:rsidRPr="00021876">
        <w:rPr>
          <w:rFonts w:ascii="Times New Roman" w:eastAsia="Times New Roman" w:hAnsi="Times New Roman" w:cs="Times New Roman"/>
          <w:kern w:val="0"/>
          <w:sz w:val="28"/>
          <w:highlight w:val="yellow"/>
          <w:lang w:eastAsia="en-IN" w:bidi="hi-IN"/>
        </w:rPr>
        <w:t>(30 to 220), with a frequency of 4.0 (or 80% of the visible total).</w:t>
      </w:r>
    </w:p>
    <w:p w14:paraId="76ED8AFB" w14:textId="77777777" w:rsidR="001A5A04" w:rsidRPr="00021876" w:rsidRDefault="001A5A04" w:rsidP="001A5A04">
      <w:pPr>
        <w:numPr>
          <w:ilvl w:val="0"/>
          <w:numId w:val="30"/>
        </w:numPr>
        <w:spacing w:before="100" w:beforeAutospacing="1" w:after="100" w:afterAutospacing="1" w:line="240" w:lineRule="auto"/>
        <w:rPr>
          <w:rFonts w:ascii="Times New Roman" w:eastAsia="Times New Roman" w:hAnsi="Times New Roman" w:cs="Times New Roman"/>
          <w:kern w:val="0"/>
          <w:sz w:val="28"/>
          <w:highlight w:val="green"/>
          <w:lang w:eastAsia="en-IN" w:bidi="hi-IN"/>
        </w:rPr>
      </w:pPr>
      <w:r w:rsidRPr="001A5A04">
        <w:rPr>
          <w:rFonts w:ascii="Times New Roman" w:eastAsia="Times New Roman" w:hAnsi="Times New Roman" w:cs="Times New Roman"/>
          <w:kern w:val="0"/>
          <w:sz w:val="28"/>
          <w:lang w:eastAsia="en-IN" w:bidi="hi-IN"/>
        </w:rPr>
        <w:t xml:space="preserve">Rapid Drop-off: The frequency drops drastically when moving to the next range, </w:t>
      </w:r>
      <w:r w:rsidRPr="00021876">
        <w:rPr>
          <w:rFonts w:ascii="Times New Roman" w:eastAsia="Times New Roman" w:hAnsi="Times New Roman" w:cs="Times New Roman"/>
          <w:kern w:val="0"/>
          <w:sz w:val="28"/>
          <w:highlight w:val="yellow"/>
          <w:lang w:eastAsia="en-IN" w:bidi="hi-IN"/>
        </w:rPr>
        <w:t>(220 to 410],</w:t>
      </w:r>
      <w:r w:rsidRPr="001A5A04">
        <w:rPr>
          <w:rFonts w:ascii="Times New Roman" w:eastAsia="Times New Roman" w:hAnsi="Times New Roman" w:cs="Times New Roman"/>
          <w:kern w:val="0"/>
          <w:sz w:val="28"/>
          <w:lang w:eastAsia="en-IN" w:bidi="hi-IN"/>
        </w:rPr>
        <w:t xml:space="preserve"> which has a frequency of </w:t>
      </w:r>
      <w:r w:rsidRPr="00021876">
        <w:rPr>
          <w:rFonts w:ascii="Times New Roman" w:eastAsia="Times New Roman" w:hAnsi="Times New Roman" w:cs="Times New Roman"/>
          <w:kern w:val="0"/>
          <w:sz w:val="28"/>
          <w:highlight w:val="green"/>
          <w:lang w:eastAsia="en-IN" w:bidi="hi-IN"/>
        </w:rPr>
        <w:t>only 1.0 (or 20% of the visible total).</w:t>
      </w:r>
    </w:p>
    <w:p w14:paraId="76ED8AFC" w14:textId="77777777" w:rsidR="001A5A04" w:rsidRPr="001A5A04" w:rsidRDefault="001A5A04" w:rsidP="001A5A04">
      <w:pPr>
        <w:numPr>
          <w:ilvl w:val="0"/>
          <w:numId w:val="30"/>
        </w:numPr>
        <w:spacing w:before="100" w:beforeAutospacing="1" w:after="100" w:afterAutospacing="1" w:line="240" w:lineRule="auto"/>
        <w:rPr>
          <w:rFonts w:ascii="Times New Roman" w:eastAsia="Times New Roman" w:hAnsi="Times New Roman" w:cs="Times New Roman"/>
          <w:kern w:val="0"/>
          <w:sz w:val="28"/>
          <w:lang w:eastAsia="en-IN" w:bidi="hi-IN"/>
        </w:rPr>
      </w:pPr>
      <w:r w:rsidRPr="00021876">
        <w:rPr>
          <w:rFonts w:ascii="Times New Roman" w:eastAsia="Times New Roman" w:hAnsi="Times New Roman" w:cs="Times New Roman"/>
          <w:kern w:val="0"/>
          <w:sz w:val="28"/>
          <w:highlight w:val="cyan"/>
          <w:lang w:eastAsia="en-IN" w:bidi="hi-IN"/>
        </w:rPr>
        <w:t>Low Spread</w:t>
      </w:r>
      <w:r w:rsidRPr="001A5A04">
        <w:rPr>
          <w:rFonts w:ascii="Times New Roman" w:eastAsia="Times New Roman" w:hAnsi="Times New Roman" w:cs="Times New Roman"/>
          <w:kern w:val="0"/>
          <w:sz w:val="28"/>
          <w:lang w:eastAsia="en-IN" w:bidi="hi-IN"/>
        </w:rPr>
        <w:t>: The data suggests that values are tightly clustered around the lower end of the total measured range, with very few observations extending into the higher values.</w:t>
      </w:r>
    </w:p>
    <w:p w14:paraId="76ED8AFD" w14:textId="77777777" w:rsidR="001A5A04" w:rsidRPr="001A5A04" w:rsidRDefault="001A5A04" w:rsidP="001A5A04">
      <w:pPr>
        <w:spacing w:before="100" w:beforeAutospacing="1" w:after="100" w:afterAutospacing="1" w:line="240" w:lineRule="auto"/>
        <w:rPr>
          <w:rFonts w:ascii="Times New Roman" w:eastAsia="Times New Roman" w:hAnsi="Times New Roman" w:cs="Times New Roman"/>
          <w:kern w:val="0"/>
          <w:sz w:val="28"/>
          <w:lang w:eastAsia="en-IN" w:bidi="hi-IN"/>
        </w:rPr>
      </w:pPr>
      <w:r w:rsidRPr="001A5A04">
        <w:rPr>
          <w:rFonts w:ascii="Times New Roman" w:eastAsia="Times New Roman" w:hAnsi="Times New Roman" w:cs="Times New Roman"/>
          <w:kern w:val="0"/>
          <w:sz w:val="28"/>
          <w:lang w:eastAsia="en-IN" w:bidi="hi-IN"/>
        </w:rPr>
        <w:t xml:space="preserve">Overall Conclusion: The process or metric being measured is inherently weighted toward lower outcomes. </w:t>
      </w:r>
      <w:r w:rsidRPr="00021876">
        <w:rPr>
          <w:rFonts w:ascii="Times New Roman" w:eastAsia="Times New Roman" w:hAnsi="Times New Roman" w:cs="Times New Roman"/>
          <w:kern w:val="0"/>
          <w:sz w:val="28"/>
          <w:highlight w:val="yellow"/>
          <w:lang w:eastAsia="en-IN" w:bidi="hi-IN"/>
        </w:rPr>
        <w:t>High values (above 220)</w:t>
      </w:r>
      <w:r w:rsidRPr="001A5A04">
        <w:rPr>
          <w:rFonts w:ascii="Times New Roman" w:eastAsia="Times New Roman" w:hAnsi="Times New Roman" w:cs="Times New Roman"/>
          <w:kern w:val="0"/>
          <w:sz w:val="28"/>
          <w:lang w:eastAsia="en-IN" w:bidi="hi-IN"/>
        </w:rPr>
        <w:t xml:space="preserve"> are rare events, and the typical outcome is significantly lower than the maximum observed value of 410.</w:t>
      </w:r>
    </w:p>
    <w:p w14:paraId="76ED8AFE" w14:textId="77777777" w:rsidR="00B07CBB" w:rsidRDefault="00B07CBB"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14:paraId="76ED8AFF" w14:textId="77777777" w:rsidR="00B07CBB" w:rsidRDefault="00B07CBB"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14:paraId="414E0591" w14:textId="77777777" w:rsidR="00DF2963" w:rsidRDefault="00DF2963" w:rsidP="001A5A04">
      <w:pPr>
        <w:spacing w:before="100" w:beforeAutospacing="1" w:after="100" w:afterAutospacing="1" w:line="240" w:lineRule="auto"/>
        <w:jc w:val="center"/>
        <w:rPr>
          <w:rFonts w:ascii="Times New Roman" w:eastAsia="Times New Roman" w:hAnsi="Times New Roman" w:cs="Times New Roman"/>
          <w:b/>
          <w:bCs/>
          <w:kern w:val="0"/>
          <w:sz w:val="32"/>
          <w:szCs w:val="32"/>
          <w:u w:val="single"/>
          <w:lang w:eastAsia="en-IN" w:bidi="hi-IN"/>
        </w:rPr>
      </w:pPr>
    </w:p>
    <w:p w14:paraId="76ED8B00" w14:textId="77777777" w:rsidR="00B07CBB" w:rsidRDefault="0078180B" w:rsidP="001A5A04">
      <w:pPr>
        <w:spacing w:before="100" w:beforeAutospacing="1" w:after="100" w:afterAutospacing="1" w:line="240" w:lineRule="auto"/>
        <w:jc w:val="center"/>
        <w:rPr>
          <w:rFonts w:ascii="Times New Roman" w:eastAsia="Times New Roman" w:hAnsi="Times New Roman" w:cs="Times New Roman"/>
          <w:b/>
          <w:bCs/>
          <w:kern w:val="0"/>
          <w:sz w:val="32"/>
          <w:szCs w:val="32"/>
          <w:u w:val="single"/>
          <w:lang w:eastAsia="en-IN" w:bidi="hi-IN"/>
        </w:rPr>
      </w:pPr>
      <w:r w:rsidRPr="003B4FFA">
        <w:rPr>
          <w:rFonts w:ascii="Times New Roman" w:eastAsia="Times New Roman" w:hAnsi="Times New Roman" w:cs="Times New Roman"/>
          <w:b/>
          <w:bCs/>
          <w:kern w:val="0"/>
          <w:sz w:val="32"/>
          <w:szCs w:val="32"/>
          <w:u w:val="single"/>
          <w:lang w:eastAsia="en-IN" w:bidi="hi-IN"/>
        </w:rPr>
        <w:lastRenderedPageBreak/>
        <w:t>XY SCATTER CHART</w:t>
      </w:r>
    </w:p>
    <w:p w14:paraId="211AA11D" w14:textId="0A56A9A4" w:rsidR="00DF2963" w:rsidRPr="003B4FFA" w:rsidRDefault="00F72705" w:rsidP="00DF2963">
      <w:pPr>
        <w:spacing w:before="100" w:beforeAutospacing="1" w:after="100" w:afterAutospacing="1" w:line="240" w:lineRule="auto"/>
        <w:rPr>
          <w:rFonts w:ascii="Times New Roman" w:eastAsia="Times New Roman" w:hAnsi="Times New Roman" w:cs="Times New Roman"/>
          <w:b/>
          <w:bCs/>
          <w:kern w:val="0"/>
          <w:sz w:val="32"/>
          <w:szCs w:val="32"/>
          <w:u w:val="single"/>
          <w:lang w:eastAsia="en-IN" w:bidi="hi-IN"/>
        </w:rPr>
      </w:pPr>
      <w:r w:rsidRPr="00926E30">
        <w:rPr>
          <w:sz w:val="24"/>
          <w:szCs w:val="24"/>
        </w:rPr>
        <w:t xml:space="preserve">The best way to visualize the </w:t>
      </w:r>
      <w:r w:rsidRPr="0064358F">
        <w:rPr>
          <w:sz w:val="24"/>
          <w:szCs w:val="24"/>
          <w:highlight w:val="yellow"/>
        </w:rPr>
        <w:t>relationship</w:t>
      </w:r>
      <w:r w:rsidRPr="00926E30">
        <w:rPr>
          <w:sz w:val="24"/>
          <w:szCs w:val="24"/>
        </w:rPr>
        <w:t xml:space="preserve"> (</w:t>
      </w:r>
      <w:r w:rsidRPr="0064358F">
        <w:rPr>
          <w:sz w:val="24"/>
          <w:szCs w:val="24"/>
          <w:highlight w:val="cyan"/>
        </w:rPr>
        <w:t>correlation or lack thereof) between two numerical variables.</w:t>
      </w:r>
    </w:p>
    <w:p w14:paraId="76ED8B02" w14:textId="77777777" w:rsidR="0078180B" w:rsidRDefault="0078180B" w:rsidP="0078180B">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Pr>
          <w:noProof/>
          <w:lang w:val="en-US" w:bidi="hi-IN"/>
        </w:rPr>
        <w:drawing>
          <wp:inline distT="0" distB="0" distL="0" distR="0" wp14:anchorId="76ED8B5D" wp14:editId="76ED8B5E">
            <wp:extent cx="6195060" cy="2743200"/>
            <wp:effectExtent l="0" t="0" r="0" b="0"/>
            <wp:docPr id="1150226227" name="Chart 1">
              <a:extLst xmlns:a="http://schemas.openxmlformats.org/drawingml/2006/main">
                <a:ext uri="{FF2B5EF4-FFF2-40B4-BE49-F238E27FC236}">
                  <a16:creationId xmlns:a16="http://schemas.microsoft.com/office/drawing/2014/main" id="{45E9EA40-C673-0502-6F9C-D3932D6CFC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6ED8B03" w14:textId="77777777" w:rsidR="00107F6E" w:rsidRPr="00764D09" w:rsidRDefault="00107F6E" w:rsidP="00107F6E">
      <w:pPr>
        <w:spacing w:before="100" w:beforeAutospacing="1" w:after="100" w:afterAutospacing="1" w:line="240" w:lineRule="auto"/>
        <w:jc w:val="both"/>
        <w:rPr>
          <w:rFonts w:ascii="Times New Roman" w:eastAsia="Times New Roman" w:hAnsi="Times New Roman" w:cs="Times New Roman"/>
          <w:b/>
          <w:bCs/>
          <w:kern w:val="0"/>
          <w:sz w:val="24"/>
          <w:szCs w:val="24"/>
          <w:u w:val="single"/>
          <w:lang w:eastAsia="en-IN" w:bidi="hi-IN"/>
        </w:rPr>
      </w:pPr>
      <w:r w:rsidRPr="00764D09">
        <w:rPr>
          <w:rFonts w:ascii="Times New Roman" w:eastAsia="Times New Roman" w:hAnsi="Times New Roman" w:cs="Times New Roman"/>
          <w:b/>
          <w:bCs/>
          <w:kern w:val="0"/>
          <w:sz w:val="24"/>
          <w:szCs w:val="24"/>
          <w:u w:val="single"/>
          <w:lang w:eastAsia="en-IN" w:bidi="hi-IN"/>
        </w:rPr>
        <w:t>Key Observations:</w:t>
      </w:r>
    </w:p>
    <w:p w14:paraId="76ED8B04" w14:textId="77777777" w:rsidR="00107F6E" w:rsidRPr="00107F6E" w:rsidRDefault="00107F6E" w:rsidP="00107F6E">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bidi="hi-IN"/>
        </w:rPr>
      </w:pPr>
      <w:r w:rsidRPr="00107F6E">
        <w:rPr>
          <w:rFonts w:ascii="Times New Roman" w:eastAsia="Times New Roman" w:hAnsi="Times New Roman" w:cs="Times New Roman"/>
          <w:kern w:val="0"/>
          <w:sz w:val="24"/>
          <w:szCs w:val="24"/>
          <w:lang w:eastAsia="en-IN" w:bidi="hi-IN"/>
        </w:rPr>
        <w:t>Sales Volatility (Y): Weekly Sales (</w:t>
      </w:r>
      <w:r w:rsidRPr="00B90D6E">
        <w:rPr>
          <w:rFonts w:ascii="Times New Roman" w:eastAsia="Times New Roman" w:hAnsi="Times New Roman" w:cs="Times New Roman"/>
          <w:kern w:val="0"/>
          <w:sz w:val="24"/>
          <w:szCs w:val="24"/>
          <w:highlight w:val="yellow"/>
          <w:lang w:eastAsia="en-IN" w:bidi="hi-IN"/>
        </w:rPr>
        <w:t>Orange dots</w:t>
      </w:r>
      <w:r w:rsidRPr="00107F6E">
        <w:rPr>
          <w:rFonts w:ascii="Times New Roman" w:eastAsia="Times New Roman" w:hAnsi="Times New Roman" w:cs="Times New Roman"/>
          <w:kern w:val="0"/>
          <w:sz w:val="24"/>
          <w:szCs w:val="24"/>
          <w:lang w:eastAsia="en-IN" w:bidi="hi-IN"/>
        </w:rPr>
        <w:t xml:space="preserve">) show extreme swings, ranging from a low of </w:t>
      </w:r>
      <w:r w:rsidRPr="00B90D6E">
        <w:rPr>
          <w:rFonts w:ascii="Times New Roman" w:eastAsia="Times New Roman" w:hAnsi="Times New Roman" w:cs="Times New Roman"/>
          <w:kern w:val="0"/>
          <w:sz w:val="24"/>
          <w:szCs w:val="24"/>
          <w:highlight w:val="yellow"/>
          <w:lang w:eastAsia="en-IN" w:bidi="hi-IN"/>
        </w:rPr>
        <w:t>10,000$ (Observation 3)</w:t>
      </w:r>
      <w:r w:rsidRPr="00107F6E">
        <w:rPr>
          <w:rFonts w:ascii="Times New Roman" w:eastAsia="Times New Roman" w:hAnsi="Times New Roman" w:cs="Times New Roman"/>
          <w:kern w:val="0"/>
          <w:sz w:val="24"/>
          <w:szCs w:val="24"/>
          <w:lang w:eastAsia="en-IN" w:bidi="hi-IN"/>
        </w:rPr>
        <w:t xml:space="preserve"> to a </w:t>
      </w:r>
      <w:r w:rsidRPr="00B90D6E">
        <w:rPr>
          <w:rFonts w:ascii="Times New Roman" w:eastAsia="Times New Roman" w:hAnsi="Times New Roman" w:cs="Times New Roman"/>
          <w:kern w:val="0"/>
          <w:sz w:val="24"/>
          <w:szCs w:val="24"/>
          <w:highlight w:val="yellow"/>
          <w:lang w:eastAsia="en-IN" w:bidi="hi-IN"/>
        </w:rPr>
        <w:t>high of 25,000</w:t>
      </w:r>
      <w:r w:rsidR="00CB5AED" w:rsidRPr="00B90D6E">
        <w:rPr>
          <w:rFonts w:ascii="Times New Roman" w:eastAsia="Times New Roman" w:hAnsi="Times New Roman" w:cs="Times New Roman"/>
          <w:kern w:val="0"/>
          <w:sz w:val="24"/>
          <w:szCs w:val="24"/>
          <w:highlight w:val="yellow"/>
          <w:lang w:eastAsia="en-IN" w:bidi="hi-IN"/>
        </w:rPr>
        <w:t>$</w:t>
      </w:r>
      <w:r w:rsidRPr="00B90D6E">
        <w:rPr>
          <w:rFonts w:ascii="Times New Roman" w:eastAsia="Times New Roman" w:hAnsi="Times New Roman" w:cs="Times New Roman"/>
          <w:kern w:val="0"/>
          <w:sz w:val="24"/>
          <w:szCs w:val="24"/>
          <w:highlight w:val="yellow"/>
          <w:lang w:eastAsia="en-IN" w:bidi="hi-IN"/>
        </w:rPr>
        <w:t>(Observation 4</w:t>
      </w:r>
      <w:r w:rsidRPr="00107F6E">
        <w:rPr>
          <w:rFonts w:ascii="Times New Roman" w:eastAsia="Times New Roman" w:hAnsi="Times New Roman" w:cs="Times New Roman"/>
          <w:kern w:val="0"/>
          <w:sz w:val="24"/>
          <w:szCs w:val="24"/>
          <w:lang w:eastAsia="en-IN" w:bidi="hi-IN"/>
        </w:rPr>
        <w:t>). This indicates that the revenue stream is highly unpredictable and heavily influenced by factors outside of the primary spending shown.</w:t>
      </w:r>
    </w:p>
    <w:p w14:paraId="76ED8B05" w14:textId="5EC03642" w:rsidR="00107F6E" w:rsidRPr="00107F6E" w:rsidRDefault="00107F6E" w:rsidP="00107F6E">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bidi="hi-IN"/>
        </w:rPr>
      </w:pPr>
      <w:r w:rsidRPr="00107F6E">
        <w:rPr>
          <w:rFonts w:ascii="Times New Roman" w:eastAsia="Times New Roman" w:hAnsi="Times New Roman" w:cs="Times New Roman"/>
          <w:kern w:val="0"/>
          <w:sz w:val="24"/>
          <w:szCs w:val="24"/>
          <w:lang w:eastAsia="en-IN" w:bidi="hi-IN"/>
        </w:rPr>
        <w:t xml:space="preserve">Stable, </w:t>
      </w:r>
      <w:r w:rsidRPr="00B90D6E">
        <w:rPr>
          <w:rFonts w:ascii="Times New Roman" w:eastAsia="Times New Roman" w:hAnsi="Times New Roman" w:cs="Times New Roman"/>
          <w:kern w:val="0"/>
          <w:sz w:val="24"/>
          <w:szCs w:val="24"/>
          <w:highlight w:val="yellow"/>
          <w:lang w:eastAsia="en-IN" w:bidi="hi-IN"/>
        </w:rPr>
        <w:t>Low Marketing Spend (X):</w:t>
      </w:r>
      <w:r w:rsidRPr="00107F6E">
        <w:rPr>
          <w:rFonts w:ascii="Times New Roman" w:eastAsia="Times New Roman" w:hAnsi="Times New Roman" w:cs="Times New Roman"/>
          <w:kern w:val="0"/>
          <w:sz w:val="24"/>
          <w:szCs w:val="24"/>
          <w:lang w:eastAsia="en-IN" w:bidi="hi-IN"/>
        </w:rPr>
        <w:t xml:space="preserve"> Marketing Spend (Blue dots) remains relatively stable and low, hovering between </w:t>
      </w:r>
      <w:r w:rsidRPr="00B90D6E">
        <w:rPr>
          <w:rFonts w:ascii="Times New Roman" w:eastAsia="Times New Roman" w:hAnsi="Times New Roman" w:cs="Times New Roman"/>
          <w:color w:val="EE0000"/>
          <w:kern w:val="0"/>
          <w:sz w:val="24"/>
          <w:szCs w:val="24"/>
          <w:lang w:eastAsia="en-IN" w:bidi="hi-IN"/>
        </w:rPr>
        <w:t>500$ and 3,500$ across all five observations</w:t>
      </w:r>
      <w:r w:rsidRPr="00107F6E">
        <w:rPr>
          <w:rFonts w:ascii="Times New Roman" w:eastAsia="Times New Roman" w:hAnsi="Times New Roman" w:cs="Times New Roman"/>
          <w:kern w:val="0"/>
          <w:sz w:val="24"/>
          <w:szCs w:val="24"/>
          <w:lang w:eastAsia="en-IN" w:bidi="hi-IN"/>
        </w:rPr>
        <w:t>.</w:t>
      </w:r>
    </w:p>
    <w:p w14:paraId="76ED8B06" w14:textId="6E39B964" w:rsidR="00107F6E" w:rsidRPr="00107F6E" w:rsidRDefault="00107F6E" w:rsidP="00107F6E">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bidi="hi-IN"/>
        </w:rPr>
      </w:pPr>
      <w:r w:rsidRPr="00CB7C35">
        <w:rPr>
          <w:rFonts w:ascii="Times New Roman" w:eastAsia="Times New Roman" w:hAnsi="Times New Roman" w:cs="Times New Roman"/>
          <w:color w:val="EE0000"/>
          <w:kern w:val="0"/>
          <w:sz w:val="24"/>
          <w:szCs w:val="24"/>
          <w:lang w:eastAsia="en-IN" w:bidi="hi-IN"/>
        </w:rPr>
        <w:t>Lack of Direct Causation</w:t>
      </w:r>
      <w:r w:rsidRPr="00107F6E">
        <w:rPr>
          <w:rFonts w:ascii="Times New Roman" w:eastAsia="Times New Roman" w:hAnsi="Times New Roman" w:cs="Times New Roman"/>
          <w:kern w:val="0"/>
          <w:sz w:val="24"/>
          <w:szCs w:val="24"/>
          <w:lang w:eastAsia="en-IN" w:bidi="hi-IN"/>
        </w:rPr>
        <w:t xml:space="preserve">: There is no apparent visual correlation where a high spike in Marketing Spend immediately precedes or coincides with a high spike in Sales. For instance, the </w:t>
      </w:r>
      <w:r w:rsidRPr="00CB7C35">
        <w:rPr>
          <w:rFonts w:ascii="Times New Roman" w:eastAsia="Times New Roman" w:hAnsi="Times New Roman" w:cs="Times New Roman"/>
          <w:kern w:val="0"/>
          <w:sz w:val="24"/>
          <w:szCs w:val="24"/>
          <w:highlight w:val="yellow"/>
          <w:lang w:eastAsia="en-IN" w:bidi="hi-IN"/>
        </w:rPr>
        <w:t xml:space="preserve">highest Sales (25,000$ in </w:t>
      </w:r>
      <w:r w:rsidR="00B90D6E" w:rsidRPr="00CB7C35">
        <w:rPr>
          <w:rFonts w:ascii="Times New Roman" w:eastAsia="Times New Roman" w:hAnsi="Times New Roman" w:cs="Times New Roman"/>
          <w:kern w:val="0"/>
          <w:sz w:val="24"/>
          <w:szCs w:val="24"/>
          <w:highlight w:val="yellow"/>
          <w:lang w:eastAsia="en-IN" w:bidi="hi-IN"/>
        </w:rPr>
        <w:t>Obst</w:t>
      </w:r>
      <w:r w:rsidRPr="00CB7C35">
        <w:rPr>
          <w:rFonts w:ascii="Times New Roman" w:eastAsia="Times New Roman" w:hAnsi="Times New Roman" w:cs="Times New Roman"/>
          <w:kern w:val="0"/>
          <w:sz w:val="24"/>
          <w:szCs w:val="24"/>
          <w:highlight w:val="yellow"/>
          <w:lang w:eastAsia="en-IN" w:bidi="hi-IN"/>
        </w:rPr>
        <w:t xml:space="preserve"> 4)</w:t>
      </w:r>
      <w:r w:rsidRPr="00107F6E">
        <w:rPr>
          <w:rFonts w:ascii="Times New Roman" w:eastAsia="Times New Roman" w:hAnsi="Times New Roman" w:cs="Times New Roman"/>
          <w:kern w:val="0"/>
          <w:sz w:val="24"/>
          <w:szCs w:val="24"/>
          <w:lang w:eastAsia="en-IN" w:bidi="hi-IN"/>
        </w:rPr>
        <w:t xml:space="preserve"> corresponds to a moderate Spend, while </w:t>
      </w:r>
      <w:r w:rsidRPr="00CB7C35">
        <w:rPr>
          <w:rFonts w:ascii="Times New Roman" w:eastAsia="Times New Roman" w:hAnsi="Times New Roman" w:cs="Times New Roman"/>
          <w:color w:val="EE0000"/>
          <w:kern w:val="0"/>
          <w:sz w:val="24"/>
          <w:szCs w:val="24"/>
          <w:lang w:eastAsia="en-IN" w:bidi="hi-IN"/>
        </w:rPr>
        <w:t xml:space="preserve">the lowest Sales (10,000$ in </w:t>
      </w:r>
      <w:r w:rsidR="00B90D6E" w:rsidRPr="00CB7C35">
        <w:rPr>
          <w:rFonts w:ascii="Times New Roman" w:eastAsia="Times New Roman" w:hAnsi="Times New Roman" w:cs="Times New Roman"/>
          <w:color w:val="EE0000"/>
          <w:kern w:val="0"/>
          <w:sz w:val="24"/>
          <w:szCs w:val="24"/>
          <w:lang w:eastAsia="en-IN" w:bidi="hi-IN"/>
        </w:rPr>
        <w:t>Obst</w:t>
      </w:r>
      <w:r w:rsidRPr="00CB7C35">
        <w:rPr>
          <w:rFonts w:ascii="Times New Roman" w:eastAsia="Times New Roman" w:hAnsi="Times New Roman" w:cs="Times New Roman"/>
          <w:color w:val="EE0000"/>
          <w:kern w:val="0"/>
          <w:sz w:val="24"/>
          <w:szCs w:val="24"/>
          <w:lang w:eastAsia="en-IN" w:bidi="hi-IN"/>
        </w:rPr>
        <w:t xml:space="preserve"> 3) </w:t>
      </w:r>
      <w:r w:rsidRPr="00107F6E">
        <w:rPr>
          <w:rFonts w:ascii="Times New Roman" w:eastAsia="Times New Roman" w:hAnsi="Times New Roman" w:cs="Times New Roman"/>
          <w:kern w:val="0"/>
          <w:sz w:val="24"/>
          <w:szCs w:val="24"/>
          <w:lang w:eastAsia="en-IN" w:bidi="hi-IN"/>
        </w:rPr>
        <w:t>corresponds to the lowest Spend (0$).</w:t>
      </w:r>
    </w:p>
    <w:p w14:paraId="76ED8B07" w14:textId="096F1599" w:rsidR="00107F6E" w:rsidRPr="00107F6E" w:rsidRDefault="00107F6E" w:rsidP="00107F6E">
      <w:pPr>
        <w:spacing w:before="100" w:beforeAutospacing="1" w:after="100" w:afterAutospacing="1" w:line="240" w:lineRule="auto"/>
        <w:jc w:val="both"/>
        <w:rPr>
          <w:rFonts w:ascii="Times New Roman" w:eastAsia="Times New Roman" w:hAnsi="Times New Roman" w:cs="Times New Roman"/>
          <w:b/>
          <w:bCs/>
          <w:kern w:val="0"/>
          <w:sz w:val="24"/>
          <w:szCs w:val="24"/>
          <w:lang w:eastAsia="en-IN" w:bidi="hi-IN"/>
        </w:rPr>
      </w:pPr>
      <w:r w:rsidRPr="00107F6E">
        <w:rPr>
          <w:rFonts w:ascii="Times New Roman" w:eastAsia="Times New Roman" w:hAnsi="Times New Roman" w:cs="Times New Roman"/>
          <w:b/>
          <w:bCs/>
          <w:kern w:val="0"/>
          <w:sz w:val="24"/>
          <w:szCs w:val="24"/>
          <w:lang w:eastAsia="en-IN" w:bidi="hi-IN"/>
        </w:rPr>
        <w:t>Overall Conclusion</w:t>
      </w:r>
      <w:r w:rsidRPr="00107F6E">
        <w:rPr>
          <w:rFonts w:ascii="Times New Roman" w:eastAsia="Times New Roman" w:hAnsi="Times New Roman" w:cs="Times New Roman"/>
          <w:kern w:val="0"/>
          <w:sz w:val="24"/>
          <w:szCs w:val="24"/>
          <w:lang w:eastAsia="en-IN" w:bidi="hi-IN"/>
        </w:rPr>
        <w:t xml:space="preserve">: The business is currently operating with a minimal and steady marketing budget. </w:t>
      </w:r>
      <w:r w:rsidRPr="00CB7C35">
        <w:rPr>
          <w:rFonts w:ascii="Times New Roman" w:eastAsia="Times New Roman" w:hAnsi="Times New Roman" w:cs="Times New Roman"/>
          <w:kern w:val="0"/>
          <w:sz w:val="24"/>
          <w:szCs w:val="24"/>
          <w:highlight w:val="yellow"/>
          <w:lang w:eastAsia="en-IN" w:bidi="hi-IN"/>
        </w:rPr>
        <w:t>The high volatility</w:t>
      </w:r>
      <w:r w:rsidRPr="00107F6E">
        <w:rPr>
          <w:rFonts w:ascii="Times New Roman" w:eastAsia="Times New Roman" w:hAnsi="Times New Roman" w:cs="Times New Roman"/>
          <w:kern w:val="0"/>
          <w:sz w:val="24"/>
          <w:szCs w:val="24"/>
          <w:lang w:eastAsia="en-IN" w:bidi="hi-IN"/>
        </w:rPr>
        <w:t xml:space="preserve"> in sales suggests that the primary drivers of revenue are likely external (e.g., seasonality, competitor actions, or economic trends) or internal operational factors (e.g., inventory, distribution) rather than the current low-level </w:t>
      </w:r>
      <w:r w:rsidR="00E32BB6" w:rsidRPr="00107F6E">
        <w:rPr>
          <w:rFonts w:ascii="Times New Roman" w:eastAsia="Times New Roman" w:hAnsi="Times New Roman" w:cs="Times New Roman"/>
          <w:kern w:val="0"/>
          <w:sz w:val="24"/>
          <w:szCs w:val="24"/>
          <w:lang w:eastAsia="en-IN" w:bidi="hi-IN"/>
        </w:rPr>
        <w:t>marketing efforts</w:t>
      </w:r>
      <w:r w:rsidRPr="00107F6E">
        <w:rPr>
          <w:rFonts w:ascii="Times New Roman" w:eastAsia="Times New Roman" w:hAnsi="Times New Roman" w:cs="Times New Roman"/>
          <w:kern w:val="0"/>
          <w:sz w:val="24"/>
          <w:szCs w:val="24"/>
          <w:lang w:eastAsia="en-IN" w:bidi="hi-IN"/>
        </w:rPr>
        <w:t>.</w:t>
      </w:r>
    </w:p>
    <w:p w14:paraId="76ED8B08" w14:textId="77777777" w:rsidR="00831C1C" w:rsidRPr="00831C1C" w:rsidRDefault="00831C1C" w:rsidP="00831C1C">
      <w:pPr>
        <w:spacing w:before="100" w:beforeAutospacing="1" w:after="100" w:afterAutospacing="1" w:line="240" w:lineRule="auto"/>
        <w:ind w:left="1440"/>
        <w:jc w:val="both"/>
        <w:rPr>
          <w:rFonts w:ascii="Times New Roman" w:eastAsia="Times New Roman" w:hAnsi="Times New Roman" w:cs="Times New Roman"/>
          <w:kern w:val="0"/>
          <w:szCs w:val="22"/>
          <w:lang w:eastAsia="en-IN" w:bidi="hi-IN"/>
        </w:rPr>
      </w:pPr>
    </w:p>
    <w:p w14:paraId="76ED8B09" w14:textId="77777777" w:rsidR="00125722" w:rsidRDefault="00125722" w:rsidP="00125722">
      <w:pPr>
        <w:spacing w:before="100" w:beforeAutospacing="1" w:after="100" w:afterAutospacing="1" w:line="240" w:lineRule="auto"/>
        <w:rPr>
          <w:rFonts w:ascii="Times New Roman" w:eastAsia="Times New Roman" w:hAnsi="Times New Roman" w:cs="Times New Roman"/>
          <w:kern w:val="0"/>
          <w:szCs w:val="22"/>
          <w:lang w:eastAsia="en-IN" w:bidi="hi-IN"/>
        </w:rPr>
      </w:pPr>
    </w:p>
    <w:p w14:paraId="27A8D4CF" w14:textId="77777777" w:rsidR="00E32BB6" w:rsidRDefault="00E32BB6" w:rsidP="00125722">
      <w:pPr>
        <w:spacing w:before="100" w:beforeAutospacing="1" w:after="100" w:afterAutospacing="1" w:line="240" w:lineRule="auto"/>
        <w:jc w:val="center"/>
        <w:rPr>
          <w:rFonts w:ascii="Times New Roman" w:eastAsia="Times New Roman" w:hAnsi="Times New Roman" w:cs="Times New Roman"/>
          <w:b/>
          <w:bCs/>
          <w:kern w:val="0"/>
          <w:sz w:val="28"/>
          <w:u w:val="single"/>
          <w:lang w:eastAsia="en-IN" w:bidi="hi-IN"/>
        </w:rPr>
      </w:pPr>
    </w:p>
    <w:p w14:paraId="707E5010" w14:textId="77777777" w:rsidR="00E32BB6" w:rsidRDefault="00E32BB6" w:rsidP="00125722">
      <w:pPr>
        <w:spacing w:before="100" w:beforeAutospacing="1" w:after="100" w:afterAutospacing="1" w:line="240" w:lineRule="auto"/>
        <w:jc w:val="center"/>
        <w:rPr>
          <w:rFonts w:ascii="Times New Roman" w:eastAsia="Times New Roman" w:hAnsi="Times New Roman" w:cs="Times New Roman"/>
          <w:b/>
          <w:bCs/>
          <w:kern w:val="0"/>
          <w:sz w:val="28"/>
          <w:u w:val="single"/>
          <w:lang w:eastAsia="en-IN" w:bidi="hi-IN"/>
        </w:rPr>
      </w:pPr>
    </w:p>
    <w:p w14:paraId="76ED8B0A" w14:textId="12F8DE8C" w:rsidR="00B07CBB" w:rsidRDefault="00284307" w:rsidP="00125722">
      <w:pPr>
        <w:spacing w:before="100" w:beforeAutospacing="1" w:after="100" w:afterAutospacing="1" w:line="240" w:lineRule="auto"/>
        <w:jc w:val="center"/>
        <w:rPr>
          <w:rFonts w:ascii="Times New Roman" w:eastAsia="Times New Roman" w:hAnsi="Times New Roman" w:cs="Times New Roman"/>
          <w:b/>
          <w:bCs/>
          <w:kern w:val="0"/>
          <w:sz w:val="28"/>
          <w:u w:val="single"/>
          <w:lang w:eastAsia="en-IN" w:bidi="hi-IN"/>
        </w:rPr>
      </w:pPr>
      <w:r w:rsidRPr="00021876">
        <w:rPr>
          <w:rFonts w:ascii="Times New Roman" w:eastAsia="Times New Roman" w:hAnsi="Times New Roman" w:cs="Times New Roman"/>
          <w:b/>
          <w:bCs/>
          <w:kern w:val="0"/>
          <w:sz w:val="28"/>
          <w:u w:val="single"/>
          <w:lang w:eastAsia="en-IN" w:bidi="hi-IN"/>
        </w:rPr>
        <w:t>TREE</w:t>
      </w:r>
      <w:r w:rsidR="00764D09" w:rsidRPr="00021876">
        <w:rPr>
          <w:rFonts w:ascii="Times New Roman" w:eastAsia="Times New Roman" w:hAnsi="Times New Roman" w:cs="Times New Roman"/>
          <w:b/>
          <w:bCs/>
          <w:kern w:val="0"/>
          <w:sz w:val="28"/>
          <w:u w:val="single"/>
          <w:lang w:eastAsia="en-IN" w:bidi="hi-IN"/>
        </w:rPr>
        <w:t>MAP</w:t>
      </w:r>
    </w:p>
    <w:p w14:paraId="5CA649E1" w14:textId="3C88DC4C" w:rsidR="00E32BB6" w:rsidRPr="00E32BB6" w:rsidRDefault="00E32BB6" w:rsidP="00E32BB6">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E32BB6">
        <w:rPr>
          <w:rFonts w:ascii="Times New Roman" w:eastAsia="Times New Roman" w:hAnsi="Times New Roman" w:cs="Times New Roman"/>
          <w:kern w:val="0"/>
          <w:sz w:val="24"/>
          <w:szCs w:val="24"/>
          <w:lang w:eastAsia="en-IN" w:bidi="hi-IN"/>
        </w:rPr>
        <w:lastRenderedPageBreak/>
        <w:t xml:space="preserve">A </w:t>
      </w:r>
      <w:proofErr w:type="spellStart"/>
      <w:r w:rsidRPr="00E32BB6">
        <w:rPr>
          <w:rFonts w:ascii="Times New Roman" w:eastAsia="Times New Roman" w:hAnsi="Times New Roman" w:cs="Times New Roman"/>
          <w:kern w:val="0"/>
          <w:sz w:val="24"/>
          <w:szCs w:val="24"/>
          <w:lang w:eastAsia="en-IN" w:bidi="hi-IN"/>
        </w:rPr>
        <w:t>Treemap</w:t>
      </w:r>
      <w:proofErr w:type="spellEnd"/>
      <w:r w:rsidRPr="00E32BB6">
        <w:rPr>
          <w:rFonts w:ascii="Times New Roman" w:eastAsia="Times New Roman" w:hAnsi="Times New Roman" w:cs="Times New Roman"/>
          <w:kern w:val="0"/>
          <w:sz w:val="24"/>
          <w:szCs w:val="24"/>
          <w:lang w:eastAsia="en-IN" w:bidi="hi-IN"/>
        </w:rPr>
        <w:t xml:space="preserve"> is a data visualization method used to display hierarchical data (tree-structured data) using nested rectangles.</w:t>
      </w:r>
    </w:p>
    <w:p w14:paraId="76ED8B0C" w14:textId="77777777" w:rsidR="00284307" w:rsidRDefault="00FF260C" w:rsidP="00284307">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Pr>
          <w:rFonts w:ascii="Times New Roman" w:eastAsia="Times New Roman" w:hAnsi="Times New Roman" w:cs="Times New Roman"/>
          <w:noProof/>
          <w:kern w:val="0"/>
          <w:sz w:val="24"/>
          <w:szCs w:val="24"/>
          <w:lang w:val="en-US" w:bidi="hi-IN"/>
        </w:rPr>
        <w:drawing>
          <wp:inline distT="0" distB="0" distL="0" distR="0" wp14:anchorId="76ED8B5F" wp14:editId="76ED8B60">
            <wp:extent cx="4578350" cy="2743200"/>
            <wp:effectExtent l="0" t="0" r="0" b="0"/>
            <wp:docPr id="122644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8350" cy="2743200"/>
                    </a:xfrm>
                    <a:prstGeom prst="rect">
                      <a:avLst/>
                    </a:prstGeom>
                    <a:noFill/>
                  </pic:spPr>
                </pic:pic>
              </a:graphicData>
            </a:graphic>
          </wp:inline>
        </w:drawing>
      </w:r>
    </w:p>
    <w:p w14:paraId="76ED8B0D" w14:textId="77777777" w:rsidR="002F728E" w:rsidRPr="00E011F4" w:rsidRDefault="002F728E" w:rsidP="002F728E">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rPr>
      </w:pPr>
      <w:r w:rsidRPr="00E011F4">
        <w:rPr>
          <w:rFonts w:ascii="Times New Roman" w:eastAsia="Times New Roman" w:hAnsi="Times New Roman" w:cs="Times New Roman"/>
          <w:b/>
          <w:bCs/>
          <w:kern w:val="0"/>
          <w:sz w:val="24"/>
          <w:szCs w:val="24"/>
          <w:u w:val="single"/>
          <w:lang w:eastAsia="en-IN" w:bidi="hi-IN"/>
        </w:rPr>
        <w:t>Key Observations:</w:t>
      </w:r>
    </w:p>
    <w:p w14:paraId="76ED8B0E" w14:textId="77777777" w:rsidR="002F728E" w:rsidRPr="002F728E" w:rsidRDefault="002F728E" w:rsidP="002F72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2F728E">
        <w:rPr>
          <w:rFonts w:ascii="Times New Roman" w:eastAsia="Times New Roman" w:hAnsi="Times New Roman" w:cs="Times New Roman"/>
          <w:kern w:val="0"/>
          <w:sz w:val="24"/>
          <w:szCs w:val="24"/>
          <w:lang w:eastAsia="en-IN" w:bidi="hi-IN"/>
        </w:rPr>
        <w:t>Dominance of the South Region: The South region is the single largest contributor to the total value, consuming over half of the entire chart area.</w:t>
      </w:r>
    </w:p>
    <w:p w14:paraId="76ED8B0F" w14:textId="77777777" w:rsidR="002F728E" w:rsidRPr="002F728E" w:rsidRDefault="002F728E" w:rsidP="002F72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2F728E">
        <w:rPr>
          <w:rFonts w:ascii="Times New Roman" w:eastAsia="Times New Roman" w:hAnsi="Times New Roman" w:cs="Times New Roman"/>
          <w:kern w:val="0"/>
          <w:sz w:val="24"/>
          <w:szCs w:val="24"/>
          <w:lang w:eastAsia="en-IN" w:bidi="hi-IN"/>
        </w:rPr>
        <w:t xml:space="preserve">Category Focus in the South: </w:t>
      </w:r>
      <w:r w:rsidR="00021876" w:rsidRPr="002F728E">
        <w:rPr>
          <w:rFonts w:ascii="Times New Roman" w:eastAsia="Times New Roman" w:hAnsi="Times New Roman" w:cs="Times New Roman"/>
          <w:kern w:val="0"/>
          <w:sz w:val="24"/>
          <w:szCs w:val="24"/>
          <w:lang w:eastAsia="en-IN" w:bidi="hi-IN"/>
        </w:rPr>
        <w:t>Most of the</w:t>
      </w:r>
      <w:r w:rsidRPr="002F728E">
        <w:rPr>
          <w:rFonts w:ascii="Times New Roman" w:eastAsia="Times New Roman" w:hAnsi="Times New Roman" w:cs="Times New Roman"/>
          <w:kern w:val="0"/>
          <w:sz w:val="24"/>
          <w:szCs w:val="24"/>
          <w:lang w:eastAsia="en-IN" w:bidi="hi-IN"/>
        </w:rPr>
        <w:t xml:space="preserve"> South's value comes from Electronics, with a much smaller adjacent block for Clothing and no visible contribution from Furniture.</w:t>
      </w:r>
    </w:p>
    <w:p w14:paraId="76ED8B10" w14:textId="77777777" w:rsidR="002F728E" w:rsidRPr="002F728E" w:rsidRDefault="002F728E" w:rsidP="002F72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2F728E">
        <w:rPr>
          <w:rFonts w:ascii="Times New Roman" w:eastAsia="Times New Roman" w:hAnsi="Times New Roman" w:cs="Times New Roman"/>
          <w:kern w:val="0"/>
          <w:sz w:val="24"/>
          <w:szCs w:val="24"/>
          <w:lang w:eastAsia="en-IN" w:bidi="hi-IN"/>
        </w:rPr>
        <w:t>North Region's Diverse Contribution: The North region is the second largest contributor and demonstrates a more balanced internal breakdown, with significant portions allocated to Electronics and Furniture.</w:t>
      </w:r>
    </w:p>
    <w:p w14:paraId="76ED8B11" w14:textId="77777777" w:rsidR="002F728E" w:rsidRPr="002F728E" w:rsidRDefault="002F728E" w:rsidP="002F728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2F728E">
        <w:rPr>
          <w:rFonts w:ascii="Times New Roman" w:eastAsia="Times New Roman" w:hAnsi="Times New Roman" w:cs="Times New Roman"/>
          <w:kern w:val="0"/>
          <w:sz w:val="24"/>
          <w:szCs w:val="24"/>
          <w:lang w:eastAsia="en-IN" w:bidi="hi-IN"/>
        </w:rPr>
        <w:t>Minimal Impact of East and West: The East and West regions contribute only a small fraction to the total value, confirming that the business is primarily driven by the South and North markets.</w:t>
      </w:r>
    </w:p>
    <w:p w14:paraId="76ED8B12" w14:textId="77777777" w:rsidR="002F728E" w:rsidRPr="002F728E" w:rsidRDefault="002F728E" w:rsidP="002F728E">
      <w:p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E011F4">
        <w:rPr>
          <w:rFonts w:ascii="Times New Roman" w:eastAsia="Times New Roman" w:hAnsi="Times New Roman" w:cs="Times New Roman"/>
          <w:b/>
          <w:bCs/>
          <w:kern w:val="0"/>
          <w:sz w:val="24"/>
          <w:szCs w:val="24"/>
          <w:lang w:eastAsia="en-IN" w:bidi="hi-IN"/>
        </w:rPr>
        <w:t>Overall Conclusion:</w:t>
      </w:r>
      <w:r w:rsidRPr="002F728E">
        <w:rPr>
          <w:rFonts w:ascii="Times New Roman" w:eastAsia="Times New Roman" w:hAnsi="Times New Roman" w:cs="Times New Roman"/>
          <w:kern w:val="0"/>
          <w:sz w:val="24"/>
          <w:szCs w:val="24"/>
          <w:lang w:eastAsia="en-IN" w:bidi="hi-IN"/>
        </w:rPr>
        <w:t xml:space="preserve"> The success of the business is overwhelmingly reliant on the South Region's sales of Electronics. This concentration represents both a strength (high focus) and a significant risk (vulnerability to localized market disruption).</w:t>
      </w:r>
    </w:p>
    <w:p w14:paraId="76ED8B13" w14:textId="77777777" w:rsidR="00B07CBB" w:rsidRDefault="00B07CBB"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14:paraId="76ED8B14" w14:textId="77777777" w:rsidR="00B07CBB" w:rsidRDefault="00B07CBB" w:rsidP="00B07CBB">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14:paraId="76ED8B15" w14:textId="77777777" w:rsidR="00882872" w:rsidRDefault="00882872" w:rsidP="00596598">
      <w:pPr>
        <w:spacing w:before="100" w:beforeAutospacing="1" w:after="100" w:afterAutospacing="1" w:line="240" w:lineRule="auto"/>
        <w:rPr>
          <w:rFonts w:ascii="Times New Roman" w:eastAsia="Times New Roman" w:hAnsi="Times New Roman" w:cs="Times New Roman"/>
          <w:kern w:val="0"/>
          <w:sz w:val="24"/>
          <w:szCs w:val="24"/>
          <w:lang w:eastAsia="en-IN" w:bidi="hi-IN"/>
        </w:rPr>
      </w:pPr>
    </w:p>
    <w:p w14:paraId="3FCA0A3F" w14:textId="77777777" w:rsidR="00E32BB6" w:rsidRDefault="00E32BB6" w:rsidP="00593A98">
      <w:pPr>
        <w:spacing w:before="100" w:beforeAutospacing="1" w:after="100" w:afterAutospacing="1" w:line="240" w:lineRule="auto"/>
        <w:jc w:val="center"/>
        <w:rPr>
          <w:rFonts w:ascii="Times New Roman" w:eastAsia="Times New Roman" w:hAnsi="Times New Roman" w:cs="Times New Roman"/>
          <w:b/>
          <w:bCs/>
          <w:kern w:val="0"/>
          <w:sz w:val="24"/>
          <w:szCs w:val="24"/>
          <w:u w:val="single"/>
          <w:lang w:eastAsia="en-IN" w:bidi="hi-IN"/>
        </w:rPr>
      </w:pPr>
    </w:p>
    <w:p w14:paraId="74D73D89" w14:textId="77777777" w:rsidR="00E32BB6" w:rsidRDefault="00E32BB6" w:rsidP="00593A98">
      <w:pPr>
        <w:spacing w:before="100" w:beforeAutospacing="1" w:after="100" w:afterAutospacing="1" w:line="240" w:lineRule="auto"/>
        <w:jc w:val="center"/>
        <w:rPr>
          <w:rFonts w:ascii="Times New Roman" w:eastAsia="Times New Roman" w:hAnsi="Times New Roman" w:cs="Times New Roman"/>
          <w:b/>
          <w:bCs/>
          <w:kern w:val="0"/>
          <w:sz w:val="24"/>
          <w:szCs w:val="24"/>
          <w:u w:val="single"/>
          <w:lang w:eastAsia="en-IN" w:bidi="hi-IN"/>
        </w:rPr>
      </w:pPr>
    </w:p>
    <w:p w14:paraId="76ED8B16" w14:textId="44F7E349" w:rsidR="00593A98" w:rsidRPr="00E32BB6" w:rsidRDefault="005A34BE" w:rsidP="00593A98">
      <w:pPr>
        <w:spacing w:before="100" w:beforeAutospacing="1" w:after="100" w:afterAutospacing="1" w:line="240" w:lineRule="auto"/>
        <w:jc w:val="center"/>
        <w:rPr>
          <w:rFonts w:ascii="Times New Roman" w:eastAsia="Times New Roman" w:hAnsi="Times New Roman" w:cs="Times New Roman"/>
          <w:b/>
          <w:bCs/>
          <w:kern w:val="0"/>
          <w:sz w:val="40"/>
          <w:szCs w:val="40"/>
          <w:u w:val="single"/>
          <w:lang w:eastAsia="en-IN" w:bidi="hi-IN"/>
        </w:rPr>
      </w:pPr>
      <w:r w:rsidRPr="00E32BB6">
        <w:rPr>
          <w:rFonts w:ascii="Times New Roman" w:eastAsia="Times New Roman" w:hAnsi="Times New Roman" w:cs="Times New Roman"/>
          <w:b/>
          <w:bCs/>
          <w:kern w:val="0"/>
          <w:sz w:val="40"/>
          <w:szCs w:val="40"/>
          <w:u w:val="single"/>
          <w:lang w:eastAsia="en-IN" w:bidi="hi-IN"/>
        </w:rPr>
        <w:t>COMBO CHART</w:t>
      </w:r>
    </w:p>
    <w:p w14:paraId="5D74465D" w14:textId="77777777" w:rsidR="00E32BB6" w:rsidRPr="00E32BB6" w:rsidRDefault="00E32BB6" w:rsidP="00E32BB6">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E32BB6">
        <w:rPr>
          <w:rFonts w:ascii="Times New Roman" w:eastAsia="Times New Roman" w:hAnsi="Times New Roman" w:cs="Times New Roman"/>
          <w:kern w:val="0"/>
          <w:sz w:val="24"/>
          <w:szCs w:val="24"/>
          <w:lang w:eastAsia="en-IN" w:bidi="hi-IN"/>
        </w:rPr>
        <w:lastRenderedPageBreak/>
        <w:t>A Combo Chart, short for Combination Chart, is a data visualization that uses two or more different chart types (like a bar and a line chart) in a single visualization.</w:t>
      </w:r>
    </w:p>
    <w:p w14:paraId="35183F3F" w14:textId="6AD86B4C" w:rsidR="00E32BB6" w:rsidRPr="00E32BB6" w:rsidRDefault="00E32BB6" w:rsidP="00E32BB6">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rPr>
      </w:pPr>
      <w:r w:rsidRPr="00E32BB6">
        <w:rPr>
          <w:rFonts w:ascii="Times New Roman" w:eastAsia="Times New Roman" w:hAnsi="Times New Roman" w:cs="Times New Roman"/>
          <w:kern w:val="0"/>
          <w:sz w:val="24"/>
          <w:szCs w:val="24"/>
          <w:lang w:eastAsia="en-IN" w:bidi="hi-IN"/>
        </w:rPr>
        <w:t>It is particularly useful for comparing two different datasets that share the same X-axis but may have very different scales or represent different types of measures.</w:t>
      </w:r>
    </w:p>
    <w:p w14:paraId="76ED8B18" w14:textId="77777777" w:rsidR="00EF2ED6" w:rsidRDefault="00F37EAE" w:rsidP="00882872">
      <w:pPr>
        <w:spacing w:before="100" w:beforeAutospacing="1" w:after="0" w:line="240" w:lineRule="auto"/>
        <w:rPr>
          <w:rFonts w:ascii="Times New Roman" w:eastAsia="Times New Roman" w:hAnsi="Times New Roman" w:cs="Times New Roman"/>
          <w:kern w:val="0"/>
          <w:sz w:val="24"/>
          <w:szCs w:val="24"/>
          <w:lang w:eastAsia="en-IN" w:bidi="hi-IN"/>
        </w:rPr>
      </w:pPr>
      <w:r>
        <w:rPr>
          <w:noProof/>
          <w:lang w:val="en-US" w:bidi="hi-IN"/>
        </w:rPr>
        <w:drawing>
          <wp:inline distT="0" distB="0" distL="0" distR="0" wp14:anchorId="76ED8B61" wp14:editId="76ED8B62">
            <wp:extent cx="6012180" cy="2423160"/>
            <wp:effectExtent l="0" t="0" r="0" b="0"/>
            <wp:docPr id="175280314" name="Chart 1">
              <a:extLst xmlns:a="http://schemas.openxmlformats.org/drawingml/2006/main">
                <a:ext uri="{FF2B5EF4-FFF2-40B4-BE49-F238E27FC236}">
                  <a16:creationId xmlns:a16="http://schemas.microsoft.com/office/drawing/2014/main" id="{F09756D9-BB35-1099-D81A-80A707E43A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6ED8B19" w14:textId="77777777" w:rsidR="00596598" w:rsidRPr="00596598" w:rsidRDefault="00596598" w:rsidP="00882872">
      <w:pPr>
        <w:spacing w:before="100" w:beforeAutospacing="1" w:after="0" w:line="240" w:lineRule="auto"/>
        <w:rPr>
          <w:rFonts w:ascii="Times New Roman" w:eastAsia="Times New Roman" w:hAnsi="Times New Roman" w:cs="Times New Roman"/>
          <w:b/>
          <w:bCs/>
          <w:kern w:val="0"/>
          <w:sz w:val="24"/>
          <w:szCs w:val="24"/>
          <w:lang w:eastAsia="en-IN" w:bidi="hi-IN"/>
        </w:rPr>
      </w:pPr>
      <w:r w:rsidRPr="00596598">
        <w:rPr>
          <w:rFonts w:ascii="Times New Roman" w:eastAsia="Times New Roman" w:hAnsi="Times New Roman" w:cs="Times New Roman"/>
          <w:b/>
          <w:bCs/>
          <w:kern w:val="0"/>
          <w:sz w:val="24"/>
          <w:szCs w:val="24"/>
          <w:lang w:eastAsia="en-IN" w:bidi="hi-IN"/>
        </w:rPr>
        <w:t>Key Observations</w:t>
      </w:r>
    </w:p>
    <w:p w14:paraId="76ED8B1A" w14:textId="77777777" w:rsidR="00596598" w:rsidRPr="00596598" w:rsidRDefault="00596598" w:rsidP="00882872">
      <w:pPr>
        <w:numPr>
          <w:ilvl w:val="0"/>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Sales Volume (Units) - Column Chart (Right Axis):</w:t>
      </w:r>
    </w:p>
    <w:p w14:paraId="76ED8B1B" w14:textId="77777777" w:rsidR="00596598" w:rsidRPr="00596598" w:rsidRDefault="00596598" w:rsidP="00882872">
      <w:pPr>
        <w:numPr>
          <w:ilvl w:val="1"/>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Sales volume shows a clear peak in March, reaching approximately 25,000 units.</w:t>
      </w:r>
    </w:p>
    <w:p w14:paraId="76ED8B1C" w14:textId="77777777" w:rsidR="00596598" w:rsidRPr="00596598" w:rsidRDefault="00596598" w:rsidP="00882872">
      <w:pPr>
        <w:numPr>
          <w:ilvl w:val="1"/>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The lowest sales volume occurred in January, at about 10,000 units.</w:t>
      </w:r>
    </w:p>
    <w:p w14:paraId="76ED8B1D" w14:textId="77777777" w:rsidR="00596598" w:rsidRPr="00596598" w:rsidRDefault="00596598" w:rsidP="00882872">
      <w:pPr>
        <w:numPr>
          <w:ilvl w:val="1"/>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Sales volumes show a trend of increasing from Jan to Mar and then decreasing from Mar to May, ending at around 12,000-13,000 units in May.</w:t>
      </w:r>
    </w:p>
    <w:p w14:paraId="76ED8B1E" w14:textId="77777777" w:rsidR="00596598" w:rsidRPr="00596598" w:rsidRDefault="00596598" w:rsidP="00882872">
      <w:pPr>
        <w:numPr>
          <w:ilvl w:val="0"/>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Profit Margin (%) - Line Chart (Left Axis):</w:t>
      </w:r>
    </w:p>
    <w:p w14:paraId="76ED8B1F" w14:textId="77777777" w:rsidR="00596598" w:rsidRPr="00596598" w:rsidRDefault="00596598" w:rsidP="00882872">
      <w:pPr>
        <w:numPr>
          <w:ilvl w:val="1"/>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Profit Margin is generally high, with the highest points in January and May, both reaching around 15%.</w:t>
      </w:r>
    </w:p>
    <w:p w14:paraId="76ED8B20" w14:textId="77777777" w:rsidR="00596598" w:rsidRPr="00596598" w:rsidRDefault="00596598" w:rsidP="00882872">
      <w:pPr>
        <w:numPr>
          <w:ilvl w:val="1"/>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The lowest profit margin was in March, at only 8%.</w:t>
      </w:r>
    </w:p>
    <w:p w14:paraId="76ED8B21" w14:textId="77777777" w:rsidR="00596598" w:rsidRPr="00596598" w:rsidRDefault="00596598" w:rsidP="00882872">
      <w:pPr>
        <w:numPr>
          <w:ilvl w:val="1"/>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The margin decreases sharply from Jan (15%) to Mar (8%) and then increases sharply to May (16%).</w:t>
      </w:r>
    </w:p>
    <w:p w14:paraId="76ED8B22" w14:textId="77777777" w:rsidR="00596598" w:rsidRPr="00596598" w:rsidRDefault="00596598" w:rsidP="00882872">
      <w:pPr>
        <w:numPr>
          <w:ilvl w:val="0"/>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Relationship Between Metrics:</w:t>
      </w:r>
    </w:p>
    <w:p w14:paraId="76ED8B23" w14:textId="77777777" w:rsidR="00596598" w:rsidRPr="00596598" w:rsidRDefault="00596598" w:rsidP="00882872">
      <w:pPr>
        <w:numPr>
          <w:ilvl w:val="1"/>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There is a noticeable inverse relationship between the two metrics:</w:t>
      </w:r>
    </w:p>
    <w:p w14:paraId="76ED8B24" w14:textId="77777777" w:rsidR="00596598" w:rsidRPr="00596598" w:rsidRDefault="00596598" w:rsidP="00882872">
      <w:pPr>
        <w:numPr>
          <w:ilvl w:val="2"/>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The month with the highest Sales Volume (March) corresponds to the month with the lowest Profit Margin (8%).</w:t>
      </w:r>
    </w:p>
    <w:p w14:paraId="76ED8B25" w14:textId="77777777" w:rsidR="00596598" w:rsidRPr="00596598" w:rsidRDefault="00596598" w:rsidP="00882872">
      <w:pPr>
        <w:numPr>
          <w:ilvl w:val="2"/>
          <w:numId w:val="35"/>
        </w:num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The months with lower Sales Volumes (January and May) correspond to the months with the highest Profit Margins (15-16%).</w:t>
      </w:r>
    </w:p>
    <w:p w14:paraId="76ED8B26" w14:textId="77777777" w:rsidR="00596598" w:rsidRPr="00596598" w:rsidRDefault="00596598" w:rsidP="00882872">
      <w:pPr>
        <w:spacing w:before="100" w:beforeAutospacing="1" w:after="0" w:line="240" w:lineRule="auto"/>
        <w:rPr>
          <w:rFonts w:ascii="Times New Roman" w:eastAsia="Times New Roman" w:hAnsi="Times New Roman" w:cs="Times New Roman"/>
          <w:b/>
          <w:bCs/>
          <w:kern w:val="0"/>
          <w:sz w:val="24"/>
          <w:szCs w:val="24"/>
          <w:lang w:eastAsia="en-IN" w:bidi="hi-IN"/>
        </w:rPr>
      </w:pPr>
      <w:r w:rsidRPr="00596598">
        <w:rPr>
          <w:rFonts w:ascii="Times New Roman" w:eastAsia="Times New Roman" w:hAnsi="Times New Roman" w:cs="Times New Roman"/>
          <w:b/>
          <w:bCs/>
          <w:kern w:val="0"/>
          <w:sz w:val="24"/>
          <w:szCs w:val="24"/>
          <w:lang w:eastAsia="en-IN" w:bidi="hi-IN"/>
        </w:rPr>
        <w:t>Conclusion</w:t>
      </w:r>
    </w:p>
    <w:p w14:paraId="76ED8B27" w14:textId="77777777" w:rsidR="00596598" w:rsidRPr="00596598" w:rsidRDefault="00596598" w:rsidP="00882872">
      <w:pPr>
        <w:spacing w:before="100" w:beforeAutospacing="1" w:after="0" w:line="240" w:lineRule="auto"/>
        <w:rPr>
          <w:rFonts w:ascii="Times New Roman" w:eastAsia="Times New Roman" w:hAnsi="Times New Roman" w:cs="Times New Roman"/>
          <w:kern w:val="0"/>
          <w:sz w:val="24"/>
          <w:szCs w:val="24"/>
          <w:lang w:eastAsia="en-IN" w:bidi="hi-IN"/>
        </w:rPr>
      </w:pPr>
      <w:r w:rsidRPr="00596598">
        <w:rPr>
          <w:rFonts w:ascii="Times New Roman" w:eastAsia="Times New Roman" w:hAnsi="Times New Roman" w:cs="Times New Roman"/>
          <w:kern w:val="0"/>
          <w:sz w:val="24"/>
          <w:szCs w:val="24"/>
          <w:lang w:eastAsia="en-IN" w:bidi="hi-IN"/>
        </w:rPr>
        <w:t xml:space="preserve">The data suggests a strong trade-off or inverse correlation between sales volume and profit margin over the five-month period. The company appears to achieve its highest sales volume (in March) at the expense of significantly lower profit margins. Conversely, when profit margins are highest (in January and May), sales volume tends to be </w:t>
      </w:r>
      <w:r w:rsidR="00F66523" w:rsidRPr="00596598">
        <w:rPr>
          <w:rFonts w:ascii="Times New Roman" w:eastAsia="Times New Roman" w:hAnsi="Times New Roman" w:cs="Times New Roman"/>
          <w:kern w:val="0"/>
          <w:sz w:val="24"/>
          <w:szCs w:val="24"/>
          <w:lang w:eastAsia="en-IN" w:bidi="hi-IN"/>
        </w:rPr>
        <w:t>lower. This</w:t>
      </w:r>
      <w:r w:rsidRPr="00596598">
        <w:rPr>
          <w:rFonts w:ascii="Times New Roman" w:eastAsia="Times New Roman" w:hAnsi="Times New Roman" w:cs="Times New Roman"/>
          <w:kern w:val="0"/>
          <w:sz w:val="24"/>
          <w:szCs w:val="24"/>
          <w:lang w:eastAsia="en-IN" w:bidi="hi-IN"/>
        </w:rPr>
        <w:t xml:space="preserve"> pattern suggests that high sales volumes might be driven by strategies like price reductions or promotions, which inherently decrease the profit margin per unit</w:t>
      </w:r>
    </w:p>
    <w:p w14:paraId="76ED8B28" w14:textId="77777777" w:rsidR="00C072F5" w:rsidRDefault="00C269EA" w:rsidP="00FF260C">
      <w:pPr>
        <w:spacing w:before="100" w:beforeAutospacing="1" w:after="100" w:afterAutospacing="1" w:line="240" w:lineRule="auto"/>
        <w:jc w:val="center"/>
        <w:rPr>
          <w:rFonts w:ascii="Times New Roman" w:eastAsia="Times New Roman" w:hAnsi="Times New Roman" w:cs="Times New Roman"/>
          <w:b/>
          <w:bCs/>
          <w:kern w:val="0"/>
          <w:sz w:val="24"/>
          <w:szCs w:val="24"/>
          <w:u w:val="single"/>
          <w:lang w:eastAsia="en-IN" w:bidi="hi-IN"/>
        </w:rPr>
      </w:pPr>
      <w:r w:rsidRPr="00C269EA">
        <w:rPr>
          <w:rFonts w:ascii="Times New Roman" w:eastAsia="Times New Roman" w:hAnsi="Times New Roman" w:cs="Times New Roman"/>
          <w:b/>
          <w:bCs/>
          <w:kern w:val="0"/>
          <w:sz w:val="24"/>
          <w:szCs w:val="24"/>
          <w:u w:val="single"/>
          <w:lang w:eastAsia="en-IN" w:bidi="hi-IN"/>
        </w:rPr>
        <w:lastRenderedPageBreak/>
        <w:t>COMBO CHART</w:t>
      </w:r>
      <w:r>
        <w:rPr>
          <w:rFonts w:ascii="Times New Roman" w:eastAsia="Times New Roman" w:hAnsi="Times New Roman" w:cs="Times New Roman"/>
          <w:b/>
          <w:bCs/>
          <w:kern w:val="0"/>
          <w:sz w:val="24"/>
          <w:szCs w:val="24"/>
          <w:u w:val="single"/>
          <w:lang w:eastAsia="en-IN" w:bidi="hi-IN"/>
        </w:rPr>
        <w:t>(</w:t>
      </w:r>
      <w:r w:rsidR="00937FDB">
        <w:rPr>
          <w:rFonts w:ascii="Times New Roman" w:eastAsia="Times New Roman" w:hAnsi="Times New Roman" w:cs="Times New Roman"/>
          <w:b/>
          <w:bCs/>
          <w:kern w:val="0"/>
          <w:sz w:val="24"/>
          <w:szCs w:val="24"/>
          <w:u w:val="single"/>
          <w:lang w:eastAsia="en-IN" w:bidi="hi-IN"/>
        </w:rPr>
        <w:t>AREA+</w:t>
      </w:r>
      <w:r w:rsidR="004C026C">
        <w:rPr>
          <w:rFonts w:ascii="Times New Roman" w:eastAsia="Times New Roman" w:hAnsi="Times New Roman" w:cs="Times New Roman"/>
          <w:b/>
          <w:bCs/>
          <w:kern w:val="0"/>
          <w:sz w:val="24"/>
          <w:szCs w:val="24"/>
          <w:u w:val="single"/>
          <w:lang w:eastAsia="en-IN" w:bidi="hi-IN"/>
        </w:rPr>
        <w:t>COLUMN</w:t>
      </w:r>
      <w:r>
        <w:rPr>
          <w:rFonts w:ascii="Times New Roman" w:eastAsia="Times New Roman" w:hAnsi="Times New Roman" w:cs="Times New Roman"/>
          <w:b/>
          <w:bCs/>
          <w:kern w:val="0"/>
          <w:sz w:val="24"/>
          <w:szCs w:val="24"/>
          <w:u w:val="single"/>
          <w:lang w:eastAsia="en-IN" w:bidi="hi-IN"/>
        </w:rPr>
        <w:t>)</w:t>
      </w:r>
    </w:p>
    <w:p w14:paraId="4A5B277F" w14:textId="77777777" w:rsidR="00E32BB6" w:rsidRDefault="00E32BB6" w:rsidP="00E32BB6">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rPr>
      </w:pPr>
    </w:p>
    <w:p w14:paraId="76ED8B2A" w14:textId="77777777" w:rsidR="004C026C" w:rsidRPr="00C269EA" w:rsidRDefault="004C026C" w:rsidP="004C026C">
      <w:pPr>
        <w:spacing w:before="100" w:beforeAutospacing="1" w:after="100" w:afterAutospacing="1" w:line="240" w:lineRule="auto"/>
        <w:rPr>
          <w:rFonts w:ascii="Times New Roman" w:eastAsia="Times New Roman" w:hAnsi="Times New Roman" w:cs="Times New Roman"/>
          <w:b/>
          <w:bCs/>
          <w:kern w:val="0"/>
          <w:sz w:val="24"/>
          <w:szCs w:val="24"/>
          <w:u w:val="single"/>
          <w:lang w:eastAsia="en-IN" w:bidi="hi-IN"/>
        </w:rPr>
      </w:pPr>
      <w:r>
        <w:rPr>
          <w:rFonts w:ascii="Times New Roman" w:eastAsia="Times New Roman" w:hAnsi="Times New Roman" w:cs="Times New Roman"/>
          <w:b/>
          <w:bCs/>
          <w:noProof/>
          <w:kern w:val="0"/>
          <w:sz w:val="24"/>
          <w:szCs w:val="24"/>
          <w:u w:val="single"/>
          <w:lang w:val="en-US" w:bidi="hi-IN"/>
        </w:rPr>
        <w:drawing>
          <wp:inline distT="0" distB="0" distL="0" distR="0" wp14:anchorId="76ED8B63" wp14:editId="76ED8B64">
            <wp:extent cx="6172200" cy="2755900"/>
            <wp:effectExtent l="0" t="0" r="0" b="0"/>
            <wp:docPr id="393836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2200" cy="2755900"/>
                    </a:xfrm>
                    <a:prstGeom prst="rect">
                      <a:avLst/>
                    </a:prstGeom>
                    <a:noFill/>
                  </pic:spPr>
                </pic:pic>
              </a:graphicData>
            </a:graphic>
          </wp:inline>
        </w:drawing>
      </w:r>
    </w:p>
    <w:p w14:paraId="76ED8B2B" w14:textId="77777777" w:rsidR="0077574E" w:rsidRPr="0077574E" w:rsidRDefault="0077574E" w:rsidP="0077574E">
      <w:pPr>
        <w:spacing w:before="100" w:beforeAutospacing="1" w:after="100" w:afterAutospacing="1" w:line="240" w:lineRule="auto"/>
        <w:rPr>
          <w:rFonts w:ascii="Times New Roman" w:eastAsia="Times New Roman" w:hAnsi="Times New Roman" w:cs="Times New Roman"/>
          <w:b/>
          <w:bCs/>
          <w:kern w:val="0"/>
          <w:szCs w:val="22"/>
          <w:u w:val="single"/>
          <w:lang w:eastAsia="en-IN" w:bidi="hi-IN"/>
        </w:rPr>
      </w:pPr>
      <w:r w:rsidRPr="0077574E">
        <w:rPr>
          <w:rFonts w:ascii="Times New Roman" w:eastAsia="Times New Roman" w:hAnsi="Times New Roman" w:cs="Times New Roman"/>
          <w:b/>
          <w:bCs/>
          <w:kern w:val="0"/>
          <w:szCs w:val="22"/>
          <w:u w:val="single"/>
          <w:lang w:eastAsia="en-IN" w:bidi="hi-IN"/>
        </w:rPr>
        <w:t>Key Observations</w:t>
      </w:r>
    </w:p>
    <w:p w14:paraId="76ED8B2C" w14:textId="77777777" w:rsidR="0077574E" w:rsidRPr="0077574E" w:rsidRDefault="0077574E" w:rsidP="0077574E">
      <w:pPr>
        <w:numPr>
          <w:ilvl w:val="0"/>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Inverse Relationship: The chart displays a strong inverse (negative) correlation between the two metrics: when the Sales Volume Area expands (March), the Profit Margin Column contracts, and vice versa.</w:t>
      </w:r>
    </w:p>
    <w:p w14:paraId="76ED8B2D" w14:textId="77777777" w:rsidR="0077574E" w:rsidRPr="0077574E" w:rsidRDefault="0077574E" w:rsidP="0077574E">
      <w:pPr>
        <w:numPr>
          <w:ilvl w:val="0"/>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Sales Volume (Area Chart - Right Axis):</w:t>
      </w:r>
    </w:p>
    <w:p w14:paraId="76ED8B2E" w14:textId="77777777" w:rsidR="0077574E" w:rsidRPr="0077574E" w:rsidRDefault="0077574E" w:rsidP="0077574E">
      <w:pPr>
        <w:numPr>
          <w:ilvl w:val="1"/>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Peak Volume occurred in March (approx. 25,000 units), forming the highest point of the orange shaded area.</w:t>
      </w:r>
    </w:p>
    <w:p w14:paraId="76ED8B2F" w14:textId="77777777" w:rsidR="0077574E" w:rsidRPr="0077574E" w:rsidRDefault="0077574E" w:rsidP="0077574E">
      <w:pPr>
        <w:numPr>
          <w:ilvl w:val="1"/>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Lowest Volume was recorded in January (approx. 10,000 units) and remained low in May (approx. 12,500 units).</w:t>
      </w:r>
    </w:p>
    <w:p w14:paraId="76ED8B30" w14:textId="77777777" w:rsidR="0077574E" w:rsidRPr="0077574E" w:rsidRDefault="0077574E" w:rsidP="0077574E">
      <w:pPr>
        <w:numPr>
          <w:ilvl w:val="0"/>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Profit Margin (%) (Column Chart - Left Axis):</w:t>
      </w:r>
    </w:p>
    <w:p w14:paraId="76ED8B31" w14:textId="77777777" w:rsidR="0077574E" w:rsidRPr="0077574E" w:rsidRDefault="0077574E" w:rsidP="0077574E">
      <w:pPr>
        <w:numPr>
          <w:ilvl w:val="1"/>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Lowest Margin was in March (8%), which is the shortest column.</w:t>
      </w:r>
    </w:p>
    <w:p w14:paraId="76ED8B32" w14:textId="77777777" w:rsidR="0077574E" w:rsidRPr="0077574E" w:rsidRDefault="0077574E" w:rsidP="0077574E">
      <w:pPr>
        <w:numPr>
          <w:ilvl w:val="1"/>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Highest Margins were achieved in May (approx. 16%) and January (approx. 15%), represented by the tallest columns.</w:t>
      </w:r>
    </w:p>
    <w:p w14:paraId="76ED8B33" w14:textId="77777777" w:rsidR="0077574E" w:rsidRPr="0077574E" w:rsidRDefault="0077574E" w:rsidP="0077574E">
      <w:pPr>
        <w:numPr>
          <w:ilvl w:val="0"/>
          <w:numId w:val="42"/>
        </w:num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Coincidence of Extremes: The month with the absolute highest sales volume (March) is also the month with the absolute lowest profit margin (8%).</w:t>
      </w:r>
    </w:p>
    <w:p w14:paraId="76ED8B34" w14:textId="36C73449" w:rsidR="0077574E" w:rsidRPr="0077574E" w:rsidRDefault="00E32BB6" w:rsidP="0077574E">
      <w:p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b/>
          <w:bCs/>
          <w:kern w:val="0"/>
          <w:szCs w:val="22"/>
          <w:u w:val="single"/>
          <w:lang w:eastAsia="en-IN" w:bidi="hi-IN"/>
        </w:rPr>
        <w:t>Conclusion</w:t>
      </w:r>
      <w:r w:rsidRPr="00FD66E2">
        <w:rPr>
          <w:rFonts w:ascii="Times New Roman" w:eastAsia="Times New Roman" w:hAnsi="Times New Roman" w:cs="Times New Roman"/>
          <w:b/>
          <w:bCs/>
          <w:kern w:val="0"/>
          <w:szCs w:val="22"/>
          <w:u w:val="single"/>
          <w:lang w:eastAsia="en-IN" w:bidi="hi-IN"/>
        </w:rPr>
        <w:t>:</w:t>
      </w:r>
      <w:r w:rsidRPr="0077574E">
        <w:rPr>
          <w:rFonts w:ascii="Times New Roman" w:eastAsia="Times New Roman" w:hAnsi="Times New Roman" w:cs="Times New Roman"/>
          <w:kern w:val="0"/>
          <w:szCs w:val="22"/>
          <w:lang w:eastAsia="en-IN" w:bidi="hi-IN"/>
        </w:rPr>
        <w:t xml:space="preserve"> The</w:t>
      </w:r>
      <w:r w:rsidR="0077574E" w:rsidRPr="0077574E">
        <w:rPr>
          <w:rFonts w:ascii="Times New Roman" w:eastAsia="Times New Roman" w:hAnsi="Times New Roman" w:cs="Times New Roman"/>
          <w:kern w:val="0"/>
          <w:szCs w:val="22"/>
          <w:lang w:eastAsia="en-IN" w:bidi="hi-IN"/>
        </w:rPr>
        <w:t xml:space="preserve"> combined Column and Area Chart powerfully </w:t>
      </w:r>
      <w:proofErr w:type="gramStart"/>
      <w:r w:rsidR="0077574E" w:rsidRPr="0077574E">
        <w:rPr>
          <w:rFonts w:ascii="Times New Roman" w:eastAsia="Times New Roman" w:hAnsi="Times New Roman" w:cs="Times New Roman"/>
          <w:kern w:val="0"/>
          <w:szCs w:val="22"/>
          <w:lang w:eastAsia="en-IN" w:bidi="hi-IN"/>
        </w:rPr>
        <w:t>confirms</w:t>
      </w:r>
      <w:proofErr w:type="gramEnd"/>
      <w:r w:rsidR="0077574E" w:rsidRPr="0077574E">
        <w:rPr>
          <w:rFonts w:ascii="Times New Roman" w:eastAsia="Times New Roman" w:hAnsi="Times New Roman" w:cs="Times New Roman"/>
          <w:kern w:val="0"/>
          <w:szCs w:val="22"/>
          <w:lang w:eastAsia="en-IN" w:bidi="hi-IN"/>
        </w:rPr>
        <w:t xml:space="preserve"> the fundamental strategic trade-off between volume and profitability in this five-month period.</w:t>
      </w:r>
    </w:p>
    <w:p w14:paraId="76ED8B35" w14:textId="77777777" w:rsidR="0077574E" w:rsidRPr="0077574E" w:rsidRDefault="0077574E" w:rsidP="0077574E">
      <w:p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The business appears to be leveraging aggressive pricing or promotions to maximize unit sales, as evidenced by the peak Sales Volume in March (25,000 units) occurring at the expense of the minimum Profit Margin (8%). Conversely, when the company prioritizes high margins (15-16% in January and May), unit sales volume significantly drops.</w:t>
      </w:r>
    </w:p>
    <w:p w14:paraId="76ED8B36" w14:textId="77777777" w:rsidR="0077574E" w:rsidRPr="0077574E" w:rsidRDefault="0077574E" w:rsidP="0077574E">
      <w:pPr>
        <w:spacing w:before="100" w:beforeAutospacing="1" w:after="100" w:afterAutospacing="1" w:line="240" w:lineRule="auto"/>
        <w:rPr>
          <w:rFonts w:ascii="Times New Roman" w:eastAsia="Times New Roman" w:hAnsi="Times New Roman" w:cs="Times New Roman"/>
          <w:kern w:val="0"/>
          <w:szCs w:val="22"/>
          <w:lang w:eastAsia="en-IN" w:bidi="hi-IN"/>
        </w:rPr>
      </w:pPr>
      <w:r w:rsidRPr="0077574E">
        <w:rPr>
          <w:rFonts w:ascii="Times New Roman" w:eastAsia="Times New Roman" w:hAnsi="Times New Roman" w:cs="Times New Roman"/>
          <w:kern w:val="0"/>
          <w:szCs w:val="22"/>
          <w:lang w:eastAsia="en-IN" w:bidi="hi-IN"/>
        </w:rPr>
        <w:t>This structure suggests two distinct business cycles or strategies are at play, and management must evaluate which approach (high-volume/low-margin vs. low-volume/high-margin) ultimately generates the greatest Total Net Profit for the organization.</w:t>
      </w:r>
    </w:p>
    <w:p w14:paraId="76ED8B41" w14:textId="77777777" w:rsidR="00AA54FE" w:rsidRDefault="00AA54FE">
      <w:pPr>
        <w:sectPr w:rsidR="00AA54FE" w:rsidSect="00BC38F6">
          <w:headerReference w:type="default" r:id="rId27"/>
          <w:pgSz w:w="11906" w:h="16838"/>
          <w:pgMar w:top="1440" w:right="1440" w:bottom="1440" w:left="1440" w:header="708" w:footer="708" w:gutter="0"/>
          <w:cols w:space="708"/>
          <w:docGrid w:linePitch="360"/>
        </w:sectPr>
      </w:pPr>
    </w:p>
    <w:p w14:paraId="0F354CF6" w14:textId="77777777" w:rsidR="001441FE" w:rsidRDefault="001441FE" w:rsidP="001441FE"/>
    <w:sectPr w:rsidR="001441FE" w:rsidSect="00BC38F6">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A4AC" w14:textId="77777777" w:rsidR="00B26A83" w:rsidRDefault="00B26A83" w:rsidP="00480E34">
      <w:pPr>
        <w:spacing w:after="0" w:line="240" w:lineRule="auto"/>
      </w:pPr>
      <w:r>
        <w:separator/>
      </w:r>
    </w:p>
  </w:endnote>
  <w:endnote w:type="continuationSeparator" w:id="0">
    <w:p w14:paraId="208A2A2C" w14:textId="77777777" w:rsidR="00B26A83" w:rsidRDefault="00B26A83" w:rsidP="0048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E427" w14:textId="77777777" w:rsidR="00B26A83" w:rsidRDefault="00B26A83" w:rsidP="00480E34">
      <w:pPr>
        <w:spacing w:after="0" w:line="240" w:lineRule="auto"/>
      </w:pPr>
      <w:r>
        <w:separator/>
      </w:r>
    </w:p>
  </w:footnote>
  <w:footnote w:type="continuationSeparator" w:id="0">
    <w:p w14:paraId="11EBC450" w14:textId="77777777" w:rsidR="00B26A83" w:rsidRDefault="00B26A83" w:rsidP="0048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B69" w14:textId="77777777" w:rsidR="00B0246E" w:rsidRPr="00EC08D2" w:rsidRDefault="00B0246E" w:rsidP="00EC08D2">
    <w:pPr>
      <w:pStyle w:val="Header"/>
      <w:jc w:val="center"/>
      <w:rPr>
        <w:rFonts w:ascii="Algerian" w:hAnsi="Algerian"/>
        <w:b/>
        <w:bCs/>
        <w:sz w:val="40"/>
        <w:szCs w:val="40"/>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B6A" w14:textId="77777777" w:rsidR="00480E34" w:rsidRPr="00480E34" w:rsidRDefault="00480E34" w:rsidP="00480E34">
    <w:pPr>
      <w:pStyle w:val="Header"/>
      <w:jc w:val="center"/>
      <w:rPr>
        <w:rFonts w:ascii="Algerian" w:hAnsi="Algerian"/>
        <w:b/>
        <w:bCs/>
        <w:sz w:val="44"/>
        <w:szCs w:val="44"/>
        <w:u w:val="single"/>
      </w:rPr>
    </w:pPr>
    <w:r>
      <w:rPr>
        <w:rFonts w:ascii="Algerian" w:hAnsi="Algerian"/>
        <w:b/>
        <w:bCs/>
        <w:sz w:val="44"/>
        <w:szCs w:val="44"/>
        <w:u w:val="single"/>
      </w:rPr>
      <w:t>Bar chart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B6B" w14:textId="77777777" w:rsidR="00A4009F" w:rsidRPr="00480E34" w:rsidRDefault="00A4009F" w:rsidP="00480E34">
    <w:pPr>
      <w:pStyle w:val="Header"/>
      <w:jc w:val="center"/>
      <w:rPr>
        <w:rFonts w:ascii="Algerian" w:hAnsi="Algerian"/>
        <w:b/>
        <w:bCs/>
        <w:sz w:val="44"/>
        <w:szCs w:val="44"/>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B6C" w14:textId="77777777" w:rsidR="00B07CBB" w:rsidRPr="00480E34" w:rsidRDefault="00B07CBB" w:rsidP="00480E34">
    <w:pPr>
      <w:pStyle w:val="Header"/>
      <w:jc w:val="center"/>
      <w:rPr>
        <w:rFonts w:ascii="Algerian" w:hAnsi="Algerian"/>
        <w:b/>
        <w:bCs/>
        <w:sz w:val="44"/>
        <w:szCs w:val="44"/>
        <w:u w:val="single"/>
      </w:rPr>
    </w:pPr>
    <w:r>
      <w:rPr>
        <w:rFonts w:ascii="Algerian" w:hAnsi="Algerian"/>
        <w:b/>
        <w:bCs/>
        <w:sz w:val="44"/>
        <w:szCs w:val="44"/>
        <w:u w:val="single"/>
      </w:rPr>
      <w:t>Pie chart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B6D" w14:textId="77777777" w:rsidR="003922C1" w:rsidRPr="00480E34" w:rsidRDefault="003922C1" w:rsidP="00480E34">
    <w:pPr>
      <w:pStyle w:val="Header"/>
      <w:jc w:val="center"/>
      <w:rPr>
        <w:rFonts w:ascii="Algerian" w:hAnsi="Algerian"/>
        <w:b/>
        <w:bCs/>
        <w:sz w:val="44"/>
        <w:szCs w:val="44"/>
        <w:u w:val="sing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B70" w14:textId="77777777" w:rsidR="00B07CBB" w:rsidRPr="00480E34" w:rsidRDefault="00B07CBB" w:rsidP="00480E34">
    <w:pPr>
      <w:pStyle w:val="Header"/>
      <w:jc w:val="center"/>
      <w:rPr>
        <w:rFonts w:ascii="Algerian" w:hAnsi="Algerian"/>
        <w:b/>
        <w:bCs/>
        <w:sz w:val="44"/>
        <w:szCs w:val="44"/>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B71" w14:textId="6E1633B6" w:rsidR="00AA54FE" w:rsidRPr="00480E34" w:rsidRDefault="00AA54FE" w:rsidP="00480E34">
    <w:pPr>
      <w:pStyle w:val="Header"/>
      <w:jc w:val="center"/>
      <w:rPr>
        <w:rFonts w:ascii="Algerian" w:hAnsi="Algerian"/>
        <w:b/>
        <w:bCs/>
        <w:sz w:val="44"/>
        <w:szCs w:val="44"/>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7DA"/>
    <w:multiLevelType w:val="multilevel"/>
    <w:tmpl w:val="84C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55FB"/>
    <w:multiLevelType w:val="hybridMultilevel"/>
    <w:tmpl w:val="A0BA9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95AE9"/>
    <w:multiLevelType w:val="multilevel"/>
    <w:tmpl w:val="E134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84E18"/>
    <w:multiLevelType w:val="hybridMultilevel"/>
    <w:tmpl w:val="8822E2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F71134"/>
    <w:multiLevelType w:val="multilevel"/>
    <w:tmpl w:val="51D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E1CAD"/>
    <w:multiLevelType w:val="hybridMultilevel"/>
    <w:tmpl w:val="98CEC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56A35"/>
    <w:multiLevelType w:val="multilevel"/>
    <w:tmpl w:val="A14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A547C"/>
    <w:multiLevelType w:val="hybridMultilevel"/>
    <w:tmpl w:val="7CF42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A83032"/>
    <w:multiLevelType w:val="multilevel"/>
    <w:tmpl w:val="306E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F193F"/>
    <w:multiLevelType w:val="multilevel"/>
    <w:tmpl w:val="933C0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42C42"/>
    <w:multiLevelType w:val="hybridMultilevel"/>
    <w:tmpl w:val="1EE8F5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A4751A8"/>
    <w:multiLevelType w:val="multilevel"/>
    <w:tmpl w:val="D2B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72842"/>
    <w:multiLevelType w:val="multilevel"/>
    <w:tmpl w:val="5A9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677D8"/>
    <w:multiLevelType w:val="multilevel"/>
    <w:tmpl w:val="C0AE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70226"/>
    <w:multiLevelType w:val="multilevel"/>
    <w:tmpl w:val="4C9E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A1191"/>
    <w:multiLevelType w:val="hybridMultilevel"/>
    <w:tmpl w:val="1AD22E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9758BB"/>
    <w:multiLevelType w:val="multilevel"/>
    <w:tmpl w:val="8B38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0C4E57"/>
    <w:multiLevelType w:val="multilevel"/>
    <w:tmpl w:val="50FA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715A3"/>
    <w:multiLevelType w:val="multilevel"/>
    <w:tmpl w:val="74A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824E3"/>
    <w:multiLevelType w:val="multilevel"/>
    <w:tmpl w:val="B96C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ED2A59"/>
    <w:multiLevelType w:val="hybridMultilevel"/>
    <w:tmpl w:val="A8368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692C0F"/>
    <w:multiLevelType w:val="multilevel"/>
    <w:tmpl w:val="04CEC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080AA2"/>
    <w:multiLevelType w:val="multilevel"/>
    <w:tmpl w:val="4ABA5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537A9"/>
    <w:multiLevelType w:val="multilevel"/>
    <w:tmpl w:val="FECA3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F1312"/>
    <w:multiLevelType w:val="multilevel"/>
    <w:tmpl w:val="9E92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3B4AB3"/>
    <w:multiLevelType w:val="hybridMultilevel"/>
    <w:tmpl w:val="0002C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2133B8"/>
    <w:multiLevelType w:val="multilevel"/>
    <w:tmpl w:val="D0B0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8F2588"/>
    <w:multiLevelType w:val="multilevel"/>
    <w:tmpl w:val="0CC41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440D7"/>
    <w:multiLevelType w:val="multilevel"/>
    <w:tmpl w:val="82B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450EE"/>
    <w:multiLevelType w:val="multilevel"/>
    <w:tmpl w:val="2294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A5008"/>
    <w:multiLevelType w:val="multilevel"/>
    <w:tmpl w:val="306E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76EE6"/>
    <w:multiLevelType w:val="multilevel"/>
    <w:tmpl w:val="761C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EA69EF"/>
    <w:multiLevelType w:val="multilevel"/>
    <w:tmpl w:val="862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3269F"/>
    <w:multiLevelType w:val="multilevel"/>
    <w:tmpl w:val="A1B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01448"/>
    <w:multiLevelType w:val="multilevel"/>
    <w:tmpl w:val="80A6F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2F272F"/>
    <w:multiLevelType w:val="hybridMultilevel"/>
    <w:tmpl w:val="068C6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0E05E9"/>
    <w:multiLevelType w:val="multilevel"/>
    <w:tmpl w:val="B1C6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E67C68"/>
    <w:multiLevelType w:val="multilevel"/>
    <w:tmpl w:val="1E645E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C670D8"/>
    <w:multiLevelType w:val="hybridMultilevel"/>
    <w:tmpl w:val="D13EB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815A8D"/>
    <w:multiLevelType w:val="multilevel"/>
    <w:tmpl w:val="629E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F2219"/>
    <w:multiLevelType w:val="multilevel"/>
    <w:tmpl w:val="96C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B4E85"/>
    <w:multiLevelType w:val="multilevel"/>
    <w:tmpl w:val="2FFC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12F47"/>
    <w:multiLevelType w:val="multilevel"/>
    <w:tmpl w:val="D556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AF5EEB"/>
    <w:multiLevelType w:val="multilevel"/>
    <w:tmpl w:val="629EA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C3C50"/>
    <w:multiLevelType w:val="hybridMultilevel"/>
    <w:tmpl w:val="2EE6B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667FF8"/>
    <w:multiLevelType w:val="multilevel"/>
    <w:tmpl w:val="64DCA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5B3801"/>
    <w:multiLevelType w:val="multilevel"/>
    <w:tmpl w:val="6E58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11796D"/>
    <w:multiLevelType w:val="multilevel"/>
    <w:tmpl w:val="49CC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296B1B"/>
    <w:multiLevelType w:val="multilevel"/>
    <w:tmpl w:val="95E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516341">
    <w:abstractNumId w:val="11"/>
  </w:num>
  <w:num w:numId="2" w16cid:durableId="621158675">
    <w:abstractNumId w:val="5"/>
  </w:num>
  <w:num w:numId="3" w16cid:durableId="143087387">
    <w:abstractNumId w:val="40"/>
  </w:num>
  <w:num w:numId="4" w16cid:durableId="770471966">
    <w:abstractNumId w:val="3"/>
  </w:num>
  <w:num w:numId="5" w16cid:durableId="1806653474">
    <w:abstractNumId w:val="44"/>
  </w:num>
  <w:num w:numId="6" w16cid:durableId="834955213">
    <w:abstractNumId w:val="35"/>
  </w:num>
  <w:num w:numId="7" w16cid:durableId="59182879">
    <w:abstractNumId w:val="43"/>
  </w:num>
  <w:num w:numId="8" w16cid:durableId="1433622721">
    <w:abstractNumId w:val="4"/>
  </w:num>
  <w:num w:numId="9" w16cid:durableId="2018464282">
    <w:abstractNumId w:val="37"/>
  </w:num>
  <w:num w:numId="10" w16cid:durableId="2064282074">
    <w:abstractNumId w:val="27"/>
  </w:num>
  <w:num w:numId="11" w16cid:durableId="1755544132">
    <w:abstractNumId w:val="15"/>
  </w:num>
  <w:num w:numId="12" w16cid:durableId="594899978">
    <w:abstractNumId w:val="39"/>
  </w:num>
  <w:num w:numId="13" w16cid:durableId="1121413308">
    <w:abstractNumId w:val="20"/>
  </w:num>
  <w:num w:numId="14" w16cid:durableId="1478762887">
    <w:abstractNumId w:val="13"/>
  </w:num>
  <w:num w:numId="15" w16cid:durableId="2061325090">
    <w:abstractNumId w:val="29"/>
  </w:num>
  <w:num w:numId="16" w16cid:durableId="866410163">
    <w:abstractNumId w:val="22"/>
  </w:num>
  <w:num w:numId="17" w16cid:durableId="218326909">
    <w:abstractNumId w:val="2"/>
  </w:num>
  <w:num w:numId="18" w16cid:durableId="432282319">
    <w:abstractNumId w:val="23"/>
  </w:num>
  <w:num w:numId="19" w16cid:durableId="38868623">
    <w:abstractNumId w:val="8"/>
  </w:num>
  <w:num w:numId="20" w16cid:durableId="902713437">
    <w:abstractNumId w:val="7"/>
  </w:num>
  <w:num w:numId="21" w16cid:durableId="615714181">
    <w:abstractNumId w:val="12"/>
  </w:num>
  <w:num w:numId="22" w16cid:durableId="502361601">
    <w:abstractNumId w:val="26"/>
  </w:num>
  <w:num w:numId="23" w16cid:durableId="1903061162">
    <w:abstractNumId w:val="16"/>
  </w:num>
  <w:num w:numId="24" w16cid:durableId="980960780">
    <w:abstractNumId w:val="33"/>
  </w:num>
  <w:num w:numId="25" w16cid:durableId="426272374">
    <w:abstractNumId w:val="9"/>
  </w:num>
  <w:num w:numId="26" w16cid:durableId="1774861811">
    <w:abstractNumId w:val="18"/>
  </w:num>
  <w:num w:numId="27" w16cid:durableId="371197979">
    <w:abstractNumId w:val="24"/>
  </w:num>
  <w:num w:numId="28" w16cid:durableId="266933547">
    <w:abstractNumId w:val="36"/>
  </w:num>
  <w:num w:numId="29" w16cid:durableId="721902805">
    <w:abstractNumId w:val="21"/>
  </w:num>
  <w:num w:numId="30" w16cid:durableId="854882587">
    <w:abstractNumId w:val="47"/>
  </w:num>
  <w:num w:numId="31" w16cid:durableId="1763447234">
    <w:abstractNumId w:val="34"/>
  </w:num>
  <w:num w:numId="32" w16cid:durableId="1412309166">
    <w:abstractNumId w:val="14"/>
  </w:num>
  <w:num w:numId="33" w16cid:durableId="1498496586">
    <w:abstractNumId w:val="46"/>
  </w:num>
  <w:num w:numId="34" w16cid:durableId="2011331315">
    <w:abstractNumId w:val="19"/>
  </w:num>
  <w:num w:numId="35" w16cid:durableId="252669555">
    <w:abstractNumId w:val="42"/>
  </w:num>
  <w:num w:numId="36" w16cid:durableId="857238637">
    <w:abstractNumId w:val="17"/>
  </w:num>
  <w:num w:numId="37" w16cid:durableId="2133395860">
    <w:abstractNumId w:val="6"/>
  </w:num>
  <w:num w:numId="38" w16cid:durableId="1821462695">
    <w:abstractNumId w:val="48"/>
  </w:num>
  <w:num w:numId="39" w16cid:durableId="1060589480">
    <w:abstractNumId w:val="28"/>
  </w:num>
  <w:num w:numId="40" w16cid:durableId="982732684">
    <w:abstractNumId w:val="41"/>
  </w:num>
  <w:num w:numId="41" w16cid:durableId="1217816526">
    <w:abstractNumId w:val="0"/>
  </w:num>
  <w:num w:numId="42" w16cid:durableId="1552766521">
    <w:abstractNumId w:val="45"/>
  </w:num>
  <w:num w:numId="43" w16cid:durableId="753164454">
    <w:abstractNumId w:val="31"/>
  </w:num>
  <w:num w:numId="44" w16cid:durableId="1287543425">
    <w:abstractNumId w:val="32"/>
  </w:num>
  <w:num w:numId="45" w16cid:durableId="1999069694">
    <w:abstractNumId w:val="10"/>
  </w:num>
  <w:num w:numId="46" w16cid:durableId="373509090">
    <w:abstractNumId w:val="38"/>
  </w:num>
  <w:num w:numId="47" w16cid:durableId="897908746">
    <w:abstractNumId w:val="30"/>
  </w:num>
  <w:num w:numId="48" w16cid:durableId="1563254872">
    <w:abstractNumId w:val="1"/>
  </w:num>
  <w:num w:numId="49" w16cid:durableId="187079358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F7"/>
    <w:rsid w:val="00012D1B"/>
    <w:rsid w:val="00021876"/>
    <w:rsid w:val="00031FF5"/>
    <w:rsid w:val="00055CF5"/>
    <w:rsid w:val="000800B4"/>
    <w:rsid w:val="000B2765"/>
    <w:rsid w:val="000C345F"/>
    <w:rsid w:val="000C448F"/>
    <w:rsid w:val="000C4F22"/>
    <w:rsid w:val="000D36A8"/>
    <w:rsid w:val="000D54ED"/>
    <w:rsid w:val="00107F6E"/>
    <w:rsid w:val="00110C80"/>
    <w:rsid w:val="00122308"/>
    <w:rsid w:val="00125722"/>
    <w:rsid w:val="001314DA"/>
    <w:rsid w:val="00134CB4"/>
    <w:rsid w:val="001441FE"/>
    <w:rsid w:val="00157795"/>
    <w:rsid w:val="00157F04"/>
    <w:rsid w:val="00164805"/>
    <w:rsid w:val="001652B5"/>
    <w:rsid w:val="001732B5"/>
    <w:rsid w:val="00197E3B"/>
    <w:rsid w:val="001A3872"/>
    <w:rsid w:val="001A5A04"/>
    <w:rsid w:val="001C0C0A"/>
    <w:rsid w:val="001D37B8"/>
    <w:rsid w:val="001F72C4"/>
    <w:rsid w:val="00284307"/>
    <w:rsid w:val="00286AAB"/>
    <w:rsid w:val="002B5B6B"/>
    <w:rsid w:val="002C18E5"/>
    <w:rsid w:val="002C1D31"/>
    <w:rsid w:val="002C4C08"/>
    <w:rsid w:val="002E11AC"/>
    <w:rsid w:val="002F2836"/>
    <w:rsid w:val="002F548E"/>
    <w:rsid w:val="002F728E"/>
    <w:rsid w:val="003040A2"/>
    <w:rsid w:val="0031057C"/>
    <w:rsid w:val="00310F44"/>
    <w:rsid w:val="003816FF"/>
    <w:rsid w:val="003922C1"/>
    <w:rsid w:val="003A12E3"/>
    <w:rsid w:val="003B4FFA"/>
    <w:rsid w:val="003C1966"/>
    <w:rsid w:val="003C68C8"/>
    <w:rsid w:val="003D107F"/>
    <w:rsid w:val="003E1FBC"/>
    <w:rsid w:val="003E6452"/>
    <w:rsid w:val="00436823"/>
    <w:rsid w:val="004402F2"/>
    <w:rsid w:val="00445D55"/>
    <w:rsid w:val="00455419"/>
    <w:rsid w:val="00480E34"/>
    <w:rsid w:val="00483000"/>
    <w:rsid w:val="004C026C"/>
    <w:rsid w:val="0051069B"/>
    <w:rsid w:val="00532599"/>
    <w:rsid w:val="0054170E"/>
    <w:rsid w:val="00567312"/>
    <w:rsid w:val="00577100"/>
    <w:rsid w:val="00593A98"/>
    <w:rsid w:val="00596598"/>
    <w:rsid w:val="005A0A62"/>
    <w:rsid w:val="005A34BE"/>
    <w:rsid w:val="005B29ED"/>
    <w:rsid w:val="005B79E7"/>
    <w:rsid w:val="005E0A72"/>
    <w:rsid w:val="005E6532"/>
    <w:rsid w:val="005F62FC"/>
    <w:rsid w:val="00601E89"/>
    <w:rsid w:val="00615B06"/>
    <w:rsid w:val="0063630C"/>
    <w:rsid w:val="0064358F"/>
    <w:rsid w:val="00644A0E"/>
    <w:rsid w:val="0065450B"/>
    <w:rsid w:val="006764C5"/>
    <w:rsid w:val="0068460B"/>
    <w:rsid w:val="00686E95"/>
    <w:rsid w:val="0069059C"/>
    <w:rsid w:val="006945CD"/>
    <w:rsid w:val="006A4026"/>
    <w:rsid w:val="006C1950"/>
    <w:rsid w:val="006C520E"/>
    <w:rsid w:val="006C5A54"/>
    <w:rsid w:val="006D2075"/>
    <w:rsid w:val="006E093F"/>
    <w:rsid w:val="006E4DFC"/>
    <w:rsid w:val="00711D5A"/>
    <w:rsid w:val="00727F99"/>
    <w:rsid w:val="0075086A"/>
    <w:rsid w:val="00761468"/>
    <w:rsid w:val="00764BE6"/>
    <w:rsid w:val="00764D09"/>
    <w:rsid w:val="00767C22"/>
    <w:rsid w:val="0077574E"/>
    <w:rsid w:val="0078180B"/>
    <w:rsid w:val="00785056"/>
    <w:rsid w:val="007C6609"/>
    <w:rsid w:val="007F5096"/>
    <w:rsid w:val="007F5716"/>
    <w:rsid w:val="008004C7"/>
    <w:rsid w:val="008104F7"/>
    <w:rsid w:val="00816EB7"/>
    <w:rsid w:val="008217E7"/>
    <w:rsid w:val="00821BC8"/>
    <w:rsid w:val="008233B9"/>
    <w:rsid w:val="00831C1C"/>
    <w:rsid w:val="008323DE"/>
    <w:rsid w:val="008452A5"/>
    <w:rsid w:val="00882872"/>
    <w:rsid w:val="00895CBB"/>
    <w:rsid w:val="0089764B"/>
    <w:rsid w:val="008A6085"/>
    <w:rsid w:val="008B4876"/>
    <w:rsid w:val="008C0168"/>
    <w:rsid w:val="008D746C"/>
    <w:rsid w:val="008F3D08"/>
    <w:rsid w:val="00926E30"/>
    <w:rsid w:val="00937FDB"/>
    <w:rsid w:val="009563BC"/>
    <w:rsid w:val="00956494"/>
    <w:rsid w:val="00966C5B"/>
    <w:rsid w:val="00971716"/>
    <w:rsid w:val="00985661"/>
    <w:rsid w:val="00993B0A"/>
    <w:rsid w:val="009A53C7"/>
    <w:rsid w:val="009B5048"/>
    <w:rsid w:val="009C1E0A"/>
    <w:rsid w:val="009C4EA1"/>
    <w:rsid w:val="009D6139"/>
    <w:rsid w:val="009E5BE7"/>
    <w:rsid w:val="009E79C2"/>
    <w:rsid w:val="00A1005C"/>
    <w:rsid w:val="00A25A51"/>
    <w:rsid w:val="00A3708B"/>
    <w:rsid w:val="00A37678"/>
    <w:rsid w:val="00A4009F"/>
    <w:rsid w:val="00A65D35"/>
    <w:rsid w:val="00AA54FE"/>
    <w:rsid w:val="00AB0F74"/>
    <w:rsid w:val="00AC4D03"/>
    <w:rsid w:val="00AD2908"/>
    <w:rsid w:val="00AD6E35"/>
    <w:rsid w:val="00AD7BB5"/>
    <w:rsid w:val="00AE13F2"/>
    <w:rsid w:val="00AE3D86"/>
    <w:rsid w:val="00AF3276"/>
    <w:rsid w:val="00AF3564"/>
    <w:rsid w:val="00B00800"/>
    <w:rsid w:val="00B0246E"/>
    <w:rsid w:val="00B0740C"/>
    <w:rsid w:val="00B07CBB"/>
    <w:rsid w:val="00B14093"/>
    <w:rsid w:val="00B16D58"/>
    <w:rsid w:val="00B24F1D"/>
    <w:rsid w:val="00B26A83"/>
    <w:rsid w:val="00B40798"/>
    <w:rsid w:val="00B511BF"/>
    <w:rsid w:val="00B77B5F"/>
    <w:rsid w:val="00B8140B"/>
    <w:rsid w:val="00B81B2B"/>
    <w:rsid w:val="00B8322D"/>
    <w:rsid w:val="00B835E4"/>
    <w:rsid w:val="00B8561C"/>
    <w:rsid w:val="00B90D6E"/>
    <w:rsid w:val="00B94A54"/>
    <w:rsid w:val="00BB23F3"/>
    <w:rsid w:val="00BB338D"/>
    <w:rsid w:val="00BB503E"/>
    <w:rsid w:val="00BB77E6"/>
    <w:rsid w:val="00BC17EA"/>
    <w:rsid w:val="00BC38F6"/>
    <w:rsid w:val="00BE3EA6"/>
    <w:rsid w:val="00C01FFB"/>
    <w:rsid w:val="00C060C2"/>
    <w:rsid w:val="00C072F5"/>
    <w:rsid w:val="00C23589"/>
    <w:rsid w:val="00C269EA"/>
    <w:rsid w:val="00C30D06"/>
    <w:rsid w:val="00C46B04"/>
    <w:rsid w:val="00C46FC2"/>
    <w:rsid w:val="00C513C1"/>
    <w:rsid w:val="00C535FA"/>
    <w:rsid w:val="00C53E4D"/>
    <w:rsid w:val="00C645C8"/>
    <w:rsid w:val="00C80338"/>
    <w:rsid w:val="00CB2253"/>
    <w:rsid w:val="00CB5AED"/>
    <w:rsid w:val="00CB7C35"/>
    <w:rsid w:val="00CC78A3"/>
    <w:rsid w:val="00CE1A6C"/>
    <w:rsid w:val="00CE3BCD"/>
    <w:rsid w:val="00CE6157"/>
    <w:rsid w:val="00CF3619"/>
    <w:rsid w:val="00D129B3"/>
    <w:rsid w:val="00D22A39"/>
    <w:rsid w:val="00D361DA"/>
    <w:rsid w:val="00D36D72"/>
    <w:rsid w:val="00D413A3"/>
    <w:rsid w:val="00D571BA"/>
    <w:rsid w:val="00D671A0"/>
    <w:rsid w:val="00D76388"/>
    <w:rsid w:val="00D80FB3"/>
    <w:rsid w:val="00D8351B"/>
    <w:rsid w:val="00D877A3"/>
    <w:rsid w:val="00D9220E"/>
    <w:rsid w:val="00DB49F4"/>
    <w:rsid w:val="00DB7939"/>
    <w:rsid w:val="00DC25EE"/>
    <w:rsid w:val="00DC3B24"/>
    <w:rsid w:val="00DC7546"/>
    <w:rsid w:val="00DD225D"/>
    <w:rsid w:val="00DE6717"/>
    <w:rsid w:val="00DF0D90"/>
    <w:rsid w:val="00DF2963"/>
    <w:rsid w:val="00DF3CAD"/>
    <w:rsid w:val="00E011F4"/>
    <w:rsid w:val="00E02543"/>
    <w:rsid w:val="00E10A4B"/>
    <w:rsid w:val="00E17B08"/>
    <w:rsid w:val="00E32BB6"/>
    <w:rsid w:val="00E37D96"/>
    <w:rsid w:val="00E41452"/>
    <w:rsid w:val="00E4531E"/>
    <w:rsid w:val="00E45424"/>
    <w:rsid w:val="00E47DCA"/>
    <w:rsid w:val="00E608E3"/>
    <w:rsid w:val="00E82F66"/>
    <w:rsid w:val="00E93C98"/>
    <w:rsid w:val="00EC08D2"/>
    <w:rsid w:val="00ED6C9B"/>
    <w:rsid w:val="00EF2ED6"/>
    <w:rsid w:val="00F073AE"/>
    <w:rsid w:val="00F22F35"/>
    <w:rsid w:val="00F367BF"/>
    <w:rsid w:val="00F37EAE"/>
    <w:rsid w:val="00F53A04"/>
    <w:rsid w:val="00F62501"/>
    <w:rsid w:val="00F66523"/>
    <w:rsid w:val="00F72705"/>
    <w:rsid w:val="00F75059"/>
    <w:rsid w:val="00F91012"/>
    <w:rsid w:val="00FA2E67"/>
    <w:rsid w:val="00FB048D"/>
    <w:rsid w:val="00FB1156"/>
    <w:rsid w:val="00FC5504"/>
    <w:rsid w:val="00FD66E2"/>
    <w:rsid w:val="00FD7E9B"/>
    <w:rsid w:val="00FF260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D8A49"/>
  <w15:docId w15:val="{BA7683D1-C579-4BC3-AC03-EF4876C9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8F6"/>
  </w:style>
  <w:style w:type="paragraph" w:styleId="Heading1">
    <w:name w:val="heading 1"/>
    <w:basedOn w:val="Normal"/>
    <w:next w:val="Normal"/>
    <w:link w:val="Heading1Char"/>
    <w:uiPriority w:val="9"/>
    <w:qFormat/>
    <w:rsid w:val="008104F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104F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104F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10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4F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104F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104F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10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4F7"/>
    <w:rPr>
      <w:rFonts w:eastAsiaTheme="majorEastAsia" w:cstheme="majorBidi"/>
      <w:color w:val="272727" w:themeColor="text1" w:themeTint="D8"/>
    </w:rPr>
  </w:style>
  <w:style w:type="paragraph" w:styleId="Title">
    <w:name w:val="Title"/>
    <w:basedOn w:val="Normal"/>
    <w:next w:val="Normal"/>
    <w:link w:val="TitleChar"/>
    <w:uiPriority w:val="10"/>
    <w:qFormat/>
    <w:rsid w:val="008104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04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104F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04F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104F7"/>
    <w:pPr>
      <w:spacing w:before="160"/>
      <w:jc w:val="center"/>
    </w:pPr>
    <w:rPr>
      <w:i/>
      <w:iCs/>
      <w:color w:val="404040" w:themeColor="text1" w:themeTint="BF"/>
    </w:rPr>
  </w:style>
  <w:style w:type="character" w:customStyle="1" w:styleId="QuoteChar">
    <w:name w:val="Quote Char"/>
    <w:basedOn w:val="DefaultParagraphFont"/>
    <w:link w:val="Quote"/>
    <w:uiPriority w:val="29"/>
    <w:rsid w:val="008104F7"/>
    <w:rPr>
      <w:i/>
      <w:iCs/>
      <w:color w:val="404040" w:themeColor="text1" w:themeTint="BF"/>
    </w:rPr>
  </w:style>
  <w:style w:type="paragraph" w:styleId="ListParagraph">
    <w:name w:val="List Paragraph"/>
    <w:basedOn w:val="Normal"/>
    <w:uiPriority w:val="34"/>
    <w:qFormat/>
    <w:rsid w:val="008104F7"/>
    <w:pPr>
      <w:ind w:left="720"/>
      <w:contextualSpacing/>
    </w:pPr>
  </w:style>
  <w:style w:type="character" w:styleId="IntenseEmphasis">
    <w:name w:val="Intense Emphasis"/>
    <w:basedOn w:val="DefaultParagraphFont"/>
    <w:uiPriority w:val="21"/>
    <w:qFormat/>
    <w:rsid w:val="008104F7"/>
    <w:rPr>
      <w:i/>
      <w:iCs/>
      <w:color w:val="0F4761" w:themeColor="accent1" w:themeShade="BF"/>
    </w:rPr>
  </w:style>
  <w:style w:type="paragraph" w:styleId="IntenseQuote">
    <w:name w:val="Intense Quote"/>
    <w:basedOn w:val="Normal"/>
    <w:next w:val="Normal"/>
    <w:link w:val="IntenseQuoteChar"/>
    <w:uiPriority w:val="30"/>
    <w:qFormat/>
    <w:rsid w:val="00810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4F7"/>
    <w:rPr>
      <w:i/>
      <w:iCs/>
      <w:color w:val="0F4761" w:themeColor="accent1" w:themeShade="BF"/>
    </w:rPr>
  </w:style>
  <w:style w:type="character" w:styleId="IntenseReference">
    <w:name w:val="Intense Reference"/>
    <w:basedOn w:val="DefaultParagraphFont"/>
    <w:uiPriority w:val="32"/>
    <w:qFormat/>
    <w:rsid w:val="008104F7"/>
    <w:rPr>
      <w:b/>
      <w:bCs/>
      <w:smallCaps/>
      <w:color w:val="0F4761" w:themeColor="accent1" w:themeShade="BF"/>
      <w:spacing w:val="5"/>
    </w:rPr>
  </w:style>
  <w:style w:type="paragraph" w:styleId="NormalWeb">
    <w:name w:val="Normal (Web)"/>
    <w:basedOn w:val="Normal"/>
    <w:uiPriority w:val="99"/>
    <w:semiHidden/>
    <w:unhideWhenUsed/>
    <w:rsid w:val="00532599"/>
    <w:rPr>
      <w:rFonts w:ascii="Times New Roman" w:hAnsi="Times New Roman" w:cs="Angsana New"/>
      <w:sz w:val="24"/>
      <w:szCs w:val="30"/>
    </w:rPr>
  </w:style>
  <w:style w:type="paragraph" w:styleId="Header">
    <w:name w:val="header"/>
    <w:basedOn w:val="Normal"/>
    <w:link w:val="HeaderChar"/>
    <w:uiPriority w:val="99"/>
    <w:unhideWhenUsed/>
    <w:rsid w:val="00480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E34"/>
  </w:style>
  <w:style w:type="paragraph" w:styleId="Footer">
    <w:name w:val="footer"/>
    <w:basedOn w:val="Normal"/>
    <w:link w:val="FooterChar"/>
    <w:uiPriority w:val="99"/>
    <w:unhideWhenUsed/>
    <w:rsid w:val="00480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E34"/>
  </w:style>
  <w:style w:type="character" w:styleId="Strong">
    <w:name w:val="Strong"/>
    <w:basedOn w:val="DefaultParagraphFont"/>
    <w:uiPriority w:val="22"/>
    <w:qFormat/>
    <w:rsid w:val="00B07CBB"/>
    <w:rPr>
      <w:b/>
      <w:bCs/>
    </w:rPr>
  </w:style>
  <w:style w:type="character" w:styleId="Hyperlink">
    <w:name w:val="Hyperlink"/>
    <w:basedOn w:val="DefaultParagraphFont"/>
    <w:uiPriority w:val="99"/>
    <w:unhideWhenUsed/>
    <w:rsid w:val="00BB338D"/>
    <w:rPr>
      <w:color w:val="467886" w:themeColor="hyperlink"/>
      <w:u w:val="single"/>
    </w:rPr>
  </w:style>
  <w:style w:type="character" w:customStyle="1" w:styleId="UnresolvedMention1">
    <w:name w:val="Unresolved Mention1"/>
    <w:basedOn w:val="DefaultParagraphFont"/>
    <w:uiPriority w:val="99"/>
    <w:semiHidden/>
    <w:unhideWhenUsed/>
    <w:rsid w:val="00BB338D"/>
    <w:rPr>
      <w:color w:val="605E5C"/>
      <w:shd w:val="clear" w:color="auto" w:fill="E1DFDD"/>
    </w:rPr>
  </w:style>
  <w:style w:type="character" w:styleId="FollowedHyperlink">
    <w:name w:val="FollowedHyperlink"/>
    <w:basedOn w:val="DefaultParagraphFont"/>
    <w:uiPriority w:val="99"/>
    <w:semiHidden/>
    <w:unhideWhenUsed/>
    <w:rsid w:val="006E4DFC"/>
    <w:rPr>
      <w:color w:val="96607D" w:themeColor="followedHyperlink"/>
      <w:u w:val="single"/>
    </w:rPr>
  </w:style>
  <w:style w:type="paragraph" w:customStyle="1" w:styleId="Default">
    <w:name w:val="Default"/>
    <w:rsid w:val="00C53E4D"/>
    <w:pPr>
      <w:autoSpaceDE w:val="0"/>
      <w:autoSpaceDN w:val="0"/>
      <w:adjustRightInd w:val="0"/>
      <w:spacing w:after="0" w:line="240" w:lineRule="auto"/>
    </w:pPr>
    <w:rPr>
      <w:rFonts w:ascii="Times New Roman" w:eastAsia="SimSun" w:hAnsi="Times New Roman" w:cs="Times New Roman"/>
      <w:color w:val="000000"/>
      <w:kern w:val="0"/>
      <w:sz w:val="24"/>
      <w:szCs w:val="24"/>
      <w:lang w:val="en-US" w:bidi="ar-SA"/>
    </w:rPr>
  </w:style>
  <w:style w:type="table" w:customStyle="1" w:styleId="GridTable5Dark-Accent41">
    <w:name w:val="Grid Table 5 Dark - Accent 41"/>
    <w:basedOn w:val="TableNormal"/>
    <w:uiPriority w:val="50"/>
    <w:rsid w:val="00926E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CommentReference">
    <w:name w:val="annotation reference"/>
    <w:basedOn w:val="DefaultParagraphFont"/>
    <w:uiPriority w:val="99"/>
    <w:semiHidden/>
    <w:unhideWhenUsed/>
    <w:rsid w:val="008452A5"/>
    <w:rPr>
      <w:sz w:val="16"/>
      <w:szCs w:val="16"/>
    </w:rPr>
  </w:style>
  <w:style w:type="paragraph" w:styleId="CommentText">
    <w:name w:val="annotation text"/>
    <w:basedOn w:val="Normal"/>
    <w:link w:val="CommentTextChar"/>
    <w:uiPriority w:val="99"/>
    <w:unhideWhenUsed/>
    <w:rsid w:val="008452A5"/>
    <w:pPr>
      <w:spacing w:line="240" w:lineRule="auto"/>
    </w:pPr>
    <w:rPr>
      <w:sz w:val="20"/>
      <w:szCs w:val="25"/>
    </w:rPr>
  </w:style>
  <w:style w:type="character" w:customStyle="1" w:styleId="CommentTextChar">
    <w:name w:val="Comment Text Char"/>
    <w:basedOn w:val="DefaultParagraphFont"/>
    <w:link w:val="CommentText"/>
    <w:uiPriority w:val="99"/>
    <w:rsid w:val="008452A5"/>
    <w:rPr>
      <w:sz w:val="20"/>
      <w:szCs w:val="25"/>
    </w:rPr>
  </w:style>
  <w:style w:type="paragraph" w:styleId="CommentSubject">
    <w:name w:val="annotation subject"/>
    <w:basedOn w:val="CommentText"/>
    <w:next w:val="CommentText"/>
    <w:link w:val="CommentSubjectChar"/>
    <w:uiPriority w:val="99"/>
    <w:semiHidden/>
    <w:unhideWhenUsed/>
    <w:rsid w:val="008452A5"/>
    <w:rPr>
      <w:b/>
      <w:bCs/>
    </w:rPr>
  </w:style>
  <w:style w:type="character" w:customStyle="1" w:styleId="CommentSubjectChar">
    <w:name w:val="Comment Subject Char"/>
    <w:basedOn w:val="CommentTextChar"/>
    <w:link w:val="CommentSubject"/>
    <w:uiPriority w:val="99"/>
    <w:semiHidden/>
    <w:rsid w:val="008452A5"/>
    <w:rPr>
      <w:b/>
      <w:bCs/>
      <w:sz w:val="20"/>
      <w:szCs w:val="25"/>
    </w:rPr>
  </w:style>
  <w:style w:type="paragraph" w:styleId="BalloonText">
    <w:name w:val="Balloon Text"/>
    <w:basedOn w:val="Normal"/>
    <w:link w:val="BalloonTextChar"/>
    <w:uiPriority w:val="99"/>
    <w:semiHidden/>
    <w:unhideWhenUsed/>
    <w:rsid w:val="006C5A54"/>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6C5A54"/>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 Type="http://schemas.openxmlformats.org/officeDocument/2006/relationships/styles" Target="styles.xml"/><Relationship Id="rId21" Type="http://schemas.microsoft.com/office/2014/relationships/chartEx" Target="charts/chartEx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5.xml"/><Relationship Id="rId25"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7.xml"/><Relationship Id="rId28" Type="http://schemas.openxmlformats.org/officeDocument/2006/relationships/header" Target="header7.xml"/><Relationship Id="rId10" Type="http://schemas.openxmlformats.org/officeDocument/2006/relationships/chart" Target="charts/chart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image" Target="media/image3.png"/><Relationship Id="rId27" Type="http://schemas.openxmlformats.org/officeDocument/2006/relationships/header" Target="header6.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15873d7197217917/Desktop/Book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15873D7197217917/Desktop/Book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d.docs.live.net/15873D7197217917/Dokumen/Book1.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d.docs.live.net/15873d7197217917/Desktop/Book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d.docs.live.net/15873d7197217917/Desktop/Book1.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https://d.docs.live.net/15873D7197217917/Desktop/Book1.xls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COLUMN CHART</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COTTON</c:v>
                </c:pt>
              </c:strCache>
            </c:strRef>
          </c:tx>
          <c:spPr>
            <a:gradFill rotWithShape="1">
              <a:gsLst>
                <a:gs pos="0">
                  <a:schemeClr val="accent2">
                    <a:shade val="65000"/>
                    <a:satMod val="103000"/>
                    <a:lumMod val="102000"/>
                    <a:tint val="94000"/>
                  </a:schemeClr>
                </a:gs>
                <a:gs pos="50000">
                  <a:schemeClr val="accent2">
                    <a:shade val="65000"/>
                    <a:satMod val="110000"/>
                    <a:lumMod val="100000"/>
                    <a:shade val="100000"/>
                  </a:schemeClr>
                </a:gs>
                <a:gs pos="100000">
                  <a:schemeClr val="accent2">
                    <a:shade val="65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Sheet1!$A$2:$A$5</c:f>
              <c:numCache>
                <c:formatCode>General</c:formatCode>
                <c:ptCount val="4"/>
                <c:pt idx="0">
                  <c:v>2020</c:v>
                </c:pt>
                <c:pt idx="1">
                  <c:v>2021</c:v>
                </c:pt>
                <c:pt idx="2">
                  <c:v>2022</c:v>
                </c:pt>
                <c:pt idx="3">
                  <c:v>2023</c:v>
                </c:pt>
              </c:numCache>
            </c:numRef>
          </c:cat>
          <c:val>
            <c:numRef>
              <c:f>Sheet1!$B$2:$B$5</c:f>
              <c:numCache>
                <c:formatCode>General</c:formatCode>
                <c:ptCount val="4"/>
                <c:pt idx="0">
                  <c:v>50</c:v>
                </c:pt>
                <c:pt idx="1">
                  <c:v>100</c:v>
                </c:pt>
                <c:pt idx="2">
                  <c:v>202</c:v>
                </c:pt>
                <c:pt idx="3">
                  <c:v>488</c:v>
                </c:pt>
              </c:numCache>
            </c:numRef>
          </c:val>
          <c:extLst>
            <c:ext xmlns:c16="http://schemas.microsoft.com/office/drawing/2014/chart" uri="{C3380CC4-5D6E-409C-BE32-E72D297353CC}">
              <c16:uniqueId val="{00000000-F3DF-4190-AFD5-140BE75F5455}"/>
            </c:ext>
          </c:extLst>
        </c:ser>
        <c:ser>
          <c:idx val="1"/>
          <c:order val="1"/>
          <c:tx>
            <c:strRef>
              <c:f>Sheet1!$C$1</c:f>
              <c:strCache>
                <c:ptCount val="1"/>
                <c:pt idx="0">
                  <c:v>WOOL</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Sheet1!$A$2:$A$5</c:f>
              <c:numCache>
                <c:formatCode>General</c:formatCode>
                <c:ptCount val="4"/>
                <c:pt idx="0">
                  <c:v>2020</c:v>
                </c:pt>
                <c:pt idx="1">
                  <c:v>2021</c:v>
                </c:pt>
                <c:pt idx="2">
                  <c:v>2022</c:v>
                </c:pt>
                <c:pt idx="3">
                  <c:v>2023</c:v>
                </c:pt>
              </c:numCache>
            </c:numRef>
          </c:cat>
          <c:val>
            <c:numRef>
              <c:f>Sheet1!$C$2:$C$5</c:f>
              <c:numCache>
                <c:formatCode>General</c:formatCode>
                <c:ptCount val="4"/>
                <c:pt idx="0">
                  <c:v>85</c:v>
                </c:pt>
                <c:pt idx="1">
                  <c:v>156</c:v>
                </c:pt>
                <c:pt idx="2">
                  <c:v>102</c:v>
                </c:pt>
                <c:pt idx="3">
                  <c:v>400</c:v>
                </c:pt>
              </c:numCache>
            </c:numRef>
          </c:val>
          <c:extLst>
            <c:ext xmlns:c16="http://schemas.microsoft.com/office/drawing/2014/chart" uri="{C3380CC4-5D6E-409C-BE32-E72D297353CC}">
              <c16:uniqueId val="{00000001-F3DF-4190-AFD5-140BE75F5455}"/>
            </c:ext>
          </c:extLst>
        </c:ser>
        <c:ser>
          <c:idx val="2"/>
          <c:order val="2"/>
          <c:tx>
            <c:strRef>
              <c:f>Sheet1!$D$1</c:f>
              <c:strCache>
                <c:ptCount val="1"/>
                <c:pt idx="0">
                  <c:v>SILK</c:v>
                </c:pt>
              </c:strCache>
            </c:strRef>
          </c:tx>
          <c:spPr>
            <a:gradFill rotWithShape="1">
              <a:gsLst>
                <a:gs pos="0">
                  <a:schemeClr val="accent2">
                    <a:tint val="65000"/>
                    <a:satMod val="103000"/>
                    <a:lumMod val="102000"/>
                    <a:tint val="94000"/>
                  </a:schemeClr>
                </a:gs>
                <a:gs pos="50000">
                  <a:schemeClr val="accent2">
                    <a:tint val="65000"/>
                    <a:satMod val="110000"/>
                    <a:lumMod val="100000"/>
                    <a:shade val="100000"/>
                  </a:schemeClr>
                </a:gs>
                <a:gs pos="100000">
                  <a:schemeClr val="accent2">
                    <a:tint val="65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Sheet1!$A$2:$A$5</c:f>
              <c:numCache>
                <c:formatCode>General</c:formatCode>
                <c:ptCount val="4"/>
                <c:pt idx="0">
                  <c:v>2020</c:v>
                </c:pt>
                <c:pt idx="1">
                  <c:v>2021</c:v>
                </c:pt>
                <c:pt idx="2">
                  <c:v>2022</c:v>
                </c:pt>
                <c:pt idx="3">
                  <c:v>2023</c:v>
                </c:pt>
              </c:numCache>
            </c:numRef>
          </c:cat>
          <c:val>
            <c:numRef>
              <c:f>Sheet1!$D$2:$D$5</c:f>
              <c:numCache>
                <c:formatCode>General</c:formatCode>
                <c:ptCount val="4"/>
                <c:pt idx="0">
                  <c:v>105</c:v>
                </c:pt>
                <c:pt idx="1">
                  <c:v>200</c:v>
                </c:pt>
                <c:pt idx="2">
                  <c:v>156</c:v>
                </c:pt>
                <c:pt idx="3">
                  <c:v>500</c:v>
                </c:pt>
              </c:numCache>
            </c:numRef>
          </c:val>
          <c:extLst>
            <c:ext xmlns:c16="http://schemas.microsoft.com/office/drawing/2014/chart" uri="{C3380CC4-5D6E-409C-BE32-E72D297353CC}">
              <c16:uniqueId val="{00000002-F3DF-4190-AFD5-140BE75F5455}"/>
            </c:ext>
          </c:extLst>
        </c:ser>
        <c:dLbls>
          <c:showLegendKey val="0"/>
          <c:showVal val="1"/>
          <c:showCatName val="0"/>
          <c:showSerName val="0"/>
          <c:showPercent val="0"/>
          <c:showBubbleSize val="0"/>
        </c:dLbls>
        <c:gapWidth val="100"/>
        <c:overlap val="-24"/>
        <c:axId val="123725696"/>
        <c:axId val="124067840"/>
      </c:barChart>
      <c:catAx>
        <c:axId val="12372569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4067840"/>
        <c:crosses val="autoZero"/>
        <c:auto val="1"/>
        <c:lblAlgn val="ctr"/>
        <c:lblOffset val="100"/>
        <c:noMultiLvlLbl val="0"/>
      </c:catAx>
      <c:valAx>
        <c:axId val="12406784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3725696"/>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BAR</a:t>
            </a:r>
            <a:r>
              <a:rPr lang="en-IN" baseline="0"/>
              <a:t> GRAPH</a:t>
            </a:r>
            <a:endParaRPr lang="en-IN"/>
          </a:p>
        </c:rich>
      </c:tx>
      <c:overlay val="0"/>
      <c:spPr>
        <a:noFill/>
        <a:ln>
          <a:noFill/>
        </a:ln>
        <a:effectLst/>
      </c:spPr>
    </c:title>
    <c:autoTitleDeleted val="0"/>
    <c:plotArea>
      <c:layout/>
      <c:barChart>
        <c:barDir val="bar"/>
        <c:grouping val="clustered"/>
        <c:varyColors val="0"/>
        <c:ser>
          <c:idx val="0"/>
          <c:order val="0"/>
          <c:tx>
            <c:strRef>
              <c:f>Sheet1!$B$1</c:f>
              <c:strCache>
                <c:ptCount val="1"/>
                <c:pt idx="0">
                  <c:v>2022</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Grape</c:v>
                </c:pt>
                <c:pt idx="1">
                  <c:v>Banana</c:v>
                </c:pt>
                <c:pt idx="2">
                  <c:v>Blueberry</c:v>
                </c:pt>
                <c:pt idx="3">
                  <c:v>Orange</c:v>
                </c:pt>
              </c:strCache>
            </c:strRef>
          </c:cat>
          <c:val>
            <c:numRef>
              <c:f>Sheet1!$B$2:$B$5</c:f>
              <c:numCache>
                <c:formatCode>General</c:formatCode>
                <c:ptCount val="4"/>
                <c:pt idx="0">
                  <c:v>6048</c:v>
                </c:pt>
                <c:pt idx="1">
                  <c:v>5975</c:v>
                </c:pt>
                <c:pt idx="2">
                  <c:v>5315</c:v>
                </c:pt>
                <c:pt idx="3">
                  <c:v>4988</c:v>
                </c:pt>
              </c:numCache>
            </c:numRef>
          </c:val>
          <c:extLst>
            <c:ext xmlns:c16="http://schemas.microsoft.com/office/drawing/2014/chart" uri="{C3380CC4-5D6E-409C-BE32-E72D297353CC}">
              <c16:uniqueId val="{00000000-C900-4E58-A141-EFA0F73B4C81}"/>
            </c:ext>
          </c:extLst>
        </c:ser>
        <c:ser>
          <c:idx val="1"/>
          <c:order val="1"/>
          <c:tx>
            <c:strRef>
              <c:f>Sheet1!$C$1</c:f>
              <c:strCache>
                <c:ptCount val="1"/>
                <c:pt idx="0">
                  <c:v>2023</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Grape</c:v>
                </c:pt>
                <c:pt idx="1">
                  <c:v>Banana</c:v>
                </c:pt>
                <c:pt idx="2">
                  <c:v>Blueberry</c:v>
                </c:pt>
                <c:pt idx="3">
                  <c:v>Orange</c:v>
                </c:pt>
              </c:strCache>
            </c:strRef>
          </c:cat>
          <c:val>
            <c:numRef>
              <c:f>Sheet1!$C$2:$C$5</c:f>
              <c:numCache>
                <c:formatCode>General</c:formatCode>
                <c:ptCount val="4"/>
                <c:pt idx="0">
                  <c:v>5586</c:v>
                </c:pt>
                <c:pt idx="1">
                  <c:v>2133</c:v>
                </c:pt>
                <c:pt idx="2">
                  <c:v>5689</c:v>
                </c:pt>
                <c:pt idx="3">
                  <c:v>2246</c:v>
                </c:pt>
              </c:numCache>
            </c:numRef>
          </c:val>
          <c:extLst>
            <c:ext xmlns:c16="http://schemas.microsoft.com/office/drawing/2014/chart" uri="{C3380CC4-5D6E-409C-BE32-E72D297353CC}">
              <c16:uniqueId val="{00000001-C900-4E58-A141-EFA0F73B4C81}"/>
            </c:ext>
          </c:extLst>
        </c:ser>
        <c:ser>
          <c:idx val="2"/>
          <c:order val="2"/>
          <c:tx>
            <c:strRef>
              <c:f>Sheet1!$D$1</c:f>
              <c:strCache>
                <c:ptCount val="1"/>
                <c:pt idx="0">
                  <c:v>2024</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Grape</c:v>
                </c:pt>
                <c:pt idx="1">
                  <c:v>Banana</c:v>
                </c:pt>
                <c:pt idx="2">
                  <c:v>Blueberry</c:v>
                </c:pt>
                <c:pt idx="3">
                  <c:v>Orange</c:v>
                </c:pt>
              </c:strCache>
            </c:strRef>
          </c:cat>
          <c:val>
            <c:numRef>
              <c:f>Sheet1!$D$2:$D$5</c:f>
              <c:numCache>
                <c:formatCode>General</c:formatCode>
                <c:ptCount val="4"/>
                <c:pt idx="0">
                  <c:v>4888</c:v>
                </c:pt>
                <c:pt idx="1">
                  <c:v>4869</c:v>
                </c:pt>
                <c:pt idx="2">
                  <c:v>4601</c:v>
                </c:pt>
                <c:pt idx="3">
                  <c:v>2246</c:v>
                </c:pt>
              </c:numCache>
            </c:numRef>
          </c:val>
          <c:extLst>
            <c:ext xmlns:c16="http://schemas.microsoft.com/office/drawing/2014/chart" uri="{C3380CC4-5D6E-409C-BE32-E72D297353CC}">
              <c16:uniqueId val="{00000002-C900-4E58-A141-EFA0F73B4C81}"/>
            </c:ext>
          </c:extLst>
        </c:ser>
        <c:dLbls>
          <c:showLegendKey val="0"/>
          <c:showVal val="1"/>
          <c:showCatName val="0"/>
          <c:showSerName val="0"/>
          <c:showPercent val="0"/>
          <c:showBubbleSize val="0"/>
        </c:dLbls>
        <c:gapWidth val="182"/>
        <c:axId val="124630528"/>
        <c:axId val="124632064"/>
      </c:barChart>
      <c:catAx>
        <c:axId val="1246305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632064"/>
        <c:crosses val="autoZero"/>
        <c:auto val="1"/>
        <c:lblAlgn val="ctr"/>
        <c:lblOffset val="100"/>
        <c:noMultiLvlLbl val="0"/>
      </c:catAx>
      <c:valAx>
        <c:axId val="1246320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630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SURFACE</a:t>
            </a:r>
            <a:r>
              <a:rPr lang="en-IN" baseline="0"/>
              <a:t> CHART</a:t>
            </a:r>
            <a:endParaRPr lang="en-IN"/>
          </a:p>
        </c:rich>
      </c:tx>
      <c:overlay val="0"/>
      <c:spPr>
        <a:noFill/>
        <a:ln>
          <a:noFill/>
        </a:ln>
        <a:effectLst/>
      </c:sp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surface3DChart>
        <c:wireframe val="0"/>
        <c:ser>
          <c:idx val="0"/>
          <c:order val="0"/>
          <c:tx>
            <c:strRef>
              <c:f>Sheet5!$A$2</c:f>
              <c:strCache>
                <c:ptCount val="1"/>
                <c:pt idx="0">
                  <c:v>Harrier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effectLst>
              <a:outerShdw blurRad="57150" dist="19050" dir="5400000" algn="ctr" rotWithShape="0">
                <a:srgbClr val="000000">
                  <a:alpha val="63000"/>
                </a:srgbClr>
              </a:outerShdw>
            </a:effectLst>
            <a:sp3d/>
          </c:spPr>
          <c:cat>
            <c:numRef>
              <c:f>Sheet5!$B$1:$E$1</c:f>
              <c:numCache>
                <c:formatCode>mmm/yy</c:formatCode>
                <c:ptCount val="4"/>
                <c:pt idx="0">
                  <c:v>44501</c:v>
                </c:pt>
                <c:pt idx="1">
                  <c:v>44531</c:v>
                </c:pt>
                <c:pt idx="2">
                  <c:v>44562</c:v>
                </c:pt>
                <c:pt idx="3">
                  <c:v>44593</c:v>
                </c:pt>
              </c:numCache>
            </c:numRef>
          </c:cat>
          <c:val>
            <c:numRef>
              <c:f>Sheet5!$B$2:$E$2</c:f>
              <c:numCache>
                <c:formatCode>General</c:formatCode>
                <c:ptCount val="4"/>
                <c:pt idx="0">
                  <c:v>2607</c:v>
                </c:pt>
                <c:pt idx="1">
                  <c:v>2234</c:v>
                </c:pt>
                <c:pt idx="2">
                  <c:v>2702</c:v>
                </c:pt>
                <c:pt idx="3">
                  <c:v>2619</c:v>
                </c:pt>
              </c:numCache>
            </c:numRef>
          </c:val>
          <c:extLst>
            <c:ext xmlns:c16="http://schemas.microsoft.com/office/drawing/2014/chart" uri="{C3380CC4-5D6E-409C-BE32-E72D297353CC}">
              <c16:uniqueId val="{00000000-4104-40D5-9CA2-95932979D541}"/>
            </c:ext>
          </c:extLst>
        </c:ser>
        <c:ser>
          <c:idx val="1"/>
          <c:order val="1"/>
          <c:tx>
            <c:strRef>
              <c:f>Sheet5!$A$3</c:f>
              <c:strCache>
                <c:ptCount val="1"/>
                <c:pt idx="0">
                  <c:v>Nexon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effectLst>
              <a:outerShdw blurRad="57150" dist="19050" dir="5400000" algn="ctr" rotWithShape="0">
                <a:srgbClr val="000000">
                  <a:alpha val="63000"/>
                </a:srgbClr>
              </a:outerShdw>
            </a:effectLst>
            <a:sp3d/>
          </c:spPr>
          <c:cat>
            <c:numRef>
              <c:f>Sheet5!$B$1:$E$1</c:f>
              <c:numCache>
                <c:formatCode>mmm/yy</c:formatCode>
                <c:ptCount val="4"/>
                <c:pt idx="0">
                  <c:v>44501</c:v>
                </c:pt>
                <c:pt idx="1">
                  <c:v>44531</c:v>
                </c:pt>
                <c:pt idx="2">
                  <c:v>44562</c:v>
                </c:pt>
                <c:pt idx="3">
                  <c:v>44593</c:v>
                </c:pt>
              </c:numCache>
            </c:numRef>
          </c:cat>
          <c:val>
            <c:numRef>
              <c:f>Sheet5!$B$3:$E$3</c:f>
              <c:numCache>
                <c:formatCode>General</c:formatCode>
                <c:ptCount val="4"/>
                <c:pt idx="0">
                  <c:v>9831</c:v>
                </c:pt>
                <c:pt idx="1">
                  <c:v>12899</c:v>
                </c:pt>
                <c:pt idx="2">
                  <c:v>13816</c:v>
                </c:pt>
                <c:pt idx="3">
                  <c:v>12259</c:v>
                </c:pt>
              </c:numCache>
            </c:numRef>
          </c:val>
          <c:extLst>
            <c:ext xmlns:c16="http://schemas.microsoft.com/office/drawing/2014/chart" uri="{C3380CC4-5D6E-409C-BE32-E72D297353CC}">
              <c16:uniqueId val="{00000001-4104-40D5-9CA2-95932979D541}"/>
            </c:ext>
          </c:extLst>
        </c:ser>
        <c:ser>
          <c:idx val="2"/>
          <c:order val="2"/>
          <c:tx>
            <c:strRef>
              <c:f>Sheet5!$A$4</c:f>
              <c:strCache>
                <c:ptCount val="1"/>
                <c:pt idx="0">
                  <c:v>Tiago</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effectLst>
              <a:outerShdw blurRad="57150" dist="19050" dir="5400000" algn="ctr" rotWithShape="0">
                <a:srgbClr val="000000">
                  <a:alpha val="63000"/>
                </a:srgbClr>
              </a:outerShdw>
            </a:effectLst>
            <a:sp3d/>
          </c:spPr>
          <c:cat>
            <c:numRef>
              <c:f>Sheet5!$B$1:$E$1</c:f>
              <c:numCache>
                <c:formatCode>mmm/yy</c:formatCode>
                <c:ptCount val="4"/>
                <c:pt idx="0">
                  <c:v>44501</c:v>
                </c:pt>
                <c:pt idx="1">
                  <c:v>44531</c:v>
                </c:pt>
                <c:pt idx="2">
                  <c:v>44562</c:v>
                </c:pt>
                <c:pt idx="3">
                  <c:v>44593</c:v>
                </c:pt>
              </c:numCache>
            </c:numRef>
          </c:cat>
          <c:val>
            <c:numRef>
              <c:f>Sheet5!$B$4:$E$4</c:f>
              <c:numCache>
                <c:formatCode>General</c:formatCode>
                <c:ptCount val="4"/>
                <c:pt idx="0">
                  <c:v>4998</c:v>
                </c:pt>
                <c:pt idx="1">
                  <c:v>3675</c:v>
                </c:pt>
                <c:pt idx="2">
                  <c:v>5195</c:v>
                </c:pt>
                <c:pt idx="3">
                  <c:v>4489</c:v>
                </c:pt>
              </c:numCache>
            </c:numRef>
          </c:val>
          <c:extLst>
            <c:ext xmlns:c16="http://schemas.microsoft.com/office/drawing/2014/chart" uri="{C3380CC4-5D6E-409C-BE32-E72D297353CC}">
              <c16:uniqueId val="{00000002-4104-40D5-9CA2-95932979D541}"/>
            </c:ext>
          </c:extLst>
        </c:ser>
        <c:ser>
          <c:idx val="3"/>
          <c:order val="3"/>
          <c:tx>
            <c:strRef>
              <c:f>Sheet5!$A$5</c:f>
              <c:strCache>
                <c:ptCount val="1"/>
                <c:pt idx="0">
                  <c:v>Altroz</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effectLst>
              <a:outerShdw blurRad="57150" dist="19050" dir="5400000" algn="ctr" rotWithShape="0">
                <a:srgbClr val="000000">
                  <a:alpha val="63000"/>
                </a:srgbClr>
              </a:outerShdw>
            </a:effectLst>
            <a:sp3d/>
          </c:spPr>
          <c:cat>
            <c:numRef>
              <c:f>Sheet5!$B$1:$E$1</c:f>
              <c:numCache>
                <c:formatCode>mmm/yy</c:formatCode>
                <c:ptCount val="4"/>
                <c:pt idx="0">
                  <c:v>44501</c:v>
                </c:pt>
                <c:pt idx="1">
                  <c:v>44531</c:v>
                </c:pt>
                <c:pt idx="2">
                  <c:v>44562</c:v>
                </c:pt>
                <c:pt idx="3">
                  <c:v>44593</c:v>
                </c:pt>
              </c:numCache>
            </c:numRef>
          </c:cat>
          <c:val>
            <c:numRef>
              <c:f>Sheet5!$B$5:$E$5</c:f>
              <c:numCache>
                <c:formatCode>General</c:formatCode>
                <c:ptCount val="4"/>
                <c:pt idx="0">
                  <c:v>3025</c:v>
                </c:pt>
                <c:pt idx="1">
                  <c:v>5009</c:v>
                </c:pt>
                <c:pt idx="2">
                  <c:v>4525</c:v>
                </c:pt>
                <c:pt idx="3">
                  <c:v>5011</c:v>
                </c:pt>
              </c:numCache>
            </c:numRef>
          </c:val>
          <c:extLst>
            <c:ext xmlns:c16="http://schemas.microsoft.com/office/drawing/2014/chart" uri="{C3380CC4-5D6E-409C-BE32-E72D297353CC}">
              <c16:uniqueId val="{00000003-4104-40D5-9CA2-95932979D541}"/>
            </c:ext>
          </c:extLst>
        </c:ser>
        <c:ser>
          <c:idx val="4"/>
          <c:order val="4"/>
          <c:tx>
            <c:strRef>
              <c:f>Sheet5!$A$6</c:f>
              <c:strCache>
                <c:ptCount val="1"/>
                <c:pt idx="0">
                  <c:v>Tigor</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effectLst>
              <a:outerShdw blurRad="57150" dist="19050" dir="5400000" algn="ctr" rotWithShape="0">
                <a:srgbClr val="000000">
                  <a:alpha val="63000"/>
                </a:srgbClr>
              </a:outerShdw>
            </a:effectLst>
            <a:sp3d/>
          </c:spPr>
          <c:cat>
            <c:numRef>
              <c:f>Sheet5!$B$1:$E$1</c:f>
              <c:numCache>
                <c:formatCode>mmm/yy</c:formatCode>
                <c:ptCount val="4"/>
                <c:pt idx="0">
                  <c:v>44501</c:v>
                </c:pt>
                <c:pt idx="1">
                  <c:v>44531</c:v>
                </c:pt>
                <c:pt idx="2">
                  <c:v>44562</c:v>
                </c:pt>
                <c:pt idx="3">
                  <c:v>44593</c:v>
                </c:pt>
              </c:numCache>
            </c:numRef>
          </c:cat>
          <c:val>
            <c:numRef>
              <c:f>Sheet5!$B$6:$E$6</c:f>
              <c:numCache>
                <c:formatCode>General</c:formatCode>
                <c:ptCount val="4"/>
                <c:pt idx="0">
                  <c:v>1785</c:v>
                </c:pt>
                <c:pt idx="1">
                  <c:v>1994</c:v>
                </c:pt>
                <c:pt idx="2">
                  <c:v>2594</c:v>
                </c:pt>
                <c:pt idx="3">
                  <c:v>4091</c:v>
                </c:pt>
              </c:numCache>
            </c:numRef>
          </c:val>
          <c:extLst>
            <c:ext xmlns:c16="http://schemas.microsoft.com/office/drawing/2014/chart" uri="{C3380CC4-5D6E-409C-BE32-E72D297353CC}">
              <c16:uniqueId val="{00000004-4104-40D5-9CA2-95932979D541}"/>
            </c:ext>
          </c:extLst>
        </c:ser>
        <c:ser>
          <c:idx val="5"/>
          <c:order val="5"/>
          <c:tx>
            <c:strRef>
              <c:f>Sheet5!$A$7</c:f>
              <c:strCache>
                <c:ptCount val="1"/>
                <c:pt idx="0">
                  <c:v>Safari</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effectLst>
              <a:outerShdw blurRad="57150" dist="19050" dir="5400000" algn="ctr" rotWithShape="0">
                <a:srgbClr val="000000">
                  <a:alpha val="63000"/>
                </a:srgbClr>
              </a:outerShdw>
            </a:effectLst>
            <a:sp3d/>
          </c:spPr>
          <c:cat>
            <c:numRef>
              <c:f>Sheet5!$B$1:$E$1</c:f>
              <c:numCache>
                <c:formatCode>mmm/yy</c:formatCode>
                <c:ptCount val="4"/>
                <c:pt idx="0">
                  <c:v>44501</c:v>
                </c:pt>
                <c:pt idx="1">
                  <c:v>44531</c:v>
                </c:pt>
                <c:pt idx="2">
                  <c:v>44562</c:v>
                </c:pt>
                <c:pt idx="3">
                  <c:v>44593</c:v>
                </c:pt>
              </c:numCache>
            </c:numRef>
          </c:cat>
          <c:val>
            <c:numRef>
              <c:f>Sheet5!$B$7:$E$7</c:f>
              <c:numCache>
                <c:formatCode>General</c:formatCode>
                <c:ptCount val="4"/>
                <c:pt idx="0">
                  <c:v>1424</c:v>
                </c:pt>
                <c:pt idx="1">
                  <c:v>1481</c:v>
                </c:pt>
                <c:pt idx="2">
                  <c:v>1563</c:v>
                </c:pt>
                <c:pt idx="3">
                  <c:v>1919</c:v>
                </c:pt>
              </c:numCache>
            </c:numRef>
          </c:val>
          <c:extLst>
            <c:ext xmlns:c16="http://schemas.microsoft.com/office/drawing/2014/chart" uri="{C3380CC4-5D6E-409C-BE32-E72D297353CC}">
              <c16:uniqueId val="{00000005-4104-40D5-9CA2-95932979D541}"/>
            </c:ext>
          </c:extLst>
        </c:ser>
        <c:ser>
          <c:idx val="6"/>
          <c:order val="6"/>
          <c:tx>
            <c:strRef>
              <c:f>Sheet5!$A$8</c:f>
              <c:strCache>
                <c:ptCount val="1"/>
                <c:pt idx="0">
                  <c:v>Punch</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effectLst>
              <a:outerShdw blurRad="57150" dist="19050" dir="5400000" algn="ctr" rotWithShape="0">
                <a:srgbClr val="000000">
                  <a:alpha val="63000"/>
                </a:srgbClr>
              </a:outerShdw>
            </a:effectLst>
            <a:sp3d/>
          </c:spPr>
          <c:cat>
            <c:numRef>
              <c:f>Sheet5!$B$1:$E$1</c:f>
              <c:numCache>
                <c:formatCode>mmm/yy</c:formatCode>
                <c:ptCount val="4"/>
                <c:pt idx="0">
                  <c:v>44501</c:v>
                </c:pt>
                <c:pt idx="1">
                  <c:v>44531</c:v>
                </c:pt>
                <c:pt idx="2">
                  <c:v>44562</c:v>
                </c:pt>
                <c:pt idx="3">
                  <c:v>44593</c:v>
                </c:pt>
              </c:numCache>
            </c:numRef>
          </c:cat>
          <c:val>
            <c:numRef>
              <c:f>Sheet5!$B$8:$E$8</c:f>
              <c:numCache>
                <c:formatCode>General</c:formatCode>
                <c:ptCount val="4"/>
                <c:pt idx="0">
                  <c:v>6110</c:v>
                </c:pt>
                <c:pt idx="1">
                  <c:v>8008</c:v>
                </c:pt>
                <c:pt idx="2">
                  <c:v>10027</c:v>
                </c:pt>
                <c:pt idx="3">
                  <c:v>9592</c:v>
                </c:pt>
              </c:numCache>
            </c:numRef>
          </c:val>
          <c:extLst>
            <c:ext xmlns:c16="http://schemas.microsoft.com/office/drawing/2014/chart" uri="{C3380CC4-5D6E-409C-BE32-E72D297353CC}">
              <c16:uniqueId val="{00000006-4104-40D5-9CA2-95932979D541}"/>
            </c:ext>
          </c:extLst>
        </c:ser>
        <c:bandFmts/>
        <c:axId val="132265088"/>
        <c:axId val="132266624"/>
        <c:axId val="123526208"/>
      </c:surface3DChart>
      <c:catAx>
        <c:axId val="132265088"/>
        <c:scaling>
          <c:orientation val="minMax"/>
        </c:scaling>
        <c:delete val="0"/>
        <c:axPos val="b"/>
        <c:numFmt formatCode="mmm/yy" sourceLinked="1"/>
        <c:majorTickMark val="out"/>
        <c:minorTickMark val="none"/>
        <c:tickLblPos val="nextTo"/>
        <c:spPr>
          <a:noFill/>
          <a:ln w="9525" cap="flat" cmpd="sng" algn="ctr">
            <a:solidFill>
              <a:schemeClr val="dk1">
                <a:lumMod val="50000"/>
                <a:lumOff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266624"/>
        <c:crosses val="autoZero"/>
        <c:auto val="1"/>
        <c:lblAlgn val="ctr"/>
        <c:lblOffset val="100"/>
        <c:noMultiLvlLbl val="0"/>
      </c:catAx>
      <c:valAx>
        <c:axId val="132266624"/>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265088"/>
        <c:crosses val="autoZero"/>
        <c:crossBetween val="midCat"/>
      </c:valAx>
      <c:serAx>
        <c:axId val="123526208"/>
        <c:scaling>
          <c:orientation val="minMax"/>
        </c:scaling>
        <c:delete val="0"/>
        <c:axPos val="b"/>
        <c:majorTickMark val="out"/>
        <c:minorTickMark val="none"/>
        <c:tickLblPos val="nextTo"/>
        <c:spPr>
          <a:noFill/>
          <a:ln w="9525" cap="flat" cmpd="sng" algn="ctr">
            <a:solidFill>
              <a:schemeClr val="dk1">
                <a:lumMod val="50000"/>
                <a:lumOff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266624"/>
        <c:crosses val="autoZero"/>
      </c:serAx>
      <c:spPr>
        <a:noFill/>
        <a:ln>
          <a:noFill/>
        </a:ln>
        <a:effectLst/>
      </c:spPr>
    </c:plotArea>
    <c:legend>
      <c:legendPos val="b"/>
      <c:legendEntry>
        <c:idx val="0"/>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n-US"/>
          </a:p>
        </c:txPr>
      </c:legendEntry>
      <c:legendEntry>
        <c:idx val="1"/>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LINE CHART</a:t>
            </a:r>
          </a:p>
        </c:rich>
      </c:tx>
      <c:overlay val="0"/>
      <c:spPr>
        <a:noFill/>
        <a:ln>
          <a:noFill/>
        </a:ln>
        <a:effectLst/>
      </c:spPr>
    </c:title>
    <c:autoTitleDeleted val="0"/>
    <c:plotArea>
      <c:layout/>
      <c:lineChart>
        <c:grouping val="standard"/>
        <c:varyColors val="0"/>
        <c:ser>
          <c:idx val="0"/>
          <c:order val="0"/>
          <c:tx>
            <c:strRef>
              <c:f>Sheet10!$B$1</c:f>
              <c:strCache>
                <c:ptCount val="1"/>
                <c:pt idx="0">
                  <c:v>Profit Margin (%)</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Sheet10!$A$2:$A$6</c:f>
              <c:strCache>
                <c:ptCount val="5"/>
                <c:pt idx="0">
                  <c:v>Jan</c:v>
                </c:pt>
                <c:pt idx="1">
                  <c:v>Feb</c:v>
                </c:pt>
                <c:pt idx="2">
                  <c:v>Mar</c:v>
                </c:pt>
                <c:pt idx="3">
                  <c:v>Apr</c:v>
                </c:pt>
                <c:pt idx="4">
                  <c:v>May</c:v>
                </c:pt>
              </c:strCache>
            </c:strRef>
          </c:cat>
          <c:val>
            <c:numRef>
              <c:f>Sheet10!$B$2:$B$6</c:f>
              <c:numCache>
                <c:formatCode>0%</c:formatCode>
                <c:ptCount val="5"/>
                <c:pt idx="0">
                  <c:v>0.15000000000000005</c:v>
                </c:pt>
                <c:pt idx="1">
                  <c:v>0.12000000000000002</c:v>
                </c:pt>
                <c:pt idx="2">
                  <c:v>8.0000000000000029E-2</c:v>
                </c:pt>
                <c:pt idx="3">
                  <c:v>0.14000000000000001</c:v>
                </c:pt>
                <c:pt idx="4">
                  <c:v>0.16</c:v>
                </c:pt>
              </c:numCache>
            </c:numRef>
          </c:val>
          <c:smooth val="0"/>
          <c:extLst>
            <c:ext xmlns:c16="http://schemas.microsoft.com/office/drawing/2014/chart" uri="{C3380CC4-5D6E-409C-BE32-E72D297353CC}">
              <c16:uniqueId val="{00000000-55DD-426E-A754-02AD4156C740}"/>
            </c:ext>
          </c:extLst>
        </c:ser>
        <c:dLbls>
          <c:showLegendKey val="0"/>
          <c:showVal val="1"/>
          <c:showCatName val="0"/>
          <c:showSerName val="0"/>
          <c:showPercent val="0"/>
          <c:showBubbleSize val="0"/>
        </c:dLbls>
        <c:marker val="1"/>
        <c:smooth val="0"/>
        <c:axId val="132300160"/>
        <c:axId val="132306048"/>
      </c:lineChart>
      <c:lineChart>
        <c:grouping val="standard"/>
        <c:varyColors val="0"/>
        <c:ser>
          <c:idx val="1"/>
          <c:order val="1"/>
          <c:tx>
            <c:strRef>
              <c:f>Sheet10!$C$1</c:f>
              <c:strCache>
                <c:ptCount val="1"/>
                <c:pt idx="0">
                  <c:v>Sales Volume (Units)</c:v>
                </c:pt>
              </c:strCache>
            </c:strRef>
          </c:tx>
          <c:spPr>
            <a:ln w="34925" cap="rnd">
              <a:solidFill>
                <a:srgbClr val="FFFF00"/>
              </a:solidFill>
              <a:round/>
            </a:ln>
            <a:effectLst>
              <a:outerShdw blurRad="57150" dist="19050" dir="5400000" algn="ctr" rotWithShape="0">
                <a:srgbClr val="000000">
                  <a:alpha val="63000"/>
                </a:srgbClr>
              </a:outerShdw>
            </a:effectLst>
          </c:spPr>
          <c:marker>
            <c:symbol val="none"/>
          </c:marker>
          <c:dPt>
            <c:idx val="4"/>
            <c:bubble3D val="0"/>
            <c:extLst>
              <c:ext xmlns:c16="http://schemas.microsoft.com/office/drawing/2014/chart" uri="{C3380CC4-5D6E-409C-BE32-E72D297353CC}">
                <c16:uniqueId val="{00000000-F747-4B07-995E-D858A6FF6EC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Sheet10!$A$2:$A$6</c:f>
              <c:strCache>
                <c:ptCount val="5"/>
                <c:pt idx="0">
                  <c:v>Jan</c:v>
                </c:pt>
                <c:pt idx="1">
                  <c:v>Feb</c:v>
                </c:pt>
                <c:pt idx="2">
                  <c:v>Mar</c:v>
                </c:pt>
                <c:pt idx="3">
                  <c:v>Apr</c:v>
                </c:pt>
                <c:pt idx="4">
                  <c:v>May</c:v>
                </c:pt>
              </c:strCache>
            </c:strRef>
          </c:cat>
          <c:val>
            <c:numRef>
              <c:f>Sheet10!$C$2:$C$6</c:f>
              <c:numCache>
                <c:formatCode>#,##0</c:formatCode>
                <c:ptCount val="5"/>
                <c:pt idx="0">
                  <c:v>10000</c:v>
                </c:pt>
                <c:pt idx="1">
                  <c:v>15000</c:v>
                </c:pt>
                <c:pt idx="2">
                  <c:v>25000</c:v>
                </c:pt>
                <c:pt idx="3">
                  <c:v>18000</c:v>
                </c:pt>
                <c:pt idx="4">
                  <c:v>12500</c:v>
                </c:pt>
              </c:numCache>
            </c:numRef>
          </c:val>
          <c:smooth val="0"/>
          <c:extLst>
            <c:ext xmlns:c16="http://schemas.microsoft.com/office/drawing/2014/chart" uri="{C3380CC4-5D6E-409C-BE32-E72D297353CC}">
              <c16:uniqueId val="{00000001-55DD-426E-A754-02AD4156C740}"/>
            </c:ext>
          </c:extLst>
        </c:ser>
        <c:dLbls>
          <c:showLegendKey val="0"/>
          <c:showVal val="1"/>
          <c:showCatName val="0"/>
          <c:showSerName val="0"/>
          <c:showPercent val="0"/>
          <c:showBubbleSize val="0"/>
        </c:dLbls>
        <c:marker val="1"/>
        <c:smooth val="0"/>
        <c:axId val="132391296"/>
        <c:axId val="132307584"/>
      </c:lineChart>
      <c:catAx>
        <c:axId val="13230016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306048"/>
        <c:crosses val="autoZero"/>
        <c:auto val="1"/>
        <c:lblAlgn val="ctr"/>
        <c:lblOffset val="100"/>
        <c:noMultiLvlLbl val="0"/>
      </c:catAx>
      <c:valAx>
        <c:axId val="132306048"/>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300160"/>
        <c:crosses val="autoZero"/>
        <c:crossBetween val="between"/>
      </c:valAx>
      <c:valAx>
        <c:axId val="132307584"/>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2391296"/>
        <c:crosses val="max"/>
        <c:crossBetween val="between"/>
      </c:valAx>
      <c:catAx>
        <c:axId val="132391296"/>
        <c:scaling>
          <c:orientation val="minMax"/>
        </c:scaling>
        <c:delete val="1"/>
        <c:axPos val="b"/>
        <c:numFmt formatCode="General" sourceLinked="1"/>
        <c:majorTickMark val="none"/>
        <c:minorTickMark val="none"/>
        <c:tickLblPos val="nextTo"/>
        <c:crossAx val="13230758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PIE</a:t>
            </a:r>
            <a:r>
              <a:rPr lang="en-IN" baseline="0"/>
              <a:t> CHART</a:t>
            </a:r>
            <a:endParaRPr lang="en-IN"/>
          </a:p>
        </c:rich>
      </c:tx>
      <c:overlay val="0"/>
      <c:spPr>
        <a:noFill/>
        <a:ln>
          <a:noFill/>
        </a:ln>
        <a:effectLst/>
      </c:spPr>
    </c:title>
    <c:autoTitleDeleted val="0"/>
    <c:plotArea>
      <c:layout/>
      <c:pieChart>
        <c:varyColors val="1"/>
        <c:ser>
          <c:idx val="0"/>
          <c:order val="0"/>
          <c:tx>
            <c:strRef>
              <c:f>Sheet2!$B$1</c:f>
              <c:strCache>
                <c:ptCount val="1"/>
                <c:pt idx="0">
                  <c:v>Amount (₹)</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8E7-492F-B928-2F5AB70B50E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8E7-492F-B928-2F5AB70B50EF}"/>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D8E7-492F-B928-2F5AB70B50EF}"/>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D8E7-492F-B928-2F5AB70B50EF}"/>
              </c:ext>
            </c:extLst>
          </c:dPt>
          <c:dLbls>
            <c:dLbl>
              <c:idx val="0"/>
              <c:tx>
                <c:rich>
                  <a:bodyPr/>
                  <a:lstStyle/>
                  <a:p>
                    <a:r>
                      <a:rPr lang="en-US" baseline="0"/>
                      <a:t>Rent</a:t>
                    </a:r>
                  </a:p>
                  <a:p>
                    <a:r>
                      <a:rPr lang="en-US" baseline="0"/>
                      <a:t>50%</a:t>
                    </a:r>
                  </a:p>
                </c:rich>
              </c:tx>
              <c:showLegendKey val="0"/>
              <c:showVal val="0"/>
              <c:showCatName val="1"/>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D8E7-492F-B928-2F5AB70B50EF}"/>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1"/>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Sheet2!$A$2:$A$5</c:f>
              <c:strCache>
                <c:ptCount val="4"/>
                <c:pt idx="0">
                  <c:v>Rent</c:v>
                </c:pt>
                <c:pt idx="1">
                  <c:v>Food</c:v>
                </c:pt>
                <c:pt idx="2">
                  <c:v>Travel</c:v>
                </c:pt>
                <c:pt idx="3">
                  <c:v>Savings</c:v>
                </c:pt>
              </c:strCache>
            </c:strRef>
          </c:cat>
          <c:val>
            <c:numRef>
              <c:f>Sheet2!$B$2:$B$5</c:f>
              <c:numCache>
                <c:formatCode>#,##0</c:formatCode>
                <c:ptCount val="4"/>
                <c:pt idx="0">
                  <c:v>10000</c:v>
                </c:pt>
                <c:pt idx="1">
                  <c:v>6000</c:v>
                </c:pt>
                <c:pt idx="2">
                  <c:v>2000</c:v>
                </c:pt>
                <c:pt idx="3">
                  <c:v>2000</c:v>
                </c:pt>
              </c:numCache>
            </c:numRef>
          </c:val>
          <c:extLst>
            <c:ext xmlns:c16="http://schemas.microsoft.com/office/drawing/2014/chart" uri="{C3380CC4-5D6E-409C-BE32-E72D297353CC}">
              <c16:uniqueId val="{00000008-D8E7-492F-B928-2F5AB70B50EF}"/>
            </c:ext>
          </c:extLst>
        </c:ser>
        <c:dLbls>
          <c:showLegendKey val="0"/>
          <c:showVal val="0"/>
          <c:showCatName val="1"/>
          <c:showSerName val="0"/>
          <c:showPercent val="1"/>
          <c:showBubbleSize val="0"/>
          <c:showLeaderLines val="1"/>
        </c:dLbls>
        <c:firstSliceAng val="20"/>
      </c:pieChart>
      <c:spPr>
        <a:noFill/>
        <a:ln>
          <a:noFill/>
        </a:ln>
        <a:effectLst/>
      </c:spPr>
    </c:plotArea>
    <c:plotVisOnly val="1"/>
    <c:dispBlanksAs val="zero"/>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               AREA</a:t>
            </a:r>
            <a:r>
              <a:rPr lang="en-IN" baseline="0"/>
              <a:t> CHART</a:t>
            </a:r>
            <a:endParaRPr lang="en-IN"/>
          </a:p>
        </c:rich>
      </c:tx>
      <c:layout>
        <c:manualLayout>
          <c:xMode val="edge"/>
          <c:yMode val="edge"/>
          <c:x val="0.27821522309711283"/>
          <c:y val="0"/>
        </c:manualLayout>
      </c:layout>
      <c:overlay val="0"/>
      <c:spPr>
        <a:noFill/>
        <a:ln>
          <a:noFill/>
        </a:ln>
        <a:effectLst/>
      </c:spPr>
    </c:title>
    <c:autoTitleDeleted val="0"/>
    <c:plotArea>
      <c:layout/>
      <c:areaChart>
        <c:grouping val="stacked"/>
        <c:varyColors val="0"/>
        <c:ser>
          <c:idx val="0"/>
          <c:order val="0"/>
          <c:tx>
            <c:strRef>
              <c:f>Sheet5!$A$2</c:f>
              <c:strCache>
                <c:ptCount val="1"/>
                <c:pt idx="0">
                  <c:v>Harrier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cat>
            <c:numRef>
              <c:f>Sheet5!$B$1:$E$1</c:f>
              <c:numCache>
                <c:formatCode>mmm/yy</c:formatCode>
                <c:ptCount val="4"/>
                <c:pt idx="0">
                  <c:v>44501</c:v>
                </c:pt>
                <c:pt idx="1">
                  <c:v>44531</c:v>
                </c:pt>
                <c:pt idx="2">
                  <c:v>44562</c:v>
                </c:pt>
                <c:pt idx="3">
                  <c:v>44593</c:v>
                </c:pt>
              </c:numCache>
            </c:numRef>
          </c:cat>
          <c:val>
            <c:numRef>
              <c:f>Sheet5!$B$2:$E$2</c:f>
              <c:numCache>
                <c:formatCode>General</c:formatCode>
                <c:ptCount val="4"/>
                <c:pt idx="0">
                  <c:v>2607</c:v>
                </c:pt>
                <c:pt idx="1">
                  <c:v>2234</c:v>
                </c:pt>
                <c:pt idx="2">
                  <c:v>2702</c:v>
                </c:pt>
                <c:pt idx="3">
                  <c:v>2619</c:v>
                </c:pt>
              </c:numCache>
            </c:numRef>
          </c:val>
          <c:extLst>
            <c:ext xmlns:c16="http://schemas.microsoft.com/office/drawing/2014/chart" uri="{C3380CC4-5D6E-409C-BE32-E72D297353CC}">
              <c16:uniqueId val="{00000000-6626-4027-87EA-253BB7B4673C}"/>
            </c:ext>
          </c:extLst>
        </c:ser>
        <c:ser>
          <c:idx val="1"/>
          <c:order val="1"/>
          <c:tx>
            <c:strRef>
              <c:f>Sheet5!$A$3</c:f>
              <c:strCache>
                <c:ptCount val="1"/>
                <c:pt idx="0">
                  <c:v>Nexon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cat>
            <c:numRef>
              <c:f>Sheet5!$B$1:$E$1</c:f>
              <c:numCache>
                <c:formatCode>mmm/yy</c:formatCode>
                <c:ptCount val="4"/>
                <c:pt idx="0">
                  <c:v>44501</c:v>
                </c:pt>
                <c:pt idx="1">
                  <c:v>44531</c:v>
                </c:pt>
                <c:pt idx="2">
                  <c:v>44562</c:v>
                </c:pt>
                <c:pt idx="3">
                  <c:v>44593</c:v>
                </c:pt>
              </c:numCache>
            </c:numRef>
          </c:cat>
          <c:val>
            <c:numRef>
              <c:f>Sheet5!$B$3:$E$3</c:f>
              <c:numCache>
                <c:formatCode>General</c:formatCode>
                <c:ptCount val="4"/>
                <c:pt idx="0">
                  <c:v>9831</c:v>
                </c:pt>
                <c:pt idx="1">
                  <c:v>12899</c:v>
                </c:pt>
                <c:pt idx="2">
                  <c:v>13816</c:v>
                </c:pt>
                <c:pt idx="3">
                  <c:v>12259</c:v>
                </c:pt>
              </c:numCache>
            </c:numRef>
          </c:val>
          <c:extLst>
            <c:ext xmlns:c16="http://schemas.microsoft.com/office/drawing/2014/chart" uri="{C3380CC4-5D6E-409C-BE32-E72D297353CC}">
              <c16:uniqueId val="{00000001-6626-4027-87EA-253BB7B4673C}"/>
            </c:ext>
          </c:extLst>
        </c:ser>
        <c:ser>
          <c:idx val="2"/>
          <c:order val="2"/>
          <c:tx>
            <c:strRef>
              <c:f>Sheet5!$A$4</c:f>
              <c:strCache>
                <c:ptCount val="1"/>
                <c:pt idx="0">
                  <c:v>Tiago</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cat>
            <c:numRef>
              <c:f>Sheet5!$B$1:$E$1</c:f>
              <c:numCache>
                <c:formatCode>mmm/yy</c:formatCode>
                <c:ptCount val="4"/>
                <c:pt idx="0">
                  <c:v>44501</c:v>
                </c:pt>
                <c:pt idx="1">
                  <c:v>44531</c:v>
                </c:pt>
                <c:pt idx="2">
                  <c:v>44562</c:v>
                </c:pt>
                <c:pt idx="3">
                  <c:v>44593</c:v>
                </c:pt>
              </c:numCache>
            </c:numRef>
          </c:cat>
          <c:val>
            <c:numRef>
              <c:f>Sheet5!$B$4:$E$4</c:f>
              <c:numCache>
                <c:formatCode>General</c:formatCode>
                <c:ptCount val="4"/>
                <c:pt idx="0">
                  <c:v>4998</c:v>
                </c:pt>
                <c:pt idx="1">
                  <c:v>3675</c:v>
                </c:pt>
                <c:pt idx="2">
                  <c:v>5195</c:v>
                </c:pt>
                <c:pt idx="3">
                  <c:v>4489</c:v>
                </c:pt>
              </c:numCache>
            </c:numRef>
          </c:val>
          <c:extLst>
            <c:ext xmlns:c16="http://schemas.microsoft.com/office/drawing/2014/chart" uri="{C3380CC4-5D6E-409C-BE32-E72D297353CC}">
              <c16:uniqueId val="{00000002-6626-4027-87EA-253BB7B4673C}"/>
            </c:ext>
          </c:extLst>
        </c:ser>
        <c:ser>
          <c:idx val="3"/>
          <c:order val="3"/>
          <c:tx>
            <c:strRef>
              <c:f>Sheet5!$A$5</c:f>
              <c:strCache>
                <c:ptCount val="1"/>
                <c:pt idx="0">
                  <c:v>Altroz</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cat>
            <c:numRef>
              <c:f>Sheet5!$B$1:$E$1</c:f>
              <c:numCache>
                <c:formatCode>mmm/yy</c:formatCode>
                <c:ptCount val="4"/>
                <c:pt idx="0">
                  <c:v>44501</c:v>
                </c:pt>
                <c:pt idx="1">
                  <c:v>44531</c:v>
                </c:pt>
                <c:pt idx="2">
                  <c:v>44562</c:v>
                </c:pt>
                <c:pt idx="3">
                  <c:v>44593</c:v>
                </c:pt>
              </c:numCache>
            </c:numRef>
          </c:cat>
          <c:val>
            <c:numRef>
              <c:f>Sheet5!$B$5:$E$5</c:f>
              <c:numCache>
                <c:formatCode>General</c:formatCode>
                <c:ptCount val="4"/>
                <c:pt idx="0">
                  <c:v>3025</c:v>
                </c:pt>
                <c:pt idx="1">
                  <c:v>5009</c:v>
                </c:pt>
                <c:pt idx="2">
                  <c:v>4525</c:v>
                </c:pt>
                <c:pt idx="3">
                  <c:v>5011</c:v>
                </c:pt>
              </c:numCache>
            </c:numRef>
          </c:val>
          <c:extLst>
            <c:ext xmlns:c16="http://schemas.microsoft.com/office/drawing/2014/chart" uri="{C3380CC4-5D6E-409C-BE32-E72D297353CC}">
              <c16:uniqueId val="{00000003-6626-4027-87EA-253BB7B4673C}"/>
            </c:ext>
          </c:extLst>
        </c:ser>
        <c:ser>
          <c:idx val="4"/>
          <c:order val="4"/>
          <c:tx>
            <c:strRef>
              <c:f>Sheet5!$A$6</c:f>
              <c:strCache>
                <c:ptCount val="1"/>
                <c:pt idx="0">
                  <c:v>Tigor</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cat>
            <c:numRef>
              <c:f>Sheet5!$B$1:$E$1</c:f>
              <c:numCache>
                <c:formatCode>mmm/yy</c:formatCode>
                <c:ptCount val="4"/>
                <c:pt idx="0">
                  <c:v>44501</c:v>
                </c:pt>
                <c:pt idx="1">
                  <c:v>44531</c:v>
                </c:pt>
                <c:pt idx="2">
                  <c:v>44562</c:v>
                </c:pt>
                <c:pt idx="3">
                  <c:v>44593</c:v>
                </c:pt>
              </c:numCache>
            </c:numRef>
          </c:cat>
          <c:val>
            <c:numRef>
              <c:f>Sheet5!$B$6:$E$6</c:f>
              <c:numCache>
                <c:formatCode>General</c:formatCode>
                <c:ptCount val="4"/>
                <c:pt idx="0">
                  <c:v>1785</c:v>
                </c:pt>
                <c:pt idx="1">
                  <c:v>1994</c:v>
                </c:pt>
                <c:pt idx="2">
                  <c:v>2594</c:v>
                </c:pt>
                <c:pt idx="3">
                  <c:v>4091</c:v>
                </c:pt>
              </c:numCache>
            </c:numRef>
          </c:val>
          <c:extLst>
            <c:ext xmlns:c16="http://schemas.microsoft.com/office/drawing/2014/chart" uri="{C3380CC4-5D6E-409C-BE32-E72D297353CC}">
              <c16:uniqueId val="{00000004-6626-4027-87EA-253BB7B4673C}"/>
            </c:ext>
          </c:extLst>
        </c:ser>
        <c:ser>
          <c:idx val="5"/>
          <c:order val="5"/>
          <c:tx>
            <c:strRef>
              <c:f>Sheet5!$A$7</c:f>
              <c:strCache>
                <c:ptCount val="1"/>
                <c:pt idx="0">
                  <c:v>Safari</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cat>
            <c:numRef>
              <c:f>Sheet5!$B$1:$E$1</c:f>
              <c:numCache>
                <c:formatCode>mmm/yy</c:formatCode>
                <c:ptCount val="4"/>
                <c:pt idx="0">
                  <c:v>44501</c:v>
                </c:pt>
                <c:pt idx="1">
                  <c:v>44531</c:v>
                </c:pt>
                <c:pt idx="2">
                  <c:v>44562</c:v>
                </c:pt>
                <c:pt idx="3">
                  <c:v>44593</c:v>
                </c:pt>
              </c:numCache>
            </c:numRef>
          </c:cat>
          <c:val>
            <c:numRef>
              <c:f>Sheet5!$B$7:$E$7</c:f>
              <c:numCache>
                <c:formatCode>General</c:formatCode>
                <c:ptCount val="4"/>
                <c:pt idx="0">
                  <c:v>1424</c:v>
                </c:pt>
                <c:pt idx="1">
                  <c:v>1481</c:v>
                </c:pt>
                <c:pt idx="2">
                  <c:v>1563</c:v>
                </c:pt>
                <c:pt idx="3">
                  <c:v>1919</c:v>
                </c:pt>
              </c:numCache>
            </c:numRef>
          </c:val>
          <c:extLst>
            <c:ext xmlns:c16="http://schemas.microsoft.com/office/drawing/2014/chart" uri="{C3380CC4-5D6E-409C-BE32-E72D297353CC}">
              <c16:uniqueId val="{00000005-6626-4027-87EA-253BB7B4673C}"/>
            </c:ext>
          </c:extLst>
        </c:ser>
        <c:ser>
          <c:idx val="6"/>
          <c:order val="6"/>
          <c:tx>
            <c:strRef>
              <c:f>Sheet5!$A$8</c:f>
              <c:strCache>
                <c:ptCount val="1"/>
                <c:pt idx="0">
                  <c:v>Punch</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cat>
            <c:numRef>
              <c:f>Sheet5!$B$1:$E$1</c:f>
              <c:numCache>
                <c:formatCode>mmm/yy</c:formatCode>
                <c:ptCount val="4"/>
                <c:pt idx="0">
                  <c:v>44501</c:v>
                </c:pt>
                <c:pt idx="1">
                  <c:v>44531</c:v>
                </c:pt>
                <c:pt idx="2">
                  <c:v>44562</c:v>
                </c:pt>
                <c:pt idx="3">
                  <c:v>44593</c:v>
                </c:pt>
              </c:numCache>
            </c:numRef>
          </c:cat>
          <c:val>
            <c:numRef>
              <c:f>Sheet5!$B$8:$E$8</c:f>
              <c:numCache>
                <c:formatCode>General</c:formatCode>
                <c:ptCount val="4"/>
                <c:pt idx="0">
                  <c:v>6110</c:v>
                </c:pt>
                <c:pt idx="1">
                  <c:v>8008</c:v>
                </c:pt>
                <c:pt idx="2">
                  <c:v>10027</c:v>
                </c:pt>
                <c:pt idx="3">
                  <c:v>9592</c:v>
                </c:pt>
              </c:numCache>
            </c:numRef>
          </c:val>
          <c:extLst>
            <c:ext xmlns:c16="http://schemas.microsoft.com/office/drawing/2014/chart" uri="{C3380CC4-5D6E-409C-BE32-E72D297353CC}">
              <c16:uniqueId val="{00000006-6626-4027-87EA-253BB7B4673C}"/>
            </c:ext>
          </c:extLst>
        </c:ser>
        <c:dLbls>
          <c:showLegendKey val="0"/>
          <c:showVal val="0"/>
          <c:showCatName val="0"/>
          <c:showSerName val="0"/>
          <c:showPercent val="0"/>
          <c:showBubbleSize val="0"/>
        </c:dLbls>
        <c:axId val="175930368"/>
        <c:axId val="175940352"/>
      </c:areaChart>
      <c:dateAx>
        <c:axId val="175930368"/>
        <c:scaling>
          <c:orientation val="minMax"/>
        </c:scaling>
        <c:delete val="0"/>
        <c:axPos val="b"/>
        <c:numFmt formatCode="mmm/yy" sourceLinked="1"/>
        <c:majorTickMark val="out"/>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5940352"/>
        <c:crosses val="autoZero"/>
        <c:auto val="1"/>
        <c:lblOffset val="100"/>
        <c:baseTimeUnit val="months"/>
      </c:dateAx>
      <c:valAx>
        <c:axId val="17594035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593036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zero"/>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XY</a:t>
            </a:r>
            <a:r>
              <a:rPr lang="en-IN" baseline="0"/>
              <a:t> SCATTER CHART</a:t>
            </a:r>
            <a:endParaRPr lang="en-IN"/>
          </a:p>
        </c:rich>
      </c:tx>
      <c:overlay val="0"/>
      <c:spPr>
        <a:noFill/>
        <a:ln>
          <a:noFill/>
        </a:ln>
        <a:effectLst/>
      </c:spPr>
    </c:title>
    <c:autoTitleDeleted val="0"/>
    <c:plotArea>
      <c:layout/>
      <c:scatterChart>
        <c:scatterStyle val="lineMarker"/>
        <c:varyColors val="0"/>
        <c:ser>
          <c:idx val="0"/>
          <c:order val="0"/>
          <c:tx>
            <c:strRef>
              <c:f>Sheet7!$B$1</c:f>
              <c:strCache>
                <c:ptCount val="1"/>
                <c:pt idx="0">
                  <c:v>Marketing Spend (X)</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xVal>
            <c:numRef>
              <c:f>Sheet7!$A$2:$A$6</c:f>
              <c:numCache>
                <c:formatCode>General</c:formatCode>
                <c:ptCount val="5"/>
                <c:pt idx="0">
                  <c:v>1</c:v>
                </c:pt>
                <c:pt idx="1">
                  <c:v>2</c:v>
                </c:pt>
                <c:pt idx="2">
                  <c:v>3</c:v>
                </c:pt>
                <c:pt idx="3">
                  <c:v>4</c:v>
                </c:pt>
                <c:pt idx="4">
                  <c:v>5</c:v>
                </c:pt>
              </c:numCache>
            </c:numRef>
          </c:xVal>
          <c:yVal>
            <c:numRef>
              <c:f>Sheet7!$B$2:$B$6</c:f>
              <c:numCache>
                <c:formatCode>#,##0</c:formatCode>
                <c:ptCount val="5"/>
                <c:pt idx="0">
                  <c:v>1000</c:v>
                </c:pt>
                <c:pt idx="1">
                  <c:v>2500</c:v>
                </c:pt>
                <c:pt idx="2" formatCode="General">
                  <c:v>500</c:v>
                </c:pt>
                <c:pt idx="3">
                  <c:v>4000</c:v>
                </c:pt>
                <c:pt idx="4">
                  <c:v>3500</c:v>
                </c:pt>
              </c:numCache>
            </c:numRef>
          </c:yVal>
          <c:smooth val="0"/>
          <c:extLst>
            <c:ext xmlns:c16="http://schemas.microsoft.com/office/drawing/2014/chart" uri="{C3380CC4-5D6E-409C-BE32-E72D297353CC}">
              <c16:uniqueId val="{00000000-B41B-4A9C-A2FB-3F712890AC86}"/>
            </c:ext>
          </c:extLst>
        </c:ser>
        <c:ser>
          <c:idx val="1"/>
          <c:order val="1"/>
          <c:tx>
            <c:strRef>
              <c:f>Sheet7!$C$1</c:f>
              <c:strCache>
                <c:ptCount val="1"/>
                <c:pt idx="0">
                  <c:v>Weekly Sales (Y)</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cap="rnd">
                <a:solidFill>
                  <a:schemeClr val="accent2"/>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xVal>
            <c:numRef>
              <c:f>Sheet7!$A$2:$A$6</c:f>
              <c:numCache>
                <c:formatCode>General</c:formatCode>
                <c:ptCount val="5"/>
                <c:pt idx="0">
                  <c:v>1</c:v>
                </c:pt>
                <c:pt idx="1">
                  <c:v>2</c:v>
                </c:pt>
                <c:pt idx="2">
                  <c:v>3</c:v>
                </c:pt>
                <c:pt idx="3">
                  <c:v>4</c:v>
                </c:pt>
                <c:pt idx="4">
                  <c:v>5</c:v>
                </c:pt>
              </c:numCache>
            </c:numRef>
          </c:xVal>
          <c:yVal>
            <c:numRef>
              <c:f>Sheet7!$C$2:$C$6</c:f>
              <c:numCache>
                <c:formatCode>#,##0</c:formatCode>
                <c:ptCount val="5"/>
                <c:pt idx="0">
                  <c:v>12000</c:v>
                </c:pt>
                <c:pt idx="1">
                  <c:v>18000</c:v>
                </c:pt>
                <c:pt idx="2">
                  <c:v>10000</c:v>
                </c:pt>
                <c:pt idx="3">
                  <c:v>25000</c:v>
                </c:pt>
                <c:pt idx="4">
                  <c:v>22000</c:v>
                </c:pt>
              </c:numCache>
            </c:numRef>
          </c:yVal>
          <c:smooth val="0"/>
          <c:extLst>
            <c:ext xmlns:c16="http://schemas.microsoft.com/office/drawing/2014/chart" uri="{C3380CC4-5D6E-409C-BE32-E72D297353CC}">
              <c16:uniqueId val="{00000001-B41B-4A9C-A2FB-3F712890AC86}"/>
            </c:ext>
          </c:extLst>
        </c:ser>
        <c:dLbls>
          <c:showLegendKey val="0"/>
          <c:showVal val="1"/>
          <c:showCatName val="0"/>
          <c:showSerName val="0"/>
          <c:showPercent val="0"/>
          <c:showBubbleSize val="0"/>
        </c:dLbls>
        <c:axId val="203962240"/>
        <c:axId val="203963776"/>
      </c:scatterChart>
      <c:valAx>
        <c:axId val="203962240"/>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03963776"/>
        <c:crosses val="autoZero"/>
        <c:crossBetween val="midCat"/>
      </c:valAx>
      <c:valAx>
        <c:axId val="203963776"/>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0396224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COMBO CHART</a:t>
            </a:r>
          </a:p>
        </c:rich>
      </c:tx>
      <c:overlay val="0"/>
      <c:spPr>
        <a:noFill/>
        <a:ln>
          <a:noFill/>
        </a:ln>
        <a:effectLst/>
      </c:spPr>
    </c:title>
    <c:autoTitleDeleted val="0"/>
    <c:plotArea>
      <c:layout/>
      <c:barChart>
        <c:barDir val="col"/>
        <c:grouping val="clustered"/>
        <c:varyColors val="0"/>
        <c:ser>
          <c:idx val="1"/>
          <c:order val="1"/>
          <c:tx>
            <c:strRef>
              <c:f>Sheet9!$C$1</c:f>
              <c:strCache>
                <c:ptCount val="1"/>
                <c:pt idx="0">
                  <c:v>Profit Margin (%) (Line)</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Sheet9!$A$2:$A$6</c:f>
              <c:strCache>
                <c:ptCount val="5"/>
                <c:pt idx="0">
                  <c:v>Jan</c:v>
                </c:pt>
                <c:pt idx="1">
                  <c:v>Feb</c:v>
                </c:pt>
                <c:pt idx="2">
                  <c:v>Mar</c:v>
                </c:pt>
                <c:pt idx="3">
                  <c:v>Apr</c:v>
                </c:pt>
                <c:pt idx="4">
                  <c:v>May</c:v>
                </c:pt>
              </c:strCache>
            </c:strRef>
          </c:cat>
          <c:val>
            <c:numRef>
              <c:f>Sheet9!$C$2:$C$6</c:f>
              <c:numCache>
                <c:formatCode>0%</c:formatCode>
                <c:ptCount val="5"/>
                <c:pt idx="0">
                  <c:v>0.15000000000000005</c:v>
                </c:pt>
                <c:pt idx="1">
                  <c:v>0.12000000000000002</c:v>
                </c:pt>
                <c:pt idx="2">
                  <c:v>8.0000000000000029E-2</c:v>
                </c:pt>
                <c:pt idx="3">
                  <c:v>0.14000000000000001</c:v>
                </c:pt>
                <c:pt idx="4">
                  <c:v>0.16</c:v>
                </c:pt>
              </c:numCache>
            </c:numRef>
          </c:val>
          <c:extLst>
            <c:ext xmlns:c16="http://schemas.microsoft.com/office/drawing/2014/chart" uri="{C3380CC4-5D6E-409C-BE32-E72D297353CC}">
              <c16:uniqueId val="{00000000-FFA8-4DAA-B95C-E2A8C2A098A5}"/>
            </c:ext>
          </c:extLst>
        </c:ser>
        <c:dLbls>
          <c:showLegendKey val="0"/>
          <c:showVal val="1"/>
          <c:showCatName val="0"/>
          <c:showSerName val="0"/>
          <c:showPercent val="0"/>
          <c:showBubbleSize val="0"/>
        </c:dLbls>
        <c:gapWidth val="247"/>
        <c:axId val="204031872"/>
        <c:axId val="204033408"/>
      </c:barChart>
      <c:lineChart>
        <c:grouping val="standard"/>
        <c:varyColors val="0"/>
        <c:ser>
          <c:idx val="0"/>
          <c:order val="0"/>
          <c:tx>
            <c:strRef>
              <c:f>Sheet9!$B$1</c:f>
              <c:strCache>
                <c:ptCount val="1"/>
                <c:pt idx="0">
                  <c:v>Sales Volume (Units) (Column)</c:v>
                </c:pt>
              </c:strCache>
            </c:strRef>
          </c:tx>
          <c:spPr>
            <a:ln w="31750" cap="rnd">
              <a:solidFill>
                <a:schemeClr val="accent2"/>
              </a:solidFill>
              <a:round/>
            </a:ln>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12700">
                <a:solidFill>
                  <a:schemeClr val="l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Sheet9!$A$2:$A$6</c:f>
              <c:strCache>
                <c:ptCount val="5"/>
                <c:pt idx="0">
                  <c:v>Jan</c:v>
                </c:pt>
                <c:pt idx="1">
                  <c:v>Feb</c:v>
                </c:pt>
                <c:pt idx="2">
                  <c:v>Mar</c:v>
                </c:pt>
                <c:pt idx="3">
                  <c:v>Apr</c:v>
                </c:pt>
                <c:pt idx="4">
                  <c:v>May</c:v>
                </c:pt>
              </c:strCache>
            </c:strRef>
          </c:cat>
          <c:val>
            <c:numRef>
              <c:f>Sheet9!$B$2:$B$6</c:f>
              <c:numCache>
                <c:formatCode>#,##0</c:formatCode>
                <c:ptCount val="5"/>
                <c:pt idx="0">
                  <c:v>10000</c:v>
                </c:pt>
                <c:pt idx="1">
                  <c:v>15000</c:v>
                </c:pt>
                <c:pt idx="2">
                  <c:v>25000</c:v>
                </c:pt>
                <c:pt idx="3">
                  <c:v>18000</c:v>
                </c:pt>
                <c:pt idx="4">
                  <c:v>12000</c:v>
                </c:pt>
              </c:numCache>
            </c:numRef>
          </c:val>
          <c:smooth val="0"/>
          <c:extLst>
            <c:ext xmlns:c16="http://schemas.microsoft.com/office/drawing/2014/chart" uri="{C3380CC4-5D6E-409C-BE32-E72D297353CC}">
              <c16:uniqueId val="{00000001-FFA8-4DAA-B95C-E2A8C2A098A5}"/>
            </c:ext>
          </c:extLst>
        </c:ser>
        <c:dLbls>
          <c:showLegendKey val="0"/>
          <c:showVal val="1"/>
          <c:showCatName val="0"/>
          <c:showSerName val="0"/>
          <c:showPercent val="0"/>
          <c:showBubbleSize val="0"/>
        </c:dLbls>
        <c:marker val="1"/>
        <c:smooth val="0"/>
        <c:axId val="204057216"/>
        <c:axId val="204055680"/>
      </c:lineChart>
      <c:catAx>
        <c:axId val="204031872"/>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4033408"/>
        <c:crosses val="autoZero"/>
        <c:auto val="1"/>
        <c:lblAlgn val="ctr"/>
        <c:lblOffset val="100"/>
        <c:noMultiLvlLbl val="0"/>
      </c:catAx>
      <c:valAx>
        <c:axId val="204033408"/>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4031872"/>
        <c:crosses val="autoZero"/>
        <c:crossBetween val="between"/>
      </c:valAx>
      <c:valAx>
        <c:axId val="204055680"/>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04057216"/>
        <c:crosses val="max"/>
        <c:crossBetween val="between"/>
      </c:valAx>
      <c:catAx>
        <c:axId val="204057216"/>
        <c:scaling>
          <c:orientation val="minMax"/>
        </c:scaling>
        <c:delete val="1"/>
        <c:axPos val="b"/>
        <c:numFmt formatCode="General" sourceLinked="1"/>
        <c:majorTickMark val="none"/>
        <c:minorTickMark val="none"/>
        <c:tickLblPos val="nextTo"/>
        <c:crossAx val="20405568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0</cx:pt>
          <cx:pt idx="1">0</cx:pt>
          <cx:pt idx="2">0</cx:pt>
          <cx:pt idx="3">0</cx:pt>
          <cx:pt idx="4">0</cx:pt>
          <cx:pt idx="5">6</cx:pt>
          <cx:pt idx="6">6</cx:pt>
          <cx:pt idx="7">6</cx:pt>
          <cx:pt idx="8">7</cx:pt>
          <cx:pt idx="9">8</cx:pt>
          <cx:pt idx="10">8</cx:pt>
          <cx:pt idx="11">9</cx:pt>
          <cx:pt idx="12">9</cx:pt>
          <cx:pt idx="13">9</cx:pt>
          <cx:pt idx="14">9</cx:pt>
          <cx:pt idx="15">9</cx:pt>
          <cx:pt idx="16">10</cx:pt>
          <cx:pt idx="17">10</cx:pt>
          <cx:pt idx="18">10</cx:pt>
          <cx:pt idx="19">10</cx:pt>
          <cx:pt idx="20">10</cx:pt>
          <cx:pt idx="21">10</cx:pt>
          <cx:pt idx="22">11</cx:pt>
          <cx:pt idx="23">11</cx:pt>
          <cx:pt idx="24">11</cx:pt>
          <cx:pt idx="25">11</cx:pt>
          <cx:pt idx="26">11</cx:pt>
          <cx:pt idx="27">11</cx:pt>
          <cx:pt idx="28">12</cx:pt>
          <cx:pt idx="29">12</cx:pt>
          <cx:pt idx="30">12</cx:pt>
          <cx:pt idx="31">12</cx:pt>
          <cx:pt idx="32">12</cx:pt>
          <cx:pt idx="33">12</cx:pt>
          <cx:pt idx="34">13</cx:pt>
          <cx:pt idx="35">13</cx:pt>
          <cx:pt idx="36">13</cx:pt>
          <cx:pt idx="37">13</cx:pt>
          <cx:pt idx="38">13</cx:pt>
          <cx:pt idx="39">14</cx:pt>
          <cx:pt idx="40">14</cx:pt>
          <cx:pt idx="41">14</cx:pt>
          <cx:pt idx="42">14</cx:pt>
          <cx:pt idx="43">14</cx:pt>
          <cx:pt idx="44">14</cx:pt>
          <cx:pt idx="45">15</cx:pt>
          <cx:pt idx="46">15</cx:pt>
          <cx:pt idx="47">15</cx:pt>
          <cx:pt idx="48">15</cx:pt>
          <cx:pt idx="49">15</cx:pt>
          <cx:pt idx="50">15</cx:pt>
          <cx:pt idx="51">15</cx:pt>
          <cx:pt idx="52">15</cx:pt>
          <cx:pt idx="53">16</cx:pt>
          <cx:pt idx="54">16</cx:pt>
          <cx:pt idx="55">16</cx:pt>
          <cx:pt idx="56">16</cx:pt>
          <cx:pt idx="57">17</cx:pt>
          <cx:pt idx="58">17</cx:pt>
          <cx:pt idx="59">17</cx:pt>
          <cx:pt idx="60">17</cx:pt>
          <cx:pt idx="61">17</cx:pt>
          <cx:pt idx="62">17</cx:pt>
          <cx:pt idx="63">18</cx:pt>
          <cx:pt idx="64">18</cx:pt>
          <cx:pt idx="65">18</cx:pt>
          <cx:pt idx="66">18</cx:pt>
          <cx:pt idx="67">19</cx:pt>
          <cx:pt idx="68">19</cx:pt>
          <cx:pt idx="69">19</cx:pt>
          <cx:pt idx="70">20</cx:pt>
          <cx:pt idx="71">21</cx:pt>
          <cx:pt idx="72">22</cx:pt>
          <cx:pt idx="73">22</cx:pt>
          <cx:pt idx="74">24</cx:pt>
          <cx:pt idx="75">24</cx:pt>
        </cx:lvl>
      </cx:numDim>
    </cx:data>
  </cx:chartData>
  <cx:chart>
    <cx:title pos="t" align="ctr" overlay="0">
      <cx:tx>
        <cx:txData>
          <cx:v>HISTOGRAM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Aptos"/>
            </a:rPr>
            <a:t>HISTOGRAM</a:t>
          </a:r>
        </a:p>
      </cx:txPr>
    </cx:title>
    <cx:plotArea>
      <cx:plotAreaRegion>
        <cx:series layoutId="clusteredColumn" uniqueId="{B002E08D-B832-40C1-8FCF-22C3F9BF99DC}">
          <cx:tx>
            <cx:txData>
              <cx:f>Sheet1!$A$1</cx:f>
              <cx:v>Age Bin (Interval)</cx:v>
            </cx:txData>
          </cx:tx>
          <cx:dataId val="0"/>
          <cx:layoutPr>
            <cx:binning intervalClosed="r"/>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withinLinear" id="15">
  <a:schemeClr val="accent2"/>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91C13-0959-4DE8-AC9C-EED114A27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Pages>
  <Words>2233</Words>
  <Characters>12731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chauhan</dc:creator>
  <cp:keywords/>
  <dc:description/>
  <cp:lastModifiedBy>naman chauhan</cp:lastModifiedBy>
  <cp:revision>4</cp:revision>
  <dcterms:created xsi:type="dcterms:W3CDTF">2025-11-13T00:20:00Z</dcterms:created>
  <dcterms:modified xsi:type="dcterms:W3CDTF">2025-11-13T05:45:00Z</dcterms:modified>
</cp:coreProperties>
</file>