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1647" w14:textId="77777777" w:rsidR="001F03E5" w:rsidRDefault="001F03E5" w:rsidP="001F03E5">
      <w:pPr>
        <w:pBdr>
          <w:top w:val="nil"/>
          <w:left w:val="nil"/>
          <w:bottom w:val="nil"/>
          <w:right w:val="nil"/>
          <w:between w:val="nil"/>
        </w:pBdr>
        <w:spacing w:after="280" w:line="276" w:lineRule="auto"/>
        <w:rPr>
          <w:rFonts w:ascii="Roboto" w:eastAsia="Roboto" w:hAnsi="Roboto" w:cs="Roboto"/>
          <w:b/>
          <w:bCs/>
          <w:color w:val="000000"/>
        </w:rPr>
      </w:pPr>
    </w:p>
    <w:p w14:paraId="443F588F" w14:textId="4DCC90AA" w:rsidR="00486DA3" w:rsidRPr="00606381" w:rsidRDefault="001F03E5" w:rsidP="00606381">
      <w:pPr>
        <w:pBdr>
          <w:top w:val="nil"/>
          <w:left w:val="nil"/>
          <w:bottom w:val="nil"/>
          <w:right w:val="nil"/>
          <w:between w:val="nil"/>
        </w:pBdr>
        <w:spacing w:before="280" w:after="280" w:line="276" w:lineRule="auto"/>
        <w:jc w:val="center"/>
        <w:rPr>
          <w:rFonts w:ascii="Roboto" w:eastAsia="Roboto" w:hAnsi="Roboto" w:cs="Roboto"/>
          <w:b/>
          <w:bCs/>
          <w:color w:val="000000"/>
        </w:rPr>
      </w:pPr>
      <w:r>
        <w:rPr>
          <w:rFonts w:ascii="Roboto" w:eastAsia="Roboto" w:hAnsi="Roboto" w:cs="Roboto"/>
          <w:b/>
          <w:bCs/>
          <w:noProof/>
          <w:color w:val="000000"/>
        </w:rPr>
        <w:drawing>
          <wp:inline distT="0" distB="0" distL="0" distR="0" wp14:anchorId="1CC1DAF3" wp14:editId="53F95D77">
            <wp:extent cx="2317624" cy="96503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317624" cy="965031"/>
                    </a:xfrm>
                    <a:prstGeom prst="rect">
                      <a:avLst/>
                    </a:prstGeom>
                    <a:ln/>
                  </pic:spPr>
                </pic:pic>
              </a:graphicData>
            </a:graphic>
          </wp:inline>
        </w:drawing>
      </w:r>
    </w:p>
    <w:p w14:paraId="7CA168B3" w14:textId="77777777" w:rsidR="00BC2016" w:rsidRPr="00486DA3" w:rsidRDefault="00000000">
      <w:pPr>
        <w:spacing w:after="80"/>
        <w:jc w:val="center"/>
        <w:rPr>
          <w:rFonts w:ascii="Quattrocento Sans" w:hAnsi="Quattrocento Sans"/>
        </w:rPr>
      </w:pPr>
      <w:r w:rsidRPr="00486DA3">
        <w:rPr>
          <w:rFonts w:ascii="Quattrocento Sans" w:hAnsi="Quattrocento Sans"/>
          <w:b/>
          <w:bCs/>
          <w:color w:val="222222"/>
        </w:rPr>
        <w:t>Strengthening the Childcare Workforce in Refugee Communities</w:t>
      </w:r>
    </w:p>
    <w:p w14:paraId="7CA168B4" w14:textId="77777777" w:rsidR="00BC2016" w:rsidRPr="00486DA3" w:rsidRDefault="00000000">
      <w:pPr>
        <w:spacing w:after="60"/>
        <w:jc w:val="center"/>
        <w:rPr>
          <w:rFonts w:ascii="Quattrocento Sans" w:hAnsi="Quattrocento Sans"/>
        </w:rPr>
      </w:pPr>
      <w:r w:rsidRPr="00486DA3">
        <w:rPr>
          <w:rFonts w:ascii="Quattrocento Sans" w:hAnsi="Quattrocento Sans"/>
          <w:i/>
          <w:iCs/>
          <w:color w:val="555555"/>
        </w:rPr>
        <w:t>Building a Professionalized, Community-Financed Childcare Economy in Refugee-Hosting Contexts</w:t>
      </w:r>
    </w:p>
    <w:p w14:paraId="09931DA4" w14:textId="77777777" w:rsidR="00486DA3" w:rsidRDefault="00486DA3">
      <w:pPr>
        <w:pStyle w:val="Heading1"/>
        <w:spacing w:before="320" w:after="160"/>
        <w:rPr>
          <w:rFonts w:ascii="Quattrocento Sans" w:hAnsi="Quattrocento Sans"/>
          <w:b/>
          <w:bCs/>
          <w:color w:val="2F6B3A"/>
          <w:sz w:val="22"/>
          <w:szCs w:val="22"/>
        </w:rPr>
      </w:pPr>
    </w:p>
    <w:p w14:paraId="7CA168B6" w14:textId="37F693DC"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1. Executive Summary</w:t>
      </w:r>
    </w:p>
    <w:p w14:paraId="7CA168B7"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Uganda hosts one of the largest refugee populations in Africa, and children aged 0 to 5 remain the least served group in its settlements. In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Refugee Settlement, childcare is provided almost entirely through informal, unpaid arrangements carried by refugee women, with limited training, recognition or income. Uganda's new Early Childhood Care and Education (ECCE) Policy has opened a rare window to change this.</w:t>
      </w:r>
    </w:p>
    <w:p w14:paraId="7CA168B8" w14:textId="25B3AC98"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Kupanda Collective proposes a three-year, USD 800,000 initiative that treats childcare in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Refugee Settlement as an economy to be built</w:t>
      </w:r>
      <w:r w:rsidR="0033331C">
        <w:rPr>
          <w:rFonts w:ascii="Quattrocento Sans" w:hAnsi="Quattrocento Sans"/>
          <w:color w:val="222222"/>
        </w:rPr>
        <w:t xml:space="preserve"> through </w:t>
      </w:r>
      <w:r w:rsidRPr="00486DA3">
        <w:rPr>
          <w:rFonts w:ascii="Quattrocento Sans" w:hAnsi="Quattrocento Sans"/>
          <w:color w:val="222222"/>
        </w:rPr>
        <w:t xml:space="preserve">a professionalized workforce holding nationally recognized credentials, a network of refugee-led childcare enterprises with their own revenue and capital, services registered within government systems, and evidence rigorous enough to price national scale-up. The initiative concentrates on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as a single, deeply implemented demonstration site, and builds the costed model, evidence and delivery kit needed for replication across refugee-hosting districts in a subsequent phase.</w:t>
      </w:r>
    </w:p>
    <w:p w14:paraId="7CA168B9" w14:textId="5F8490CD"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Over three years, the initiative will certify 300 caregivers through a Childcare Caregivers Incubator linked to the Directorate of Industrial Training (DIT); capitalize a cooperative-owned Childcare Enterprise Fund financing 120 refugee-led childcare enterprises; reach 8,000 children aged 0 to 5 with safe, nurturing, play-based care; register 80 services with Local Government and the Education Management Information System (EMIS); and produce a rigorous costed evidence base for childcare in protracted displacement, including a published reference cost per child. By Year 3, fee and community revenue is projected to cover 30% of enterprise operating costs, with district engagement laying the ground for public co-financing beyond the grant. </w:t>
      </w:r>
    </w:p>
    <w:p w14:paraId="7CA168BA" w14:textId="77777777"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2. About Kupanda Collective</w:t>
      </w:r>
    </w:p>
    <w:p w14:paraId="7CA168BB" w14:textId="2DB83128"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Kupanda is a Swahili word meaning growth. Kupanda Collective is a Uganda-based, women-led non-government organization advancing inclusive, community-led development for refugee and host communities, with a focus on early childhood development, caregiver empowerment, health integration and social cohesion. </w:t>
      </w:r>
      <w:r w:rsidR="00415C92">
        <w:rPr>
          <w:rFonts w:ascii="Quattrocento Sans" w:hAnsi="Quattrocento Sans"/>
          <w:color w:val="222222"/>
        </w:rPr>
        <w:t>Kupanda Collective</w:t>
      </w:r>
      <w:r w:rsidRPr="00486DA3">
        <w:rPr>
          <w:rFonts w:ascii="Quattrocento Sans" w:hAnsi="Quattrocento Sans"/>
          <w:color w:val="222222"/>
        </w:rPr>
        <w:t xml:space="preserve"> operates on the principle that communities already possess trusted structures and leadership that, when strengthened and connected, deliver sustainable outcomes for children and families.</w:t>
      </w:r>
    </w:p>
    <w:p w14:paraId="7CA168BC" w14:textId="4E127DB7" w:rsidR="00BC2016" w:rsidRPr="00486DA3" w:rsidRDefault="00306BE1">
      <w:pPr>
        <w:spacing w:after="160" w:line="300" w:lineRule="auto"/>
        <w:jc w:val="both"/>
        <w:rPr>
          <w:rFonts w:ascii="Quattrocento Sans" w:hAnsi="Quattrocento Sans"/>
        </w:rPr>
      </w:pPr>
      <w:r>
        <w:rPr>
          <w:rFonts w:ascii="Quattrocento Sans" w:hAnsi="Quattrocento Sans"/>
          <w:color w:val="222222"/>
        </w:rPr>
        <w:t>Our</w:t>
      </w:r>
      <w:r w:rsidRPr="00486DA3">
        <w:rPr>
          <w:rFonts w:ascii="Quattrocento Sans" w:hAnsi="Quattrocento Sans"/>
          <w:color w:val="222222"/>
        </w:rPr>
        <w:t xml:space="preserve"> vision is that refugee and host communities thrive through integrated, community-led systems that support child development, economic participation and long-term self-reliance. </w:t>
      </w:r>
      <w:r>
        <w:rPr>
          <w:rFonts w:ascii="Quattrocento Sans" w:hAnsi="Quattrocento Sans"/>
          <w:color w:val="222222"/>
        </w:rPr>
        <w:t xml:space="preserve">Our </w:t>
      </w:r>
      <w:r w:rsidRPr="00486DA3">
        <w:rPr>
          <w:rFonts w:ascii="Quattrocento Sans" w:hAnsi="Quattrocento Sans"/>
          <w:color w:val="222222"/>
        </w:rPr>
        <w:t xml:space="preserve">mission is to strengthen the community-led systems that make this possible. Over the past two years, Kupanda </w:t>
      </w:r>
      <w:r w:rsidRPr="00486DA3">
        <w:rPr>
          <w:rFonts w:ascii="Quattrocento Sans" w:hAnsi="Quattrocento Sans"/>
          <w:color w:val="222222"/>
        </w:rPr>
        <w:lastRenderedPageBreak/>
        <w:t>Collective</w:t>
      </w:r>
      <w:r w:rsidR="0055454D">
        <w:rPr>
          <w:rFonts w:ascii="Quattrocento Sans" w:hAnsi="Quattrocento Sans"/>
          <w:color w:val="222222"/>
        </w:rPr>
        <w:t xml:space="preserve"> </w:t>
      </w:r>
      <w:r w:rsidRPr="00486DA3">
        <w:rPr>
          <w:rFonts w:ascii="Quattrocento Sans" w:hAnsi="Quattrocento Sans"/>
          <w:color w:val="222222"/>
        </w:rPr>
        <w:t xml:space="preserve">has </w:t>
      </w:r>
      <w:r w:rsidR="00591CA1">
        <w:rPr>
          <w:rFonts w:ascii="Quattrocento Sans" w:hAnsi="Quattrocento Sans"/>
          <w:color w:val="222222"/>
        </w:rPr>
        <w:t>worked</w:t>
      </w:r>
      <w:r w:rsidRPr="00486DA3">
        <w:rPr>
          <w:rFonts w:ascii="Quattrocento Sans" w:hAnsi="Quattrocento Sans"/>
          <w:color w:val="222222"/>
        </w:rPr>
        <w:t xml:space="preserve"> with refugee caregivers, host community members, refugee-led organizations, local leaders and government actors, and building the trust and legitimacy needed to design solutions with communities. </w:t>
      </w:r>
      <w:r w:rsidR="00642247">
        <w:rPr>
          <w:rFonts w:ascii="Quattrocento Sans" w:hAnsi="Quattrocento Sans"/>
          <w:color w:val="222222"/>
        </w:rPr>
        <w:t xml:space="preserve">Our strategic interventions of </w:t>
      </w:r>
      <w:r w:rsidRPr="00486DA3">
        <w:rPr>
          <w:rFonts w:ascii="Quattrocento Sans" w:hAnsi="Quattrocento Sans"/>
          <w:color w:val="222222"/>
        </w:rPr>
        <w:t>Neighborhood Assemblies, community-led People's Parliaments for dialogue, priority setting and social accountability, anchor this work.</w:t>
      </w:r>
    </w:p>
    <w:p w14:paraId="7CA168BD" w14:textId="77777777"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3. Context and the Policy Window</w:t>
      </w:r>
    </w:p>
    <w:p w14:paraId="7CA168BE" w14:textId="70F21F5E"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Most refugees in Uganda live in long-established settlements where displacement is protracted. Humanitarian responses have historically prioritized food assistance, health, water and primary education, leaving childcare for children aged 0 to 5 under-prioritized. Existing childcare spaces are few, unevenly distributed and largely informal. Th</w:t>
      </w:r>
      <w:r w:rsidR="00514DB3">
        <w:rPr>
          <w:rFonts w:ascii="Quattrocento Sans" w:hAnsi="Quattrocento Sans"/>
          <w:color w:val="222222"/>
        </w:rPr>
        <w:t>is</w:t>
      </w:r>
      <w:r w:rsidRPr="00486DA3">
        <w:rPr>
          <w:rFonts w:ascii="Quattrocento Sans" w:hAnsi="Quattrocento Sans"/>
          <w:color w:val="222222"/>
        </w:rPr>
        <w:t xml:space="preserve"> gap undermines young children's development and places a disproportionate burden on women, whose participation in livelihoods, training and community life depends on whether safe, reliable childcare exists nearby.</w:t>
      </w:r>
    </w:p>
    <w:p w14:paraId="7CA168BF"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Settlements such as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also hold significant untapped caregiving capacity. Refugee women are already caring for children through trusted community arrangements. Strengthened, credentialed and financed, this capacity can become a professional workforce and a source of dignified income.</w:t>
      </w:r>
    </w:p>
    <w:p w14:paraId="7CA168C0" w14:textId="7A85AD5E" w:rsidR="00BC2016" w:rsidRPr="00486DA3" w:rsidRDefault="00EA425F">
      <w:pPr>
        <w:spacing w:after="160" w:line="300" w:lineRule="auto"/>
        <w:jc w:val="both"/>
        <w:rPr>
          <w:rFonts w:ascii="Quattrocento Sans" w:hAnsi="Quattrocento Sans"/>
        </w:rPr>
      </w:pPr>
      <w:r>
        <w:rPr>
          <w:rFonts w:ascii="Quattrocento Sans" w:hAnsi="Quattrocento Sans"/>
          <w:color w:val="222222"/>
        </w:rPr>
        <w:t xml:space="preserve">The </w:t>
      </w:r>
      <w:r w:rsidRPr="00486DA3">
        <w:rPr>
          <w:rFonts w:ascii="Quattrocento Sans" w:hAnsi="Quattrocento Sans"/>
          <w:color w:val="222222"/>
        </w:rPr>
        <w:t>E</w:t>
      </w:r>
      <w:r>
        <w:rPr>
          <w:rFonts w:ascii="Quattrocento Sans" w:hAnsi="Quattrocento Sans"/>
          <w:color w:val="222222"/>
        </w:rPr>
        <w:t xml:space="preserve">arly </w:t>
      </w:r>
      <w:r w:rsidRPr="00486DA3">
        <w:rPr>
          <w:rFonts w:ascii="Quattrocento Sans" w:hAnsi="Quattrocento Sans"/>
          <w:color w:val="222222"/>
        </w:rPr>
        <w:t>C</w:t>
      </w:r>
      <w:r>
        <w:rPr>
          <w:rFonts w:ascii="Quattrocento Sans" w:hAnsi="Quattrocento Sans"/>
          <w:color w:val="222222"/>
        </w:rPr>
        <w:t xml:space="preserve">hildhood Care and </w:t>
      </w:r>
      <w:r w:rsidRPr="00486DA3">
        <w:rPr>
          <w:rFonts w:ascii="Quattrocento Sans" w:hAnsi="Quattrocento Sans"/>
          <w:color w:val="222222"/>
        </w:rPr>
        <w:t>E</w:t>
      </w:r>
      <w:r>
        <w:rPr>
          <w:rFonts w:ascii="Quattrocento Sans" w:hAnsi="Quattrocento Sans"/>
          <w:color w:val="222222"/>
        </w:rPr>
        <w:t>ducation</w:t>
      </w:r>
      <w:r w:rsidRPr="00486DA3">
        <w:rPr>
          <w:rFonts w:ascii="Quattrocento Sans" w:hAnsi="Quattrocento Sans"/>
          <w:color w:val="222222"/>
        </w:rPr>
        <w:t xml:space="preserve"> Policy </w:t>
      </w:r>
      <w:r w:rsidR="004E6F1F" w:rsidRPr="00486DA3">
        <w:rPr>
          <w:rFonts w:ascii="Quattrocento Sans" w:hAnsi="Quattrocento Sans"/>
          <w:color w:val="222222"/>
        </w:rPr>
        <w:t>commits</w:t>
      </w:r>
      <w:r w:rsidRPr="00486DA3">
        <w:rPr>
          <w:rFonts w:ascii="Quattrocento Sans" w:hAnsi="Quattrocento Sans"/>
          <w:color w:val="222222"/>
        </w:rPr>
        <w:t xml:space="preserve"> to expanding access, strengthening the ECCE workforce, supporting registration and licensing, improving coordination and generating better data. The </w:t>
      </w:r>
      <w:r w:rsidR="001977FA">
        <w:rPr>
          <w:rFonts w:ascii="Quattrocento Sans" w:hAnsi="Quattrocento Sans"/>
          <w:color w:val="222222"/>
        </w:rPr>
        <w:t>candid</w:t>
      </w:r>
      <w:r w:rsidRPr="00486DA3">
        <w:rPr>
          <w:rFonts w:ascii="Quattrocento Sans" w:hAnsi="Quattrocento Sans"/>
          <w:color w:val="222222"/>
        </w:rPr>
        <w:t xml:space="preserve"> question is how these reforms will reach refugee children, informal providers and the women carrying unpaid care work in settlements. This initiative is designed to answer that question in practice and to hand government a tested, costed model for doing so.</w:t>
      </w:r>
    </w:p>
    <w:p w14:paraId="7CA168C1" w14:textId="77777777"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4. The Initiative: A Childcare Economy Model</w:t>
      </w:r>
    </w:p>
    <w:p w14:paraId="7CA168C2" w14:textId="134F0053"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Strengthening the Childcare Workforce in Refugee Communities invests in the childcare workforce as the foundation for nurturing care, women's economic participation and refugee self-reliance. </w:t>
      </w:r>
      <w:r w:rsidR="00221765">
        <w:rPr>
          <w:rFonts w:ascii="Quattrocento Sans" w:hAnsi="Quattrocento Sans"/>
          <w:color w:val="222222"/>
        </w:rPr>
        <w:t>F</w:t>
      </w:r>
      <w:r w:rsidRPr="00486DA3">
        <w:rPr>
          <w:rFonts w:ascii="Quattrocento Sans" w:hAnsi="Quattrocento Sans"/>
          <w:color w:val="222222"/>
        </w:rPr>
        <w:t xml:space="preserve">or childcare in displacement settings to survive beyond any </w:t>
      </w:r>
      <w:r w:rsidR="00F51A3F" w:rsidRPr="00F51A3F">
        <w:rPr>
          <w:rFonts w:ascii="Quattrocento Sans" w:hAnsi="Quattrocento Sans"/>
          <w:color w:val="222222"/>
        </w:rPr>
        <w:t xml:space="preserve">childcare in refugee communities to last, it </w:t>
      </w:r>
      <w:r w:rsidR="0066482C" w:rsidRPr="00F51A3F">
        <w:rPr>
          <w:rFonts w:ascii="Quattrocento Sans" w:hAnsi="Quattrocento Sans"/>
          <w:color w:val="222222"/>
        </w:rPr>
        <w:t>must</w:t>
      </w:r>
      <w:r w:rsidR="00F51A3F" w:rsidRPr="00F51A3F">
        <w:rPr>
          <w:rFonts w:ascii="Quattrocento Sans" w:hAnsi="Quattrocento Sans"/>
          <w:color w:val="222222"/>
        </w:rPr>
        <w:t xml:space="preserve"> become part of everyday community and economic life. Caregivers also need </w:t>
      </w:r>
      <w:r w:rsidR="00353853" w:rsidRPr="00F51A3F">
        <w:rPr>
          <w:rFonts w:ascii="Quattrocento Sans" w:hAnsi="Quattrocento Sans"/>
          <w:color w:val="222222"/>
        </w:rPr>
        <w:t>recognized</w:t>
      </w:r>
      <w:r w:rsidR="00F51A3F" w:rsidRPr="00F51A3F">
        <w:rPr>
          <w:rFonts w:ascii="Quattrocento Sans" w:hAnsi="Quattrocento Sans"/>
          <w:color w:val="222222"/>
        </w:rPr>
        <w:t xml:space="preserve"> qualifications that remain useful wherever life takes them.</w:t>
      </w:r>
      <w:r w:rsidR="00F51A3F">
        <w:rPr>
          <w:rFonts w:ascii="Quattrocento Sans" w:hAnsi="Quattrocento Sans"/>
          <w:color w:val="222222"/>
        </w:rPr>
        <w:t xml:space="preserve"> </w:t>
      </w:r>
      <w:r w:rsidRPr="00486DA3">
        <w:rPr>
          <w:rFonts w:ascii="Quattrocento Sans" w:hAnsi="Quattrocento Sans"/>
          <w:color w:val="222222"/>
        </w:rPr>
        <w:t>Services earn revenue from the communities they serve. Enterprises access capital to start and grow. Government systems recognize, register and gradually co-finance what works. Evidence prices the model for scale. Each pillar of the programme builds one of these features, and together they form an engine that continues running after external funding ends.</w:t>
      </w:r>
    </w:p>
    <w:p w14:paraId="7CA168C3"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4.1 Goal</w:t>
      </w:r>
    </w:p>
    <w:p w14:paraId="7CA168C4"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To improve nurturing care and early childhood development outcomes for young refugee and host community children while expanding women's economic participation, through a professionalized, credentialed, refugee-led childcare economy embedded in community governance and national ECCE systems.</w:t>
      </w:r>
    </w:p>
    <w:p w14:paraId="7CA168C5" w14:textId="302B94DF" w:rsidR="00BC2016" w:rsidRPr="00486DA3" w:rsidRDefault="00000000" w:rsidP="00C35711">
      <w:pPr>
        <w:pStyle w:val="Heading2"/>
        <w:numPr>
          <w:ilvl w:val="1"/>
          <w:numId w:val="4"/>
        </w:numPr>
        <w:spacing w:before="240" w:after="120"/>
        <w:rPr>
          <w:rFonts w:ascii="Quattrocento Sans" w:hAnsi="Quattrocento Sans"/>
          <w:sz w:val="22"/>
          <w:szCs w:val="22"/>
        </w:rPr>
      </w:pPr>
      <w:r w:rsidRPr="00486DA3">
        <w:rPr>
          <w:rFonts w:ascii="Quattrocento Sans" w:hAnsi="Quattrocento Sans"/>
          <w:b/>
          <w:bCs/>
          <w:color w:val="222222"/>
          <w:sz w:val="22"/>
          <w:szCs w:val="22"/>
        </w:rPr>
        <w:t>Objectives</w:t>
      </w:r>
    </w:p>
    <w:p w14:paraId="1EF59D39" w14:textId="77777777" w:rsidR="00C35711" w:rsidRPr="00C35711" w:rsidRDefault="00000000" w:rsidP="00C35711">
      <w:pPr>
        <w:pStyle w:val="ListParagraph"/>
        <w:numPr>
          <w:ilvl w:val="0"/>
          <w:numId w:val="3"/>
        </w:numPr>
        <w:spacing w:after="100" w:line="300" w:lineRule="auto"/>
        <w:jc w:val="both"/>
        <w:rPr>
          <w:rFonts w:ascii="Quattrocento Sans" w:hAnsi="Quattrocento Sans"/>
        </w:rPr>
      </w:pPr>
      <w:r w:rsidRPr="00C35711">
        <w:rPr>
          <w:rFonts w:ascii="Quattrocento Sans" w:hAnsi="Quattrocento Sans"/>
          <w:color w:val="222222"/>
        </w:rPr>
        <w:t xml:space="preserve">Expand access to equitable, safe, inclusive, quality childcare for 8,000 children aged 0 to 5 in </w:t>
      </w:r>
      <w:proofErr w:type="spellStart"/>
      <w:r w:rsidRPr="00C35711">
        <w:rPr>
          <w:rFonts w:ascii="Quattrocento Sans" w:hAnsi="Quattrocento Sans"/>
          <w:color w:val="222222"/>
        </w:rPr>
        <w:t>Nakivale</w:t>
      </w:r>
      <w:proofErr w:type="spellEnd"/>
      <w:r w:rsidRPr="00C35711">
        <w:rPr>
          <w:rFonts w:ascii="Quattrocento Sans" w:hAnsi="Quattrocento Sans"/>
          <w:color w:val="222222"/>
        </w:rPr>
        <w:t xml:space="preserve"> Refugee Settlement.</w:t>
      </w:r>
    </w:p>
    <w:p w14:paraId="0838AA05" w14:textId="77777777" w:rsidR="00C35711" w:rsidRPr="00C35711" w:rsidRDefault="00000000" w:rsidP="00C35711">
      <w:pPr>
        <w:pStyle w:val="ListParagraph"/>
        <w:numPr>
          <w:ilvl w:val="0"/>
          <w:numId w:val="3"/>
        </w:numPr>
        <w:spacing w:after="100" w:line="300" w:lineRule="auto"/>
        <w:jc w:val="both"/>
        <w:rPr>
          <w:rFonts w:ascii="Quattrocento Sans" w:hAnsi="Quattrocento Sans"/>
        </w:rPr>
      </w:pPr>
      <w:r w:rsidRPr="00C35711">
        <w:rPr>
          <w:rFonts w:ascii="Quattrocento Sans" w:hAnsi="Quattrocento Sans"/>
          <w:color w:val="222222"/>
        </w:rPr>
        <w:t>Build a credentialed childcare workforce of 300 caregivers, with refugee women recognized through nationally portable DIT-assessed qualifications.</w:t>
      </w:r>
    </w:p>
    <w:p w14:paraId="422D27AA" w14:textId="77777777" w:rsidR="00C35711" w:rsidRPr="00C35711" w:rsidRDefault="00000000" w:rsidP="00C35711">
      <w:pPr>
        <w:pStyle w:val="ListParagraph"/>
        <w:numPr>
          <w:ilvl w:val="0"/>
          <w:numId w:val="3"/>
        </w:numPr>
        <w:spacing w:after="100" w:line="300" w:lineRule="auto"/>
        <w:jc w:val="both"/>
        <w:rPr>
          <w:rFonts w:ascii="Quattrocento Sans" w:hAnsi="Quattrocento Sans"/>
        </w:rPr>
      </w:pPr>
      <w:r w:rsidRPr="00C35711">
        <w:rPr>
          <w:rFonts w:ascii="Quattrocento Sans" w:hAnsi="Quattrocento Sans"/>
          <w:color w:val="222222"/>
        </w:rPr>
        <w:lastRenderedPageBreak/>
        <w:t>Establish a self-strengthening childcare market: 120 refugee-led childcare enterprises supported by a cooperative-owned Enterprise Fund and growing fee revenue.</w:t>
      </w:r>
    </w:p>
    <w:p w14:paraId="07C4A41C" w14:textId="77777777" w:rsidR="00C35711" w:rsidRPr="00C35711" w:rsidRDefault="00000000" w:rsidP="00C35711">
      <w:pPr>
        <w:pStyle w:val="ListParagraph"/>
        <w:numPr>
          <w:ilvl w:val="0"/>
          <w:numId w:val="3"/>
        </w:numPr>
        <w:spacing w:after="100" w:line="300" w:lineRule="auto"/>
        <w:jc w:val="both"/>
        <w:rPr>
          <w:rFonts w:ascii="Quattrocento Sans" w:hAnsi="Quattrocento Sans"/>
        </w:rPr>
      </w:pPr>
      <w:r w:rsidRPr="00C35711">
        <w:rPr>
          <w:rFonts w:ascii="Quattrocento Sans" w:hAnsi="Quattrocento Sans"/>
          <w:color w:val="222222"/>
        </w:rPr>
        <w:t>Integrate refugee-led childcare into settlement governance and national ECCE systems, including registration, licensing pathways, EMIS capture, quality assurance and district co-financing.</w:t>
      </w:r>
    </w:p>
    <w:p w14:paraId="7CA168CA" w14:textId="423509C5" w:rsidR="00BC2016" w:rsidRPr="00C35711" w:rsidRDefault="00000000" w:rsidP="00C35711">
      <w:pPr>
        <w:pStyle w:val="ListParagraph"/>
        <w:numPr>
          <w:ilvl w:val="0"/>
          <w:numId w:val="3"/>
        </w:numPr>
        <w:spacing w:after="100" w:line="300" w:lineRule="auto"/>
        <w:jc w:val="both"/>
        <w:rPr>
          <w:rFonts w:ascii="Quattrocento Sans" w:hAnsi="Quattrocento Sans"/>
        </w:rPr>
      </w:pPr>
      <w:r w:rsidRPr="00C35711">
        <w:rPr>
          <w:rFonts w:ascii="Quattrocento Sans" w:hAnsi="Quattrocento Sans"/>
          <w:color w:val="222222"/>
        </w:rPr>
        <w:t>Generate the evidence base for scale, anchored in a published reference cost per child for settlement childcare and a replication kit that refugee-led organizations can deliver.</w:t>
      </w:r>
    </w:p>
    <w:p w14:paraId="7CA168CB" w14:textId="58392C70"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5. Pro</w:t>
      </w:r>
      <w:r w:rsidR="008A4E28">
        <w:rPr>
          <w:rFonts w:ascii="Quattrocento Sans" w:hAnsi="Quattrocento Sans"/>
          <w:b/>
          <w:bCs/>
          <w:color w:val="2F6B3A"/>
          <w:sz w:val="22"/>
          <w:szCs w:val="22"/>
        </w:rPr>
        <w:t>ject</w:t>
      </w:r>
      <w:r w:rsidRPr="00486DA3">
        <w:rPr>
          <w:rFonts w:ascii="Quattrocento Sans" w:hAnsi="Quattrocento Sans"/>
          <w:b/>
          <w:bCs/>
          <w:color w:val="2F6B3A"/>
          <w:sz w:val="22"/>
          <w:szCs w:val="22"/>
        </w:rPr>
        <w:t xml:space="preserve"> </w:t>
      </w:r>
      <w:r w:rsidR="008A4E28">
        <w:rPr>
          <w:rFonts w:ascii="Quattrocento Sans" w:hAnsi="Quattrocento Sans"/>
          <w:b/>
          <w:bCs/>
          <w:color w:val="2F6B3A"/>
          <w:sz w:val="22"/>
          <w:szCs w:val="22"/>
        </w:rPr>
        <w:t>Design</w:t>
      </w:r>
    </w:p>
    <w:p w14:paraId="7CA168CC"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5.1 The Childcare Caregivers Incubator and a Credential that Travels</w:t>
      </w:r>
    </w:p>
    <w:p w14:paraId="7CA168CD"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The Incubator trains refugee women and youth already providing childcare in responsive caregiving, play-based early learning, child protection and safeguarding, inclusion of children with disabilities, the Nurturing Care Framework, and foundational enterprise skills including record keeping and service organization. Delivery combines practical sessions, peer learning and on-site coaching.</w:t>
      </w:r>
    </w:p>
    <w:p w14:paraId="7CA168CE"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What distinguishes the Incubator is its endpoint. Kupanda Collective will partner with the Directorate of Industrial Training so that graduates sit for formal assessment under the Workers' Practically Acquired Skills framework, earning a nationally recognized credential in early childhood caregiving. The credential converts training into a profession. It makes caregivers employable inside and beyond the settlement, gives government a workforce it can count and plan for under the ECCE Policy's workforce pillar, and gives refugee women a qualification that remains theirs wherever they go, including upon return or resettlement.</w:t>
      </w:r>
    </w:p>
    <w:p w14:paraId="7CA168CF" w14:textId="7F0C5AAD"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5.2 The Childcare Enterprise Fund</w:t>
      </w:r>
    </w:p>
    <w:p w14:paraId="7CA168D0"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The initiative builds both sides of a childcare market. On the supply side, a cooperative-owned Childcare Enterprise Fund provides start-up and growth capital to certified caregivers establishing centres, home-based services and mobile childcare. Caregivers join savings groups, cooperatives and livelihood associations that strengthen income stability and collective bargaining, and that will progressively own and govern the Fund itself.</w:t>
      </w:r>
    </w:p>
    <w:p w14:paraId="7CA168D1"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On the demand side, the initiative links childcare to the income already flowing through settlement economies. Market-day childcare will be co-financed by vendor associations at MATIF and similar market sites. Fee support will be tied to women's enterprise groups under the World Bank-funded GROW Project, whose participants need reliable childcare to work. Matched savings products within village savings and loan associations will help households budget for care. As caregiver incomes rise across the settlement economy, willingness and ability to pay modest fees rises with them, and each strand reinforces the other.</w:t>
      </w:r>
    </w:p>
    <w:p w14:paraId="7CA168D2" w14:textId="29014151" w:rsidR="00BC2016" w:rsidRPr="00486DA3" w:rsidRDefault="00CC7DB4">
      <w:pPr>
        <w:spacing w:after="160" w:line="300" w:lineRule="auto"/>
        <w:jc w:val="both"/>
        <w:rPr>
          <w:rFonts w:ascii="Quattrocento Sans" w:hAnsi="Quattrocento Sans"/>
        </w:rPr>
      </w:pPr>
      <w:r>
        <w:rPr>
          <w:rFonts w:ascii="Quattrocento Sans" w:hAnsi="Quattrocento Sans"/>
          <w:color w:val="222222"/>
        </w:rPr>
        <w:t>C</w:t>
      </w:r>
      <w:r w:rsidRPr="00486DA3">
        <w:rPr>
          <w:rFonts w:ascii="Quattrocento Sans" w:hAnsi="Quattrocento Sans"/>
          <w:color w:val="222222"/>
        </w:rPr>
        <w:t>ost per child is projected to fall from roughly USD 120 in Year 1 to roughly USD 80 by Year 3 as enrolment grows and fee revenue expands, with community revenue covering 30% of enterprise operating costs by close of grant. These figures will be validated through the baseline cost study and revised transparently.</w:t>
      </w:r>
    </w:p>
    <w:p w14:paraId="7CA168D3"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5.3 Quality, Safety and Integrated Nurturing Care</w:t>
      </w:r>
    </w:p>
    <w:p w14:paraId="7CA168D4"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Childcare centres, home-based arrangements and community spaces will operate as integrated nurturing care platforms: safe and stimulating environments, developmentally appropriate play and learning, embedded health and nutrition promotion, and strengthened referral pathways for child protection, health and social services. Quality assurance tools and supportive supervision will be </w:t>
      </w:r>
      <w:r w:rsidRPr="00486DA3">
        <w:rPr>
          <w:rFonts w:ascii="Quattrocento Sans" w:hAnsi="Quattrocento Sans"/>
          <w:color w:val="222222"/>
        </w:rPr>
        <w:lastRenderedPageBreak/>
        <w:t>introduced jointly with District Local Government, aligned with national ECCE standards, so that quality improvement and government oversight develop as a single system.</w:t>
      </w:r>
    </w:p>
    <w:p w14:paraId="7CA168D5"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5.4 Community Participation and Social Accountability</w:t>
      </w:r>
    </w:p>
    <w:p w14:paraId="7CA168D6"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Neighborhood Assemblies remain the governance spine of the initiative. Refugee caregivers, parents and community leaders will use these structured platforms to co-design services, set priorities, monitor quality, resolve grievances and engage duty bearers. Assemblies will also govern community rules for the Enterprise Fund and fee arrangements, keeping affordability and inclusion under community control. Insights from the Assemblies will feed directly into district and national advocacy for childcare investment.</w:t>
      </w:r>
    </w:p>
    <w:p w14:paraId="7CA168D7"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5.5 Systems Integration and Government Co-Ownership</w:t>
      </w:r>
    </w:p>
    <w:p w14:paraId="7CA168D8" w14:textId="0033CCBE"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From the outset, the initiative will be implemented with the Office of the Prime Minister, the Ministry of Education and Sports, </w:t>
      </w:r>
      <w:r w:rsidR="00B3066C">
        <w:rPr>
          <w:rFonts w:ascii="Quattrocento Sans" w:hAnsi="Quattrocento Sans"/>
          <w:color w:val="222222"/>
        </w:rPr>
        <w:t xml:space="preserve">the Ministry of </w:t>
      </w:r>
      <w:proofErr w:type="spellStart"/>
      <w:r w:rsidR="00B3066C">
        <w:rPr>
          <w:rFonts w:ascii="Quattrocento Sans" w:hAnsi="Quattrocento Sans"/>
          <w:color w:val="222222"/>
        </w:rPr>
        <w:t>Gneder</w:t>
      </w:r>
      <w:proofErr w:type="spellEnd"/>
      <w:r w:rsidR="00B3066C">
        <w:rPr>
          <w:rFonts w:ascii="Quattrocento Sans" w:hAnsi="Quattrocento Sans"/>
          <w:color w:val="222222"/>
        </w:rPr>
        <w:t xml:space="preserve">, Labour and Social Development, </w:t>
      </w:r>
      <w:r w:rsidRPr="00486DA3">
        <w:rPr>
          <w:rFonts w:ascii="Quattrocento Sans" w:hAnsi="Quattrocento Sans"/>
          <w:color w:val="222222"/>
        </w:rPr>
        <w:t>District Local Government</w:t>
      </w:r>
      <w:r w:rsidR="00507A10">
        <w:rPr>
          <w:rFonts w:ascii="Quattrocento Sans" w:hAnsi="Quattrocento Sans"/>
          <w:color w:val="222222"/>
        </w:rPr>
        <w:t>s</w:t>
      </w:r>
      <w:r w:rsidRPr="00486DA3">
        <w:rPr>
          <w:rFonts w:ascii="Quattrocento Sans" w:hAnsi="Quattrocento Sans"/>
          <w:color w:val="222222"/>
        </w:rPr>
        <w:t xml:space="preserve"> and settlement leadership as co-owners. Concrete commitments will include registration and licensing pathways for refugee-led services, EMIS capture of supported centres, adaptation of ECCE quality standards to settlement realities, and settlement ECCE implementation guidelines developed for adoption across refugee-hosting districts. The initiative will pursue district co-financing commitments within the grant period. </w:t>
      </w:r>
    </w:p>
    <w:p w14:paraId="7CA168D9" w14:textId="77777777" w:rsidR="00BC2016" w:rsidRPr="00486DA3" w:rsidRDefault="00000000">
      <w:pPr>
        <w:pStyle w:val="Heading2"/>
        <w:spacing w:before="240" w:after="120"/>
        <w:rPr>
          <w:rFonts w:ascii="Quattrocento Sans" w:hAnsi="Quattrocento Sans"/>
          <w:sz w:val="22"/>
          <w:szCs w:val="22"/>
        </w:rPr>
      </w:pPr>
      <w:r w:rsidRPr="00486DA3">
        <w:rPr>
          <w:rFonts w:ascii="Quattrocento Sans" w:hAnsi="Quattrocento Sans"/>
          <w:b/>
          <w:bCs/>
          <w:color w:val="222222"/>
          <w:sz w:val="22"/>
          <w:szCs w:val="22"/>
        </w:rPr>
        <w:t>5.6 Evidence, Learning and the Cost Benchmark</w:t>
      </w:r>
    </w:p>
    <w:p w14:paraId="7CA168DA"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Credible cost and outcome data for childcare in protracted displacement remain scarce. At this scale, the initiative will commission a focused costing and outcomes study with an independent research partner, with baseline and endline measurement of child development outcomes, women's income and </w:t>
      </w:r>
      <w:proofErr w:type="spellStart"/>
      <w:r w:rsidRPr="00486DA3">
        <w:rPr>
          <w:rFonts w:ascii="Quattrocento Sans" w:hAnsi="Quattrocento Sans"/>
          <w:color w:val="222222"/>
        </w:rPr>
        <w:t>labour</w:t>
      </w:r>
      <w:proofErr w:type="spellEnd"/>
      <w:r w:rsidRPr="00486DA3">
        <w:rPr>
          <w:rFonts w:ascii="Quattrocento Sans" w:hAnsi="Quattrocento Sans"/>
          <w:color w:val="222222"/>
        </w:rPr>
        <w:t xml:space="preserve"> participation, service quality and unit costs, culminating in a published reference cost per child for settlement childcare. Alongside the study, a test-and-learn approach will document implementation in real time, and the model will be packaged as a replication kit that refugee-led organizations can run with light support. Together, the reference cost and the kit give government and funders what they need to appraise and budget a larger second phase.</w:t>
      </w:r>
    </w:p>
    <w:p w14:paraId="7CA168DC" w14:textId="28697C12" w:rsidR="00BC2016" w:rsidRPr="00486DA3" w:rsidRDefault="00000000" w:rsidP="00A90D9D">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6. Phasing and Scale Architecture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8405"/>
      </w:tblGrid>
      <w:tr w:rsidR="00BC2016" w:rsidRPr="00486DA3" w14:paraId="7CA168DF" w14:textId="77777777" w:rsidTr="00A90D9D">
        <w:tc>
          <w:tcPr>
            <w:tcW w:w="895" w:type="dxa"/>
            <w:shd w:val="clear" w:color="auto" w:fill="E8F0E9"/>
            <w:tcMar>
              <w:top w:w="80" w:type="dxa"/>
              <w:left w:w="120" w:type="dxa"/>
              <w:bottom w:w="80" w:type="dxa"/>
              <w:right w:w="120" w:type="dxa"/>
            </w:tcMar>
          </w:tcPr>
          <w:p w14:paraId="7CA168DD"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Phase</w:t>
            </w:r>
          </w:p>
        </w:tc>
        <w:tc>
          <w:tcPr>
            <w:tcW w:w="8405" w:type="dxa"/>
            <w:shd w:val="clear" w:color="auto" w:fill="E8F0E9"/>
            <w:tcMar>
              <w:top w:w="80" w:type="dxa"/>
              <w:left w:w="120" w:type="dxa"/>
              <w:bottom w:w="80" w:type="dxa"/>
              <w:right w:w="120" w:type="dxa"/>
            </w:tcMar>
          </w:tcPr>
          <w:p w14:paraId="7CA168DE"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Focus</w:t>
            </w:r>
          </w:p>
        </w:tc>
      </w:tr>
      <w:tr w:rsidR="00BC2016" w:rsidRPr="00486DA3" w14:paraId="7CA168E2" w14:textId="77777777" w:rsidTr="00A90D9D">
        <w:tc>
          <w:tcPr>
            <w:tcW w:w="895" w:type="dxa"/>
            <w:tcMar>
              <w:top w:w="80" w:type="dxa"/>
              <w:left w:w="120" w:type="dxa"/>
              <w:bottom w:w="80" w:type="dxa"/>
              <w:right w:w="120" w:type="dxa"/>
            </w:tcMar>
          </w:tcPr>
          <w:p w14:paraId="7CA168E0"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Year 1</w:t>
            </w:r>
          </w:p>
        </w:tc>
        <w:tc>
          <w:tcPr>
            <w:tcW w:w="8405" w:type="dxa"/>
            <w:tcMar>
              <w:top w:w="80" w:type="dxa"/>
              <w:left w:w="120" w:type="dxa"/>
              <w:bottom w:w="80" w:type="dxa"/>
              <w:right w:w="120" w:type="dxa"/>
            </w:tcMar>
          </w:tcPr>
          <w:p w14:paraId="7CA168E1"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Foundation phase. Establish the Childcare Caregivers Incubator; conclude the DIT credentialing partnership; map existing caregivers and services; complete the baseline and costing study; design the Childcare Enterprise Fund with cooperatives and Neighborhood Assemblies; agree registration pathways with OPM, MoES and Isingiro District Local Government.</w:t>
            </w:r>
          </w:p>
        </w:tc>
      </w:tr>
      <w:tr w:rsidR="00BC2016" w:rsidRPr="00486DA3" w14:paraId="7CA168E5" w14:textId="77777777" w:rsidTr="00A90D9D">
        <w:tc>
          <w:tcPr>
            <w:tcW w:w="895" w:type="dxa"/>
            <w:tcMar>
              <w:top w:w="80" w:type="dxa"/>
              <w:left w:w="120" w:type="dxa"/>
              <w:bottom w:w="80" w:type="dxa"/>
              <w:right w:w="120" w:type="dxa"/>
            </w:tcMar>
          </w:tcPr>
          <w:p w14:paraId="7CA168E3"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Year 2</w:t>
            </w:r>
          </w:p>
        </w:tc>
        <w:tc>
          <w:tcPr>
            <w:tcW w:w="8405" w:type="dxa"/>
            <w:tcMar>
              <w:top w:w="80" w:type="dxa"/>
              <w:left w:w="120" w:type="dxa"/>
              <w:bottom w:w="80" w:type="dxa"/>
              <w:right w:w="120" w:type="dxa"/>
            </w:tcMar>
          </w:tcPr>
          <w:p w14:paraId="7CA168E4"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Scale phase. First cohorts certified; Enterprise Fund capitalized and first childcare enterprises financed; demand-side financing piloted around GROW and MATIF market sites; quality assurance and supportive supervision operating with Local Government; first services registered and entered in EMIS.</w:t>
            </w:r>
          </w:p>
        </w:tc>
      </w:tr>
      <w:tr w:rsidR="00BC2016" w:rsidRPr="00486DA3" w14:paraId="7CA168E8" w14:textId="77777777" w:rsidTr="00A90D9D">
        <w:tc>
          <w:tcPr>
            <w:tcW w:w="895" w:type="dxa"/>
            <w:tcMar>
              <w:top w:w="80" w:type="dxa"/>
              <w:left w:w="120" w:type="dxa"/>
              <w:bottom w:w="80" w:type="dxa"/>
              <w:right w:w="120" w:type="dxa"/>
            </w:tcMar>
          </w:tcPr>
          <w:p w14:paraId="7CA168E6"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Year 3</w:t>
            </w:r>
          </w:p>
        </w:tc>
        <w:tc>
          <w:tcPr>
            <w:tcW w:w="8405" w:type="dxa"/>
            <w:tcMar>
              <w:top w:w="80" w:type="dxa"/>
              <w:left w:w="120" w:type="dxa"/>
              <w:bottom w:w="80" w:type="dxa"/>
              <w:right w:w="120" w:type="dxa"/>
            </w:tcMar>
          </w:tcPr>
          <w:p w14:paraId="7CA168E7"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Consolidation and replication readiness. Final cohorts certified; fee revenue targets reached; endline and costing study published; replication kit finalized and refugee-led organizations oriented for second-phase delivery; settlement ECCE implementation guidance shared with district and national actors; dissemination with government, Hilton Foundation partners and the ECD community of practice.</w:t>
            </w:r>
          </w:p>
        </w:tc>
      </w:tr>
    </w:tbl>
    <w:p w14:paraId="7CA168E9" w14:textId="77777777" w:rsidR="00BC2016" w:rsidRPr="00486DA3" w:rsidRDefault="00BC2016">
      <w:pPr>
        <w:spacing w:after="60"/>
        <w:jc w:val="both"/>
        <w:rPr>
          <w:rFonts w:ascii="Quattrocento Sans" w:hAnsi="Quattrocento Sans"/>
        </w:rPr>
      </w:pPr>
    </w:p>
    <w:p w14:paraId="7CA168EA" w14:textId="395867C1"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lastRenderedPageBreak/>
        <w:t xml:space="preserve">7. Results Framework </w:t>
      </w:r>
    </w:p>
    <w:p w14:paraId="7CA168EB" w14:textId="0F912FE8"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Indicators will be disaggregated by sex, refugee and host status, and disability.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5135"/>
        <w:gridCol w:w="2100"/>
      </w:tblGrid>
      <w:tr w:rsidR="00BC2016" w:rsidRPr="00486DA3" w14:paraId="7CA168EF" w14:textId="77777777" w:rsidTr="00C85D0B">
        <w:tc>
          <w:tcPr>
            <w:tcW w:w="2065" w:type="dxa"/>
            <w:shd w:val="clear" w:color="auto" w:fill="E8F0E9"/>
            <w:tcMar>
              <w:top w:w="80" w:type="dxa"/>
              <w:left w:w="120" w:type="dxa"/>
              <w:bottom w:w="80" w:type="dxa"/>
              <w:right w:w="120" w:type="dxa"/>
            </w:tcMar>
          </w:tcPr>
          <w:p w14:paraId="7CA168EC"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Result area</w:t>
            </w:r>
          </w:p>
        </w:tc>
        <w:tc>
          <w:tcPr>
            <w:tcW w:w="5135" w:type="dxa"/>
            <w:shd w:val="clear" w:color="auto" w:fill="E8F0E9"/>
            <w:tcMar>
              <w:top w:w="80" w:type="dxa"/>
              <w:left w:w="120" w:type="dxa"/>
              <w:bottom w:w="80" w:type="dxa"/>
              <w:right w:w="120" w:type="dxa"/>
            </w:tcMar>
          </w:tcPr>
          <w:p w14:paraId="7CA168ED"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Indicator</w:t>
            </w:r>
          </w:p>
        </w:tc>
        <w:tc>
          <w:tcPr>
            <w:tcW w:w="2100" w:type="dxa"/>
            <w:shd w:val="clear" w:color="auto" w:fill="E8F0E9"/>
            <w:tcMar>
              <w:top w:w="80" w:type="dxa"/>
              <w:left w:w="120" w:type="dxa"/>
              <w:bottom w:w="80" w:type="dxa"/>
              <w:right w:w="120" w:type="dxa"/>
            </w:tcMar>
          </w:tcPr>
          <w:p w14:paraId="7CA168EE" w14:textId="77777777" w:rsidR="00BC2016" w:rsidRPr="00486DA3" w:rsidRDefault="00000000">
            <w:pPr>
              <w:spacing w:line="260" w:lineRule="auto"/>
              <w:rPr>
                <w:rFonts w:ascii="Quattrocento Sans" w:hAnsi="Quattrocento Sans"/>
              </w:rPr>
            </w:pPr>
            <w:r w:rsidRPr="00486DA3">
              <w:rPr>
                <w:rFonts w:ascii="Quattrocento Sans" w:hAnsi="Quattrocento Sans"/>
                <w:b/>
                <w:bCs/>
                <w:color w:val="222222"/>
              </w:rPr>
              <w:t>Three-year target</w:t>
            </w:r>
          </w:p>
        </w:tc>
      </w:tr>
      <w:tr w:rsidR="00BC2016" w:rsidRPr="00486DA3" w14:paraId="7CA168F3" w14:textId="77777777" w:rsidTr="00C85D0B">
        <w:tc>
          <w:tcPr>
            <w:tcW w:w="2065" w:type="dxa"/>
            <w:tcMar>
              <w:top w:w="80" w:type="dxa"/>
              <w:left w:w="120" w:type="dxa"/>
              <w:bottom w:w="80" w:type="dxa"/>
              <w:right w:w="120" w:type="dxa"/>
            </w:tcMar>
          </w:tcPr>
          <w:p w14:paraId="7CA168F0"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Access to quality childcare</w:t>
            </w:r>
          </w:p>
        </w:tc>
        <w:tc>
          <w:tcPr>
            <w:tcW w:w="5135" w:type="dxa"/>
            <w:tcMar>
              <w:top w:w="80" w:type="dxa"/>
              <w:left w:w="120" w:type="dxa"/>
              <w:bottom w:w="80" w:type="dxa"/>
              <w:right w:w="120" w:type="dxa"/>
            </w:tcMar>
          </w:tcPr>
          <w:p w14:paraId="7CA168F1"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 xml:space="preserve">Children aged 0 to 5 attending supported childcare services in </w:t>
            </w:r>
            <w:proofErr w:type="spellStart"/>
            <w:r w:rsidRPr="00486DA3">
              <w:rPr>
                <w:rFonts w:ascii="Quattrocento Sans" w:hAnsi="Quattrocento Sans"/>
                <w:color w:val="222222"/>
              </w:rPr>
              <w:t>Nakivale</w:t>
            </w:r>
            <w:proofErr w:type="spellEnd"/>
          </w:p>
        </w:tc>
        <w:tc>
          <w:tcPr>
            <w:tcW w:w="2100" w:type="dxa"/>
            <w:tcMar>
              <w:top w:w="80" w:type="dxa"/>
              <w:left w:w="120" w:type="dxa"/>
              <w:bottom w:w="80" w:type="dxa"/>
              <w:right w:w="120" w:type="dxa"/>
            </w:tcMar>
          </w:tcPr>
          <w:p w14:paraId="7CA168F2"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8,000</w:t>
            </w:r>
          </w:p>
        </w:tc>
      </w:tr>
      <w:tr w:rsidR="00BC2016" w:rsidRPr="00486DA3" w14:paraId="7CA168F7" w14:textId="77777777" w:rsidTr="00C85D0B">
        <w:tc>
          <w:tcPr>
            <w:tcW w:w="2065" w:type="dxa"/>
            <w:tcMar>
              <w:top w:w="80" w:type="dxa"/>
              <w:left w:w="120" w:type="dxa"/>
              <w:bottom w:w="80" w:type="dxa"/>
              <w:right w:w="120" w:type="dxa"/>
            </w:tcMar>
          </w:tcPr>
          <w:p w14:paraId="7CA168F4"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Professionalized workforce</w:t>
            </w:r>
          </w:p>
        </w:tc>
        <w:tc>
          <w:tcPr>
            <w:tcW w:w="5135" w:type="dxa"/>
            <w:tcMar>
              <w:top w:w="80" w:type="dxa"/>
              <w:left w:w="120" w:type="dxa"/>
              <w:bottom w:w="80" w:type="dxa"/>
              <w:right w:w="120" w:type="dxa"/>
            </w:tcMar>
          </w:tcPr>
          <w:p w14:paraId="7CA168F5"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Caregivers completing the Incubator and attaining a nationally recognized DIT-assessed credential (at least 60% refugee women)</w:t>
            </w:r>
          </w:p>
        </w:tc>
        <w:tc>
          <w:tcPr>
            <w:tcW w:w="2100" w:type="dxa"/>
            <w:tcMar>
              <w:top w:w="80" w:type="dxa"/>
              <w:left w:w="120" w:type="dxa"/>
              <w:bottom w:w="80" w:type="dxa"/>
              <w:right w:w="120" w:type="dxa"/>
            </w:tcMar>
          </w:tcPr>
          <w:p w14:paraId="7CA168F6"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300</w:t>
            </w:r>
          </w:p>
        </w:tc>
      </w:tr>
      <w:tr w:rsidR="00BC2016" w:rsidRPr="00486DA3" w14:paraId="7CA168FB" w14:textId="77777777" w:rsidTr="00C85D0B">
        <w:tc>
          <w:tcPr>
            <w:tcW w:w="2065" w:type="dxa"/>
            <w:tcMar>
              <w:top w:w="80" w:type="dxa"/>
              <w:left w:w="120" w:type="dxa"/>
              <w:bottom w:w="80" w:type="dxa"/>
              <w:right w:w="120" w:type="dxa"/>
            </w:tcMar>
          </w:tcPr>
          <w:p w14:paraId="7CA168F8"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Childcare enterprises</w:t>
            </w:r>
          </w:p>
        </w:tc>
        <w:tc>
          <w:tcPr>
            <w:tcW w:w="5135" w:type="dxa"/>
            <w:tcMar>
              <w:top w:w="80" w:type="dxa"/>
              <w:left w:w="120" w:type="dxa"/>
              <w:bottom w:w="80" w:type="dxa"/>
              <w:right w:w="120" w:type="dxa"/>
            </w:tcMar>
          </w:tcPr>
          <w:p w14:paraId="7CA168F9"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Refugee-led childcare enterprises (centres, home-based and mobile services) operating to agreed quality standards</w:t>
            </w:r>
          </w:p>
        </w:tc>
        <w:tc>
          <w:tcPr>
            <w:tcW w:w="2100" w:type="dxa"/>
            <w:tcMar>
              <w:top w:w="80" w:type="dxa"/>
              <w:left w:w="120" w:type="dxa"/>
              <w:bottom w:w="80" w:type="dxa"/>
              <w:right w:w="120" w:type="dxa"/>
            </w:tcMar>
          </w:tcPr>
          <w:p w14:paraId="7CA168FA"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120</w:t>
            </w:r>
          </w:p>
        </w:tc>
      </w:tr>
      <w:tr w:rsidR="00BC2016" w:rsidRPr="00486DA3" w14:paraId="7CA168FF" w14:textId="77777777" w:rsidTr="00C85D0B">
        <w:tc>
          <w:tcPr>
            <w:tcW w:w="2065" w:type="dxa"/>
            <w:tcMar>
              <w:top w:w="80" w:type="dxa"/>
              <w:left w:w="120" w:type="dxa"/>
              <w:bottom w:w="80" w:type="dxa"/>
              <w:right w:w="120" w:type="dxa"/>
            </w:tcMar>
          </w:tcPr>
          <w:p w14:paraId="7CA168FC"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Financial sustainability</w:t>
            </w:r>
          </w:p>
        </w:tc>
        <w:tc>
          <w:tcPr>
            <w:tcW w:w="5135" w:type="dxa"/>
            <w:tcMar>
              <w:top w:w="80" w:type="dxa"/>
              <w:left w:w="120" w:type="dxa"/>
              <w:bottom w:w="80" w:type="dxa"/>
              <w:right w:w="120" w:type="dxa"/>
            </w:tcMar>
          </w:tcPr>
          <w:p w14:paraId="7CA168FD"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Share of enterprise operating costs covered by fee and community revenue by Year 3</w:t>
            </w:r>
          </w:p>
        </w:tc>
        <w:tc>
          <w:tcPr>
            <w:tcW w:w="2100" w:type="dxa"/>
            <w:tcMar>
              <w:top w:w="80" w:type="dxa"/>
              <w:left w:w="120" w:type="dxa"/>
              <w:bottom w:w="80" w:type="dxa"/>
              <w:right w:w="120" w:type="dxa"/>
            </w:tcMar>
          </w:tcPr>
          <w:p w14:paraId="7CA168FE"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30%</w:t>
            </w:r>
          </w:p>
        </w:tc>
      </w:tr>
      <w:tr w:rsidR="00BC2016" w:rsidRPr="00486DA3" w14:paraId="7CA16903" w14:textId="77777777" w:rsidTr="00C85D0B">
        <w:tc>
          <w:tcPr>
            <w:tcW w:w="2065" w:type="dxa"/>
            <w:tcMar>
              <w:top w:w="80" w:type="dxa"/>
              <w:left w:w="120" w:type="dxa"/>
              <w:bottom w:w="80" w:type="dxa"/>
              <w:right w:w="120" w:type="dxa"/>
            </w:tcMar>
          </w:tcPr>
          <w:p w14:paraId="7CA16900"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Caregiver livelihoods</w:t>
            </w:r>
          </w:p>
        </w:tc>
        <w:tc>
          <w:tcPr>
            <w:tcW w:w="5135" w:type="dxa"/>
            <w:tcMar>
              <w:top w:w="80" w:type="dxa"/>
              <w:left w:w="120" w:type="dxa"/>
              <w:bottom w:w="80" w:type="dxa"/>
              <w:right w:w="120" w:type="dxa"/>
            </w:tcMar>
          </w:tcPr>
          <w:p w14:paraId="7CA16901"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Average increase in monthly income of certified caregivers against baseline</w:t>
            </w:r>
          </w:p>
        </w:tc>
        <w:tc>
          <w:tcPr>
            <w:tcW w:w="2100" w:type="dxa"/>
            <w:tcMar>
              <w:top w:w="80" w:type="dxa"/>
              <w:left w:w="120" w:type="dxa"/>
              <w:bottom w:w="80" w:type="dxa"/>
              <w:right w:w="120" w:type="dxa"/>
            </w:tcMar>
          </w:tcPr>
          <w:p w14:paraId="7CA16902"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+50%</w:t>
            </w:r>
          </w:p>
        </w:tc>
      </w:tr>
      <w:tr w:rsidR="00BC2016" w:rsidRPr="00486DA3" w14:paraId="7CA16907" w14:textId="77777777" w:rsidTr="00C85D0B">
        <w:tc>
          <w:tcPr>
            <w:tcW w:w="2065" w:type="dxa"/>
            <w:tcMar>
              <w:top w:w="80" w:type="dxa"/>
              <w:left w:w="120" w:type="dxa"/>
              <w:bottom w:w="80" w:type="dxa"/>
              <w:right w:w="120" w:type="dxa"/>
            </w:tcMar>
          </w:tcPr>
          <w:p w14:paraId="7CA16904"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Systems integration</w:t>
            </w:r>
          </w:p>
        </w:tc>
        <w:tc>
          <w:tcPr>
            <w:tcW w:w="5135" w:type="dxa"/>
            <w:tcMar>
              <w:top w:w="80" w:type="dxa"/>
              <w:left w:w="120" w:type="dxa"/>
              <w:bottom w:w="80" w:type="dxa"/>
              <w:right w:w="120" w:type="dxa"/>
            </w:tcMar>
          </w:tcPr>
          <w:p w14:paraId="7CA16905"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Childcare services registered with Local Government and captured in EMIS</w:t>
            </w:r>
          </w:p>
        </w:tc>
        <w:tc>
          <w:tcPr>
            <w:tcW w:w="2100" w:type="dxa"/>
            <w:tcMar>
              <w:top w:w="80" w:type="dxa"/>
              <w:left w:w="120" w:type="dxa"/>
              <w:bottom w:w="80" w:type="dxa"/>
              <w:right w:w="120" w:type="dxa"/>
            </w:tcMar>
          </w:tcPr>
          <w:p w14:paraId="7CA16906"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80</w:t>
            </w:r>
          </w:p>
        </w:tc>
      </w:tr>
      <w:tr w:rsidR="00BC2016" w:rsidRPr="00486DA3" w14:paraId="7CA1690B" w14:textId="77777777" w:rsidTr="00C85D0B">
        <w:tc>
          <w:tcPr>
            <w:tcW w:w="2065" w:type="dxa"/>
            <w:tcMar>
              <w:top w:w="80" w:type="dxa"/>
              <w:left w:w="120" w:type="dxa"/>
              <w:bottom w:w="80" w:type="dxa"/>
              <w:right w:w="120" w:type="dxa"/>
            </w:tcMar>
          </w:tcPr>
          <w:p w14:paraId="7CA16908"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Government adoption</w:t>
            </w:r>
          </w:p>
        </w:tc>
        <w:tc>
          <w:tcPr>
            <w:tcW w:w="5135" w:type="dxa"/>
            <w:tcMar>
              <w:top w:w="80" w:type="dxa"/>
              <w:left w:w="120" w:type="dxa"/>
              <w:bottom w:w="80" w:type="dxa"/>
              <w:right w:w="120" w:type="dxa"/>
            </w:tcMar>
          </w:tcPr>
          <w:p w14:paraId="7CA16909"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Districts adopting settlement ECCE implementation guidance informed by the model</w:t>
            </w:r>
          </w:p>
        </w:tc>
        <w:tc>
          <w:tcPr>
            <w:tcW w:w="2100" w:type="dxa"/>
            <w:tcMar>
              <w:top w:w="80" w:type="dxa"/>
              <w:left w:w="120" w:type="dxa"/>
              <w:bottom w:w="80" w:type="dxa"/>
              <w:right w:w="120" w:type="dxa"/>
            </w:tcMar>
          </w:tcPr>
          <w:p w14:paraId="7CA1690A"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1</w:t>
            </w:r>
          </w:p>
        </w:tc>
      </w:tr>
      <w:tr w:rsidR="00BC2016" w:rsidRPr="00486DA3" w14:paraId="7CA1690F" w14:textId="77777777" w:rsidTr="00C85D0B">
        <w:tc>
          <w:tcPr>
            <w:tcW w:w="2065" w:type="dxa"/>
            <w:tcMar>
              <w:top w:w="80" w:type="dxa"/>
              <w:left w:w="120" w:type="dxa"/>
              <w:bottom w:w="80" w:type="dxa"/>
              <w:right w:w="120" w:type="dxa"/>
            </w:tcMar>
          </w:tcPr>
          <w:p w14:paraId="7CA1690C"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Evidence for scale</w:t>
            </w:r>
          </w:p>
        </w:tc>
        <w:tc>
          <w:tcPr>
            <w:tcW w:w="5135" w:type="dxa"/>
            <w:tcMar>
              <w:top w:w="80" w:type="dxa"/>
              <w:left w:w="120" w:type="dxa"/>
              <w:bottom w:w="80" w:type="dxa"/>
              <w:right w:w="120" w:type="dxa"/>
            </w:tcMar>
          </w:tcPr>
          <w:p w14:paraId="7CA1690D" w14:textId="77777777" w:rsidR="00BC2016" w:rsidRPr="00486DA3" w:rsidRDefault="00000000">
            <w:pPr>
              <w:spacing w:line="260" w:lineRule="auto"/>
              <w:rPr>
                <w:rFonts w:ascii="Quattrocento Sans" w:hAnsi="Quattrocento Sans"/>
              </w:rPr>
            </w:pPr>
            <w:r w:rsidRPr="00486DA3">
              <w:rPr>
                <w:rFonts w:ascii="Quattrocento Sans" w:hAnsi="Quattrocento Sans"/>
                <w:color w:val="222222"/>
              </w:rPr>
              <w:t>Published costing and outcomes study and replication kit, with refugee-led organizations oriented for second-phase delivery</w:t>
            </w:r>
          </w:p>
        </w:tc>
        <w:tc>
          <w:tcPr>
            <w:tcW w:w="2100" w:type="dxa"/>
            <w:tcMar>
              <w:top w:w="80" w:type="dxa"/>
              <w:left w:w="120" w:type="dxa"/>
              <w:bottom w:w="80" w:type="dxa"/>
              <w:right w:w="120" w:type="dxa"/>
            </w:tcMar>
          </w:tcPr>
          <w:p w14:paraId="7CA1690E" w14:textId="77777777" w:rsidR="00BC2016" w:rsidRPr="00486DA3" w:rsidRDefault="00000000">
            <w:pPr>
              <w:spacing w:line="260" w:lineRule="auto"/>
              <w:jc w:val="center"/>
              <w:rPr>
                <w:rFonts w:ascii="Quattrocento Sans" w:hAnsi="Quattrocento Sans"/>
              </w:rPr>
            </w:pPr>
            <w:r w:rsidRPr="00486DA3">
              <w:rPr>
                <w:rFonts w:ascii="Quattrocento Sans" w:hAnsi="Quattrocento Sans"/>
                <w:color w:val="222222"/>
              </w:rPr>
              <w:t>1 study; 3 RLOs</w:t>
            </w:r>
          </w:p>
        </w:tc>
      </w:tr>
    </w:tbl>
    <w:p w14:paraId="7CA16910" w14:textId="77777777" w:rsidR="00BC2016" w:rsidRPr="00486DA3" w:rsidRDefault="00BC2016">
      <w:pPr>
        <w:spacing w:after="60"/>
        <w:jc w:val="both"/>
        <w:rPr>
          <w:rFonts w:ascii="Quattrocento Sans" w:hAnsi="Quattrocento Sans"/>
        </w:rPr>
      </w:pPr>
    </w:p>
    <w:p w14:paraId="7CA16911" w14:textId="05C7545A"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 xml:space="preserve">8. </w:t>
      </w:r>
      <w:r w:rsidR="00F0368D">
        <w:rPr>
          <w:rFonts w:ascii="Quattrocento Sans" w:hAnsi="Quattrocento Sans"/>
          <w:b/>
          <w:bCs/>
          <w:color w:val="2F6B3A"/>
          <w:sz w:val="22"/>
          <w:szCs w:val="22"/>
        </w:rPr>
        <w:t xml:space="preserve">Three </w:t>
      </w:r>
      <w:r w:rsidR="00A17B04">
        <w:rPr>
          <w:rFonts w:ascii="Quattrocento Sans" w:hAnsi="Quattrocento Sans"/>
          <w:b/>
          <w:bCs/>
          <w:color w:val="2F6B3A"/>
          <w:sz w:val="22"/>
          <w:szCs w:val="22"/>
        </w:rPr>
        <w:t xml:space="preserve">– Year </w:t>
      </w:r>
      <w:r w:rsidRPr="00486DA3">
        <w:rPr>
          <w:rFonts w:ascii="Quattrocento Sans" w:hAnsi="Quattrocento Sans"/>
          <w:b/>
          <w:bCs/>
          <w:color w:val="2F6B3A"/>
          <w:sz w:val="22"/>
          <w:szCs w:val="22"/>
        </w:rPr>
        <w:t>Budget</w:t>
      </w:r>
      <w:r w:rsidR="00A17B04">
        <w:rPr>
          <w:rFonts w:ascii="Quattrocento Sans" w:hAnsi="Quattrocento Sans"/>
          <w:b/>
          <w:bCs/>
          <w:color w:val="2F6B3A"/>
          <w:sz w:val="22"/>
          <w:szCs w:val="22"/>
        </w:rPr>
        <w:t xml:space="preserve"> by Project Component</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0"/>
        <w:gridCol w:w="1166"/>
        <w:gridCol w:w="1166"/>
        <w:gridCol w:w="996"/>
        <w:gridCol w:w="1468"/>
        <w:gridCol w:w="790"/>
      </w:tblGrid>
      <w:tr w:rsidR="00556A09" w14:paraId="406D8F5C" w14:textId="77777777" w:rsidTr="005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Borders>
              <w:top w:val="none" w:sz="0" w:space="0" w:color="auto"/>
              <w:left w:val="none" w:sz="0" w:space="0" w:color="auto"/>
              <w:bottom w:val="none" w:sz="0" w:space="0" w:color="auto"/>
              <w:right w:val="none" w:sz="0" w:space="0" w:color="auto"/>
            </w:tcBorders>
          </w:tcPr>
          <w:p w14:paraId="5337B95A" w14:textId="417F5827" w:rsidR="00556A09" w:rsidRDefault="00556A09" w:rsidP="00556A09">
            <w:pPr>
              <w:spacing w:after="60"/>
              <w:jc w:val="both"/>
              <w:rPr>
                <w:rFonts w:ascii="Quattrocento Sans" w:hAnsi="Quattrocento Sans"/>
              </w:rPr>
            </w:pPr>
            <w:r w:rsidRPr="008B26AD">
              <w:rPr>
                <w:rFonts w:ascii="Quattrocento Sans" w:hAnsi="Quattrocento Sans"/>
              </w:rPr>
              <w:t>Budget category</w:t>
            </w:r>
          </w:p>
        </w:tc>
        <w:tc>
          <w:tcPr>
            <w:tcW w:w="1170" w:type="dxa"/>
            <w:tcBorders>
              <w:top w:val="none" w:sz="0" w:space="0" w:color="auto"/>
              <w:left w:val="none" w:sz="0" w:space="0" w:color="auto"/>
              <w:bottom w:val="none" w:sz="0" w:space="0" w:color="auto"/>
              <w:right w:val="none" w:sz="0" w:space="0" w:color="auto"/>
            </w:tcBorders>
          </w:tcPr>
          <w:p w14:paraId="1BCE89AA" w14:textId="4D65AE6D" w:rsidR="00556A09" w:rsidRDefault="00556A09" w:rsidP="00556A09">
            <w:pPr>
              <w:spacing w:after="60"/>
              <w:jc w:val="both"/>
              <w:cnfStyle w:val="100000000000" w:firstRow="1"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Year 1</w:t>
            </w:r>
          </w:p>
        </w:tc>
        <w:tc>
          <w:tcPr>
            <w:tcW w:w="1170" w:type="dxa"/>
            <w:tcBorders>
              <w:top w:val="none" w:sz="0" w:space="0" w:color="auto"/>
              <w:left w:val="none" w:sz="0" w:space="0" w:color="auto"/>
              <w:bottom w:val="none" w:sz="0" w:space="0" w:color="auto"/>
              <w:right w:val="none" w:sz="0" w:space="0" w:color="auto"/>
            </w:tcBorders>
          </w:tcPr>
          <w:p w14:paraId="5D83FBAC" w14:textId="50E178C4" w:rsidR="00556A09" w:rsidRDefault="00556A09" w:rsidP="00556A09">
            <w:pPr>
              <w:spacing w:after="60"/>
              <w:jc w:val="both"/>
              <w:cnfStyle w:val="100000000000" w:firstRow="1"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Year 2</w:t>
            </w:r>
          </w:p>
        </w:tc>
        <w:tc>
          <w:tcPr>
            <w:tcW w:w="900" w:type="dxa"/>
            <w:tcBorders>
              <w:top w:val="none" w:sz="0" w:space="0" w:color="auto"/>
              <w:left w:val="none" w:sz="0" w:space="0" w:color="auto"/>
              <w:bottom w:val="none" w:sz="0" w:space="0" w:color="auto"/>
              <w:right w:val="none" w:sz="0" w:space="0" w:color="auto"/>
            </w:tcBorders>
          </w:tcPr>
          <w:p w14:paraId="2B5AE92D" w14:textId="74E2E9FE" w:rsidR="00556A09" w:rsidRDefault="00556A09" w:rsidP="00556A09">
            <w:pPr>
              <w:spacing w:after="60"/>
              <w:jc w:val="both"/>
              <w:cnfStyle w:val="100000000000" w:firstRow="1"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Year 3</w:t>
            </w:r>
          </w:p>
        </w:tc>
        <w:tc>
          <w:tcPr>
            <w:tcW w:w="1481" w:type="dxa"/>
            <w:tcBorders>
              <w:top w:val="none" w:sz="0" w:space="0" w:color="auto"/>
              <w:left w:val="none" w:sz="0" w:space="0" w:color="auto"/>
              <w:bottom w:val="none" w:sz="0" w:space="0" w:color="auto"/>
              <w:right w:val="none" w:sz="0" w:space="0" w:color="auto"/>
            </w:tcBorders>
          </w:tcPr>
          <w:p w14:paraId="59B02835" w14:textId="4037999A" w:rsidR="00556A09" w:rsidRDefault="00556A09" w:rsidP="00556A09">
            <w:pPr>
              <w:spacing w:after="60"/>
              <w:jc w:val="both"/>
              <w:cnfStyle w:val="100000000000" w:firstRow="1"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Total (USD)</w:t>
            </w:r>
          </w:p>
        </w:tc>
        <w:tc>
          <w:tcPr>
            <w:tcW w:w="0" w:type="auto"/>
            <w:tcBorders>
              <w:top w:val="none" w:sz="0" w:space="0" w:color="auto"/>
              <w:left w:val="none" w:sz="0" w:space="0" w:color="auto"/>
              <w:bottom w:val="none" w:sz="0" w:space="0" w:color="auto"/>
              <w:right w:val="none" w:sz="0" w:space="0" w:color="auto"/>
            </w:tcBorders>
          </w:tcPr>
          <w:p w14:paraId="56035052" w14:textId="300C8B2D" w:rsidR="00556A09" w:rsidRDefault="00556A09" w:rsidP="00556A09">
            <w:pPr>
              <w:spacing w:after="60"/>
              <w:jc w:val="both"/>
              <w:cnfStyle w:val="100000000000" w:firstRow="1"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Share</w:t>
            </w:r>
          </w:p>
        </w:tc>
      </w:tr>
      <w:tr w:rsidR="00556A09" w14:paraId="596D7400" w14:textId="77777777" w:rsidTr="005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93AACA3" w14:textId="6C441C34" w:rsidR="00556A09" w:rsidRDefault="00556A09" w:rsidP="00556A09">
            <w:pPr>
              <w:spacing w:after="60"/>
              <w:jc w:val="both"/>
              <w:rPr>
                <w:rFonts w:ascii="Quattrocento Sans" w:hAnsi="Quattrocento Sans"/>
              </w:rPr>
            </w:pPr>
            <w:r w:rsidRPr="008B26AD">
              <w:rPr>
                <w:rFonts w:ascii="Quattrocento Sans" w:hAnsi="Quattrocento Sans"/>
              </w:rPr>
              <w:t>Childcare workforce development and credentialing</w:t>
            </w:r>
          </w:p>
        </w:tc>
        <w:tc>
          <w:tcPr>
            <w:tcW w:w="1170" w:type="dxa"/>
          </w:tcPr>
          <w:p w14:paraId="0AFDD6B0" w14:textId="0BFAF573"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70,000</w:t>
            </w:r>
          </w:p>
        </w:tc>
        <w:tc>
          <w:tcPr>
            <w:tcW w:w="1170" w:type="dxa"/>
          </w:tcPr>
          <w:p w14:paraId="4721DFE0" w14:textId="35A6E850"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65,000</w:t>
            </w:r>
          </w:p>
        </w:tc>
        <w:tc>
          <w:tcPr>
            <w:tcW w:w="900" w:type="dxa"/>
          </w:tcPr>
          <w:p w14:paraId="79966837" w14:textId="5F2B0CFE"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45,000</w:t>
            </w:r>
          </w:p>
        </w:tc>
        <w:tc>
          <w:tcPr>
            <w:tcW w:w="1481" w:type="dxa"/>
          </w:tcPr>
          <w:p w14:paraId="1A291000" w14:textId="119E5480"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180,000</w:t>
            </w:r>
          </w:p>
        </w:tc>
        <w:tc>
          <w:tcPr>
            <w:tcW w:w="0" w:type="auto"/>
          </w:tcPr>
          <w:p w14:paraId="345799F5" w14:textId="021C7F61"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22.5%</w:t>
            </w:r>
          </w:p>
        </w:tc>
      </w:tr>
      <w:tr w:rsidR="00556A09" w14:paraId="284670FA" w14:textId="77777777" w:rsidTr="00556A09">
        <w:tc>
          <w:tcPr>
            <w:cnfStyle w:val="001000000000" w:firstRow="0" w:lastRow="0" w:firstColumn="1" w:lastColumn="0" w:oddVBand="0" w:evenVBand="0" w:oddHBand="0" w:evenHBand="0" w:firstRowFirstColumn="0" w:firstRowLastColumn="0" w:lastRowFirstColumn="0" w:lastRowLastColumn="0"/>
            <w:tcW w:w="3865" w:type="dxa"/>
          </w:tcPr>
          <w:p w14:paraId="72691DFF" w14:textId="1A4F6DA7" w:rsidR="00556A09" w:rsidRDefault="00556A09" w:rsidP="00556A09">
            <w:pPr>
              <w:spacing w:after="60"/>
              <w:jc w:val="both"/>
              <w:rPr>
                <w:rFonts w:ascii="Quattrocento Sans" w:hAnsi="Quattrocento Sans"/>
              </w:rPr>
            </w:pPr>
            <w:r w:rsidRPr="008B26AD">
              <w:rPr>
                <w:rFonts w:ascii="Quattrocento Sans" w:hAnsi="Quattrocento Sans"/>
              </w:rPr>
              <w:t>Childcare Access Window</w:t>
            </w:r>
          </w:p>
        </w:tc>
        <w:tc>
          <w:tcPr>
            <w:tcW w:w="1170" w:type="dxa"/>
          </w:tcPr>
          <w:p w14:paraId="45B0ACE2" w14:textId="742E6919"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20,000</w:t>
            </w:r>
          </w:p>
        </w:tc>
        <w:tc>
          <w:tcPr>
            <w:tcW w:w="1170" w:type="dxa"/>
          </w:tcPr>
          <w:p w14:paraId="25E52DA6" w14:textId="3382D53A"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45,000</w:t>
            </w:r>
          </w:p>
        </w:tc>
        <w:tc>
          <w:tcPr>
            <w:tcW w:w="900" w:type="dxa"/>
          </w:tcPr>
          <w:p w14:paraId="64150116" w14:textId="3D3AD056"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35,000</w:t>
            </w:r>
          </w:p>
        </w:tc>
        <w:tc>
          <w:tcPr>
            <w:tcW w:w="1481" w:type="dxa"/>
          </w:tcPr>
          <w:p w14:paraId="14D78349" w14:textId="14574AE9"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100,000</w:t>
            </w:r>
          </w:p>
        </w:tc>
        <w:tc>
          <w:tcPr>
            <w:tcW w:w="0" w:type="auto"/>
          </w:tcPr>
          <w:p w14:paraId="2AD43647" w14:textId="73E1940C"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12.5%</w:t>
            </w:r>
          </w:p>
        </w:tc>
      </w:tr>
      <w:tr w:rsidR="00556A09" w14:paraId="13A3EB4B" w14:textId="77777777" w:rsidTr="005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12011A4" w14:textId="2FF99489" w:rsidR="00556A09" w:rsidRDefault="00556A09" w:rsidP="00556A09">
            <w:pPr>
              <w:spacing w:after="60"/>
              <w:jc w:val="both"/>
              <w:rPr>
                <w:rFonts w:ascii="Quattrocento Sans" w:hAnsi="Quattrocento Sans"/>
              </w:rPr>
            </w:pPr>
            <w:r w:rsidRPr="008B26AD">
              <w:rPr>
                <w:rFonts w:ascii="Quattrocento Sans" w:hAnsi="Quattrocento Sans"/>
              </w:rPr>
              <w:t>Childcare Enterprise Window and service quality</w:t>
            </w:r>
          </w:p>
        </w:tc>
        <w:tc>
          <w:tcPr>
            <w:tcW w:w="1170" w:type="dxa"/>
          </w:tcPr>
          <w:p w14:paraId="665176F9" w14:textId="14C40F22"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35,000</w:t>
            </w:r>
          </w:p>
        </w:tc>
        <w:tc>
          <w:tcPr>
            <w:tcW w:w="1170" w:type="dxa"/>
          </w:tcPr>
          <w:p w14:paraId="5E4E29B6" w14:textId="40854A24"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55,000</w:t>
            </w:r>
          </w:p>
        </w:tc>
        <w:tc>
          <w:tcPr>
            <w:tcW w:w="900" w:type="dxa"/>
          </w:tcPr>
          <w:p w14:paraId="77A32399" w14:textId="547A2929"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35,000</w:t>
            </w:r>
          </w:p>
        </w:tc>
        <w:tc>
          <w:tcPr>
            <w:tcW w:w="1481" w:type="dxa"/>
          </w:tcPr>
          <w:p w14:paraId="4899A7C8" w14:textId="6D89DAD1"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125,000</w:t>
            </w:r>
          </w:p>
        </w:tc>
        <w:tc>
          <w:tcPr>
            <w:tcW w:w="0" w:type="auto"/>
          </w:tcPr>
          <w:p w14:paraId="49C67F98" w14:textId="5C9C645B"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15.6%</w:t>
            </w:r>
          </w:p>
        </w:tc>
      </w:tr>
      <w:tr w:rsidR="00556A09" w14:paraId="750EF3F7" w14:textId="77777777" w:rsidTr="00556A09">
        <w:tc>
          <w:tcPr>
            <w:cnfStyle w:val="001000000000" w:firstRow="0" w:lastRow="0" w:firstColumn="1" w:lastColumn="0" w:oddVBand="0" w:evenVBand="0" w:oddHBand="0" w:evenHBand="0" w:firstRowFirstColumn="0" w:firstRowLastColumn="0" w:lastRowFirstColumn="0" w:lastRowLastColumn="0"/>
            <w:tcW w:w="3865" w:type="dxa"/>
          </w:tcPr>
          <w:p w14:paraId="48D66AB7" w14:textId="76C2EE91" w:rsidR="00556A09" w:rsidRDefault="00556A09" w:rsidP="00556A09">
            <w:pPr>
              <w:spacing w:after="60"/>
              <w:jc w:val="both"/>
              <w:rPr>
                <w:rFonts w:ascii="Quattrocento Sans" w:hAnsi="Quattrocento Sans"/>
              </w:rPr>
            </w:pPr>
            <w:r w:rsidRPr="008B26AD">
              <w:rPr>
                <w:rFonts w:ascii="Quattrocento Sans" w:hAnsi="Quattrocento Sans"/>
              </w:rPr>
              <w:t>Integrated nurturing care and inclusion</w:t>
            </w:r>
          </w:p>
        </w:tc>
        <w:tc>
          <w:tcPr>
            <w:tcW w:w="1170" w:type="dxa"/>
          </w:tcPr>
          <w:p w14:paraId="64C8B8F5" w14:textId="2F472604"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25,000</w:t>
            </w:r>
          </w:p>
        </w:tc>
        <w:tc>
          <w:tcPr>
            <w:tcW w:w="1170" w:type="dxa"/>
          </w:tcPr>
          <w:p w14:paraId="036C7DFA" w14:textId="578A2C50"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25,000</w:t>
            </w:r>
          </w:p>
        </w:tc>
        <w:tc>
          <w:tcPr>
            <w:tcW w:w="900" w:type="dxa"/>
          </w:tcPr>
          <w:p w14:paraId="742993AB" w14:textId="6AD2D020"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20,000</w:t>
            </w:r>
          </w:p>
        </w:tc>
        <w:tc>
          <w:tcPr>
            <w:tcW w:w="1481" w:type="dxa"/>
          </w:tcPr>
          <w:p w14:paraId="7A12FBA2" w14:textId="34875E60"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70,000</w:t>
            </w:r>
          </w:p>
        </w:tc>
        <w:tc>
          <w:tcPr>
            <w:tcW w:w="0" w:type="auto"/>
          </w:tcPr>
          <w:p w14:paraId="454C6113" w14:textId="483C615D" w:rsidR="00556A09"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8.8%</w:t>
            </w:r>
          </w:p>
        </w:tc>
      </w:tr>
      <w:tr w:rsidR="00556A09" w14:paraId="0C458F6F" w14:textId="77777777" w:rsidTr="005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3611316" w14:textId="4F701A7B" w:rsidR="00556A09" w:rsidRDefault="00556A09" w:rsidP="00556A09">
            <w:pPr>
              <w:spacing w:after="60"/>
              <w:jc w:val="both"/>
              <w:rPr>
                <w:rFonts w:ascii="Quattrocento Sans" w:hAnsi="Quattrocento Sans"/>
              </w:rPr>
            </w:pPr>
            <w:r w:rsidRPr="008B26AD">
              <w:rPr>
                <w:rFonts w:ascii="Quattrocento Sans" w:hAnsi="Quattrocento Sans"/>
              </w:rPr>
              <w:t>Systems integration and the CAREWORKS Compact</w:t>
            </w:r>
          </w:p>
        </w:tc>
        <w:tc>
          <w:tcPr>
            <w:tcW w:w="1170" w:type="dxa"/>
          </w:tcPr>
          <w:p w14:paraId="4E261167" w14:textId="1AB4B787"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20,000</w:t>
            </w:r>
          </w:p>
        </w:tc>
        <w:tc>
          <w:tcPr>
            <w:tcW w:w="1170" w:type="dxa"/>
          </w:tcPr>
          <w:p w14:paraId="2576712A" w14:textId="21F17D87"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15,000</w:t>
            </w:r>
          </w:p>
        </w:tc>
        <w:tc>
          <w:tcPr>
            <w:tcW w:w="900" w:type="dxa"/>
          </w:tcPr>
          <w:p w14:paraId="4BE01C71" w14:textId="48696275"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10,000</w:t>
            </w:r>
          </w:p>
        </w:tc>
        <w:tc>
          <w:tcPr>
            <w:tcW w:w="1481" w:type="dxa"/>
          </w:tcPr>
          <w:p w14:paraId="6FB00020" w14:textId="0DF3081C"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45,000</w:t>
            </w:r>
          </w:p>
        </w:tc>
        <w:tc>
          <w:tcPr>
            <w:tcW w:w="0" w:type="auto"/>
          </w:tcPr>
          <w:p w14:paraId="4E01CD1A" w14:textId="3F8AD956" w:rsidR="00556A09"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5.6%</w:t>
            </w:r>
          </w:p>
        </w:tc>
      </w:tr>
      <w:tr w:rsidR="00556A09" w14:paraId="7F98FF72" w14:textId="77777777" w:rsidTr="00556A09">
        <w:tc>
          <w:tcPr>
            <w:cnfStyle w:val="001000000000" w:firstRow="0" w:lastRow="0" w:firstColumn="1" w:lastColumn="0" w:oddVBand="0" w:evenVBand="0" w:oddHBand="0" w:evenHBand="0" w:firstRowFirstColumn="0" w:firstRowLastColumn="0" w:lastRowFirstColumn="0" w:lastRowLastColumn="0"/>
            <w:tcW w:w="3865" w:type="dxa"/>
          </w:tcPr>
          <w:p w14:paraId="1A5072AF" w14:textId="2B8CAFDA" w:rsidR="00556A09" w:rsidRPr="008B26AD" w:rsidRDefault="00556A09" w:rsidP="00556A09">
            <w:pPr>
              <w:spacing w:after="60"/>
              <w:jc w:val="both"/>
              <w:rPr>
                <w:rFonts w:ascii="Quattrocento Sans" w:hAnsi="Quattrocento Sans"/>
                <w:b w:val="0"/>
                <w:bCs w:val="0"/>
              </w:rPr>
            </w:pPr>
            <w:r w:rsidRPr="008B26AD">
              <w:rPr>
                <w:rFonts w:ascii="Quattrocento Sans" w:hAnsi="Quattrocento Sans"/>
              </w:rPr>
              <w:t>Community governance and advocacy</w:t>
            </w:r>
          </w:p>
        </w:tc>
        <w:tc>
          <w:tcPr>
            <w:tcW w:w="1170" w:type="dxa"/>
          </w:tcPr>
          <w:p w14:paraId="1B4C7433" w14:textId="4F43065A"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10,000</w:t>
            </w:r>
          </w:p>
        </w:tc>
        <w:tc>
          <w:tcPr>
            <w:tcW w:w="1170" w:type="dxa"/>
          </w:tcPr>
          <w:p w14:paraId="5F128D16" w14:textId="59578176"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10,000</w:t>
            </w:r>
          </w:p>
        </w:tc>
        <w:tc>
          <w:tcPr>
            <w:tcW w:w="900" w:type="dxa"/>
          </w:tcPr>
          <w:p w14:paraId="65BB668C" w14:textId="0D0E72BF"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10,000</w:t>
            </w:r>
          </w:p>
        </w:tc>
        <w:tc>
          <w:tcPr>
            <w:tcW w:w="1481" w:type="dxa"/>
          </w:tcPr>
          <w:p w14:paraId="6159F5BA" w14:textId="7E54CBEB"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30,000</w:t>
            </w:r>
          </w:p>
        </w:tc>
        <w:tc>
          <w:tcPr>
            <w:tcW w:w="0" w:type="auto"/>
          </w:tcPr>
          <w:p w14:paraId="5334DDD9" w14:textId="162001F7"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3.8%</w:t>
            </w:r>
          </w:p>
        </w:tc>
      </w:tr>
      <w:tr w:rsidR="00556A09" w14:paraId="0D25F18F" w14:textId="77777777" w:rsidTr="005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AFC2ABC" w14:textId="03B0A06B" w:rsidR="00556A09" w:rsidRPr="008B26AD" w:rsidRDefault="00556A09" w:rsidP="00556A09">
            <w:pPr>
              <w:spacing w:after="60"/>
              <w:jc w:val="both"/>
              <w:rPr>
                <w:rFonts w:ascii="Quattrocento Sans" w:hAnsi="Quattrocento Sans"/>
                <w:b w:val="0"/>
                <w:bCs w:val="0"/>
              </w:rPr>
            </w:pPr>
            <w:r w:rsidRPr="008B26AD">
              <w:rPr>
                <w:rFonts w:ascii="Quattrocento Sans" w:hAnsi="Quattrocento Sans"/>
              </w:rPr>
              <w:t>Monitoring, evaluation, costing and learning</w:t>
            </w:r>
          </w:p>
        </w:tc>
        <w:tc>
          <w:tcPr>
            <w:tcW w:w="1170" w:type="dxa"/>
          </w:tcPr>
          <w:p w14:paraId="27004058" w14:textId="2A06D575"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30,000</w:t>
            </w:r>
          </w:p>
        </w:tc>
        <w:tc>
          <w:tcPr>
            <w:tcW w:w="1170" w:type="dxa"/>
          </w:tcPr>
          <w:p w14:paraId="4FB145D6" w14:textId="63379FE6"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15,000</w:t>
            </w:r>
          </w:p>
        </w:tc>
        <w:tc>
          <w:tcPr>
            <w:tcW w:w="900" w:type="dxa"/>
          </w:tcPr>
          <w:p w14:paraId="5ED102B9" w14:textId="67FE35CF"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25,000</w:t>
            </w:r>
          </w:p>
        </w:tc>
        <w:tc>
          <w:tcPr>
            <w:tcW w:w="1481" w:type="dxa"/>
          </w:tcPr>
          <w:p w14:paraId="13626733" w14:textId="1E633EB0"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70,000</w:t>
            </w:r>
          </w:p>
        </w:tc>
        <w:tc>
          <w:tcPr>
            <w:tcW w:w="0" w:type="auto"/>
          </w:tcPr>
          <w:p w14:paraId="411DC9E6" w14:textId="60689C69"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8.8%</w:t>
            </w:r>
          </w:p>
        </w:tc>
      </w:tr>
      <w:tr w:rsidR="00556A09" w14:paraId="639A5DBB" w14:textId="77777777" w:rsidTr="00556A09">
        <w:tc>
          <w:tcPr>
            <w:cnfStyle w:val="001000000000" w:firstRow="0" w:lastRow="0" w:firstColumn="1" w:lastColumn="0" w:oddVBand="0" w:evenVBand="0" w:oddHBand="0" w:evenHBand="0" w:firstRowFirstColumn="0" w:firstRowLastColumn="0" w:lastRowFirstColumn="0" w:lastRowLastColumn="0"/>
            <w:tcW w:w="3865" w:type="dxa"/>
          </w:tcPr>
          <w:p w14:paraId="082D0ED2" w14:textId="340AB5E3" w:rsidR="00556A09" w:rsidRPr="008B26AD" w:rsidRDefault="00556A09" w:rsidP="00556A09">
            <w:pPr>
              <w:spacing w:after="60"/>
              <w:jc w:val="both"/>
              <w:rPr>
                <w:rFonts w:ascii="Quattrocento Sans" w:hAnsi="Quattrocento Sans"/>
                <w:b w:val="0"/>
                <w:bCs w:val="0"/>
              </w:rPr>
            </w:pPr>
            <w:r w:rsidRPr="008B26AD">
              <w:rPr>
                <w:rFonts w:ascii="Quattrocento Sans" w:hAnsi="Quattrocento Sans"/>
              </w:rPr>
              <w:t>Project Personnel, Administration and Operations</w:t>
            </w:r>
          </w:p>
        </w:tc>
        <w:tc>
          <w:tcPr>
            <w:tcW w:w="1170" w:type="dxa"/>
          </w:tcPr>
          <w:p w14:paraId="439E479C" w14:textId="19F08EF9"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51,000</w:t>
            </w:r>
          </w:p>
        </w:tc>
        <w:tc>
          <w:tcPr>
            <w:tcW w:w="1170" w:type="dxa"/>
          </w:tcPr>
          <w:p w14:paraId="2A2E03CA" w14:textId="3CA9A134"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52,000</w:t>
            </w:r>
          </w:p>
        </w:tc>
        <w:tc>
          <w:tcPr>
            <w:tcW w:w="900" w:type="dxa"/>
          </w:tcPr>
          <w:p w14:paraId="4254273D" w14:textId="529A0AF3"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52,000</w:t>
            </w:r>
          </w:p>
        </w:tc>
        <w:tc>
          <w:tcPr>
            <w:tcW w:w="1481" w:type="dxa"/>
          </w:tcPr>
          <w:p w14:paraId="3172143F" w14:textId="7AA2FBEB"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155,000</w:t>
            </w:r>
          </w:p>
        </w:tc>
        <w:tc>
          <w:tcPr>
            <w:tcW w:w="0" w:type="auto"/>
          </w:tcPr>
          <w:p w14:paraId="007F7A80" w14:textId="59A758EF"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rPr>
              <w:t>19.4%</w:t>
            </w:r>
          </w:p>
        </w:tc>
      </w:tr>
      <w:tr w:rsidR="00556A09" w14:paraId="2EDD9317" w14:textId="77777777" w:rsidTr="005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83E0A79" w14:textId="05609839" w:rsidR="00556A09" w:rsidRPr="008B26AD" w:rsidRDefault="00556A09" w:rsidP="00556A09">
            <w:pPr>
              <w:spacing w:after="60"/>
              <w:jc w:val="both"/>
              <w:rPr>
                <w:rFonts w:ascii="Quattrocento Sans" w:hAnsi="Quattrocento Sans"/>
                <w:b w:val="0"/>
                <w:bCs w:val="0"/>
              </w:rPr>
            </w:pPr>
            <w:r w:rsidRPr="008B26AD">
              <w:rPr>
                <w:rFonts w:ascii="Quattrocento Sans" w:hAnsi="Quattrocento Sans"/>
              </w:rPr>
              <w:t>Audit, safeguarding and institutional compliance</w:t>
            </w:r>
          </w:p>
        </w:tc>
        <w:tc>
          <w:tcPr>
            <w:tcW w:w="1170" w:type="dxa"/>
          </w:tcPr>
          <w:p w14:paraId="6F248405" w14:textId="65BC8564"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8,000</w:t>
            </w:r>
          </w:p>
        </w:tc>
        <w:tc>
          <w:tcPr>
            <w:tcW w:w="1170" w:type="dxa"/>
          </w:tcPr>
          <w:p w14:paraId="66E99944" w14:textId="0C56407F"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8,000</w:t>
            </w:r>
          </w:p>
        </w:tc>
        <w:tc>
          <w:tcPr>
            <w:tcW w:w="900" w:type="dxa"/>
          </w:tcPr>
          <w:p w14:paraId="2AA9C3CF" w14:textId="63F50294"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9,000</w:t>
            </w:r>
          </w:p>
        </w:tc>
        <w:tc>
          <w:tcPr>
            <w:tcW w:w="1481" w:type="dxa"/>
          </w:tcPr>
          <w:p w14:paraId="4DC9AA93" w14:textId="4970DBAE"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25,000</w:t>
            </w:r>
          </w:p>
        </w:tc>
        <w:tc>
          <w:tcPr>
            <w:tcW w:w="0" w:type="auto"/>
          </w:tcPr>
          <w:p w14:paraId="4CA1A317" w14:textId="09A87BFB" w:rsidR="00556A09" w:rsidRPr="008B26AD" w:rsidRDefault="00556A09" w:rsidP="00556A09">
            <w:pPr>
              <w:spacing w:after="60"/>
              <w:jc w:val="both"/>
              <w:cnfStyle w:val="000000100000" w:firstRow="0" w:lastRow="0" w:firstColumn="0" w:lastColumn="0" w:oddVBand="0" w:evenVBand="0" w:oddHBand="1" w:evenHBand="0" w:firstRowFirstColumn="0" w:firstRowLastColumn="0" w:lastRowFirstColumn="0" w:lastRowLastColumn="0"/>
              <w:rPr>
                <w:rFonts w:ascii="Quattrocento Sans" w:hAnsi="Quattrocento Sans"/>
              </w:rPr>
            </w:pPr>
            <w:r w:rsidRPr="008B26AD">
              <w:rPr>
                <w:rFonts w:ascii="Quattrocento Sans" w:hAnsi="Quattrocento Sans"/>
              </w:rPr>
              <w:t>3.1%</w:t>
            </w:r>
          </w:p>
        </w:tc>
      </w:tr>
      <w:tr w:rsidR="00556A09" w14:paraId="0DE6641B" w14:textId="77777777" w:rsidTr="00556A09">
        <w:tc>
          <w:tcPr>
            <w:cnfStyle w:val="001000000000" w:firstRow="0" w:lastRow="0" w:firstColumn="1" w:lastColumn="0" w:oddVBand="0" w:evenVBand="0" w:oddHBand="0" w:evenHBand="0" w:firstRowFirstColumn="0" w:firstRowLastColumn="0" w:lastRowFirstColumn="0" w:lastRowLastColumn="0"/>
            <w:tcW w:w="3865" w:type="dxa"/>
          </w:tcPr>
          <w:p w14:paraId="76B37188" w14:textId="5A9B069F" w:rsidR="00556A09" w:rsidRPr="008B26AD" w:rsidRDefault="00556A09" w:rsidP="00556A09">
            <w:pPr>
              <w:spacing w:after="60"/>
              <w:jc w:val="both"/>
              <w:rPr>
                <w:rFonts w:ascii="Quattrocento Sans" w:hAnsi="Quattrocento Sans"/>
                <w:b w:val="0"/>
                <w:bCs w:val="0"/>
              </w:rPr>
            </w:pPr>
            <w:r w:rsidRPr="008B26AD">
              <w:rPr>
                <w:rFonts w:ascii="Quattrocento Sans" w:hAnsi="Quattrocento Sans"/>
              </w:rPr>
              <w:t>TOTAL</w:t>
            </w:r>
          </w:p>
        </w:tc>
        <w:tc>
          <w:tcPr>
            <w:tcW w:w="1170" w:type="dxa"/>
          </w:tcPr>
          <w:p w14:paraId="5D1767B7" w14:textId="0859DF0D"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b/>
                <w:bCs/>
              </w:rPr>
              <w:t>269,000</w:t>
            </w:r>
          </w:p>
        </w:tc>
        <w:tc>
          <w:tcPr>
            <w:tcW w:w="1170" w:type="dxa"/>
          </w:tcPr>
          <w:p w14:paraId="65F2B451" w14:textId="7ACEAEAA"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b/>
                <w:bCs/>
              </w:rPr>
              <w:t>290,000</w:t>
            </w:r>
          </w:p>
        </w:tc>
        <w:tc>
          <w:tcPr>
            <w:tcW w:w="900" w:type="dxa"/>
          </w:tcPr>
          <w:p w14:paraId="2AFC634A" w14:textId="660FB1C2"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b/>
                <w:bCs/>
              </w:rPr>
              <w:t>241,000</w:t>
            </w:r>
          </w:p>
        </w:tc>
        <w:tc>
          <w:tcPr>
            <w:tcW w:w="1481" w:type="dxa"/>
          </w:tcPr>
          <w:p w14:paraId="2F79DBE2" w14:textId="03233F04"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b/>
                <w:bCs/>
              </w:rPr>
              <w:t>800,000</w:t>
            </w:r>
          </w:p>
        </w:tc>
        <w:tc>
          <w:tcPr>
            <w:tcW w:w="0" w:type="auto"/>
          </w:tcPr>
          <w:p w14:paraId="70F54A4F" w14:textId="7A352044" w:rsidR="00556A09" w:rsidRPr="008B26AD" w:rsidRDefault="00556A09" w:rsidP="00556A09">
            <w:pPr>
              <w:spacing w:after="60"/>
              <w:jc w:val="both"/>
              <w:cnfStyle w:val="000000000000" w:firstRow="0" w:lastRow="0" w:firstColumn="0" w:lastColumn="0" w:oddVBand="0" w:evenVBand="0" w:oddHBand="0" w:evenHBand="0" w:firstRowFirstColumn="0" w:firstRowLastColumn="0" w:lastRowFirstColumn="0" w:lastRowLastColumn="0"/>
              <w:rPr>
                <w:rFonts w:ascii="Quattrocento Sans" w:hAnsi="Quattrocento Sans"/>
              </w:rPr>
            </w:pPr>
            <w:r w:rsidRPr="008B26AD">
              <w:rPr>
                <w:rFonts w:ascii="Quattrocento Sans" w:hAnsi="Quattrocento Sans"/>
                <w:b/>
                <w:bCs/>
              </w:rPr>
              <w:t>100%</w:t>
            </w:r>
          </w:p>
        </w:tc>
      </w:tr>
    </w:tbl>
    <w:p w14:paraId="7CA16937" w14:textId="77777777" w:rsidR="00BC2016" w:rsidRDefault="00BC2016">
      <w:pPr>
        <w:spacing w:after="60"/>
        <w:jc w:val="both"/>
        <w:rPr>
          <w:rFonts w:ascii="Quattrocento Sans" w:hAnsi="Quattrocento Sans"/>
        </w:rPr>
      </w:pPr>
    </w:p>
    <w:p w14:paraId="147CE70B" w14:textId="77777777" w:rsidR="008B26AD" w:rsidRPr="00486DA3" w:rsidRDefault="008B26AD">
      <w:pPr>
        <w:spacing w:after="60"/>
        <w:jc w:val="both"/>
        <w:rPr>
          <w:rFonts w:ascii="Quattrocento Sans" w:hAnsi="Quattrocento Sans"/>
        </w:rPr>
      </w:pPr>
    </w:p>
    <w:p w14:paraId="7CA1693A" w14:textId="3551D774" w:rsidR="00BC2016" w:rsidRPr="00486DA3" w:rsidRDefault="00DB5DD3">
      <w:pPr>
        <w:pStyle w:val="Heading1"/>
        <w:spacing w:before="320" w:after="160"/>
        <w:rPr>
          <w:rFonts w:ascii="Quattrocento Sans" w:hAnsi="Quattrocento Sans"/>
          <w:sz w:val="22"/>
          <w:szCs w:val="22"/>
        </w:rPr>
      </w:pPr>
      <w:r>
        <w:rPr>
          <w:rFonts w:ascii="Quattrocento Sans" w:hAnsi="Quattrocento Sans"/>
          <w:b/>
          <w:bCs/>
          <w:color w:val="2F6B3A"/>
          <w:sz w:val="22"/>
          <w:szCs w:val="22"/>
        </w:rPr>
        <w:lastRenderedPageBreak/>
        <w:t>9</w:t>
      </w:r>
      <w:r w:rsidRPr="00486DA3">
        <w:rPr>
          <w:rFonts w:ascii="Quattrocento Sans" w:hAnsi="Quattrocento Sans"/>
          <w:b/>
          <w:bCs/>
          <w:color w:val="2F6B3A"/>
          <w:sz w:val="22"/>
          <w:szCs w:val="22"/>
        </w:rPr>
        <w:t>. Why Kupanda Collective, Why Now</w:t>
      </w:r>
    </w:p>
    <w:p w14:paraId="7CA1693B" w14:textId="176D7B5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Uganda is moving </w:t>
      </w:r>
      <w:r w:rsidR="008C06F0">
        <w:rPr>
          <w:rFonts w:ascii="Quattrocento Sans" w:hAnsi="Quattrocento Sans"/>
          <w:color w:val="222222"/>
        </w:rPr>
        <w:t>into the</w:t>
      </w:r>
      <w:r w:rsidRPr="00486DA3">
        <w:rPr>
          <w:rFonts w:ascii="Quattrocento Sans" w:hAnsi="Quattrocento Sans"/>
          <w:color w:val="222222"/>
        </w:rPr>
        <w:t xml:space="preserve"> ECCE policy implementation, and decisions taken in the next three years will determine whether refugee children and informal providers are inside or outside that process. Kupanda Collective brings the deep, trust-based presence in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built through two years of community-led work, and working relationships across settlement leadership, refugee-led organizations, District Local Government and national ECCE actors. Childcare in refugee settings is deeply relational. Families trust people they know, and models designed together with communities hold. Kupanda Collective's Neighborhood Assemblies make that co-design real.</w:t>
      </w:r>
    </w:p>
    <w:p w14:paraId="7CA1693C"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For the Hilton Foundation, the initiative offers a distinctive proposition: a single investment that professionalizes a refugee workforce, builds a community-financed care market, operationalizes a national policy in displacement settings, and produces costed evidence the field currently lacks.</w:t>
      </w:r>
    </w:p>
    <w:p w14:paraId="7CA1693D" w14:textId="77777777" w:rsidR="00BC2016" w:rsidRPr="00486DA3" w:rsidRDefault="00000000">
      <w:pPr>
        <w:pStyle w:val="Heading1"/>
        <w:spacing w:before="320" w:after="160"/>
        <w:rPr>
          <w:rFonts w:ascii="Quattrocento Sans" w:hAnsi="Quattrocento Sans"/>
          <w:sz w:val="22"/>
          <w:szCs w:val="22"/>
        </w:rPr>
      </w:pPr>
      <w:r w:rsidRPr="00486DA3">
        <w:rPr>
          <w:rFonts w:ascii="Quattrocento Sans" w:hAnsi="Quattrocento Sans"/>
          <w:b/>
          <w:bCs/>
          <w:color w:val="2F6B3A"/>
          <w:sz w:val="22"/>
          <w:szCs w:val="22"/>
        </w:rPr>
        <w:t>11. Conclusion</w:t>
      </w:r>
    </w:p>
    <w:p w14:paraId="7CA1693E" w14:textId="77777777" w:rsidR="00BC2016" w:rsidRPr="00486DA3" w:rsidRDefault="00000000">
      <w:pPr>
        <w:spacing w:after="160" w:line="300" w:lineRule="auto"/>
        <w:jc w:val="both"/>
        <w:rPr>
          <w:rFonts w:ascii="Quattrocento Sans" w:hAnsi="Quattrocento Sans"/>
        </w:rPr>
      </w:pPr>
      <w:r w:rsidRPr="00486DA3">
        <w:rPr>
          <w:rFonts w:ascii="Quattrocento Sans" w:hAnsi="Quattrocento Sans"/>
          <w:color w:val="222222"/>
        </w:rPr>
        <w:t xml:space="preserve">Refugee children deserve to be visible in Uganda's ECCE implementation journey, and refugee women deserve recognition as the workforce that will make that vision real. With a USD 800,000 partnership, </w:t>
      </w:r>
      <w:proofErr w:type="spellStart"/>
      <w:r w:rsidRPr="00486DA3">
        <w:rPr>
          <w:rFonts w:ascii="Quattrocento Sans" w:hAnsi="Quattrocento Sans"/>
          <w:color w:val="222222"/>
        </w:rPr>
        <w:t>Nakivale</w:t>
      </w:r>
      <w:proofErr w:type="spellEnd"/>
      <w:r w:rsidRPr="00486DA3">
        <w:rPr>
          <w:rFonts w:ascii="Quattrocento Sans" w:hAnsi="Quattrocento Sans"/>
          <w:color w:val="222222"/>
        </w:rPr>
        <w:t xml:space="preserve"> becomes the demonstration site for a childcare economy in displacement: credentialed by government, financed increasingly by its own community, governed by the people it serves, and measured well enough to be priced for national scale. Kupanda Collective invites the Hilton Foundation to build it together.</w:t>
      </w:r>
    </w:p>
    <w:sectPr w:rsidR="00BC2016" w:rsidRPr="00486DA3">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Quattrocento Sans">
    <w:charset w:val="00"/>
    <w:family w:val="swiss"/>
    <w:pitch w:val="variable"/>
    <w:sig w:usb0="800000BF" w:usb1="4000005B"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ECE"/>
    <w:multiLevelType w:val="hybridMultilevel"/>
    <w:tmpl w:val="D7740340"/>
    <w:lvl w:ilvl="0" w:tplc="26448830">
      <w:start w:val="1"/>
      <w:numFmt w:val="bullet"/>
      <w:lvlText w:val="•"/>
      <w:lvlJc w:val="left"/>
      <w:pPr>
        <w:ind w:left="504" w:hanging="259"/>
      </w:pPr>
    </w:lvl>
    <w:lvl w:ilvl="1" w:tplc="43BAC2AA">
      <w:numFmt w:val="decimal"/>
      <w:lvlText w:val=""/>
      <w:lvlJc w:val="left"/>
    </w:lvl>
    <w:lvl w:ilvl="2" w:tplc="AF3C36AC">
      <w:numFmt w:val="decimal"/>
      <w:lvlText w:val=""/>
      <w:lvlJc w:val="left"/>
    </w:lvl>
    <w:lvl w:ilvl="3" w:tplc="E01C56E0">
      <w:numFmt w:val="decimal"/>
      <w:lvlText w:val=""/>
      <w:lvlJc w:val="left"/>
    </w:lvl>
    <w:lvl w:ilvl="4" w:tplc="2D9295FC">
      <w:numFmt w:val="decimal"/>
      <w:lvlText w:val=""/>
      <w:lvlJc w:val="left"/>
    </w:lvl>
    <w:lvl w:ilvl="5" w:tplc="8A267D9C">
      <w:numFmt w:val="decimal"/>
      <w:lvlText w:val=""/>
      <w:lvlJc w:val="left"/>
    </w:lvl>
    <w:lvl w:ilvl="6" w:tplc="415A9E32">
      <w:numFmt w:val="decimal"/>
      <w:lvlText w:val=""/>
      <w:lvlJc w:val="left"/>
    </w:lvl>
    <w:lvl w:ilvl="7" w:tplc="5B0E7E34">
      <w:numFmt w:val="decimal"/>
      <w:lvlText w:val=""/>
      <w:lvlJc w:val="left"/>
    </w:lvl>
    <w:lvl w:ilvl="8" w:tplc="10E8D970">
      <w:numFmt w:val="decimal"/>
      <w:lvlText w:val=""/>
      <w:lvlJc w:val="left"/>
    </w:lvl>
  </w:abstractNum>
  <w:abstractNum w:abstractNumId="1" w15:restartNumberingAfterBreak="0">
    <w:nsid w:val="45452C28"/>
    <w:multiLevelType w:val="multilevel"/>
    <w:tmpl w:val="88688700"/>
    <w:lvl w:ilvl="0">
      <w:start w:val="4"/>
      <w:numFmt w:val="decimal"/>
      <w:lvlText w:val="%1"/>
      <w:lvlJc w:val="left"/>
      <w:pPr>
        <w:ind w:left="360" w:hanging="360"/>
      </w:pPr>
      <w:rPr>
        <w:rFonts w:hint="default"/>
        <w:b/>
        <w:color w:val="222222"/>
      </w:rPr>
    </w:lvl>
    <w:lvl w:ilvl="1">
      <w:start w:val="2"/>
      <w:numFmt w:val="decimal"/>
      <w:lvlText w:val="%1.%2"/>
      <w:lvlJc w:val="left"/>
      <w:pPr>
        <w:ind w:left="360" w:hanging="360"/>
      </w:pPr>
      <w:rPr>
        <w:rFonts w:hint="default"/>
        <w:b/>
        <w:color w:val="222222"/>
      </w:rPr>
    </w:lvl>
    <w:lvl w:ilvl="2">
      <w:start w:val="1"/>
      <w:numFmt w:val="decimal"/>
      <w:lvlText w:val="%1.%2.%3"/>
      <w:lvlJc w:val="left"/>
      <w:pPr>
        <w:ind w:left="720" w:hanging="720"/>
      </w:pPr>
      <w:rPr>
        <w:rFonts w:hint="default"/>
        <w:b/>
        <w:color w:val="222222"/>
      </w:rPr>
    </w:lvl>
    <w:lvl w:ilvl="3">
      <w:start w:val="1"/>
      <w:numFmt w:val="decimal"/>
      <w:lvlText w:val="%1.%2.%3.%4"/>
      <w:lvlJc w:val="left"/>
      <w:pPr>
        <w:ind w:left="720" w:hanging="720"/>
      </w:pPr>
      <w:rPr>
        <w:rFonts w:hint="default"/>
        <w:b/>
        <w:color w:val="222222"/>
      </w:rPr>
    </w:lvl>
    <w:lvl w:ilvl="4">
      <w:start w:val="1"/>
      <w:numFmt w:val="decimal"/>
      <w:lvlText w:val="%1.%2.%3.%4.%5"/>
      <w:lvlJc w:val="left"/>
      <w:pPr>
        <w:ind w:left="1080" w:hanging="1080"/>
      </w:pPr>
      <w:rPr>
        <w:rFonts w:hint="default"/>
        <w:b/>
        <w:color w:val="222222"/>
      </w:rPr>
    </w:lvl>
    <w:lvl w:ilvl="5">
      <w:start w:val="1"/>
      <w:numFmt w:val="decimal"/>
      <w:lvlText w:val="%1.%2.%3.%4.%5.%6"/>
      <w:lvlJc w:val="left"/>
      <w:pPr>
        <w:ind w:left="1080" w:hanging="1080"/>
      </w:pPr>
      <w:rPr>
        <w:rFonts w:hint="default"/>
        <w:b/>
        <w:color w:val="222222"/>
      </w:rPr>
    </w:lvl>
    <w:lvl w:ilvl="6">
      <w:start w:val="1"/>
      <w:numFmt w:val="decimal"/>
      <w:lvlText w:val="%1.%2.%3.%4.%5.%6.%7"/>
      <w:lvlJc w:val="left"/>
      <w:pPr>
        <w:ind w:left="1440" w:hanging="1440"/>
      </w:pPr>
      <w:rPr>
        <w:rFonts w:hint="default"/>
        <w:b/>
        <w:color w:val="222222"/>
      </w:rPr>
    </w:lvl>
    <w:lvl w:ilvl="7">
      <w:start w:val="1"/>
      <w:numFmt w:val="decimal"/>
      <w:lvlText w:val="%1.%2.%3.%4.%5.%6.%7.%8"/>
      <w:lvlJc w:val="left"/>
      <w:pPr>
        <w:ind w:left="1800" w:hanging="1800"/>
      </w:pPr>
      <w:rPr>
        <w:rFonts w:hint="default"/>
        <w:b/>
        <w:color w:val="222222"/>
      </w:rPr>
    </w:lvl>
    <w:lvl w:ilvl="8">
      <w:start w:val="1"/>
      <w:numFmt w:val="decimal"/>
      <w:lvlText w:val="%1.%2.%3.%4.%5.%6.%7.%8.%9"/>
      <w:lvlJc w:val="left"/>
      <w:pPr>
        <w:ind w:left="1800" w:hanging="1800"/>
      </w:pPr>
      <w:rPr>
        <w:rFonts w:hint="default"/>
        <w:b/>
        <w:color w:val="222222"/>
      </w:rPr>
    </w:lvl>
  </w:abstractNum>
  <w:abstractNum w:abstractNumId="2" w15:restartNumberingAfterBreak="0">
    <w:nsid w:val="573979B8"/>
    <w:multiLevelType w:val="hybridMultilevel"/>
    <w:tmpl w:val="96A26104"/>
    <w:lvl w:ilvl="0" w:tplc="739248FA">
      <w:start w:val="1"/>
      <w:numFmt w:val="bullet"/>
      <w:lvlText w:val="●"/>
      <w:lvlJc w:val="left"/>
      <w:pPr>
        <w:ind w:left="720" w:hanging="360"/>
      </w:pPr>
    </w:lvl>
    <w:lvl w:ilvl="1" w:tplc="F08E0DFC">
      <w:start w:val="1"/>
      <w:numFmt w:val="bullet"/>
      <w:lvlText w:val="○"/>
      <w:lvlJc w:val="left"/>
      <w:pPr>
        <w:ind w:left="1440" w:hanging="360"/>
      </w:pPr>
    </w:lvl>
    <w:lvl w:ilvl="2" w:tplc="D72C4316">
      <w:start w:val="1"/>
      <w:numFmt w:val="bullet"/>
      <w:lvlText w:val="■"/>
      <w:lvlJc w:val="left"/>
      <w:pPr>
        <w:ind w:left="2160" w:hanging="360"/>
      </w:pPr>
    </w:lvl>
    <w:lvl w:ilvl="3" w:tplc="2A6CC94E">
      <w:start w:val="1"/>
      <w:numFmt w:val="bullet"/>
      <w:lvlText w:val="●"/>
      <w:lvlJc w:val="left"/>
      <w:pPr>
        <w:ind w:left="2880" w:hanging="360"/>
      </w:pPr>
    </w:lvl>
    <w:lvl w:ilvl="4" w:tplc="4A5E52AA">
      <w:start w:val="1"/>
      <w:numFmt w:val="bullet"/>
      <w:lvlText w:val="○"/>
      <w:lvlJc w:val="left"/>
      <w:pPr>
        <w:ind w:left="3600" w:hanging="360"/>
      </w:pPr>
    </w:lvl>
    <w:lvl w:ilvl="5" w:tplc="C49E861E">
      <w:start w:val="1"/>
      <w:numFmt w:val="bullet"/>
      <w:lvlText w:val="■"/>
      <w:lvlJc w:val="left"/>
      <w:pPr>
        <w:ind w:left="4320" w:hanging="360"/>
      </w:pPr>
    </w:lvl>
    <w:lvl w:ilvl="6" w:tplc="8F205E66">
      <w:start w:val="1"/>
      <w:numFmt w:val="bullet"/>
      <w:lvlText w:val="●"/>
      <w:lvlJc w:val="left"/>
      <w:pPr>
        <w:ind w:left="5040" w:hanging="360"/>
      </w:pPr>
    </w:lvl>
    <w:lvl w:ilvl="7" w:tplc="F6C819D6">
      <w:start w:val="1"/>
      <w:numFmt w:val="bullet"/>
      <w:lvlText w:val="●"/>
      <w:lvlJc w:val="left"/>
      <w:pPr>
        <w:ind w:left="5760" w:hanging="360"/>
      </w:pPr>
    </w:lvl>
    <w:lvl w:ilvl="8" w:tplc="6F44F736">
      <w:start w:val="1"/>
      <w:numFmt w:val="bullet"/>
      <w:lvlText w:val="●"/>
      <w:lvlJc w:val="left"/>
      <w:pPr>
        <w:ind w:left="6480" w:hanging="360"/>
      </w:pPr>
    </w:lvl>
  </w:abstractNum>
  <w:abstractNum w:abstractNumId="3" w15:restartNumberingAfterBreak="0">
    <w:nsid w:val="7B1C26AF"/>
    <w:multiLevelType w:val="hybridMultilevel"/>
    <w:tmpl w:val="A73E75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078944">
    <w:abstractNumId w:val="2"/>
    <w:lvlOverride w:ilvl="0">
      <w:startOverride w:val="1"/>
    </w:lvlOverride>
  </w:num>
  <w:num w:numId="2" w16cid:durableId="989754597">
    <w:abstractNumId w:val="0"/>
    <w:lvlOverride w:ilvl="0">
      <w:startOverride w:val="1"/>
    </w:lvlOverride>
  </w:num>
  <w:num w:numId="3" w16cid:durableId="2019499005">
    <w:abstractNumId w:val="3"/>
  </w:num>
  <w:num w:numId="4" w16cid:durableId="118254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016"/>
    <w:rsid w:val="00170767"/>
    <w:rsid w:val="00183C98"/>
    <w:rsid w:val="001977FA"/>
    <w:rsid w:val="001F03E5"/>
    <w:rsid w:val="00221765"/>
    <w:rsid w:val="00306BE1"/>
    <w:rsid w:val="0033331C"/>
    <w:rsid w:val="00353853"/>
    <w:rsid w:val="00415C92"/>
    <w:rsid w:val="004820E9"/>
    <w:rsid w:val="00486DA3"/>
    <w:rsid w:val="004E6F1F"/>
    <w:rsid w:val="005036C9"/>
    <w:rsid w:val="00507A10"/>
    <w:rsid w:val="00514DB3"/>
    <w:rsid w:val="0055454D"/>
    <w:rsid w:val="00556A09"/>
    <w:rsid w:val="00591CA1"/>
    <w:rsid w:val="00606381"/>
    <w:rsid w:val="00642247"/>
    <w:rsid w:val="0066482C"/>
    <w:rsid w:val="008A4E28"/>
    <w:rsid w:val="008B26AD"/>
    <w:rsid w:val="008C06F0"/>
    <w:rsid w:val="00911BC5"/>
    <w:rsid w:val="00A17B04"/>
    <w:rsid w:val="00A67383"/>
    <w:rsid w:val="00A90D9D"/>
    <w:rsid w:val="00B3066C"/>
    <w:rsid w:val="00BC2016"/>
    <w:rsid w:val="00C35711"/>
    <w:rsid w:val="00C85D0B"/>
    <w:rsid w:val="00CC7DB4"/>
    <w:rsid w:val="00D410EB"/>
    <w:rsid w:val="00DB5DD3"/>
    <w:rsid w:val="00E33F5C"/>
    <w:rsid w:val="00EA425F"/>
    <w:rsid w:val="00F0368D"/>
    <w:rsid w:val="00F51A3F"/>
    <w:rsid w:val="00FC0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68B2"/>
  <w15:docId w15:val="{9CC60050-881E-4721-821B-8F7DB9B6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56A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56A09"/>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2437</Words>
  <Characters>13894</Characters>
  <Application>Microsoft Office Word</Application>
  <DocSecurity>0</DocSecurity>
  <Lines>115</Lines>
  <Paragraphs>32</Paragraphs>
  <ScaleCrop>false</ScaleCrop>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 Namara</cp:lastModifiedBy>
  <cp:revision>38</cp:revision>
  <dcterms:created xsi:type="dcterms:W3CDTF">2026-07-18T12:30:00Z</dcterms:created>
  <dcterms:modified xsi:type="dcterms:W3CDTF">2026-07-29T09:44:00Z</dcterms:modified>
</cp:coreProperties>
</file>