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CDA009" w14:textId="77777777" w:rsidR="00FA3FC9" w:rsidRDefault="00FA3FC9" w:rsidP="00310131">
      <w:pPr>
        <w:spacing w:before="120" w:after="120"/>
        <w:jc w:val="center"/>
        <w:rPr>
          <w:rFonts w:ascii="Times New Roman" w:hAnsi="Times New Roman" w:cs="Times New Roman"/>
          <w:b/>
          <w:sz w:val="26"/>
          <w:szCs w:val="26"/>
        </w:rPr>
      </w:pPr>
      <w:r w:rsidRPr="00FA3FC9">
        <w:rPr>
          <w:rFonts w:ascii="Times New Roman" w:hAnsi="Times New Roman" w:cs="Times New Roman"/>
          <w:b/>
          <w:sz w:val="26"/>
          <w:szCs w:val="26"/>
        </w:rPr>
        <w:t>TỔNG QUAN THIẾT BỊ ĐO HÀM LƯỢNG BỤI</w:t>
      </w:r>
    </w:p>
    <w:p w14:paraId="488132BD" w14:textId="77777777" w:rsidR="00FA3FC9" w:rsidRPr="00FA3FC9" w:rsidRDefault="00891771" w:rsidP="00310131">
      <w:pPr>
        <w:spacing w:before="120" w:after="120"/>
        <w:jc w:val="right"/>
        <w:rPr>
          <w:rFonts w:ascii="Times New Roman" w:hAnsi="Times New Roman" w:cs="Times New Roman"/>
          <w:b/>
          <w:sz w:val="26"/>
          <w:szCs w:val="26"/>
        </w:rPr>
      </w:pPr>
      <w:r w:rsidRPr="005524DF">
        <w:rPr>
          <w:rFonts w:ascii="Times New Roman" w:hAnsi="Times New Roman" w:cs="Times New Roman"/>
          <w:sz w:val="26"/>
          <w:szCs w:val="26"/>
          <w:highlight w:val="yellow"/>
        </w:rPr>
        <w:t xml:space="preserve">Simone Simões Amaral </w:t>
      </w:r>
      <w:r w:rsidRPr="005524DF">
        <w:rPr>
          <w:rFonts w:ascii="Times New Roman" w:hAnsi="Times New Roman" w:cs="Times New Roman"/>
          <w:sz w:val="26"/>
          <w:szCs w:val="26"/>
          <w:highlight w:val="yellow"/>
          <w:vertAlign w:val="superscript"/>
        </w:rPr>
        <w:t>1</w:t>
      </w:r>
      <w:r w:rsidRPr="005524DF">
        <w:rPr>
          <w:rFonts w:ascii="Times New Roman" w:hAnsi="Times New Roman" w:cs="Times New Roman"/>
          <w:sz w:val="26"/>
          <w:szCs w:val="26"/>
          <w:highlight w:val="yellow"/>
        </w:rPr>
        <w:t xml:space="preserve">, João Andrade de Carvalho Jr. </w:t>
      </w:r>
      <w:r w:rsidRPr="005524DF">
        <w:rPr>
          <w:rFonts w:ascii="Times New Roman" w:hAnsi="Times New Roman" w:cs="Times New Roman"/>
          <w:sz w:val="26"/>
          <w:szCs w:val="26"/>
          <w:highlight w:val="yellow"/>
          <w:vertAlign w:val="superscript"/>
        </w:rPr>
        <w:t>1,*</w:t>
      </w:r>
      <w:r w:rsidRPr="005524DF">
        <w:rPr>
          <w:rFonts w:ascii="Times New Roman" w:hAnsi="Times New Roman" w:cs="Times New Roman"/>
          <w:sz w:val="26"/>
          <w:szCs w:val="26"/>
          <w:highlight w:val="yellow"/>
        </w:rPr>
        <w:t>, Ma</w:t>
      </w:r>
      <w:r w:rsidR="00FA3FC9" w:rsidRPr="005524DF">
        <w:rPr>
          <w:rFonts w:ascii="Times New Roman" w:hAnsi="Times New Roman" w:cs="Times New Roman"/>
          <w:sz w:val="26"/>
          <w:szCs w:val="26"/>
          <w:highlight w:val="yellow"/>
        </w:rPr>
        <w:t xml:space="preserve">ria Angélica Martins Costa </w:t>
      </w:r>
      <w:r w:rsidR="00FA3FC9" w:rsidRPr="005524DF">
        <w:rPr>
          <w:rFonts w:ascii="Times New Roman" w:hAnsi="Times New Roman" w:cs="Times New Roman"/>
          <w:sz w:val="26"/>
          <w:szCs w:val="26"/>
          <w:highlight w:val="yellow"/>
          <w:vertAlign w:val="superscript"/>
        </w:rPr>
        <w:t>2</w:t>
      </w:r>
      <w:r w:rsidRPr="005524DF">
        <w:rPr>
          <w:rFonts w:ascii="Times New Roman" w:hAnsi="Times New Roman" w:cs="Times New Roman"/>
          <w:sz w:val="26"/>
          <w:szCs w:val="26"/>
          <w:highlight w:val="yellow"/>
        </w:rPr>
        <w:t xml:space="preserve">  và </w:t>
      </w:r>
      <w:r w:rsidR="00FA3FC9" w:rsidRPr="005524DF">
        <w:rPr>
          <w:rFonts w:ascii="Times New Roman" w:hAnsi="Times New Roman" w:cs="Times New Roman"/>
          <w:sz w:val="26"/>
          <w:szCs w:val="26"/>
          <w:highlight w:val="yellow"/>
        </w:rPr>
        <w:t xml:space="preserve">Cleverson Pinheiro </w:t>
      </w:r>
      <w:r w:rsidR="00FA3FC9" w:rsidRPr="005524DF">
        <w:rPr>
          <w:rFonts w:ascii="Times New Roman" w:hAnsi="Times New Roman" w:cs="Times New Roman"/>
          <w:sz w:val="26"/>
          <w:szCs w:val="26"/>
          <w:highlight w:val="yellow"/>
          <w:vertAlign w:val="superscript"/>
        </w:rPr>
        <w:t>3</w:t>
      </w:r>
    </w:p>
    <w:p w14:paraId="1F8462B8" w14:textId="77777777" w:rsidR="00FA3FC9" w:rsidRPr="00FF3205" w:rsidRDefault="00F33C4C" w:rsidP="00310131">
      <w:pPr>
        <w:spacing w:before="120" w:after="120"/>
        <w:jc w:val="both"/>
        <w:rPr>
          <w:rFonts w:ascii="Times New Roman" w:eastAsia="Times New Roman" w:hAnsi="Times New Roman" w:cs="Times New Roman"/>
          <w:b/>
          <w:bCs/>
          <w:iCs/>
          <w:sz w:val="26"/>
          <w:szCs w:val="26"/>
        </w:rPr>
      </w:pPr>
      <w:r>
        <w:rPr>
          <w:rFonts w:ascii="Times New Roman" w:eastAsia="Times New Roman" w:hAnsi="Times New Roman" w:cs="Times New Roman"/>
          <w:b/>
          <w:bCs/>
          <w:iCs/>
          <w:sz w:val="26"/>
          <w:szCs w:val="26"/>
        </w:rPr>
        <w:t>TÓM TẮT</w:t>
      </w:r>
    </w:p>
    <w:p w14:paraId="34CBE019" w14:textId="77777777" w:rsidR="00FA3FC9" w:rsidRPr="00FA3FC9" w:rsidRDefault="00FA3FC9" w:rsidP="00310131">
      <w:pPr>
        <w:spacing w:before="120" w:after="120"/>
        <w:jc w:val="both"/>
        <w:rPr>
          <w:rFonts w:ascii="Times New Roman" w:eastAsia="Times New Roman" w:hAnsi="Times New Roman" w:cs="Times New Roman"/>
          <w:sz w:val="26"/>
          <w:szCs w:val="26"/>
        </w:rPr>
      </w:pPr>
      <w:r w:rsidRPr="00FA3FC9">
        <w:rPr>
          <w:rFonts w:ascii="Times New Roman" w:eastAsia="Times New Roman" w:hAnsi="Times New Roman" w:cs="Times New Roman"/>
          <w:sz w:val="26"/>
          <w:szCs w:val="26"/>
        </w:rPr>
        <w:t xml:space="preserve">Bài viết đánh giá này trình bày tổng quan về các thiết bị hiện có trên thị trường để đo </w:t>
      </w:r>
      <w:r w:rsidR="007C616B">
        <w:rPr>
          <w:rFonts w:ascii="Times New Roman" w:eastAsia="Times New Roman" w:hAnsi="Times New Roman" w:cs="Times New Roman"/>
          <w:sz w:val="26"/>
          <w:szCs w:val="26"/>
        </w:rPr>
        <w:t>hàm lượng bụi</w:t>
      </w:r>
      <w:r w:rsidRPr="00FA3FC9">
        <w:rPr>
          <w:rFonts w:ascii="Times New Roman" w:eastAsia="Times New Roman" w:hAnsi="Times New Roman" w:cs="Times New Roman"/>
          <w:sz w:val="26"/>
          <w:szCs w:val="26"/>
        </w:rPr>
        <w:t xml:space="preserve">. Các công cụ và phương pháp chính để đo nồng độ (trọng lượng, quang học và cân bằng vi lượng) và phân bố kích thước Máy quét hạt di động (SMPS), Máy tác động áp suất thấp điện (ELPI), và các loại khác đã được mô tả và so sánh. Mục đích của công việc này là giúp các nhà nghiên cứu chọn thiết bị phù hợp nhất để đo </w:t>
      </w:r>
      <w:r w:rsidR="007C616B">
        <w:rPr>
          <w:rFonts w:ascii="Times New Roman" w:eastAsia="Times New Roman" w:hAnsi="Times New Roman" w:cs="Times New Roman"/>
          <w:sz w:val="26"/>
          <w:szCs w:val="26"/>
        </w:rPr>
        <w:t>hàm lượng bụi</w:t>
      </w:r>
      <w:r w:rsidRPr="00FA3FC9">
        <w:rPr>
          <w:rFonts w:ascii="Times New Roman" w:eastAsia="Times New Roman" w:hAnsi="Times New Roman" w:cs="Times New Roman"/>
          <w:sz w:val="26"/>
          <w:szCs w:val="26"/>
        </w:rPr>
        <w:t xml:space="preserve">. Khi lựa chọn thiết bị đo lường, nhà nghiên cứu phải xác định rõ mục đích nghiên cứu và xác định xem nó có đáp ứng các thông số kỹ thuật chính của thiết bị hay không. ELPI và SMPS là các thiết bị phù hợp để đo các hạt mịn; ELPI hoạt động trong thời gian thực. Trong các nghiên cứu liên quan đến sức khỏe, Bộ sạc khuếch tán là công cụ thể hiện rõ nhất bề mặt của các hạt siêu mịn. Một </w:t>
      </w:r>
      <w:r w:rsidR="007C616B">
        <w:rPr>
          <w:rFonts w:ascii="Times New Roman" w:eastAsia="Times New Roman" w:hAnsi="Times New Roman" w:cs="Times New Roman"/>
          <w:sz w:val="26"/>
          <w:szCs w:val="26"/>
        </w:rPr>
        <w:t>số phương pháp và dụng cụ đo</w:t>
      </w:r>
      <w:r w:rsidRPr="00FA3FC9">
        <w:rPr>
          <w:rFonts w:ascii="Times New Roman" w:eastAsia="Times New Roman" w:hAnsi="Times New Roman" w:cs="Times New Roman"/>
          <w:sz w:val="26"/>
          <w:szCs w:val="26"/>
        </w:rPr>
        <w:t xml:space="preserve"> khác nhau nên được sử dụng để xác nhận các giá trị thu được trong quá trình lấy mẫu.</w:t>
      </w:r>
    </w:p>
    <w:p w14:paraId="0C60DBDA" w14:textId="77777777" w:rsidR="00FA3FC9" w:rsidRPr="00F33C4C" w:rsidRDefault="00FA3FC9" w:rsidP="00310131">
      <w:pPr>
        <w:pStyle w:val="NormalWeb"/>
        <w:spacing w:before="120" w:beforeAutospacing="0" w:after="120" w:afterAutospacing="0" w:line="276" w:lineRule="auto"/>
        <w:jc w:val="both"/>
        <w:rPr>
          <w:b/>
          <w:i/>
          <w:sz w:val="26"/>
          <w:szCs w:val="26"/>
        </w:rPr>
      </w:pPr>
      <w:r w:rsidRPr="00F33C4C">
        <w:rPr>
          <w:b/>
          <w:sz w:val="26"/>
          <w:szCs w:val="26"/>
        </w:rPr>
        <w:t>Từ khóa:</w:t>
      </w:r>
      <w:r w:rsidRPr="00F33C4C">
        <w:rPr>
          <w:b/>
          <w:i/>
          <w:sz w:val="26"/>
          <w:szCs w:val="26"/>
        </w:rPr>
        <w:t xml:space="preserve"> </w:t>
      </w:r>
      <w:r w:rsidR="00FF3205" w:rsidRPr="00F33C4C">
        <w:rPr>
          <w:b/>
          <w:i/>
          <w:sz w:val="26"/>
          <w:szCs w:val="26"/>
        </w:rPr>
        <w:t>phát thải bụi</w:t>
      </w:r>
      <w:r w:rsidRPr="00F33C4C">
        <w:rPr>
          <w:b/>
          <w:i/>
          <w:sz w:val="26"/>
          <w:szCs w:val="26"/>
        </w:rPr>
        <w:t xml:space="preserve">; </w:t>
      </w:r>
      <w:r w:rsidR="00FF3205" w:rsidRPr="00F33C4C">
        <w:rPr>
          <w:b/>
          <w:i/>
          <w:sz w:val="26"/>
          <w:szCs w:val="26"/>
        </w:rPr>
        <w:t>lấy mẫu</w:t>
      </w:r>
      <w:r w:rsidRPr="00F33C4C">
        <w:rPr>
          <w:b/>
          <w:i/>
          <w:sz w:val="26"/>
          <w:szCs w:val="26"/>
        </w:rPr>
        <w:t xml:space="preserve">; </w:t>
      </w:r>
      <w:r w:rsidR="00FF3205" w:rsidRPr="00F33C4C">
        <w:rPr>
          <w:b/>
          <w:i/>
          <w:sz w:val="26"/>
          <w:szCs w:val="26"/>
        </w:rPr>
        <w:t>sự ôm nhiễm</w:t>
      </w:r>
      <w:r w:rsidRPr="00F33C4C">
        <w:rPr>
          <w:b/>
          <w:i/>
          <w:sz w:val="26"/>
          <w:szCs w:val="26"/>
        </w:rPr>
        <w:t xml:space="preserve">; </w:t>
      </w:r>
      <w:r w:rsidR="00FF3205" w:rsidRPr="00F33C4C">
        <w:rPr>
          <w:b/>
          <w:i/>
          <w:sz w:val="26"/>
          <w:szCs w:val="26"/>
        </w:rPr>
        <w:t>dụng cụ đo lường</w:t>
      </w:r>
      <w:r w:rsidRPr="00F33C4C">
        <w:rPr>
          <w:b/>
          <w:i/>
          <w:sz w:val="26"/>
          <w:szCs w:val="26"/>
        </w:rPr>
        <w:t xml:space="preserve"> </w:t>
      </w:r>
    </w:p>
    <w:p w14:paraId="7ADEF995" w14:textId="77777777" w:rsidR="00FA3FC9" w:rsidRPr="00FA3FC9" w:rsidRDefault="00FA3FC9" w:rsidP="00310131">
      <w:pPr>
        <w:pStyle w:val="NormalWeb"/>
        <w:spacing w:before="120" w:beforeAutospacing="0" w:after="120" w:afterAutospacing="0" w:line="276" w:lineRule="auto"/>
        <w:jc w:val="both"/>
        <w:rPr>
          <w:b/>
          <w:bCs/>
          <w:sz w:val="26"/>
          <w:szCs w:val="26"/>
        </w:rPr>
      </w:pPr>
      <w:r w:rsidRPr="00FA3FC9">
        <w:rPr>
          <w:b/>
          <w:bCs/>
          <w:sz w:val="26"/>
          <w:szCs w:val="26"/>
        </w:rPr>
        <w:t xml:space="preserve">1. </w:t>
      </w:r>
      <w:r w:rsidR="00975F4C">
        <w:rPr>
          <w:b/>
          <w:bCs/>
          <w:sz w:val="26"/>
          <w:szCs w:val="26"/>
        </w:rPr>
        <w:t>Đặt vấn đề</w:t>
      </w:r>
    </w:p>
    <w:p w14:paraId="5719BC98" w14:textId="77777777" w:rsidR="00FA3FC9" w:rsidRPr="00FA3FC9" w:rsidRDefault="00FA3FC9" w:rsidP="00310131">
      <w:pPr>
        <w:pStyle w:val="NormalWeb"/>
        <w:spacing w:before="120" w:beforeAutospacing="0" w:after="120" w:afterAutospacing="0" w:line="276" w:lineRule="auto"/>
        <w:ind w:firstLine="426"/>
        <w:jc w:val="both"/>
        <w:rPr>
          <w:sz w:val="26"/>
          <w:szCs w:val="26"/>
        </w:rPr>
      </w:pPr>
      <w:r w:rsidRPr="00FA3FC9">
        <w:rPr>
          <w:sz w:val="26"/>
          <w:szCs w:val="26"/>
        </w:rPr>
        <w:t xml:space="preserve">Duy trì chất lượng không khí xung quanh ở mức thích hợp là một trong những thách thức lớn nhất mà xã hội ngày nay phải đối mặt. Có nhiều nguồn thải </w:t>
      </w:r>
      <w:r w:rsidR="00FF3205">
        <w:rPr>
          <w:sz w:val="26"/>
          <w:szCs w:val="26"/>
        </w:rPr>
        <w:t xml:space="preserve">thải </w:t>
      </w:r>
      <w:r w:rsidRPr="00FA3FC9">
        <w:rPr>
          <w:sz w:val="26"/>
          <w:szCs w:val="26"/>
        </w:rPr>
        <w:t xml:space="preserve">một lượng lớn các hợp chất gây ô nhiễm vào khí quyển. Hầu hết các nguồn là do con người. Ngoài các hợp chất dạng khí, một trong những chất ô nhiễm quan trọng nhất được tạo ra từ các hoạt động của con người là </w:t>
      </w:r>
      <w:r w:rsidR="00FF3205">
        <w:rPr>
          <w:sz w:val="26"/>
          <w:szCs w:val="26"/>
        </w:rPr>
        <w:t>bụi</w:t>
      </w:r>
      <w:r w:rsidRPr="00FA3FC9">
        <w:rPr>
          <w:sz w:val="26"/>
          <w:szCs w:val="26"/>
        </w:rPr>
        <w:t xml:space="preserve"> (PM) (Demirbas [1] và Williams và cộng sự [2]).</w:t>
      </w:r>
    </w:p>
    <w:p w14:paraId="1164E99D" w14:textId="77777777" w:rsidR="00FA3FC9" w:rsidRPr="00FA3FC9" w:rsidRDefault="00FF3205" w:rsidP="00310131">
      <w:pPr>
        <w:pStyle w:val="NormalWeb"/>
        <w:spacing w:before="120" w:beforeAutospacing="0" w:after="120" w:afterAutospacing="0" w:line="276" w:lineRule="auto"/>
        <w:ind w:firstLine="426"/>
        <w:jc w:val="both"/>
        <w:rPr>
          <w:sz w:val="26"/>
          <w:szCs w:val="26"/>
        </w:rPr>
      </w:pPr>
      <w:r>
        <w:rPr>
          <w:sz w:val="26"/>
          <w:szCs w:val="26"/>
        </w:rPr>
        <w:t>Bụi</w:t>
      </w:r>
      <w:r w:rsidR="00FA3FC9" w:rsidRPr="00FA3FC9">
        <w:rPr>
          <w:sz w:val="26"/>
          <w:szCs w:val="26"/>
        </w:rPr>
        <w:t xml:space="preserve"> có thể gây ra các vấn đề nghiêm trọng trong môi trường. Theo báo cáo của Tiwari </w:t>
      </w:r>
      <w:r>
        <w:rPr>
          <w:sz w:val="26"/>
          <w:szCs w:val="26"/>
        </w:rPr>
        <w:t xml:space="preserve">và cộng sự </w:t>
      </w:r>
      <w:r w:rsidRPr="00FA3FC9">
        <w:rPr>
          <w:sz w:val="26"/>
          <w:szCs w:val="26"/>
        </w:rPr>
        <w:t>[3],</w:t>
      </w:r>
      <w:r w:rsidR="00FA3FC9" w:rsidRPr="00FA3FC9">
        <w:rPr>
          <w:sz w:val="26"/>
          <w:szCs w:val="26"/>
        </w:rPr>
        <w:t xml:space="preserve"> một số vấn đề là sự thay đổi cân bằng bức xạ của Trái đất, sự thay đổi trong quá trình hình thành mây, góp phần vào sự nón</w:t>
      </w:r>
      <w:r>
        <w:rPr>
          <w:sz w:val="26"/>
          <w:szCs w:val="26"/>
        </w:rPr>
        <w:t>g lên toàn cầu và giảm tầm nhìn.</w:t>
      </w:r>
      <w:r w:rsidR="00FA3FC9" w:rsidRPr="00FA3FC9">
        <w:rPr>
          <w:sz w:val="26"/>
          <w:szCs w:val="26"/>
        </w:rPr>
        <w:t xml:space="preserve"> Pipal và Satsangi [4], Gong </w:t>
      </w:r>
      <w:r>
        <w:rPr>
          <w:sz w:val="26"/>
          <w:szCs w:val="26"/>
        </w:rPr>
        <w:t>và cộng sự [5] và Li và cộng sự</w:t>
      </w:r>
      <w:r w:rsidR="00FA3FC9" w:rsidRPr="00FA3FC9">
        <w:rPr>
          <w:sz w:val="26"/>
          <w:szCs w:val="26"/>
        </w:rPr>
        <w:t xml:space="preserve"> [6].</w:t>
      </w:r>
    </w:p>
    <w:p w14:paraId="6762F011" w14:textId="77777777" w:rsidR="00FA3FC9" w:rsidRPr="00FA3FC9" w:rsidRDefault="00FA3FC9" w:rsidP="00FB0731">
      <w:pPr>
        <w:pStyle w:val="NormalWeb"/>
        <w:spacing w:before="120" w:beforeAutospacing="0" w:after="120" w:afterAutospacing="0" w:line="276" w:lineRule="auto"/>
        <w:ind w:firstLine="425"/>
        <w:jc w:val="both"/>
        <w:rPr>
          <w:sz w:val="26"/>
          <w:szCs w:val="26"/>
        </w:rPr>
      </w:pPr>
      <w:r w:rsidRPr="00FA3FC9">
        <w:rPr>
          <w:sz w:val="26"/>
          <w:szCs w:val="26"/>
        </w:rPr>
        <w:t xml:space="preserve">Sức khỏe con người cũng </w:t>
      </w:r>
      <w:r w:rsidR="00FF3205">
        <w:rPr>
          <w:sz w:val="26"/>
          <w:szCs w:val="26"/>
        </w:rPr>
        <w:t>có thể bị ảnh hưởng bởi bụi</w:t>
      </w:r>
      <w:r w:rsidRPr="00FA3FC9">
        <w:rPr>
          <w:sz w:val="26"/>
          <w:szCs w:val="26"/>
        </w:rPr>
        <w:t xml:space="preserve"> PM. Ví dụ, các hạt siêu mịn xâm nhập vào phế nang phổi gây ra các vấn đề về hô hấp. Nó cũng có thể gây ra </w:t>
      </w:r>
      <w:r w:rsidR="00FF3205">
        <w:rPr>
          <w:sz w:val="26"/>
          <w:szCs w:val="26"/>
        </w:rPr>
        <w:t>căng thẳng</w:t>
      </w:r>
      <w:r w:rsidRPr="00FA3FC9">
        <w:rPr>
          <w:sz w:val="26"/>
          <w:szCs w:val="26"/>
        </w:rPr>
        <w:t xml:space="preserve"> oxy hóa, có thể gây ra các vấn đề về tim mạch </w:t>
      </w:r>
      <w:r w:rsidR="00FF3205">
        <w:rPr>
          <w:sz w:val="26"/>
          <w:szCs w:val="26"/>
        </w:rPr>
        <w:t>và thần kinh (Oberdörster và cộng sự</w:t>
      </w:r>
      <w:r w:rsidRPr="00FA3FC9">
        <w:rPr>
          <w:sz w:val="26"/>
          <w:szCs w:val="26"/>
        </w:rPr>
        <w:t xml:space="preserve"> [7], Bai </w:t>
      </w:r>
      <w:r w:rsidR="00FF3205">
        <w:rPr>
          <w:sz w:val="26"/>
          <w:szCs w:val="26"/>
        </w:rPr>
        <w:t>và cộng sự</w:t>
      </w:r>
      <w:r w:rsidR="00FF3205" w:rsidRPr="00FA3FC9">
        <w:rPr>
          <w:sz w:val="26"/>
          <w:szCs w:val="26"/>
        </w:rPr>
        <w:t xml:space="preserve"> </w:t>
      </w:r>
      <w:r w:rsidRPr="00FA3FC9">
        <w:rPr>
          <w:sz w:val="26"/>
          <w:szCs w:val="26"/>
        </w:rPr>
        <w:t xml:space="preserve">[8] và Rafael </w:t>
      </w:r>
      <w:r w:rsidR="00FF3205">
        <w:rPr>
          <w:sz w:val="26"/>
          <w:szCs w:val="26"/>
        </w:rPr>
        <w:t>và cộng sự</w:t>
      </w:r>
      <w:r w:rsidR="00FF3205" w:rsidRPr="00FA3FC9">
        <w:rPr>
          <w:sz w:val="26"/>
          <w:szCs w:val="26"/>
        </w:rPr>
        <w:t xml:space="preserve"> </w:t>
      </w:r>
      <w:r w:rsidRPr="00FA3FC9">
        <w:rPr>
          <w:sz w:val="26"/>
          <w:szCs w:val="26"/>
        </w:rPr>
        <w:t xml:space="preserve">[9]). Các nghiên cứu đã xác nhận mối quan hệ giữa tỷ lệ tử vong và tiếp xúc với PM (Peters </w:t>
      </w:r>
      <w:r w:rsidR="005524DF">
        <w:rPr>
          <w:sz w:val="26"/>
          <w:szCs w:val="26"/>
        </w:rPr>
        <w:t>và cộng sự</w:t>
      </w:r>
      <w:r w:rsidR="005524DF" w:rsidRPr="00FA3FC9">
        <w:rPr>
          <w:sz w:val="26"/>
          <w:szCs w:val="26"/>
        </w:rPr>
        <w:t xml:space="preserve"> </w:t>
      </w:r>
      <w:r w:rsidRPr="00FA3FC9">
        <w:rPr>
          <w:sz w:val="26"/>
          <w:szCs w:val="26"/>
        </w:rPr>
        <w:t xml:space="preserve">[10] và Brook </w:t>
      </w:r>
      <w:r w:rsidR="005524DF">
        <w:rPr>
          <w:sz w:val="26"/>
          <w:szCs w:val="26"/>
        </w:rPr>
        <w:t>và cộng sự</w:t>
      </w:r>
      <w:r w:rsidRPr="00FA3FC9">
        <w:rPr>
          <w:sz w:val="26"/>
          <w:szCs w:val="26"/>
        </w:rPr>
        <w:t xml:space="preserve"> [11]). Xem xét mức độ nghiêm trọng của việc con người tiếp xúc với </w:t>
      </w:r>
      <w:r w:rsidR="005524DF">
        <w:rPr>
          <w:sz w:val="26"/>
          <w:szCs w:val="26"/>
        </w:rPr>
        <w:t>bụi</w:t>
      </w:r>
      <w:r w:rsidRPr="00FA3FC9">
        <w:rPr>
          <w:sz w:val="26"/>
          <w:szCs w:val="26"/>
        </w:rPr>
        <w:t xml:space="preserve">, Franklin </w:t>
      </w:r>
      <w:r w:rsidR="005524DF">
        <w:rPr>
          <w:sz w:val="26"/>
          <w:szCs w:val="26"/>
        </w:rPr>
        <w:t>và cộng sự</w:t>
      </w:r>
      <w:r w:rsidRPr="00FA3FC9">
        <w:rPr>
          <w:sz w:val="26"/>
          <w:szCs w:val="26"/>
        </w:rPr>
        <w:t xml:space="preserve"> [12] khuyến cáo rằng những người thuộc nhóm nguy cơ (những người mắc bệnh </w:t>
      </w:r>
      <w:r w:rsidRPr="00FA3FC9">
        <w:rPr>
          <w:sz w:val="26"/>
          <w:szCs w:val="26"/>
        </w:rPr>
        <w:lastRenderedPageBreak/>
        <w:t>tim mạch, người già, bệnh nhân tiểu đường, phụ nữ mang thai và những người bị bệnh phổi) nên hạn chế thời gian ở ngoài trời vào những ngày có mức độ ô nhiễm cao.</w:t>
      </w:r>
    </w:p>
    <w:p w14:paraId="59A0B9AE" w14:textId="77777777" w:rsidR="00FA3FC9" w:rsidRPr="00FA3FC9" w:rsidRDefault="00FA3FC9" w:rsidP="00FB0731">
      <w:pPr>
        <w:pStyle w:val="NormalWeb"/>
        <w:spacing w:before="120" w:beforeAutospacing="0" w:after="120" w:afterAutospacing="0" w:line="276" w:lineRule="auto"/>
        <w:ind w:firstLine="425"/>
        <w:jc w:val="both"/>
        <w:rPr>
          <w:sz w:val="26"/>
          <w:szCs w:val="26"/>
        </w:rPr>
      </w:pPr>
      <w:r w:rsidRPr="00FA3FC9">
        <w:rPr>
          <w:sz w:val="26"/>
          <w:szCs w:val="26"/>
        </w:rPr>
        <w:t xml:space="preserve">Mọi người có thể tiếp xúc với </w:t>
      </w:r>
      <w:r w:rsidR="005524DF">
        <w:rPr>
          <w:sz w:val="26"/>
          <w:szCs w:val="26"/>
        </w:rPr>
        <w:t>bụi</w:t>
      </w:r>
      <w:r w:rsidRPr="00FA3FC9">
        <w:rPr>
          <w:sz w:val="26"/>
          <w:szCs w:val="26"/>
        </w:rPr>
        <w:t xml:space="preserve"> trong môi trường trong nhà hoặc ngoài trời. Utell và Frampto</w:t>
      </w:r>
      <w:r w:rsidR="005524DF">
        <w:rPr>
          <w:sz w:val="26"/>
          <w:szCs w:val="26"/>
        </w:rPr>
        <w:t>n [13] trích dẫn rằng mức độ bụi</w:t>
      </w:r>
      <w:r w:rsidRPr="00FA3FC9">
        <w:rPr>
          <w:sz w:val="26"/>
          <w:szCs w:val="26"/>
        </w:rPr>
        <w:t xml:space="preserve"> có thể </w:t>
      </w:r>
      <w:r w:rsidR="005524DF">
        <w:rPr>
          <w:sz w:val="26"/>
          <w:szCs w:val="26"/>
        </w:rPr>
        <w:t>thay đổi từ 5000 đến 10.000 hạt/</w:t>
      </w:r>
      <w:r w:rsidRPr="00FA3FC9">
        <w:rPr>
          <w:sz w:val="26"/>
          <w:szCs w:val="26"/>
        </w:rPr>
        <w:t>cm3 trong không khí ngoài trời. Con số này có thể tăng l</w:t>
      </w:r>
      <w:r w:rsidR="005524DF">
        <w:rPr>
          <w:sz w:val="26"/>
          <w:szCs w:val="26"/>
        </w:rPr>
        <w:t>ên 300.000 hạt/cm3 hoặc thậm chí 1.000.000 hạt/</w:t>
      </w:r>
      <w:r w:rsidRPr="00FA3FC9">
        <w:rPr>
          <w:sz w:val="26"/>
          <w:szCs w:val="26"/>
        </w:rPr>
        <w:t xml:space="preserve">cm3 trên những con phố có lưu lượng xe cộ qua lại cao. Trong các nghiên cứu được thực hiện bởi Li </w:t>
      </w:r>
      <w:r w:rsidR="005524DF">
        <w:rPr>
          <w:sz w:val="26"/>
          <w:szCs w:val="26"/>
        </w:rPr>
        <w:t>và cộng sự</w:t>
      </w:r>
      <w:r w:rsidR="005524DF" w:rsidRPr="00FA3FC9">
        <w:rPr>
          <w:sz w:val="26"/>
          <w:szCs w:val="26"/>
        </w:rPr>
        <w:t xml:space="preserve"> </w:t>
      </w:r>
      <w:r w:rsidRPr="00FA3FC9">
        <w:rPr>
          <w:sz w:val="26"/>
          <w:szCs w:val="26"/>
        </w:rPr>
        <w:t xml:space="preserve">[6], các hạt có đường kính nhỏ hơn 1 μm, có hại nhất cho sức khỏe, là những hạt gây ô nhiễm không khí nhiều nhất do </w:t>
      </w:r>
      <w:r w:rsidR="005524DF">
        <w:rPr>
          <w:sz w:val="26"/>
          <w:szCs w:val="26"/>
        </w:rPr>
        <w:t>bụi</w:t>
      </w:r>
      <w:r w:rsidRPr="00FA3FC9">
        <w:rPr>
          <w:sz w:val="26"/>
          <w:szCs w:val="26"/>
        </w:rPr>
        <w:t xml:space="preserve"> ở các khu vực đô thị.</w:t>
      </w:r>
    </w:p>
    <w:p w14:paraId="06002B92" w14:textId="77777777" w:rsidR="00FA3FC9" w:rsidRPr="00FA3FC9" w:rsidRDefault="00FA3FC9" w:rsidP="00FB0731">
      <w:pPr>
        <w:pStyle w:val="NormalWeb"/>
        <w:spacing w:before="120" w:beforeAutospacing="0" w:after="120" w:afterAutospacing="0" w:line="276" w:lineRule="auto"/>
        <w:ind w:firstLine="425"/>
        <w:jc w:val="both"/>
        <w:rPr>
          <w:sz w:val="26"/>
          <w:szCs w:val="26"/>
        </w:rPr>
      </w:pPr>
      <w:r w:rsidRPr="00FA3FC9">
        <w:rPr>
          <w:sz w:val="26"/>
          <w:szCs w:val="26"/>
        </w:rPr>
        <w:t>Ngày nay, một loạt các nghi</w:t>
      </w:r>
      <w:r w:rsidR="005524DF">
        <w:rPr>
          <w:sz w:val="26"/>
          <w:szCs w:val="26"/>
        </w:rPr>
        <w:t>ên cứu liên quan đến phép đo hàm lượng bụi</w:t>
      </w:r>
      <w:r w:rsidRPr="00FA3FC9">
        <w:rPr>
          <w:sz w:val="26"/>
          <w:szCs w:val="26"/>
        </w:rPr>
        <w:t xml:space="preserve"> đã được công bố (Tissari và cộng sự [14], Kwasny và cộng sự [15], Hosseini và cộng sự [16], Costa và cộng sự [17], França và cộng sự cộng sự [18] Nakata và cộng sự [19] và Leskinen và cộng sự [</w:t>
      </w:r>
      <w:r w:rsidR="005524DF">
        <w:rPr>
          <w:sz w:val="26"/>
          <w:szCs w:val="26"/>
        </w:rPr>
        <w:t>20]). Tuy nhiên, các phép đo hàm lượng bụi</w:t>
      </w:r>
      <w:r w:rsidRPr="00FA3FC9">
        <w:rPr>
          <w:sz w:val="26"/>
          <w:szCs w:val="26"/>
        </w:rPr>
        <w:t xml:space="preserve"> có thể rất khác nhau, ngay cả những phép đo được thực hiện cho cùng một vật liệu và ở cùng một vị trí. Sự thay đổi này chủ yếu do thi</w:t>
      </w:r>
      <w:r w:rsidR="005524DF">
        <w:rPr>
          <w:sz w:val="26"/>
          <w:szCs w:val="26"/>
        </w:rPr>
        <w:t>ết bị được sử dụng để đo hàm lượng bụi</w:t>
      </w:r>
      <w:r w:rsidRPr="00FA3FC9">
        <w:rPr>
          <w:sz w:val="26"/>
          <w:szCs w:val="26"/>
        </w:rPr>
        <w:t xml:space="preserve"> và quy trình lấy mẫu.</w:t>
      </w:r>
    </w:p>
    <w:p w14:paraId="4F942DF8" w14:textId="77777777" w:rsidR="00FA3FC9" w:rsidRPr="00FA3FC9" w:rsidRDefault="00FA3FC9" w:rsidP="00310131">
      <w:pPr>
        <w:pStyle w:val="NormalWeb"/>
        <w:spacing w:before="120" w:beforeAutospacing="0" w:after="120" w:afterAutospacing="0" w:line="276" w:lineRule="auto"/>
        <w:ind w:firstLine="426"/>
        <w:jc w:val="both"/>
        <w:rPr>
          <w:sz w:val="26"/>
          <w:szCs w:val="26"/>
        </w:rPr>
      </w:pPr>
      <w:r w:rsidRPr="00FA3FC9">
        <w:rPr>
          <w:sz w:val="26"/>
          <w:szCs w:val="26"/>
        </w:rPr>
        <w:t xml:space="preserve">Theo Nussbaumer </w:t>
      </w:r>
      <w:r w:rsidR="005524DF">
        <w:rPr>
          <w:sz w:val="26"/>
          <w:szCs w:val="26"/>
        </w:rPr>
        <w:t>và cộng sự</w:t>
      </w:r>
      <w:r w:rsidR="005524DF" w:rsidRPr="00FA3FC9">
        <w:rPr>
          <w:sz w:val="26"/>
          <w:szCs w:val="26"/>
        </w:rPr>
        <w:t xml:space="preserve"> </w:t>
      </w:r>
      <w:r w:rsidRPr="00FA3FC9">
        <w:rPr>
          <w:sz w:val="26"/>
          <w:szCs w:val="26"/>
        </w:rPr>
        <w:t>[21], hiện có nhiều loại thiết bị để đo</w:t>
      </w:r>
      <w:r w:rsidR="005524DF">
        <w:rPr>
          <w:sz w:val="26"/>
          <w:szCs w:val="26"/>
        </w:rPr>
        <w:t xml:space="preserve"> hàm lượng</w:t>
      </w:r>
      <w:r w:rsidRPr="00FA3FC9">
        <w:rPr>
          <w:sz w:val="26"/>
          <w:szCs w:val="26"/>
        </w:rPr>
        <w:t xml:space="preserve"> </w:t>
      </w:r>
      <w:r w:rsidR="005524DF">
        <w:rPr>
          <w:sz w:val="26"/>
          <w:szCs w:val="26"/>
        </w:rPr>
        <w:t>bụi</w:t>
      </w:r>
      <w:r w:rsidRPr="00FA3FC9">
        <w:rPr>
          <w:sz w:val="26"/>
          <w:szCs w:val="26"/>
        </w:rPr>
        <w:t xml:space="preserve">, điều này làm cho việc lựa chọn trở nên khó khăn. Hơn nữa, </w:t>
      </w:r>
      <w:r w:rsidR="005524DF">
        <w:rPr>
          <w:sz w:val="26"/>
          <w:szCs w:val="26"/>
        </w:rPr>
        <w:t>bụi</w:t>
      </w:r>
      <w:r w:rsidRPr="00FA3FC9">
        <w:rPr>
          <w:sz w:val="26"/>
          <w:szCs w:val="26"/>
        </w:rPr>
        <w:t xml:space="preserve"> có thể có kích thước từ nanomet đến micromet, điều này làm cho việc lựa chọn thiết bị trở nên khó khăn hơn, theo báo cáo của Obaidullah </w:t>
      </w:r>
      <w:r w:rsidR="005524DF">
        <w:rPr>
          <w:sz w:val="26"/>
          <w:szCs w:val="26"/>
        </w:rPr>
        <w:t>và cộng sự</w:t>
      </w:r>
      <w:r w:rsidRPr="00FA3FC9">
        <w:rPr>
          <w:sz w:val="26"/>
          <w:szCs w:val="26"/>
        </w:rPr>
        <w:t xml:space="preserve"> [22].</w:t>
      </w:r>
    </w:p>
    <w:p w14:paraId="02B46A33" w14:textId="77777777" w:rsidR="00FA3FC9" w:rsidRPr="00FA3FC9" w:rsidRDefault="00FA3FC9" w:rsidP="00310131">
      <w:pPr>
        <w:pStyle w:val="NormalWeb"/>
        <w:spacing w:before="120" w:beforeAutospacing="0" w:after="120" w:afterAutospacing="0" w:line="276" w:lineRule="auto"/>
        <w:ind w:firstLine="426"/>
        <w:jc w:val="both"/>
        <w:rPr>
          <w:sz w:val="26"/>
          <w:szCs w:val="26"/>
        </w:rPr>
      </w:pPr>
      <w:r w:rsidRPr="00FA3FC9">
        <w:rPr>
          <w:sz w:val="26"/>
          <w:szCs w:val="26"/>
        </w:rPr>
        <w:t>Có rất nhiều thách thức li</w:t>
      </w:r>
      <w:r w:rsidR="005524DF">
        <w:rPr>
          <w:sz w:val="26"/>
          <w:szCs w:val="26"/>
        </w:rPr>
        <w:t>ên quan đến việc đo lường hàm lượng bụi</w:t>
      </w:r>
      <w:r w:rsidRPr="00FA3FC9">
        <w:rPr>
          <w:sz w:val="26"/>
          <w:szCs w:val="26"/>
        </w:rPr>
        <w:t>, nhưng chúng vẫn cần được định lượng để kiểm soát lượng khí thải, góp phần cải thiện chất lượng không khí trong nhà và ngoài trời.</w:t>
      </w:r>
    </w:p>
    <w:p w14:paraId="5E5AD79B" w14:textId="77777777" w:rsidR="00FA3FC9" w:rsidRPr="00FA3FC9" w:rsidRDefault="00FA3FC9" w:rsidP="00310131">
      <w:pPr>
        <w:pStyle w:val="NormalWeb"/>
        <w:spacing w:before="120" w:beforeAutospacing="0" w:after="120" w:afterAutospacing="0" w:line="276" w:lineRule="auto"/>
        <w:ind w:firstLine="425"/>
        <w:jc w:val="both"/>
        <w:rPr>
          <w:sz w:val="26"/>
          <w:szCs w:val="26"/>
        </w:rPr>
      </w:pPr>
      <w:r w:rsidRPr="00FA3FC9">
        <w:rPr>
          <w:sz w:val="26"/>
          <w:szCs w:val="26"/>
        </w:rPr>
        <w:t xml:space="preserve">Vì vậy, mục tiêu của bài tổng quan này là giúp các nhà nghiên cứu lựa chọn thiết bị phù hợp nhất để </w:t>
      </w:r>
      <w:r w:rsidR="005524DF">
        <w:rPr>
          <w:sz w:val="26"/>
          <w:szCs w:val="26"/>
        </w:rPr>
        <w:t>đo hàm lượng bụi</w:t>
      </w:r>
      <w:r w:rsidRPr="00FA3FC9">
        <w:rPr>
          <w:sz w:val="26"/>
          <w:szCs w:val="26"/>
        </w:rPr>
        <w:t>. Tổng quan về các phương pháp và thiết bị chính để đo n</w:t>
      </w:r>
      <w:r w:rsidR="005524DF">
        <w:rPr>
          <w:sz w:val="26"/>
          <w:szCs w:val="26"/>
        </w:rPr>
        <w:t>ồng độ và kích thước của các hạt bụi</w:t>
      </w:r>
      <w:r w:rsidRPr="00FA3FC9">
        <w:rPr>
          <w:sz w:val="26"/>
          <w:szCs w:val="26"/>
        </w:rPr>
        <w:t xml:space="preserve"> đã được trình bày. Các đặc điểm, ưu điểm và nhược điểm của các dụng cụ đo đã được so sánh.</w:t>
      </w:r>
    </w:p>
    <w:p w14:paraId="5E0E2E2D" w14:textId="25E9FCFA" w:rsidR="00FA3FC9" w:rsidRPr="00FA3FC9" w:rsidRDefault="00FA3FC9" w:rsidP="00310131">
      <w:pPr>
        <w:pStyle w:val="NormalWeb"/>
        <w:spacing w:before="120" w:beforeAutospacing="0" w:after="120" w:afterAutospacing="0" w:line="276" w:lineRule="auto"/>
        <w:jc w:val="both"/>
        <w:rPr>
          <w:b/>
          <w:bCs/>
          <w:sz w:val="26"/>
          <w:szCs w:val="26"/>
        </w:rPr>
      </w:pPr>
      <w:r w:rsidRPr="00FA3FC9">
        <w:rPr>
          <w:b/>
          <w:bCs/>
          <w:sz w:val="26"/>
          <w:szCs w:val="26"/>
        </w:rPr>
        <w:t xml:space="preserve">2. </w:t>
      </w:r>
      <w:r w:rsidR="00D54B9D">
        <w:rPr>
          <w:b/>
          <w:bCs/>
          <w:sz w:val="26"/>
          <w:szCs w:val="26"/>
        </w:rPr>
        <w:t>Tổng</w:t>
      </w:r>
      <w:r w:rsidR="00D54B9D">
        <w:rPr>
          <w:b/>
          <w:bCs/>
          <w:sz w:val="26"/>
          <w:szCs w:val="26"/>
          <w:lang w:val="vi-VN"/>
        </w:rPr>
        <w:t xml:space="preserve"> quan </w:t>
      </w:r>
      <w:r w:rsidRPr="00FA3FC9">
        <w:rPr>
          <w:b/>
          <w:bCs/>
          <w:sz w:val="26"/>
          <w:szCs w:val="26"/>
        </w:rPr>
        <w:t xml:space="preserve">về </w:t>
      </w:r>
      <w:r w:rsidR="005524DF">
        <w:rPr>
          <w:b/>
          <w:bCs/>
          <w:sz w:val="26"/>
          <w:szCs w:val="26"/>
        </w:rPr>
        <w:t>hàm lượng bụi</w:t>
      </w:r>
    </w:p>
    <w:p w14:paraId="610E4F29" w14:textId="77777777" w:rsidR="00FA3FC9" w:rsidRPr="00FA3FC9" w:rsidRDefault="00FA3FC9" w:rsidP="00310131">
      <w:pPr>
        <w:pStyle w:val="NormalWeb"/>
        <w:spacing w:before="120" w:beforeAutospacing="0" w:after="120" w:afterAutospacing="0" w:line="276" w:lineRule="auto"/>
        <w:ind w:firstLine="425"/>
        <w:jc w:val="both"/>
        <w:rPr>
          <w:sz w:val="26"/>
          <w:szCs w:val="26"/>
        </w:rPr>
      </w:pPr>
      <w:r w:rsidRPr="00FA3FC9">
        <w:rPr>
          <w:sz w:val="26"/>
          <w:szCs w:val="26"/>
        </w:rPr>
        <w:t xml:space="preserve">Các bài báo đánh giá tập trung vào việc đo </w:t>
      </w:r>
      <w:r w:rsidR="00C20840">
        <w:rPr>
          <w:sz w:val="26"/>
          <w:szCs w:val="26"/>
        </w:rPr>
        <w:t>hàm lượng bụi</w:t>
      </w:r>
      <w:r w:rsidRPr="00FA3FC9">
        <w:rPr>
          <w:sz w:val="26"/>
          <w:szCs w:val="26"/>
        </w:rPr>
        <w:t xml:space="preserve"> bao gồm công trình của Nussbaumer </w:t>
      </w:r>
      <w:r w:rsidR="005524DF">
        <w:rPr>
          <w:sz w:val="26"/>
          <w:szCs w:val="26"/>
        </w:rPr>
        <w:t>và cộng sự</w:t>
      </w:r>
      <w:r w:rsidR="005524DF" w:rsidRPr="00FA3FC9">
        <w:rPr>
          <w:sz w:val="26"/>
          <w:szCs w:val="26"/>
        </w:rPr>
        <w:t xml:space="preserve"> </w:t>
      </w:r>
      <w:r w:rsidR="005524DF">
        <w:rPr>
          <w:sz w:val="26"/>
          <w:szCs w:val="26"/>
        </w:rPr>
        <w:t>[21], Obaidullah và cộng sự [22], Wilson và cộng sự</w:t>
      </w:r>
      <w:r w:rsidRPr="00FA3FC9">
        <w:rPr>
          <w:sz w:val="26"/>
          <w:szCs w:val="26"/>
        </w:rPr>
        <w:t xml:space="preserve"> [23] và Giechaskiel </w:t>
      </w:r>
      <w:r w:rsidR="005524DF">
        <w:rPr>
          <w:sz w:val="26"/>
          <w:szCs w:val="26"/>
        </w:rPr>
        <w:t>và cộng sự</w:t>
      </w:r>
      <w:r w:rsidR="005524DF" w:rsidRPr="00FA3FC9">
        <w:rPr>
          <w:sz w:val="26"/>
          <w:szCs w:val="26"/>
        </w:rPr>
        <w:t xml:space="preserve"> </w:t>
      </w:r>
      <w:r w:rsidRPr="00FA3FC9">
        <w:rPr>
          <w:sz w:val="26"/>
          <w:szCs w:val="26"/>
        </w:rPr>
        <w:t>[24].</w:t>
      </w:r>
    </w:p>
    <w:p w14:paraId="7CFFB76D" w14:textId="77777777" w:rsidR="00FA3FC9" w:rsidRPr="00FA3FC9" w:rsidRDefault="00FA3FC9" w:rsidP="00310131">
      <w:pPr>
        <w:pStyle w:val="NormalWeb"/>
        <w:spacing w:before="120" w:beforeAutospacing="0" w:after="120" w:afterAutospacing="0" w:line="276" w:lineRule="auto"/>
        <w:ind w:firstLine="425"/>
        <w:jc w:val="both"/>
        <w:rPr>
          <w:sz w:val="26"/>
          <w:szCs w:val="26"/>
        </w:rPr>
      </w:pPr>
      <w:r w:rsidRPr="00FA3FC9">
        <w:rPr>
          <w:sz w:val="26"/>
          <w:szCs w:val="26"/>
        </w:rPr>
        <w:t xml:space="preserve">Trong bài đánh giá được đề xuất bởi Obaidullah </w:t>
      </w:r>
      <w:r w:rsidR="00C20840">
        <w:rPr>
          <w:sz w:val="26"/>
          <w:szCs w:val="26"/>
        </w:rPr>
        <w:t>và cộng sự</w:t>
      </w:r>
      <w:r w:rsidR="00C20840" w:rsidRPr="00FA3FC9">
        <w:rPr>
          <w:sz w:val="26"/>
          <w:szCs w:val="26"/>
        </w:rPr>
        <w:t xml:space="preserve"> </w:t>
      </w:r>
      <w:r w:rsidRPr="00FA3FC9">
        <w:rPr>
          <w:sz w:val="26"/>
          <w:szCs w:val="26"/>
        </w:rPr>
        <w:t>[22] các kết quả liên quan đến phát xạ hạt được trình bày dưới dạng nồng độ khối lượng, nồng độ số lượng và phân bố kích thước hạt. Các tác giả cũng mô tả các dụng cụ đo lường được sử dụng để định lượng các hạt. Kết quả của họ chỉ được thảo luận cho các đầu đốt quy mô nhỏ.</w:t>
      </w:r>
    </w:p>
    <w:p w14:paraId="792CC123" w14:textId="77777777" w:rsidR="00FA3FC9" w:rsidRPr="00FA3FC9" w:rsidRDefault="00C20840" w:rsidP="00310131">
      <w:pPr>
        <w:pStyle w:val="NormalWeb"/>
        <w:spacing w:before="120" w:beforeAutospacing="0" w:after="120" w:afterAutospacing="0" w:line="276" w:lineRule="auto"/>
        <w:ind w:firstLine="425"/>
        <w:jc w:val="both"/>
        <w:rPr>
          <w:sz w:val="26"/>
          <w:szCs w:val="26"/>
        </w:rPr>
      </w:pPr>
      <w:r>
        <w:rPr>
          <w:sz w:val="26"/>
          <w:szCs w:val="26"/>
        </w:rPr>
        <w:lastRenderedPageBreak/>
        <w:t>Wilson và cộng sự</w:t>
      </w:r>
      <w:r w:rsidR="00FA3FC9" w:rsidRPr="00FA3FC9">
        <w:rPr>
          <w:sz w:val="26"/>
          <w:szCs w:val="26"/>
        </w:rPr>
        <w:t xml:space="preserve"> [23] đã trình bày các cuộc thảo luận về thu thập và đo lường hạt ngoài trời.</w:t>
      </w:r>
    </w:p>
    <w:p w14:paraId="44FA5553" w14:textId="77777777" w:rsidR="00FA3FC9" w:rsidRPr="00FA3FC9" w:rsidRDefault="00FA3FC9" w:rsidP="00310131">
      <w:pPr>
        <w:pStyle w:val="NormalWeb"/>
        <w:spacing w:before="120" w:beforeAutospacing="0" w:after="120" w:afterAutospacing="0" w:line="276" w:lineRule="auto"/>
        <w:ind w:firstLine="425"/>
        <w:jc w:val="both"/>
        <w:rPr>
          <w:sz w:val="26"/>
          <w:szCs w:val="26"/>
        </w:rPr>
      </w:pPr>
      <w:r w:rsidRPr="00FA3FC9">
        <w:rPr>
          <w:sz w:val="26"/>
          <w:szCs w:val="26"/>
        </w:rPr>
        <w:t xml:space="preserve">Các kỹ thuật đo hạt trong lò đốt quy mô nhỏ đã được thảo luận bởi Nussbaumer </w:t>
      </w:r>
      <w:r w:rsidR="00C20840">
        <w:rPr>
          <w:sz w:val="26"/>
          <w:szCs w:val="26"/>
        </w:rPr>
        <w:t>và cộng sự</w:t>
      </w:r>
      <w:r w:rsidR="00C20840" w:rsidRPr="00FA3FC9">
        <w:rPr>
          <w:sz w:val="26"/>
          <w:szCs w:val="26"/>
        </w:rPr>
        <w:t xml:space="preserve"> </w:t>
      </w:r>
      <w:r w:rsidRPr="00FA3FC9">
        <w:rPr>
          <w:sz w:val="26"/>
          <w:szCs w:val="26"/>
        </w:rPr>
        <w:t>[21]. Các tác giả cũng trình bày kết quả về hệ số phát xạ hạt.</w:t>
      </w:r>
    </w:p>
    <w:p w14:paraId="52A8237F" w14:textId="77777777" w:rsidR="00FA3FC9" w:rsidRPr="00FA3FC9" w:rsidRDefault="00C20840" w:rsidP="00310131">
      <w:pPr>
        <w:pStyle w:val="NormalWeb"/>
        <w:spacing w:before="120" w:beforeAutospacing="0" w:after="120" w:afterAutospacing="0" w:line="276" w:lineRule="auto"/>
        <w:ind w:firstLine="425"/>
        <w:jc w:val="both"/>
        <w:rPr>
          <w:sz w:val="26"/>
          <w:szCs w:val="26"/>
        </w:rPr>
      </w:pPr>
      <w:r>
        <w:rPr>
          <w:sz w:val="26"/>
          <w:szCs w:val="26"/>
        </w:rPr>
        <w:t>Giechaskiel và cộng sự</w:t>
      </w:r>
      <w:r w:rsidR="00FA3FC9" w:rsidRPr="00FA3FC9">
        <w:rPr>
          <w:sz w:val="26"/>
          <w:szCs w:val="26"/>
        </w:rPr>
        <w:t xml:space="preserve"> [24] đã phân tích các thiết bị và kỹ thuật chính để đo </w:t>
      </w:r>
      <w:r>
        <w:rPr>
          <w:sz w:val="26"/>
          <w:szCs w:val="26"/>
        </w:rPr>
        <w:t>bụi</w:t>
      </w:r>
      <w:r w:rsidR="00FA3FC9" w:rsidRPr="00FA3FC9">
        <w:rPr>
          <w:sz w:val="26"/>
          <w:szCs w:val="26"/>
        </w:rPr>
        <w:t xml:space="preserve"> từ quá trình đốt cháy</w:t>
      </w:r>
      <w:r w:rsidR="00D65BB0">
        <w:rPr>
          <w:sz w:val="26"/>
          <w:szCs w:val="26"/>
        </w:rPr>
        <w:t xml:space="preserve"> động cơ</w:t>
      </w:r>
      <w:r>
        <w:rPr>
          <w:sz w:val="26"/>
          <w:szCs w:val="26"/>
        </w:rPr>
        <w:t xml:space="preserve"> ở</w:t>
      </w:r>
      <w:r w:rsidR="00FA3FC9" w:rsidRPr="00FA3FC9">
        <w:rPr>
          <w:sz w:val="26"/>
          <w:szCs w:val="26"/>
        </w:rPr>
        <w:t xml:space="preserve"> xe cộ.</w:t>
      </w:r>
    </w:p>
    <w:p w14:paraId="1766B0E1" w14:textId="72C3785C" w:rsidR="00FA3FC9" w:rsidRPr="00FA3FC9" w:rsidRDefault="00FA3FC9" w:rsidP="00310131">
      <w:pPr>
        <w:pStyle w:val="NormalWeb"/>
        <w:spacing w:before="120" w:beforeAutospacing="0" w:after="120" w:afterAutospacing="0" w:line="276" w:lineRule="auto"/>
        <w:jc w:val="both"/>
        <w:rPr>
          <w:b/>
          <w:bCs/>
          <w:sz w:val="26"/>
          <w:szCs w:val="26"/>
        </w:rPr>
      </w:pPr>
      <w:r w:rsidRPr="00FA3FC9">
        <w:rPr>
          <w:b/>
          <w:bCs/>
          <w:sz w:val="26"/>
          <w:szCs w:val="26"/>
        </w:rPr>
        <w:t xml:space="preserve">3. </w:t>
      </w:r>
      <w:r w:rsidR="004B709A">
        <w:rPr>
          <w:b/>
          <w:bCs/>
          <w:sz w:val="26"/>
          <w:szCs w:val="26"/>
        </w:rPr>
        <w:t>Thiết</w:t>
      </w:r>
      <w:r w:rsidR="004B709A">
        <w:rPr>
          <w:b/>
          <w:bCs/>
          <w:sz w:val="26"/>
          <w:szCs w:val="26"/>
          <w:lang w:val="vi-VN"/>
        </w:rPr>
        <w:t xml:space="preserve"> bị </w:t>
      </w:r>
      <w:r w:rsidRPr="00FA3FC9">
        <w:rPr>
          <w:b/>
          <w:bCs/>
          <w:sz w:val="26"/>
          <w:szCs w:val="26"/>
        </w:rPr>
        <w:t xml:space="preserve">đo </w:t>
      </w:r>
      <w:r w:rsidR="00C20840">
        <w:rPr>
          <w:b/>
          <w:bCs/>
          <w:sz w:val="26"/>
          <w:szCs w:val="26"/>
        </w:rPr>
        <w:t>hàm lượng bụi</w:t>
      </w:r>
    </w:p>
    <w:p w14:paraId="599C773C" w14:textId="77777777" w:rsidR="00FA3FC9" w:rsidRPr="00FA3FC9" w:rsidRDefault="00FA3FC9" w:rsidP="00310131">
      <w:pPr>
        <w:pStyle w:val="NormalWeb"/>
        <w:spacing w:before="120" w:beforeAutospacing="0" w:after="120" w:afterAutospacing="0" w:line="276" w:lineRule="auto"/>
        <w:ind w:firstLine="425"/>
        <w:jc w:val="both"/>
        <w:rPr>
          <w:sz w:val="26"/>
          <w:szCs w:val="26"/>
        </w:rPr>
      </w:pPr>
      <w:r w:rsidRPr="00FA3FC9">
        <w:rPr>
          <w:sz w:val="26"/>
          <w:szCs w:val="26"/>
        </w:rPr>
        <w:t>Có một số công cụ để đo các đ</w:t>
      </w:r>
      <w:r w:rsidR="00C20840">
        <w:rPr>
          <w:sz w:val="26"/>
          <w:szCs w:val="26"/>
        </w:rPr>
        <w:t>ặc tính khác nhau của hàm lượng bụi</w:t>
      </w:r>
      <w:r w:rsidRPr="00FA3FC9">
        <w:rPr>
          <w:sz w:val="26"/>
          <w:szCs w:val="26"/>
        </w:rPr>
        <w:t>. Các phé</w:t>
      </w:r>
      <w:r w:rsidR="00C20840">
        <w:rPr>
          <w:sz w:val="26"/>
          <w:szCs w:val="26"/>
        </w:rPr>
        <w:t>p đo quan trọng nhất</w:t>
      </w:r>
      <w:r w:rsidR="00124D23">
        <w:rPr>
          <w:sz w:val="26"/>
          <w:szCs w:val="26"/>
        </w:rPr>
        <w:t xml:space="preserve"> là nồng độ bụi và kích thước bụi</w:t>
      </w:r>
      <w:r w:rsidRPr="00FA3FC9">
        <w:rPr>
          <w:sz w:val="26"/>
          <w:szCs w:val="26"/>
        </w:rPr>
        <w:t>.</w:t>
      </w:r>
    </w:p>
    <w:p w14:paraId="62972E48" w14:textId="77777777" w:rsidR="00FA3FC9" w:rsidRPr="00FA3FC9" w:rsidRDefault="00FA3FC9" w:rsidP="00310131">
      <w:pPr>
        <w:pStyle w:val="NormalWeb"/>
        <w:spacing w:before="120" w:beforeAutospacing="0" w:after="120" w:afterAutospacing="0" w:line="276" w:lineRule="auto"/>
        <w:ind w:firstLine="425"/>
        <w:jc w:val="both"/>
        <w:rPr>
          <w:sz w:val="26"/>
          <w:szCs w:val="26"/>
        </w:rPr>
      </w:pPr>
      <w:r w:rsidRPr="00FA3FC9">
        <w:rPr>
          <w:sz w:val="26"/>
          <w:szCs w:val="26"/>
        </w:rPr>
        <w:t>Máy phân tích kích thước hạt có thể xác định hành vi của hạt trong không khí xung quanh. Các hạt submicron có thể tồn tại trong khí quyển trong một thời gian dài hơn so với các hạt có kích thước lớn hơn.</w:t>
      </w:r>
    </w:p>
    <w:p w14:paraId="5CD7792A" w14:textId="77777777" w:rsidR="00FA3FC9" w:rsidRPr="00FA3FC9" w:rsidRDefault="00124D23" w:rsidP="00310131">
      <w:pPr>
        <w:pStyle w:val="NormalWeb"/>
        <w:spacing w:before="120" w:beforeAutospacing="0" w:after="120" w:afterAutospacing="0" w:line="276" w:lineRule="auto"/>
        <w:ind w:firstLine="425"/>
        <w:jc w:val="both"/>
        <w:rPr>
          <w:sz w:val="26"/>
          <w:szCs w:val="26"/>
        </w:rPr>
      </w:pPr>
      <w:r>
        <w:rPr>
          <w:sz w:val="26"/>
          <w:szCs w:val="26"/>
        </w:rPr>
        <w:t>Các phép đo nồng độ bụi</w:t>
      </w:r>
      <w:r w:rsidR="00FA3FC9" w:rsidRPr="00FA3FC9">
        <w:rPr>
          <w:sz w:val="26"/>
          <w:szCs w:val="26"/>
        </w:rPr>
        <w:t xml:space="preserve"> rất quan trọng để chuẩn hóa các giới hạn phát thải, đảm bảo các tiêu chuẩn về chất lượng không khí.</w:t>
      </w:r>
    </w:p>
    <w:p w14:paraId="51502782" w14:textId="77777777" w:rsidR="00FA3FC9" w:rsidRPr="00FA3FC9" w:rsidRDefault="00124D23" w:rsidP="00310131">
      <w:pPr>
        <w:pStyle w:val="NormalWeb"/>
        <w:spacing w:before="120" w:beforeAutospacing="0" w:after="120" w:afterAutospacing="0" w:line="276" w:lineRule="auto"/>
        <w:ind w:firstLine="425"/>
        <w:jc w:val="both"/>
        <w:rPr>
          <w:sz w:val="26"/>
          <w:szCs w:val="26"/>
        </w:rPr>
      </w:pPr>
      <w:r>
        <w:rPr>
          <w:sz w:val="26"/>
          <w:szCs w:val="26"/>
        </w:rPr>
        <w:t>Bụi</w:t>
      </w:r>
      <w:r w:rsidR="00FA3FC9" w:rsidRPr="00FA3FC9">
        <w:rPr>
          <w:sz w:val="26"/>
          <w:szCs w:val="26"/>
        </w:rPr>
        <w:t xml:space="preserve"> được đo dựa trên phân loại của chúng. Theo Obaidullah </w:t>
      </w:r>
      <w:r w:rsidR="00C20840">
        <w:rPr>
          <w:sz w:val="26"/>
          <w:szCs w:val="26"/>
        </w:rPr>
        <w:t>và cộng sự</w:t>
      </w:r>
      <w:r w:rsidR="00C20840" w:rsidRPr="00FA3FC9">
        <w:rPr>
          <w:sz w:val="26"/>
          <w:szCs w:val="26"/>
        </w:rPr>
        <w:t xml:space="preserve"> </w:t>
      </w:r>
      <w:r w:rsidR="00C20840">
        <w:rPr>
          <w:sz w:val="26"/>
          <w:szCs w:val="26"/>
        </w:rPr>
        <w:t>[22], Wilson và cộng sự [23], Wark và cộng sự</w:t>
      </w:r>
      <w:r w:rsidR="00FA3FC9" w:rsidRPr="00FA3FC9">
        <w:rPr>
          <w:sz w:val="26"/>
          <w:szCs w:val="26"/>
        </w:rPr>
        <w:t xml:space="preserve"> [25], và Vincent [26], các hạt được tạo ra trong quá trình đốt cháy được phân loại là các hạt sơ cấp. Các hạt sơ cấp được phát trực tiếp vào khí quyển. Các hạt sơ cấp bao gồm các hạt mịn, có đường kính nhỏ hơn 2,5 μm (PM2.5), và bởi các hạt siêu mịn, có đường kính nhỏ hơn 0,1 μm (PM0.1) [23,26].</w:t>
      </w:r>
    </w:p>
    <w:p w14:paraId="0B088B9C" w14:textId="77777777" w:rsidR="00FA3FC9" w:rsidRPr="00FA3FC9" w:rsidRDefault="00FA3FC9" w:rsidP="00310131">
      <w:pPr>
        <w:pStyle w:val="NormalWeb"/>
        <w:spacing w:before="120" w:beforeAutospacing="0" w:after="120" w:afterAutospacing="0" w:line="276" w:lineRule="auto"/>
        <w:ind w:firstLine="425"/>
        <w:jc w:val="both"/>
        <w:rPr>
          <w:sz w:val="26"/>
          <w:szCs w:val="26"/>
        </w:rPr>
      </w:pPr>
      <w:r w:rsidRPr="00FA3FC9">
        <w:rPr>
          <w:sz w:val="26"/>
          <w:szCs w:val="26"/>
        </w:rPr>
        <w:t>Các hạt được tạo ra bởi các phản ứng cơ học hoặc hóa học trong khí quyển được phân loại là các hạt thứ cấp. Các hạt thứ cấp có dạng thô. Chúng có đường kính lớn hơn 2,5 μ</w:t>
      </w:r>
      <w:r w:rsidR="00C20840">
        <w:rPr>
          <w:sz w:val="26"/>
          <w:szCs w:val="26"/>
        </w:rPr>
        <w:t>m. Các hạt thô bao gồm các hạt bụi</w:t>
      </w:r>
      <w:r w:rsidRPr="00FA3FC9">
        <w:rPr>
          <w:sz w:val="26"/>
          <w:szCs w:val="26"/>
        </w:rPr>
        <w:t xml:space="preserve"> có đường kính </w:t>
      </w:r>
      <w:r w:rsidR="00124D23">
        <w:rPr>
          <w:sz w:val="26"/>
          <w:szCs w:val="26"/>
        </w:rPr>
        <w:t xml:space="preserve">nhỏ hơn 10 μm (PM10) và tổng bụi </w:t>
      </w:r>
      <w:r w:rsidRPr="00FA3FC9">
        <w:rPr>
          <w:sz w:val="26"/>
          <w:szCs w:val="26"/>
        </w:rPr>
        <w:t>lơ lửng (TSP), như Turner đã nêu [27]. Theo Wilson và cộng sự. [23], một hạt thứ cấp có thể chứa các hạt từ nhiều nguồn; điều này xảy ra bởi vì chúng có thể được hình thành do sự tích tụ của một số hạt khác.</w:t>
      </w:r>
    </w:p>
    <w:p w14:paraId="61E089EE" w14:textId="77777777" w:rsidR="00FA3FC9" w:rsidRPr="00FA3FC9" w:rsidRDefault="00FA3FC9" w:rsidP="00310131">
      <w:pPr>
        <w:pStyle w:val="NormalWeb"/>
        <w:spacing w:before="120" w:beforeAutospacing="0" w:after="120" w:afterAutospacing="0" w:line="276" w:lineRule="auto"/>
        <w:ind w:firstLine="425"/>
        <w:jc w:val="both"/>
        <w:rPr>
          <w:sz w:val="26"/>
          <w:szCs w:val="26"/>
        </w:rPr>
      </w:pPr>
      <w:r w:rsidRPr="00FA3FC9">
        <w:rPr>
          <w:sz w:val="26"/>
          <w:szCs w:val="26"/>
        </w:rPr>
        <w:t xml:space="preserve">Các thiết bị đo phân bố kích thước hạt sử dụng hành vi của các hạt (khuếch tán, khí động học, và tính linh động quang và điện), như được mô tả bởi Kulkarni </w:t>
      </w:r>
      <w:r w:rsidR="00124D23">
        <w:rPr>
          <w:sz w:val="26"/>
          <w:szCs w:val="26"/>
        </w:rPr>
        <w:t>và cộng sự</w:t>
      </w:r>
      <w:r w:rsidR="00124D23" w:rsidRPr="00FA3FC9">
        <w:rPr>
          <w:sz w:val="26"/>
          <w:szCs w:val="26"/>
        </w:rPr>
        <w:t xml:space="preserve"> </w:t>
      </w:r>
      <w:r w:rsidRPr="00FA3FC9">
        <w:rPr>
          <w:sz w:val="26"/>
          <w:szCs w:val="26"/>
        </w:rPr>
        <w:t>[28].</w:t>
      </w:r>
    </w:p>
    <w:p w14:paraId="7E185A61" w14:textId="77777777" w:rsidR="00FA3FC9" w:rsidRPr="00FA3FC9" w:rsidRDefault="00FA3FC9" w:rsidP="00310131">
      <w:pPr>
        <w:pStyle w:val="NormalWeb"/>
        <w:spacing w:before="120" w:beforeAutospacing="0" w:after="120" w:afterAutospacing="0" w:line="276" w:lineRule="auto"/>
        <w:ind w:firstLine="425"/>
        <w:jc w:val="both"/>
        <w:rPr>
          <w:sz w:val="26"/>
          <w:szCs w:val="26"/>
        </w:rPr>
      </w:pPr>
      <w:r w:rsidRPr="00FA3FC9">
        <w:rPr>
          <w:sz w:val="26"/>
          <w:szCs w:val="26"/>
        </w:rPr>
        <w:t>Trong nghiên cứu tổng quan này, sẽ đặc biệt c</w:t>
      </w:r>
      <w:r w:rsidR="00124D23">
        <w:rPr>
          <w:sz w:val="26"/>
          <w:szCs w:val="26"/>
        </w:rPr>
        <w:t>hú ý đến thiết bị đo nồng độ bụi và kích thước bụi</w:t>
      </w:r>
      <w:r w:rsidRPr="00FA3FC9">
        <w:rPr>
          <w:sz w:val="26"/>
          <w:szCs w:val="26"/>
        </w:rPr>
        <w:t>. Tuy nhiên</w:t>
      </w:r>
      <w:r w:rsidR="00124D23">
        <w:rPr>
          <w:sz w:val="26"/>
          <w:szCs w:val="26"/>
        </w:rPr>
        <w:t>, việc xác định đặc tính của bụi</w:t>
      </w:r>
      <w:r w:rsidRPr="00FA3FC9">
        <w:rPr>
          <w:sz w:val="26"/>
          <w:szCs w:val="26"/>
        </w:rPr>
        <w:t xml:space="preserve"> liên quan đ</w:t>
      </w:r>
      <w:r w:rsidR="00124D23">
        <w:rPr>
          <w:sz w:val="26"/>
          <w:szCs w:val="26"/>
        </w:rPr>
        <w:t>ến việc nghiên cứu hình thái bụi</w:t>
      </w:r>
      <w:r w:rsidRPr="00FA3FC9">
        <w:rPr>
          <w:sz w:val="26"/>
          <w:szCs w:val="26"/>
        </w:rPr>
        <w:t xml:space="preserve"> cũng như đặc tính hóa học.</w:t>
      </w:r>
    </w:p>
    <w:p w14:paraId="07504329" w14:textId="77777777" w:rsidR="00FA3FC9" w:rsidRPr="00FA3FC9" w:rsidRDefault="00124D23" w:rsidP="00310131">
      <w:pPr>
        <w:pStyle w:val="NormalWeb"/>
        <w:spacing w:before="120" w:beforeAutospacing="0" w:after="120" w:afterAutospacing="0" w:line="276" w:lineRule="auto"/>
        <w:ind w:firstLine="425"/>
        <w:jc w:val="both"/>
        <w:rPr>
          <w:sz w:val="26"/>
          <w:szCs w:val="26"/>
        </w:rPr>
      </w:pPr>
      <w:r>
        <w:rPr>
          <w:sz w:val="26"/>
          <w:szCs w:val="26"/>
        </w:rPr>
        <w:t>Trong Hình 1, các dụng cụ đo bụi</w:t>
      </w:r>
      <w:r w:rsidR="00FA3FC9" w:rsidRPr="00FA3FC9">
        <w:rPr>
          <w:sz w:val="26"/>
          <w:szCs w:val="26"/>
        </w:rPr>
        <w:t xml:space="preserve"> phổ biến nhất được phân loại thành phương pháp nồng độ và phương pháp phân bố kích thước.</w:t>
      </w:r>
    </w:p>
    <w:p w14:paraId="2D2D428E" w14:textId="77777777" w:rsidR="00FA3FC9" w:rsidRPr="00124D23" w:rsidRDefault="00FA3FC9" w:rsidP="00310131">
      <w:pPr>
        <w:pStyle w:val="NormalWeb"/>
        <w:spacing w:before="120" w:beforeAutospacing="0" w:after="120" w:afterAutospacing="0" w:line="276" w:lineRule="auto"/>
        <w:jc w:val="both"/>
        <w:rPr>
          <w:i/>
          <w:sz w:val="26"/>
          <w:szCs w:val="26"/>
        </w:rPr>
      </w:pPr>
      <w:r w:rsidRPr="00124D23">
        <w:rPr>
          <w:i/>
          <w:sz w:val="26"/>
          <w:szCs w:val="26"/>
        </w:rPr>
        <w:lastRenderedPageBreak/>
        <w:t>3.1. Phương pháp đo nồng độ</w:t>
      </w:r>
    </w:p>
    <w:p w14:paraId="3C5F0014" w14:textId="77777777" w:rsidR="00FA3FC9" w:rsidRPr="00FA3FC9" w:rsidRDefault="00FA3FC9" w:rsidP="00310131">
      <w:pPr>
        <w:pStyle w:val="NormalWeb"/>
        <w:spacing w:before="120" w:beforeAutospacing="0" w:after="120" w:afterAutospacing="0" w:line="276" w:lineRule="auto"/>
        <w:ind w:firstLine="425"/>
        <w:jc w:val="both"/>
        <w:rPr>
          <w:sz w:val="26"/>
          <w:szCs w:val="26"/>
        </w:rPr>
      </w:pPr>
      <w:r w:rsidRPr="00FA3FC9">
        <w:rPr>
          <w:sz w:val="26"/>
          <w:szCs w:val="26"/>
        </w:rPr>
        <w:t>Trong các phương pháp cô đặc, nồng độ PM có thể là khối lượng (m), số (N) và diện tích bề mặt (S). Các dụng cụ này dựa trên các nguyên tắc đo khác nhau và có thể là trọng lượng, quang học, cân bằng vi mô và điện tích</w:t>
      </w:r>
      <w:r w:rsidR="00124D23">
        <w:rPr>
          <w:sz w:val="26"/>
          <w:szCs w:val="26"/>
        </w:rPr>
        <w:t>.</w:t>
      </w:r>
    </w:p>
    <w:p w14:paraId="2392C57A" w14:textId="77777777" w:rsidR="00FA3FC9" w:rsidRPr="00FA3FC9" w:rsidRDefault="00FA3FC9" w:rsidP="00FA3FC9">
      <w:pPr>
        <w:pStyle w:val="NormalWeb"/>
        <w:spacing w:before="120" w:beforeAutospacing="0" w:after="0" w:afterAutospacing="0"/>
        <w:jc w:val="both"/>
        <w:rPr>
          <w:sz w:val="26"/>
          <w:szCs w:val="26"/>
        </w:rPr>
      </w:pPr>
      <w:r w:rsidRPr="00FA3FC9">
        <w:rPr>
          <w:noProof/>
          <w:sz w:val="26"/>
          <w:szCs w:val="26"/>
          <w:lang w:eastAsia="zh-CN"/>
        </w:rPr>
        <w:drawing>
          <wp:inline distT="0" distB="0" distL="0" distR="0" wp14:anchorId="5A4F2BD0" wp14:editId="2A50A035">
            <wp:extent cx="5727700" cy="4338955"/>
            <wp:effectExtent l="0" t="0" r="0" b="4445"/>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5"/>
                    <a:stretch>
                      <a:fillRect/>
                    </a:stretch>
                  </pic:blipFill>
                  <pic:spPr>
                    <a:xfrm>
                      <a:off x="0" y="0"/>
                      <a:ext cx="5727700" cy="4338955"/>
                    </a:xfrm>
                    <a:prstGeom prst="rect">
                      <a:avLst/>
                    </a:prstGeom>
                  </pic:spPr>
                </pic:pic>
              </a:graphicData>
            </a:graphic>
          </wp:inline>
        </w:drawing>
      </w:r>
    </w:p>
    <w:p w14:paraId="50AE945D" w14:textId="77777777" w:rsidR="00FA3FC9" w:rsidRPr="00FA3FC9" w:rsidRDefault="00FA3FC9" w:rsidP="00310131">
      <w:pPr>
        <w:spacing w:before="120" w:after="120"/>
        <w:jc w:val="both"/>
        <w:rPr>
          <w:rFonts w:ascii="Times New Roman" w:hAnsi="Times New Roman" w:cs="Times New Roman"/>
          <w:sz w:val="26"/>
          <w:szCs w:val="26"/>
        </w:rPr>
      </w:pPr>
      <w:r w:rsidRPr="00FA3FC9">
        <w:rPr>
          <w:rFonts w:ascii="Times New Roman" w:hAnsi="Times New Roman" w:cs="Times New Roman"/>
          <w:sz w:val="26"/>
          <w:szCs w:val="26"/>
        </w:rPr>
        <w:t>3.1.1. Phương pháp trọng lượng</w:t>
      </w:r>
    </w:p>
    <w:p w14:paraId="547E92B8"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Trong phương pháp trọng lượng, nồng độ khối lượ</w:t>
      </w:r>
      <w:r w:rsidR="00124D23">
        <w:rPr>
          <w:rFonts w:ascii="Times New Roman" w:hAnsi="Times New Roman" w:cs="Times New Roman"/>
          <w:sz w:val="26"/>
          <w:szCs w:val="26"/>
        </w:rPr>
        <w:t>ng bụi</w:t>
      </w:r>
      <w:r w:rsidRPr="00FA3FC9">
        <w:rPr>
          <w:rFonts w:ascii="Times New Roman" w:hAnsi="Times New Roman" w:cs="Times New Roman"/>
          <w:sz w:val="26"/>
          <w:szCs w:val="26"/>
        </w:rPr>
        <w:t xml:space="preserve"> được xác định bằng cách cân các bộ lọc trước và sau thời gian lấy mẫu.</w:t>
      </w:r>
    </w:p>
    <w:p w14:paraId="16CF7C01"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Nussbaumer và cộng sự [21] đã đề cập rằng phương pháp cơ bản để đo nồng độ khối lượng PM ngoài luồng, trong khí đốt, là lấy mẫu trọng lực trong các bộ lọc.</w:t>
      </w:r>
    </w:p>
    <w:p w14:paraId="30D50011"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Giechaskiel và cộng sự [24] mô tả rằng bộ lọc thu thập PM ở tất cả các phân đoạ</w:t>
      </w:r>
      <w:r w:rsidR="00124D23">
        <w:rPr>
          <w:rFonts w:ascii="Times New Roman" w:hAnsi="Times New Roman" w:cs="Times New Roman"/>
          <w:sz w:val="26"/>
          <w:szCs w:val="26"/>
        </w:rPr>
        <w:t>n đo bụi</w:t>
      </w:r>
      <w:r w:rsidRPr="00FA3FC9">
        <w:rPr>
          <w:rFonts w:ascii="Times New Roman" w:hAnsi="Times New Roman" w:cs="Times New Roman"/>
          <w:sz w:val="26"/>
          <w:szCs w:val="26"/>
        </w:rPr>
        <w:t xml:space="preserve"> (chế độ tạo mầm, tích tụ và thô), trừ khi có lốc xoáy hoặc máy tác động để loại bỏ các hạt lớn hơn. Nussbaumer và cộng sự [21] đã trích dẫn việc sử dụng một bộ với các lốc xoáy trước, có đường cắt là 10 μm hoặc 2,5 μm, với một tùy chọn để xác định nồng độ khối lượng.</w:t>
      </w:r>
    </w:p>
    <w:p w14:paraId="76704D83"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lastRenderedPageBreak/>
        <w:t>Lấy mẫ</w:t>
      </w:r>
      <w:r w:rsidR="00124D23">
        <w:rPr>
          <w:rFonts w:ascii="Times New Roman" w:hAnsi="Times New Roman" w:cs="Times New Roman"/>
          <w:sz w:val="26"/>
          <w:szCs w:val="26"/>
        </w:rPr>
        <w:t>u bụi</w:t>
      </w:r>
      <w:r w:rsidRPr="00FA3FC9">
        <w:rPr>
          <w:rFonts w:ascii="Times New Roman" w:hAnsi="Times New Roman" w:cs="Times New Roman"/>
          <w:sz w:val="26"/>
          <w:szCs w:val="26"/>
        </w:rPr>
        <w:t xml:space="preserve">, trong bộ lọc, cho kết quả thời gian phân giải từ 15 phút trở lên, do đó không thể xác định được các quá trình nhanh. Tuy nhiên, các hạt được thu thập trong bộ lọc có thể được phân tích hóa học, như khẳng định của Nussbaumer </w:t>
      </w:r>
      <w:r w:rsidR="00124D23">
        <w:rPr>
          <w:rFonts w:ascii="Times New Roman" w:hAnsi="Times New Roman" w:cs="Times New Roman"/>
          <w:sz w:val="26"/>
          <w:szCs w:val="26"/>
        </w:rPr>
        <w:t>và cộng sự</w:t>
      </w:r>
      <w:r w:rsidRPr="00FA3FC9">
        <w:rPr>
          <w:rFonts w:ascii="Times New Roman" w:hAnsi="Times New Roman" w:cs="Times New Roman"/>
          <w:sz w:val="26"/>
          <w:szCs w:val="26"/>
        </w:rPr>
        <w:t xml:space="preserve"> [21].</w:t>
      </w:r>
    </w:p>
    <w:p w14:paraId="4D5A836A"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 xml:space="preserve">Việc xác định khối lượng PM có thể được thay đổi, tùy thuộc vào các điều kiện điều hòa của bộ lọc. Vì lý do này, Nussbaumer </w:t>
      </w:r>
      <w:r w:rsidR="00124D23">
        <w:rPr>
          <w:rFonts w:ascii="Times New Roman" w:hAnsi="Times New Roman" w:cs="Times New Roman"/>
          <w:sz w:val="26"/>
          <w:szCs w:val="26"/>
        </w:rPr>
        <w:t>và cộng sự</w:t>
      </w:r>
      <w:r w:rsidR="00124D23" w:rsidRPr="00FA3FC9">
        <w:rPr>
          <w:rFonts w:ascii="Times New Roman" w:hAnsi="Times New Roman" w:cs="Times New Roman"/>
          <w:sz w:val="26"/>
          <w:szCs w:val="26"/>
        </w:rPr>
        <w:t xml:space="preserve"> </w:t>
      </w:r>
      <w:r w:rsidRPr="00FA3FC9">
        <w:rPr>
          <w:rFonts w:ascii="Times New Roman" w:hAnsi="Times New Roman" w:cs="Times New Roman"/>
          <w:sz w:val="26"/>
          <w:szCs w:val="26"/>
        </w:rPr>
        <w:t xml:space="preserve">[21] và Giechaskiel </w:t>
      </w:r>
      <w:r w:rsidR="00124D23">
        <w:rPr>
          <w:rFonts w:ascii="Times New Roman" w:hAnsi="Times New Roman" w:cs="Times New Roman"/>
          <w:sz w:val="26"/>
          <w:szCs w:val="26"/>
        </w:rPr>
        <w:t>và cộng sự</w:t>
      </w:r>
      <w:r w:rsidR="00124D23" w:rsidRPr="00FA3FC9">
        <w:rPr>
          <w:rFonts w:ascii="Times New Roman" w:hAnsi="Times New Roman" w:cs="Times New Roman"/>
          <w:sz w:val="26"/>
          <w:szCs w:val="26"/>
        </w:rPr>
        <w:t xml:space="preserve"> </w:t>
      </w:r>
      <w:r w:rsidRPr="00FA3FC9">
        <w:rPr>
          <w:rFonts w:ascii="Times New Roman" w:hAnsi="Times New Roman" w:cs="Times New Roman"/>
          <w:sz w:val="26"/>
          <w:szCs w:val="26"/>
        </w:rPr>
        <w:t>[24] nhấn mạnh rằng các bộ lọc thường được đóng gói trong điều kiện nhiệt độ và độ ẩm tương đối được kiểm soát.</w:t>
      </w:r>
    </w:p>
    <w:p w14:paraId="247057D8"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Phương pháp trọng lượng dựa trên các bộ lọc và Cascade Impactors. Nó có thể thu thập các hạt và đánh giá nồng độ của chúng. Để phân tích chi tiết hơn, các kỹ thuật khác là cần thiết, chẳng hạn như Kính hiển vi điện tử quét (SEM) và Kính hiển vi điện tử truyền qua (TEM).</w:t>
      </w:r>
    </w:p>
    <w:p w14:paraId="04E6C740"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 xml:space="preserve">Trong số các dụng cụ trọng lượng để đo khối lượng PM, Giechaskiel </w:t>
      </w:r>
      <w:r w:rsidR="0066637A">
        <w:rPr>
          <w:rFonts w:ascii="Times New Roman" w:hAnsi="Times New Roman" w:cs="Times New Roman"/>
          <w:sz w:val="26"/>
          <w:szCs w:val="26"/>
        </w:rPr>
        <w:t>và cộng sự</w:t>
      </w:r>
      <w:r w:rsidR="0066637A" w:rsidRPr="00FA3FC9">
        <w:rPr>
          <w:rFonts w:ascii="Times New Roman" w:hAnsi="Times New Roman" w:cs="Times New Roman"/>
          <w:sz w:val="26"/>
          <w:szCs w:val="26"/>
        </w:rPr>
        <w:t xml:space="preserve"> </w:t>
      </w:r>
      <w:r w:rsidRPr="00FA3FC9">
        <w:rPr>
          <w:rFonts w:ascii="Times New Roman" w:hAnsi="Times New Roman" w:cs="Times New Roman"/>
          <w:sz w:val="26"/>
          <w:szCs w:val="26"/>
        </w:rPr>
        <w:t>[24] đã đề cập đến Cascade Impactor. Theo các tác giả này, thiết bị như vậy được sử dụng nhiều nhất trong việc khảo sát sự phân bố kích thước hạt theo khối lượng. Tác động phân tầng thường được sử dụng như các thành phần của hệ thống liên quan đến Phương pháp phân phối kích thước. Bằng cách này, thông tin thêm về các công cụ này đã được cung cấp trong Phần 3.2.2.</w:t>
      </w:r>
    </w:p>
    <w:p w14:paraId="24768432" w14:textId="77777777" w:rsidR="00FA3FC9" w:rsidRPr="00FA3FC9" w:rsidRDefault="00FA3FC9" w:rsidP="00310131">
      <w:pPr>
        <w:spacing w:before="120" w:after="120"/>
        <w:jc w:val="both"/>
        <w:rPr>
          <w:rFonts w:ascii="Times New Roman" w:hAnsi="Times New Roman" w:cs="Times New Roman"/>
          <w:sz w:val="26"/>
          <w:szCs w:val="26"/>
        </w:rPr>
      </w:pPr>
      <w:r w:rsidRPr="00FA3FC9">
        <w:rPr>
          <w:rFonts w:ascii="Times New Roman" w:hAnsi="Times New Roman" w:cs="Times New Roman"/>
          <w:sz w:val="26"/>
          <w:szCs w:val="26"/>
        </w:rPr>
        <w:t>3.1.2. Phương pháp quang học</w:t>
      </w:r>
    </w:p>
    <w:p w14:paraId="71BA3080"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Trong các phương pháp phát hiện quang học, các hạt sol khí được chiếu sáng bởi một chùm ánh sáng và chiếu tia này theo mọi hướng (tán xạ). Theo mô tả của Giechaskiel và cộng sự</w:t>
      </w:r>
      <w:r w:rsidR="0066637A">
        <w:rPr>
          <w:rFonts w:ascii="Times New Roman" w:hAnsi="Times New Roman" w:cs="Times New Roman"/>
          <w:sz w:val="26"/>
          <w:szCs w:val="26"/>
        </w:rPr>
        <w:t xml:space="preserve"> [24]</w:t>
      </w:r>
      <w:r w:rsidRPr="00FA3FC9">
        <w:rPr>
          <w:rFonts w:ascii="Times New Roman" w:hAnsi="Times New Roman" w:cs="Times New Roman"/>
          <w:sz w:val="26"/>
          <w:szCs w:val="26"/>
        </w:rPr>
        <w:t>, một phần của ánh sáng này được chuyển hóa đồng thời ở các dạng năng lượng khác (hấp thụ</w:t>
      </w:r>
      <w:r w:rsidR="0066637A">
        <w:rPr>
          <w:rFonts w:ascii="Times New Roman" w:hAnsi="Times New Roman" w:cs="Times New Roman"/>
          <w:sz w:val="26"/>
          <w:szCs w:val="26"/>
        </w:rPr>
        <w:t xml:space="preserve">). </w:t>
      </w:r>
      <w:r w:rsidRPr="00FA3FC9">
        <w:rPr>
          <w:rFonts w:ascii="Times New Roman" w:hAnsi="Times New Roman" w:cs="Times New Roman"/>
          <w:sz w:val="26"/>
          <w:szCs w:val="26"/>
        </w:rPr>
        <w:t>Như đã nêu bởi các tác giả này, sự tắt của ánh sáng có thể được tính bằng cách cộng thêm tán xạ và hấp thụ.</w:t>
      </w:r>
    </w:p>
    <w:p w14:paraId="0EE3A380"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Các thiết bị quang học được sử dụng để đo nồng độ</w:t>
      </w:r>
      <w:r w:rsidR="0066637A">
        <w:rPr>
          <w:rFonts w:ascii="Times New Roman" w:hAnsi="Times New Roman" w:cs="Times New Roman"/>
          <w:sz w:val="26"/>
          <w:szCs w:val="26"/>
        </w:rPr>
        <w:t xml:space="preserve"> bụi</w:t>
      </w:r>
      <w:r w:rsidRPr="00FA3FC9">
        <w:rPr>
          <w:rFonts w:ascii="Times New Roman" w:hAnsi="Times New Roman" w:cs="Times New Roman"/>
          <w:sz w:val="26"/>
          <w:szCs w:val="26"/>
        </w:rPr>
        <w:t>, trong thời gian thực, có thể dựa trên các nguyên tắc tán xạ, hấp thụ và tắt ánh sáng.</w:t>
      </w:r>
    </w:p>
    <w:p w14:paraId="4E0428DC"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(a) Sự tán xạ ánh sáng</w:t>
      </w:r>
    </w:p>
    <w:p w14:paraId="10A06514"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Tán xạ ánh sáng được phân loại là phân tán ánh sáng bởi các hạt đơn lẻ và quang kế tán xạ bởi một tập hợp các hạt.</w:t>
      </w:r>
    </w:p>
    <w:p w14:paraId="74526BFB"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 xml:space="preserve">Theo Giechaskiel </w:t>
      </w:r>
      <w:r w:rsidR="0066637A">
        <w:rPr>
          <w:rFonts w:ascii="Times New Roman" w:hAnsi="Times New Roman" w:cs="Times New Roman"/>
          <w:sz w:val="26"/>
          <w:szCs w:val="26"/>
        </w:rPr>
        <w:t>và cộng sự</w:t>
      </w:r>
      <w:r w:rsidR="0066637A" w:rsidRPr="00FA3FC9">
        <w:rPr>
          <w:rFonts w:ascii="Times New Roman" w:hAnsi="Times New Roman" w:cs="Times New Roman"/>
          <w:sz w:val="26"/>
          <w:szCs w:val="26"/>
        </w:rPr>
        <w:t xml:space="preserve"> </w:t>
      </w:r>
      <w:r w:rsidRPr="00FA3FC9">
        <w:rPr>
          <w:rFonts w:ascii="Times New Roman" w:hAnsi="Times New Roman" w:cs="Times New Roman"/>
          <w:sz w:val="26"/>
          <w:szCs w:val="26"/>
        </w:rPr>
        <w:t>[24], công cụ tán xạ ánh sáng bởi một nhóm các hạt bao gồm quang kế phân tán đo cường độ ánh sáng tán xạ theo một hoặc nhiều góc. Trong một quang kế tán xạ, ánh sáng tán xạ được đo bằng cách sử dụng một máy dò quang kế. Hinds [29] mô tả rằng quang kế tán xạ ánh sáng đo ánh sáng tán xạ từ sự kết hợp của tất cả các hạt có trong thể tích phát hiện quang học. Các tác giả nhấn mạnh rằng hầu hết các thiết bị tán xạ ánh sáng thương mại sử dụng ánh sáng nhìn thấ</w:t>
      </w:r>
      <w:r w:rsidR="0066637A">
        <w:rPr>
          <w:rFonts w:ascii="Times New Roman" w:hAnsi="Times New Roman" w:cs="Times New Roman"/>
          <w:sz w:val="26"/>
          <w:szCs w:val="26"/>
        </w:rPr>
        <w:t xml:space="preserve">y (~ 600 nm) và các góc đo </w:t>
      </w:r>
      <w:r w:rsidR="0066637A">
        <w:rPr>
          <w:rFonts w:ascii="Times New Roman" w:hAnsi="Times New Roman" w:cs="Times New Roman"/>
          <w:sz w:val="26"/>
          <w:szCs w:val="26"/>
        </w:rPr>
        <w:lastRenderedPageBreak/>
        <w:t>90°, 45</w:t>
      </w:r>
      <w:r w:rsidRPr="00FA3FC9">
        <w:rPr>
          <w:rFonts w:ascii="Times New Roman" w:hAnsi="Times New Roman" w:cs="Times New Roman"/>
          <w:sz w:val="26"/>
          <w:szCs w:val="26"/>
        </w:rPr>
        <w:t>° hoặc nhỏ</w:t>
      </w:r>
      <w:r w:rsidR="0066637A">
        <w:rPr>
          <w:rFonts w:ascii="Times New Roman" w:hAnsi="Times New Roman" w:cs="Times New Roman"/>
          <w:sz w:val="26"/>
          <w:szCs w:val="26"/>
        </w:rPr>
        <w:t xml:space="preserve"> hơn 30</w:t>
      </w:r>
      <w:r w:rsidRPr="00FA3FC9">
        <w:rPr>
          <w:rFonts w:ascii="Times New Roman" w:hAnsi="Times New Roman" w:cs="Times New Roman"/>
          <w:sz w:val="26"/>
          <w:szCs w:val="26"/>
        </w:rPr>
        <w:t>°. Trong số các quang kế phân tán, Vincent [26] đề cập đến Màn hình khí dung có thể hô hấp (RAM). Trong phiên bản gốc, bình xịt được hút với sự trợ giúp của một máy bơm, và sau đó đi qua một lốc xoáy để tách phần khí dung có thể hô hấp được. Sol khí đi vào vùng cảm biến quang học, nơi ánh sáng hồng ngoại phân tán trong một góc từ</w:t>
      </w:r>
      <w:r w:rsidR="0066637A">
        <w:rPr>
          <w:rFonts w:ascii="Times New Roman" w:hAnsi="Times New Roman" w:cs="Times New Roman"/>
          <w:sz w:val="26"/>
          <w:szCs w:val="26"/>
        </w:rPr>
        <w:t xml:space="preserve"> 45</w:t>
      </w:r>
      <w:r w:rsidRPr="00FA3FC9">
        <w:rPr>
          <w:rFonts w:ascii="Times New Roman" w:hAnsi="Times New Roman" w:cs="Times New Roman"/>
          <w:sz w:val="26"/>
          <w:szCs w:val="26"/>
        </w:rPr>
        <w:t>° đế</w:t>
      </w:r>
      <w:r w:rsidR="0066637A">
        <w:rPr>
          <w:rFonts w:ascii="Times New Roman" w:hAnsi="Times New Roman" w:cs="Times New Roman"/>
          <w:sz w:val="26"/>
          <w:szCs w:val="26"/>
        </w:rPr>
        <w:t>n 90</w:t>
      </w:r>
      <w:r w:rsidRPr="00FA3FC9">
        <w:rPr>
          <w:rFonts w:ascii="Times New Roman" w:hAnsi="Times New Roman" w:cs="Times New Roman"/>
          <w:sz w:val="26"/>
          <w:szCs w:val="26"/>
        </w:rPr>
        <w:t>°, và sol khí được phát hiện bởi một điốt quang. Tác giả đã trích dẫn một phiên bản kỹ thuật số tự động mới của công cụ, DataRam 4, có khả năng đăng ký dữ liệu. Thiết bị này trình bày các phép đo nồng độ và kích thước trung bình của hạt, bên cạnh các thông tin môi trường khác như nhiệt độ và độ ẩm tương đối.</w:t>
      </w:r>
    </w:p>
    <w:p w14:paraId="19057379" w14:textId="77777777" w:rsidR="00FA3FC9" w:rsidRPr="00FA3FC9" w:rsidRDefault="00FA3FC9" w:rsidP="00B268B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Costa và cộng sự [17], trong các thí nghiệm tại phòng thí nghiệm và hiện trường, đã sử dụng DataRam 4 để lấy mẫu PM2.5. Theo họ, thiết bị này nhỏ gọn và thực hiện lấy mẫu với việc lưu trữ dữ liệu được thực hiện liên tục. DataRam 4 cho thấy mối tương quan tốt với các thiết bị khác được sử dụng để đo kích thước và nồng độ hạt. Chowdhury và cộng sự [30] đã sử dụng một quang kế tán xạ do Đại học California phát triển. Thiết bị này được gọi là UCB-PATS (Đại học California Berkeley</w:t>
      </w:r>
      <w:r w:rsidR="0066637A">
        <w:rPr>
          <w:rFonts w:ascii="Times New Roman" w:hAnsi="Times New Roman" w:cs="Times New Roman"/>
          <w:sz w:val="26"/>
          <w:szCs w:val="26"/>
        </w:rPr>
        <w:t xml:space="preserve"> </w:t>
      </w:r>
      <w:r w:rsidRPr="00FA3FC9">
        <w:rPr>
          <w:rFonts w:ascii="Times New Roman" w:hAnsi="Times New Roman" w:cs="Times New Roman"/>
          <w:sz w:val="26"/>
          <w:szCs w:val="26"/>
        </w:rPr>
        <w:t>-</w:t>
      </w:r>
      <w:r w:rsidR="0066637A">
        <w:rPr>
          <w:rFonts w:ascii="Times New Roman" w:hAnsi="Times New Roman" w:cs="Times New Roman"/>
          <w:sz w:val="26"/>
          <w:szCs w:val="26"/>
        </w:rPr>
        <w:t xml:space="preserve"> </w:t>
      </w:r>
      <w:r w:rsidRPr="00FA3FC9">
        <w:rPr>
          <w:rFonts w:ascii="Times New Roman" w:hAnsi="Times New Roman" w:cs="Times New Roman"/>
          <w:sz w:val="26"/>
          <w:szCs w:val="26"/>
        </w:rPr>
        <w:t>Cảm biến nhiệt độ và hạt). Theo mô tả của họ, UCB-PATS sử dụng công nghệ phát hiện khói, kết hợp các buồng cảm biến quang điện (phân tán ánh sáng) và ion hóa (mất ion bởi các hạt trong huyền phù). Sự kết hợp này đảm bảo các phép đo chính xác của các hạt mịn. Buồng phân tán ánh sáng sử dụng một điốt phát sáng (LED), có bước sóng 880 nm và một điốt quang đo cường độ</w:t>
      </w:r>
      <w:r w:rsidR="0066637A">
        <w:rPr>
          <w:rFonts w:ascii="Times New Roman" w:hAnsi="Times New Roman" w:cs="Times New Roman"/>
          <w:sz w:val="26"/>
          <w:szCs w:val="26"/>
        </w:rPr>
        <w:t xml:space="preserve"> ánh sáng phân tán theo góc 45</w:t>
      </w:r>
      <w:r w:rsidRPr="00FA3FC9">
        <w:rPr>
          <w:rFonts w:ascii="Times New Roman" w:hAnsi="Times New Roman" w:cs="Times New Roman"/>
          <w:sz w:val="26"/>
          <w:szCs w:val="26"/>
        </w:rPr>
        <w:t xml:space="preserve">°. Mặc dù UCB không chọn các hạt, sử dụng một thiết bị có kích thước cắt truyền thống như các lốc xoáy, cảm biến quang điện nhạy cảm hơn với các hạt có đường kính khí động học nhỏ hơn 2,5 μm và cảm biến ion hóa nhạy cảm hơn với PM1, như được nhấn mạnh bởi các tác giả. Một quang kế tán xạ khác là DustTrak. Thiết bị này được sử dụng bởi Prado </w:t>
      </w:r>
      <w:r w:rsidR="0066637A">
        <w:rPr>
          <w:rFonts w:ascii="Times New Roman" w:hAnsi="Times New Roman" w:cs="Times New Roman"/>
          <w:sz w:val="26"/>
          <w:szCs w:val="26"/>
        </w:rPr>
        <w:t>và cộng sự</w:t>
      </w:r>
      <w:r w:rsidR="0066637A" w:rsidRPr="00FA3FC9">
        <w:rPr>
          <w:rFonts w:ascii="Times New Roman" w:hAnsi="Times New Roman" w:cs="Times New Roman"/>
          <w:sz w:val="26"/>
          <w:szCs w:val="26"/>
        </w:rPr>
        <w:t xml:space="preserve"> </w:t>
      </w:r>
      <w:r w:rsidRPr="00FA3FC9">
        <w:rPr>
          <w:rFonts w:ascii="Times New Roman" w:hAnsi="Times New Roman" w:cs="Times New Roman"/>
          <w:sz w:val="26"/>
          <w:szCs w:val="26"/>
        </w:rPr>
        <w:t xml:space="preserve">[31] và Chowdhury </w:t>
      </w:r>
      <w:r w:rsidR="0066637A">
        <w:rPr>
          <w:rFonts w:ascii="Times New Roman" w:hAnsi="Times New Roman" w:cs="Times New Roman"/>
          <w:sz w:val="26"/>
          <w:szCs w:val="26"/>
        </w:rPr>
        <w:t>và cộng sự</w:t>
      </w:r>
      <w:r w:rsidR="0066637A" w:rsidRPr="00FA3FC9">
        <w:rPr>
          <w:rFonts w:ascii="Times New Roman" w:hAnsi="Times New Roman" w:cs="Times New Roman"/>
          <w:sz w:val="26"/>
          <w:szCs w:val="26"/>
        </w:rPr>
        <w:t xml:space="preserve"> </w:t>
      </w:r>
      <w:r w:rsidRPr="00FA3FC9">
        <w:rPr>
          <w:rFonts w:ascii="Times New Roman" w:hAnsi="Times New Roman" w:cs="Times New Roman"/>
          <w:sz w:val="26"/>
          <w:szCs w:val="26"/>
        </w:rPr>
        <w:t>[30]. Chowdhury và cộng sự</w:t>
      </w:r>
      <w:r w:rsidR="0066637A">
        <w:rPr>
          <w:rFonts w:ascii="Times New Roman" w:hAnsi="Times New Roman" w:cs="Times New Roman"/>
          <w:sz w:val="26"/>
          <w:szCs w:val="26"/>
        </w:rPr>
        <w:t xml:space="preserve"> </w:t>
      </w:r>
      <w:r w:rsidRPr="00FA3FC9">
        <w:rPr>
          <w:rFonts w:ascii="Times New Roman" w:hAnsi="Times New Roman" w:cs="Times New Roman"/>
          <w:sz w:val="26"/>
          <w:szCs w:val="26"/>
        </w:rPr>
        <w:t>[30] tuyên bố rằng thiết bị này là một quang kế phân tán ánh sáng di động bằng tia laser. Trong DustTrak, phép đo khối lượng hạt thu được trong thời gian thực. Khí dung được cách ly trong buồng quang học. Bằng cách này, buồng được giữ sạch sẽ, đảm bảo độ tin cậy cao hơn trong các phép đo và bảo trì thiết bị thấp.</w:t>
      </w:r>
    </w:p>
    <w:p w14:paraId="012BA308"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 xml:space="preserve">Liên quan đến phương pháp tán xạ ánh sáng của các hạt đơn lẻ, Giechaskiel </w:t>
      </w:r>
      <w:r w:rsidR="0066637A">
        <w:rPr>
          <w:rFonts w:ascii="Times New Roman" w:hAnsi="Times New Roman" w:cs="Times New Roman"/>
          <w:sz w:val="26"/>
          <w:szCs w:val="26"/>
        </w:rPr>
        <w:t>và cộng sự</w:t>
      </w:r>
      <w:r w:rsidR="0066637A" w:rsidRPr="00FA3FC9">
        <w:rPr>
          <w:rFonts w:ascii="Times New Roman" w:hAnsi="Times New Roman" w:cs="Times New Roman"/>
          <w:sz w:val="26"/>
          <w:szCs w:val="26"/>
        </w:rPr>
        <w:t xml:space="preserve"> </w:t>
      </w:r>
      <w:r w:rsidRPr="00FA3FC9">
        <w:rPr>
          <w:rFonts w:ascii="Times New Roman" w:hAnsi="Times New Roman" w:cs="Times New Roman"/>
          <w:sz w:val="26"/>
          <w:szCs w:val="26"/>
        </w:rPr>
        <w:t xml:space="preserve">[24] đã đề cập Máy đếm hạt quang học (OPC) là thiết bị được sử dụng nhiều nhất. OPCs sử dụng một nguồn sáng, thường là laser diode, để chiếu sáng một mẫu hạt theo một góc nhất định. Một bộ tách sóng quang đo ánh sáng phân tán từ các hạt. Dựa trên cường độ của đèn flash, các hạt có thể được đếm và đo cùng một lúc. Đối với Giechaskiel </w:t>
      </w:r>
      <w:r w:rsidR="0066637A">
        <w:rPr>
          <w:rFonts w:ascii="Times New Roman" w:hAnsi="Times New Roman" w:cs="Times New Roman"/>
          <w:sz w:val="26"/>
          <w:szCs w:val="26"/>
        </w:rPr>
        <w:t>và cộng sự</w:t>
      </w:r>
      <w:r w:rsidR="0066637A" w:rsidRPr="00FA3FC9">
        <w:rPr>
          <w:rFonts w:ascii="Times New Roman" w:hAnsi="Times New Roman" w:cs="Times New Roman"/>
          <w:sz w:val="26"/>
          <w:szCs w:val="26"/>
        </w:rPr>
        <w:t xml:space="preserve"> </w:t>
      </w:r>
      <w:r w:rsidRPr="00FA3FC9">
        <w:rPr>
          <w:rFonts w:ascii="Times New Roman" w:hAnsi="Times New Roman" w:cs="Times New Roman"/>
          <w:sz w:val="26"/>
          <w:szCs w:val="26"/>
        </w:rPr>
        <w:t>[24] OPC tương tự như Máy đo quang tán xạ. Theo họ, sự khác biệt chính là khối lượng phát hiện quang học OPC nhỏ hơn so với Máy quang kế tán xạ, theo cách mà chỉ có một hạt được chiếu sáng cùng một lúc.</w:t>
      </w:r>
    </w:p>
    <w:p w14:paraId="021A149F"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lastRenderedPageBreak/>
        <w:t>Ánh sáng tán xạ được phát hiện bởi một bộ tách sóng quang dưới dạng một xung điện. Kích thước hạt được xác định từ độ cao của xung điện, sử dụng đường chuẩn. Giới hạn tối thiểu cho kích thước phát hiện là các hạt có đường kính trên 100 nm.</w:t>
      </w:r>
    </w:p>
    <w:p w14:paraId="3D95B968"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Một ví dụ về OPC là SidePak Personal Aerosol Monitor model AM510 (TSI, Shoreview, MN, USA) được Jiang và Bell [32] sử dụng để đánh giá nồng độ PM2.5. Theo các tác giả này, mẫu khí dung được hút vào bên trong buồng thu thập, theo một trình tự liên tục. Tia laze chiếu sáng một phần của dòng khí dung. Một thấ</w:t>
      </w:r>
      <w:r w:rsidR="0066637A">
        <w:rPr>
          <w:rFonts w:ascii="Times New Roman" w:hAnsi="Times New Roman" w:cs="Times New Roman"/>
          <w:sz w:val="26"/>
          <w:szCs w:val="26"/>
        </w:rPr>
        <w:t>u kính 90</w:t>
      </w:r>
      <w:r w:rsidRPr="00FA3FC9">
        <w:rPr>
          <w:rFonts w:ascii="Times New Roman" w:hAnsi="Times New Roman" w:cs="Times New Roman"/>
          <w:sz w:val="26"/>
          <w:szCs w:val="26"/>
        </w:rPr>
        <w:t>° thu ánh sáng bị phân tán bởi các hạt và hội tụ ánh sáng này qua một bộ tách sóng quang. Mạch phát hiện chuyển đổi ánh sáng thành điện áp, tỷ lệ với nồng độ sol khí trong khối lượng.</w:t>
      </w:r>
    </w:p>
    <w:p w14:paraId="33F69F1D"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 xml:space="preserve">Máy đếm hạt ngưng tụ (CPC) cũng được phân loại là máy đếm tán xạ ánh sáng. Những bộ đếm này được sử dụng để đo nồng độ của các hạt nhỏ. Các hạt này không tán xạ ánh sáng đủ, theo cách mà các máy đếm quang học thông thường không thể phát hiện ra sự tán xạ này. Trong CPC, các hạt nhỏ có kích thước tăng lên do sự ngưng tụ của hơi tạo ra, từ chất lỏng hoạt động, theo những gì được mô tả bởi Giechaskiel </w:t>
      </w:r>
      <w:r w:rsidR="0066637A">
        <w:rPr>
          <w:rFonts w:ascii="Times New Roman" w:hAnsi="Times New Roman" w:cs="Times New Roman"/>
          <w:sz w:val="26"/>
          <w:szCs w:val="26"/>
        </w:rPr>
        <w:t>và cộng sự</w:t>
      </w:r>
      <w:r w:rsidR="0066637A" w:rsidRPr="00FA3FC9">
        <w:rPr>
          <w:rFonts w:ascii="Times New Roman" w:hAnsi="Times New Roman" w:cs="Times New Roman"/>
          <w:sz w:val="26"/>
          <w:szCs w:val="26"/>
        </w:rPr>
        <w:t xml:space="preserve"> </w:t>
      </w:r>
      <w:r w:rsidRPr="00FA3FC9">
        <w:rPr>
          <w:rFonts w:ascii="Times New Roman" w:hAnsi="Times New Roman" w:cs="Times New Roman"/>
          <w:sz w:val="26"/>
          <w:szCs w:val="26"/>
        </w:rPr>
        <w:t xml:space="preserve">[24]. Khi các hạt được mở rộng bằng cách ngưng tụ, CPC trở nên tương tự như máy đếm hạt quang học. Theo cách này, các giọt riêng lẻ đi qua tiêu điểm của chùm tia laze, với một tia sáng lóe lên. Mỗi tia sáng được tính là một hạt. Sự phức tạp của CPC nằm ở kỹ thuật ngưng tụ hơi nước trên các hạt. Khi hơi xung quanh các hạt đạt đến một mức độ siêu bão hòa nhất định, hơi bắt đầu ngưng tụ trong các hạt. Độ lớn của siêu bão hòa xác định hạt tối thiểu có thể phát hiện được của CPC. Trong quá trình lấy mẫu các hạt từ việc đốt gỗ vụn, Leskinen </w:t>
      </w:r>
      <w:r w:rsidR="0066637A">
        <w:rPr>
          <w:rFonts w:ascii="Times New Roman" w:hAnsi="Times New Roman" w:cs="Times New Roman"/>
          <w:sz w:val="26"/>
          <w:szCs w:val="26"/>
        </w:rPr>
        <w:t>và cộng sự</w:t>
      </w:r>
      <w:r w:rsidR="0066637A" w:rsidRPr="00FA3FC9">
        <w:rPr>
          <w:rFonts w:ascii="Times New Roman" w:hAnsi="Times New Roman" w:cs="Times New Roman"/>
          <w:sz w:val="26"/>
          <w:szCs w:val="26"/>
        </w:rPr>
        <w:t xml:space="preserve"> </w:t>
      </w:r>
      <w:r w:rsidRPr="00FA3FC9">
        <w:rPr>
          <w:rFonts w:ascii="Times New Roman" w:hAnsi="Times New Roman" w:cs="Times New Roman"/>
          <w:sz w:val="26"/>
          <w:szCs w:val="26"/>
        </w:rPr>
        <w:t>[20] và Torvela và cộng sự [33] đã sử dụng máy đếm hạt bằng cách ngưng tụ.</w:t>
      </w:r>
    </w:p>
    <w:p w14:paraId="1742DBFA"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(b) Sự hấp thụ ánh sáng</w:t>
      </w:r>
    </w:p>
    <w:p w14:paraId="7AFDC163"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Dụng cụ đo dựa trên nguyên tắc hấp thụ ánh sáng được sử dụng để đo nồng độ cacbon đen (BC), thành phần tạo nên sol khí.</w:t>
      </w:r>
    </w:p>
    <w:p w14:paraId="73F0DC50"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 xml:space="preserve">BC hấp thụ mạnh mẽ ánh sáng và do đó là một tác nhân bức xạ tích cực, góp phần vào sự thay đổi khí hậu và đã được nghiên cứu rộng rãi trong các nghiên cứu khí quyển như được mô tả bởi Giechaskiel </w:t>
      </w:r>
      <w:r w:rsidR="0066637A">
        <w:rPr>
          <w:rFonts w:ascii="Times New Roman" w:hAnsi="Times New Roman" w:cs="Times New Roman"/>
          <w:sz w:val="26"/>
          <w:szCs w:val="26"/>
        </w:rPr>
        <w:t>và cộng sự</w:t>
      </w:r>
      <w:r w:rsidR="0066637A" w:rsidRPr="00FA3FC9">
        <w:rPr>
          <w:rFonts w:ascii="Times New Roman" w:hAnsi="Times New Roman" w:cs="Times New Roman"/>
          <w:sz w:val="26"/>
          <w:szCs w:val="26"/>
        </w:rPr>
        <w:t xml:space="preserve"> </w:t>
      </w:r>
      <w:r w:rsidRPr="00FA3FC9">
        <w:rPr>
          <w:rFonts w:ascii="Times New Roman" w:hAnsi="Times New Roman" w:cs="Times New Roman"/>
          <w:sz w:val="26"/>
          <w:szCs w:val="26"/>
        </w:rPr>
        <w:t xml:space="preserve">[24]. </w:t>
      </w:r>
      <w:r w:rsidR="0066637A">
        <w:rPr>
          <w:rFonts w:ascii="Times New Roman" w:hAnsi="Times New Roman" w:cs="Times New Roman"/>
          <w:sz w:val="26"/>
          <w:szCs w:val="26"/>
        </w:rPr>
        <w:t>Lack</w:t>
      </w:r>
      <w:r w:rsidRPr="00FA3FC9">
        <w:rPr>
          <w:rFonts w:ascii="Times New Roman" w:hAnsi="Times New Roman" w:cs="Times New Roman"/>
          <w:sz w:val="26"/>
          <w:szCs w:val="26"/>
        </w:rPr>
        <w:t xml:space="preserve"> và cộng sự</w:t>
      </w:r>
      <w:r w:rsidR="0066637A">
        <w:rPr>
          <w:rFonts w:ascii="Times New Roman" w:hAnsi="Times New Roman" w:cs="Times New Roman"/>
          <w:sz w:val="26"/>
          <w:szCs w:val="26"/>
        </w:rPr>
        <w:t xml:space="preserve"> </w:t>
      </w:r>
      <w:r w:rsidRPr="00FA3FC9">
        <w:rPr>
          <w:rFonts w:ascii="Times New Roman" w:hAnsi="Times New Roman" w:cs="Times New Roman"/>
          <w:sz w:val="26"/>
          <w:szCs w:val="26"/>
        </w:rPr>
        <w:t>[34] khẳng định rằng sự hấp thụ ánh sáng của sol khí là một trong những thông số không chắc chắn nhất liên quan đến ảnh hưởng trực tiếp và gián tiếp của sol khí trong khí hậu. Theo các tác giả, độ hấp thụ ánh sáng là một trong những thông số khó đo lường nhất.</w:t>
      </w:r>
    </w:p>
    <w:p w14:paraId="7A40D1E2"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 xml:space="preserve">Trong số các kỹ thuật được sử dụng dựa trên phép đo hấp thụ sol khí, Giechaskiel </w:t>
      </w:r>
      <w:r w:rsidR="0066637A">
        <w:rPr>
          <w:rFonts w:ascii="Times New Roman" w:hAnsi="Times New Roman" w:cs="Times New Roman"/>
          <w:sz w:val="26"/>
          <w:szCs w:val="26"/>
        </w:rPr>
        <w:t>và cộng sự</w:t>
      </w:r>
      <w:r w:rsidRPr="00FA3FC9">
        <w:rPr>
          <w:rFonts w:ascii="Times New Roman" w:hAnsi="Times New Roman" w:cs="Times New Roman"/>
          <w:sz w:val="26"/>
          <w:szCs w:val="26"/>
        </w:rPr>
        <w:t xml:space="preserve"> [24] đã đề cập (i) phương pháp khác biệt, trong đó sự hấp thụ thu được từ sự khác biệt giữa tắt và tán xạ, (ii) các phương pháp dựa trên các bộ lọc đo sự suy giảm ánh </w:t>
      </w:r>
      <w:r w:rsidRPr="00FA3FC9">
        <w:rPr>
          <w:rFonts w:ascii="Times New Roman" w:hAnsi="Times New Roman" w:cs="Times New Roman"/>
          <w:sz w:val="26"/>
          <w:szCs w:val="26"/>
        </w:rPr>
        <w:lastRenderedPageBreak/>
        <w:t>sáng bằng PM thu được trong một bộ lọc, (iii) các phương pháp dựa trên quang phổ âm học và (iv) các phương pháp dựa trên Sự phát sáng cảm ứng bằng laser (LII). Hai phương pháp cuối cùng đo BC thông qua đốt nóng hạt. Sự nóng lên là do các hạt hấp thụ ánh sáng.</w:t>
      </w:r>
    </w:p>
    <w:p w14:paraId="23C0CFCD"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 xml:space="preserve">(i) Máy đo điểm — Những thiết bị này còn được gọi là máy đo phản xạ hoặc máy đo lọc khói, do nguyên tắc đo hấp thụ ánh sáng dựa trên phản xạ ánh sáng qua bộ lọc. Trong Spotmeter, nồng độ của các hạt thu được bằng cách lọc khí thải trong một bộ lọc giấy và ghi lại tỷ lệ giữa ánh sáng phản xạ bởi điểm tiếp xúc này và điểm không tiếp xúc, như Giechaskiel </w:t>
      </w:r>
      <w:r w:rsidR="0066637A">
        <w:rPr>
          <w:rFonts w:ascii="Times New Roman" w:hAnsi="Times New Roman" w:cs="Times New Roman"/>
          <w:sz w:val="26"/>
          <w:szCs w:val="26"/>
        </w:rPr>
        <w:t>và cộng sự</w:t>
      </w:r>
      <w:r w:rsidR="0066637A" w:rsidRPr="00FA3FC9">
        <w:rPr>
          <w:rFonts w:ascii="Times New Roman" w:hAnsi="Times New Roman" w:cs="Times New Roman"/>
          <w:sz w:val="26"/>
          <w:szCs w:val="26"/>
        </w:rPr>
        <w:t xml:space="preserve"> </w:t>
      </w:r>
      <w:r w:rsidR="0066637A">
        <w:rPr>
          <w:rFonts w:ascii="Times New Roman" w:hAnsi="Times New Roman" w:cs="Times New Roman"/>
          <w:sz w:val="26"/>
          <w:szCs w:val="26"/>
        </w:rPr>
        <w:t xml:space="preserve">[24] </w:t>
      </w:r>
      <w:r w:rsidRPr="00FA3FC9">
        <w:rPr>
          <w:rFonts w:ascii="Times New Roman" w:hAnsi="Times New Roman" w:cs="Times New Roman"/>
          <w:sz w:val="26"/>
          <w:szCs w:val="26"/>
        </w:rPr>
        <w:t>giả</w:t>
      </w:r>
      <w:r w:rsidR="0066637A">
        <w:rPr>
          <w:rFonts w:ascii="Times New Roman" w:hAnsi="Times New Roman" w:cs="Times New Roman"/>
          <w:sz w:val="26"/>
          <w:szCs w:val="26"/>
        </w:rPr>
        <w:t>i thích.</w:t>
      </w:r>
    </w:p>
    <w:p w14:paraId="36F0B953" w14:textId="77777777" w:rsidR="00FA3FC9" w:rsidRPr="00FA3FC9" w:rsidRDefault="0066637A" w:rsidP="00310131">
      <w:pPr>
        <w:spacing w:before="120" w:after="120"/>
        <w:ind w:firstLine="425"/>
        <w:jc w:val="both"/>
        <w:rPr>
          <w:rFonts w:ascii="Times New Roman" w:hAnsi="Times New Roman" w:cs="Times New Roman"/>
          <w:sz w:val="26"/>
          <w:szCs w:val="26"/>
        </w:rPr>
      </w:pPr>
      <w:r>
        <w:rPr>
          <w:rFonts w:ascii="Times New Roman" w:hAnsi="Times New Roman" w:cs="Times New Roman"/>
          <w:sz w:val="26"/>
          <w:szCs w:val="26"/>
        </w:rPr>
        <w:t xml:space="preserve">(ii) Aethalometer </w:t>
      </w:r>
      <w:r w:rsidR="00FA3FC9" w:rsidRPr="00FA3FC9">
        <w:rPr>
          <w:rFonts w:ascii="Times New Roman" w:hAnsi="Times New Roman" w:cs="Times New Roman"/>
          <w:sz w:val="26"/>
          <w:szCs w:val="26"/>
        </w:rPr>
        <w:t xml:space="preserve">với Spotmeters, Aethalometers là dụng cụ được sử dụng để xác định nồng độ BC. Theo Giechaskiel </w:t>
      </w:r>
      <w:r>
        <w:rPr>
          <w:rFonts w:ascii="Times New Roman" w:hAnsi="Times New Roman" w:cs="Times New Roman"/>
          <w:sz w:val="26"/>
          <w:szCs w:val="26"/>
        </w:rPr>
        <w:t>và cộng sự</w:t>
      </w:r>
      <w:r w:rsidR="00FA3FC9" w:rsidRPr="00FA3FC9">
        <w:rPr>
          <w:rFonts w:ascii="Times New Roman" w:hAnsi="Times New Roman" w:cs="Times New Roman"/>
          <w:sz w:val="26"/>
          <w:szCs w:val="26"/>
        </w:rPr>
        <w:t xml:space="preserve"> [24] và Krecl và cộng sự [35], PM được thu thập trong Aethalometers bằng cách sử dụng bộ lọc sợi thạch anh. Sự thay đổi trong quá trình truyền (hấp thụ) ánh sáng được đo trong bộ lọc, theo một số bước sóng. Đối với Krecl và cộng sự [35], Aethalometer là một trong những dụng cụ quang học dựa trên bộ lọc, được sử dụng nhiều nhất để xác định hàm lượng carbon hấp thụ ánh sáng (LAC), bên cạnh Máy quang hấp thụ hạt</w:t>
      </w:r>
      <w:r>
        <w:rPr>
          <w:rFonts w:ascii="Times New Roman" w:hAnsi="Times New Roman" w:cs="Times New Roman"/>
          <w:sz w:val="26"/>
          <w:szCs w:val="26"/>
        </w:rPr>
        <w:t xml:space="preserve"> (PSAP). Tuy nhiên, Giechaskiel và cộng sự </w:t>
      </w:r>
      <w:r w:rsidR="00FA3FC9" w:rsidRPr="00FA3FC9">
        <w:rPr>
          <w:rFonts w:ascii="Times New Roman" w:hAnsi="Times New Roman" w:cs="Times New Roman"/>
          <w:sz w:val="26"/>
          <w:szCs w:val="26"/>
        </w:rPr>
        <w:t>[24] chỉ ra rằng Aethalometers thông thường có độ phân giải thời gian vài phút, rất hữu ích cho việc giám sát môi trường, nhưng chậm cho các thử nghiệm phát thải nhất thời. Gần đây, các phiên bản có độ phân giải thời gian từ 1 đến 10 giây trở nên khả dụng hơn.</w:t>
      </w:r>
    </w:p>
    <w:p w14:paraId="4C02746D"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 xml:space="preserve">Nguyên tắc đo của PSAP và Aethalometer là giống nhau, như Krecl </w:t>
      </w:r>
      <w:r w:rsidR="00A551C9">
        <w:rPr>
          <w:rFonts w:ascii="Times New Roman" w:hAnsi="Times New Roman" w:cs="Times New Roman"/>
          <w:sz w:val="26"/>
          <w:szCs w:val="26"/>
        </w:rPr>
        <w:t>và cộng sự đã nêu</w:t>
      </w:r>
      <w:r w:rsidRPr="00FA3FC9">
        <w:rPr>
          <w:rFonts w:ascii="Times New Roman" w:hAnsi="Times New Roman" w:cs="Times New Roman"/>
          <w:sz w:val="26"/>
          <w:szCs w:val="26"/>
        </w:rPr>
        <w:t xml:space="preserve"> [35]. Theo các tác giả, các thiết bị này dựa trên đặc tính hấp thụ ánh sáng của sol khí có ga. Chúng đo sự suy giảm của ánh sáng truyền qua các hạt liên tục được thu thập trong một bộ lọc. Trong các thí nghiệm của Krecl </w:t>
      </w:r>
      <w:r w:rsidR="00A551C9">
        <w:rPr>
          <w:rFonts w:ascii="Times New Roman" w:hAnsi="Times New Roman" w:cs="Times New Roman"/>
          <w:sz w:val="26"/>
          <w:szCs w:val="26"/>
        </w:rPr>
        <w:t xml:space="preserve">và cộng sự </w:t>
      </w:r>
      <w:r w:rsidRPr="00FA3FC9">
        <w:rPr>
          <w:rFonts w:ascii="Times New Roman" w:hAnsi="Times New Roman" w:cs="Times New Roman"/>
          <w:sz w:val="26"/>
          <w:szCs w:val="26"/>
        </w:rPr>
        <w:t>[35], Aethalometer series 8100 (Magee Scientific, Berkeley, CA, USA) đã được sử dụng để xác định nồng độ theo khối lượng của LAC trong PM1. Sol khí lắng đọng trong bộ lọc được chiếu sáng bằng đèn LED 880 nm và đèn LED 525 nm, cho các phép đo sử dụng Aethalometer và PSAP, tương ứng.</w:t>
      </w:r>
    </w:p>
    <w:p w14:paraId="15395A2F"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Gong và cộng sự [5] đã sử dụng thiết bị đo nhiệt kế bảy bước sóng để đo nồng độ khối lượng của BC và hệ số hấp thụ sol khí.</w:t>
      </w:r>
    </w:p>
    <w:p w14:paraId="544575B8"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(iii) Cảm biến âm thanh (PASS) —</w:t>
      </w:r>
      <w:r w:rsidR="00A551C9">
        <w:rPr>
          <w:rFonts w:ascii="Times New Roman" w:hAnsi="Times New Roman" w:cs="Times New Roman"/>
          <w:sz w:val="26"/>
          <w:szCs w:val="26"/>
        </w:rPr>
        <w:t xml:space="preserve"> </w:t>
      </w:r>
      <w:r w:rsidRPr="00FA3FC9">
        <w:rPr>
          <w:rFonts w:ascii="Times New Roman" w:hAnsi="Times New Roman" w:cs="Times New Roman"/>
          <w:sz w:val="26"/>
          <w:szCs w:val="26"/>
        </w:rPr>
        <w:t>Các hạt hấp thụ ánh sáng chứa trong các mẫu sol khí được làm nóng định kỳ bằng cách hấp thụ ánh sáng điều biến biên độ. Theo Giechaskiel</w:t>
      </w:r>
      <w:r w:rsidR="00A551C9" w:rsidRPr="00A551C9">
        <w:rPr>
          <w:rFonts w:ascii="Times New Roman" w:hAnsi="Times New Roman" w:cs="Times New Roman"/>
          <w:sz w:val="26"/>
          <w:szCs w:val="26"/>
        </w:rPr>
        <w:t xml:space="preserve"> </w:t>
      </w:r>
      <w:r w:rsidR="00A551C9">
        <w:rPr>
          <w:rFonts w:ascii="Times New Roman" w:hAnsi="Times New Roman" w:cs="Times New Roman"/>
          <w:sz w:val="26"/>
          <w:szCs w:val="26"/>
        </w:rPr>
        <w:t>và cộng sự</w:t>
      </w:r>
      <w:r w:rsidRPr="00FA3FC9">
        <w:rPr>
          <w:rFonts w:ascii="Times New Roman" w:hAnsi="Times New Roman" w:cs="Times New Roman"/>
          <w:sz w:val="26"/>
          <w:szCs w:val="26"/>
        </w:rPr>
        <w:t xml:space="preserve"> [24], nhiệt dẫn truyền từ các hạt tới khí xung quanh tạo ra sóng áp suất âm thanh được ghi lại bởi một micrô. Tín hiệu đăng ký tỷ lệ với nồng độ thể tích của các hạt hấp thụ ánh sáng &lt;300 nm và tỷ lệ với bề mặt của các hạt lớn hơn (&gt; 300 nm). </w:t>
      </w:r>
      <w:r w:rsidR="00A551C9">
        <w:rPr>
          <w:rFonts w:ascii="Times New Roman" w:hAnsi="Times New Roman" w:cs="Times New Roman"/>
          <w:sz w:val="26"/>
          <w:szCs w:val="26"/>
        </w:rPr>
        <w:t xml:space="preserve">Lack </w:t>
      </w:r>
      <w:r w:rsidRPr="00FA3FC9">
        <w:rPr>
          <w:rFonts w:ascii="Times New Roman" w:hAnsi="Times New Roman" w:cs="Times New Roman"/>
          <w:sz w:val="26"/>
          <w:szCs w:val="26"/>
        </w:rPr>
        <w:t xml:space="preserve">và cộng sự [34] đã phát triển một phương pháp rất nhạy để đo sự hấp thụ sol khí ở </w:t>
      </w:r>
      <w:r w:rsidRPr="00FA3FC9">
        <w:rPr>
          <w:rFonts w:ascii="Times New Roman" w:hAnsi="Times New Roman" w:cs="Times New Roman"/>
          <w:sz w:val="26"/>
          <w:szCs w:val="26"/>
        </w:rPr>
        <w:lastRenderedPageBreak/>
        <w:t>bước sóng 532 nm, với thời gian đáp ứng tuyệt vời, và họ đã sử dụng quang phổ hấp thụ quang âm.</w:t>
      </w:r>
    </w:p>
    <w:p w14:paraId="07C1F9FA"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 xml:space="preserve">(iv) Sự phát sáng cảm ứng bằng laser (LII) —Theo Giechaskiel </w:t>
      </w:r>
      <w:r w:rsidR="00A551C9">
        <w:rPr>
          <w:rFonts w:ascii="Times New Roman" w:hAnsi="Times New Roman" w:cs="Times New Roman"/>
          <w:sz w:val="26"/>
          <w:szCs w:val="26"/>
        </w:rPr>
        <w:t xml:space="preserve">và cộng sự </w:t>
      </w:r>
      <w:r w:rsidRPr="00FA3FC9">
        <w:rPr>
          <w:rFonts w:ascii="Times New Roman" w:hAnsi="Times New Roman" w:cs="Times New Roman"/>
          <w:sz w:val="26"/>
          <w:szCs w:val="26"/>
        </w:rPr>
        <w:t>[24], trong LII, các hạt được nung nóng ngay dưới nhiệt độ thăng hoa của cacbon. Quá trình đốt nóng hạt được thực hiện bằng một xung laser ngắn. Sau khi đốt nóng, các hạt sẽ phát sáng và bị phân hủy. Sự phân hủy của hạt được đo bằng ống nhân quang. Theo Santoro và Shaddix [36], cường độ sợi đốt và tốc độ phân hủy được phân tích để rút ra số lượng và kích thước trung bình của các hạt sơ cấp, sau đó</w:t>
      </w:r>
      <w:r w:rsidRPr="00FA3FC9">
        <w:rPr>
          <w:rFonts w:ascii="Times New Roman" w:hAnsi="Times New Roman" w:cs="Times New Roman"/>
          <w:sz w:val="26"/>
          <w:szCs w:val="26"/>
          <w:lang w:val="vi-VN"/>
        </w:rPr>
        <w:t xml:space="preserve"> </w:t>
      </w:r>
      <w:r w:rsidRPr="00FA3FC9">
        <w:rPr>
          <w:rFonts w:ascii="Times New Roman" w:hAnsi="Times New Roman" w:cs="Times New Roman"/>
          <w:sz w:val="26"/>
          <w:szCs w:val="26"/>
        </w:rPr>
        <w:t>khối lượng muội than.</w:t>
      </w:r>
    </w:p>
    <w:p w14:paraId="379F8F0A"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(c) Sự tuyệt chủng ánh sáng</w:t>
      </w:r>
    </w:p>
    <w:p w14:paraId="7F3F3457"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 xml:space="preserve">Để đo sự tắt ánh sáng trong sol khí, Mellon </w:t>
      </w:r>
      <w:r w:rsidR="00A551C9">
        <w:rPr>
          <w:rFonts w:ascii="Times New Roman" w:hAnsi="Times New Roman" w:cs="Times New Roman"/>
          <w:sz w:val="26"/>
          <w:szCs w:val="26"/>
        </w:rPr>
        <w:t xml:space="preserve">và cộng sự </w:t>
      </w:r>
      <w:r w:rsidRPr="00FA3FC9">
        <w:rPr>
          <w:rFonts w:ascii="Times New Roman" w:hAnsi="Times New Roman" w:cs="Times New Roman"/>
          <w:sz w:val="26"/>
          <w:szCs w:val="26"/>
        </w:rPr>
        <w:t>[37] và Pettersson và cộng sự</w:t>
      </w:r>
      <w:r w:rsidR="00A551C9">
        <w:rPr>
          <w:rFonts w:ascii="Times New Roman" w:hAnsi="Times New Roman" w:cs="Times New Roman"/>
          <w:sz w:val="26"/>
          <w:szCs w:val="26"/>
        </w:rPr>
        <w:t xml:space="preserve"> </w:t>
      </w:r>
      <w:r w:rsidRPr="00FA3FC9">
        <w:rPr>
          <w:rFonts w:ascii="Times New Roman" w:hAnsi="Times New Roman" w:cs="Times New Roman"/>
          <w:sz w:val="26"/>
          <w:szCs w:val="26"/>
        </w:rPr>
        <w:t>[38] đã phát triển trong phòng thí nghiệm một hệ thống dành cho (i) Vòng đệm sâu khoang (CRD). Các thiết bị đo độ tắt ánh sáng khác là (ii) Máy đo độ mờ. Những máy đo này được sử dụng rộng rãi để đo các hạt trong động cơ diesel, như nghiên cứu của Öztürk [39].</w:t>
      </w:r>
    </w:p>
    <w:p w14:paraId="36C7F946"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 xml:space="preserve">Trong hệ thống thí nghiệm CRD do Pettersson </w:t>
      </w:r>
      <w:r w:rsidR="00A551C9">
        <w:rPr>
          <w:rFonts w:ascii="Times New Roman" w:hAnsi="Times New Roman" w:cs="Times New Roman"/>
          <w:sz w:val="26"/>
          <w:szCs w:val="26"/>
        </w:rPr>
        <w:t xml:space="preserve">và cộng sự </w:t>
      </w:r>
      <w:r w:rsidRPr="00FA3FC9">
        <w:rPr>
          <w:rFonts w:ascii="Times New Roman" w:hAnsi="Times New Roman" w:cs="Times New Roman"/>
          <w:sz w:val="26"/>
          <w:szCs w:val="26"/>
        </w:rPr>
        <w:t>[38], sol khí được tạo ra bằng cách nguyên tử hóa và làm khô. Các hạt khô đã được chọn kích thước bằng Máy phân tích tính di động vi sai (DMA). Các hạt đã chọn được đếm trong cửa ra ô CRD, với bộ đếm các hạt ngưng tụ (TSI, model 3022A).</w:t>
      </w:r>
    </w:p>
    <w:p w14:paraId="30B2BC16"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Giechaskiel và cộng sự [24] mô tả rằng Opacity Meters đo phần ánh sáng truyền qua thể tích khí thải. Sự tắt ánh sáng (độ mờ đục) xảy ra do sự hấp phụ và tán xạ, theo cách mà độ mờ đục là sự khác biệt giữa ánh sáng tới và ánh sáng truyền qua. Như các tác giả đã nêu, các phép đo dựa trên sự tắt ánh sáng định lượng nồng độ hạt phụ thuộc vào chiều dài đường truyền và bước sóng ánh sáng, cũng như hình dạng hạt và thành phần của nó.</w:t>
      </w:r>
    </w:p>
    <w:p w14:paraId="53E660AC" w14:textId="77777777" w:rsidR="00FA3FC9" w:rsidRPr="00FA3FC9" w:rsidRDefault="00FA3FC9" w:rsidP="00310131">
      <w:pPr>
        <w:spacing w:before="120" w:after="120"/>
        <w:jc w:val="both"/>
        <w:rPr>
          <w:rFonts w:ascii="Times New Roman" w:hAnsi="Times New Roman" w:cs="Times New Roman"/>
          <w:sz w:val="26"/>
          <w:szCs w:val="26"/>
        </w:rPr>
      </w:pPr>
      <w:r w:rsidRPr="00FA3FC9">
        <w:rPr>
          <w:rFonts w:ascii="Times New Roman" w:hAnsi="Times New Roman" w:cs="Times New Roman"/>
          <w:sz w:val="26"/>
          <w:szCs w:val="26"/>
        </w:rPr>
        <w:t>3.1.3. Phương pháp cân bằng vi mô</w:t>
      </w:r>
    </w:p>
    <w:p w14:paraId="481787AB"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Giechaskiel và cộng sự [24] mô tả rằng khi các hạt được thu thập, trên bề mặt của một phần tử cân bằng vi dao động, những cân bằng vi mô đó sử dụng sự thay đổi tần số cộng hưởng để xác định PM.</w:t>
      </w:r>
    </w:p>
    <w:p w14:paraId="49BC7526"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Có hai thiết bị đo lường chính sử dụng phương pháp cân bằng vi lượng: Cân bằng vi dao động phần tử thuôn nhọn (TEOM) và cân bằng vi l</w:t>
      </w:r>
      <w:bookmarkStart w:id="0" w:name="_GoBack"/>
      <w:bookmarkEnd w:id="0"/>
      <w:r w:rsidRPr="00FA3FC9">
        <w:rPr>
          <w:rFonts w:ascii="Times New Roman" w:hAnsi="Times New Roman" w:cs="Times New Roman"/>
          <w:sz w:val="26"/>
          <w:szCs w:val="26"/>
        </w:rPr>
        <w:t>ượng tinh thể thạch anh (QCM).</w:t>
      </w:r>
    </w:p>
    <w:p w14:paraId="5DE71E53"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 xml:space="preserve">TEOM đo khối lượng PM dựa trên sự thay đổi tần số cộng hưởng của đũa thạch anh thuôn nhọn, do sự tích tụ của các hạt trong bộ lọc lấy mẫu, được nối với đầu đũa, như được mô tả bởi Giechaskiel </w:t>
      </w:r>
      <w:r w:rsidR="00A551C9">
        <w:rPr>
          <w:rFonts w:ascii="Times New Roman" w:hAnsi="Times New Roman" w:cs="Times New Roman"/>
          <w:sz w:val="26"/>
          <w:szCs w:val="26"/>
        </w:rPr>
        <w:t xml:space="preserve">và cộng sự </w:t>
      </w:r>
      <w:r w:rsidRPr="00FA3FC9">
        <w:rPr>
          <w:rFonts w:ascii="Times New Roman" w:hAnsi="Times New Roman" w:cs="Times New Roman"/>
          <w:sz w:val="26"/>
          <w:szCs w:val="26"/>
        </w:rPr>
        <w:t xml:space="preserve">[24]. Trong các ứng dụng đốt, có một mô hình TEOM cụ thể trong đó thiết bị được sử dụng cùng với hệ thống pha loãng, như Nussbaumer </w:t>
      </w:r>
      <w:r w:rsidR="00A551C9">
        <w:rPr>
          <w:rFonts w:ascii="Times New Roman" w:hAnsi="Times New Roman" w:cs="Times New Roman"/>
          <w:sz w:val="26"/>
          <w:szCs w:val="26"/>
        </w:rPr>
        <w:t xml:space="preserve">và cộng sự [21] </w:t>
      </w:r>
      <w:r w:rsidRPr="00FA3FC9">
        <w:rPr>
          <w:rFonts w:ascii="Times New Roman" w:hAnsi="Times New Roman" w:cs="Times New Roman"/>
          <w:sz w:val="26"/>
          <w:szCs w:val="26"/>
        </w:rPr>
        <w:t>đã khẳng đị</w:t>
      </w:r>
      <w:r w:rsidR="00A551C9">
        <w:rPr>
          <w:rFonts w:ascii="Times New Roman" w:hAnsi="Times New Roman" w:cs="Times New Roman"/>
          <w:sz w:val="26"/>
          <w:szCs w:val="26"/>
        </w:rPr>
        <w:t>nh.</w:t>
      </w:r>
      <w:r w:rsidRPr="00FA3FC9">
        <w:rPr>
          <w:rFonts w:ascii="Times New Roman" w:hAnsi="Times New Roman" w:cs="Times New Roman"/>
          <w:sz w:val="26"/>
          <w:szCs w:val="26"/>
        </w:rPr>
        <w:t xml:space="preserve"> Như đã nêu bởi Giechaskiel </w:t>
      </w:r>
      <w:r w:rsidR="00A551C9">
        <w:rPr>
          <w:rFonts w:ascii="Times New Roman" w:hAnsi="Times New Roman" w:cs="Times New Roman"/>
          <w:sz w:val="26"/>
          <w:szCs w:val="26"/>
        </w:rPr>
        <w:t>và cộng sự</w:t>
      </w:r>
      <w:r w:rsidR="00A551C9" w:rsidRPr="00FA3FC9">
        <w:rPr>
          <w:rFonts w:ascii="Times New Roman" w:hAnsi="Times New Roman" w:cs="Times New Roman"/>
          <w:sz w:val="26"/>
          <w:szCs w:val="26"/>
        </w:rPr>
        <w:t xml:space="preserve"> </w:t>
      </w:r>
      <w:r w:rsidRPr="00FA3FC9">
        <w:rPr>
          <w:rFonts w:ascii="Times New Roman" w:hAnsi="Times New Roman" w:cs="Times New Roman"/>
          <w:sz w:val="26"/>
          <w:szCs w:val="26"/>
        </w:rPr>
        <w:t xml:space="preserve">[24], </w:t>
      </w:r>
      <w:r w:rsidRPr="00FA3FC9">
        <w:rPr>
          <w:rFonts w:ascii="Times New Roman" w:hAnsi="Times New Roman" w:cs="Times New Roman"/>
          <w:sz w:val="26"/>
          <w:szCs w:val="26"/>
        </w:rPr>
        <w:lastRenderedPageBreak/>
        <w:t>việc sử dụng TEOM trong phép đo sol khí, trên xe cộ, không thành công do các vấn đề về độ ẩm, thay đổi áp suất và quá tải. Tuy nhiên, Nussbaumer</w:t>
      </w:r>
      <w:r w:rsidR="00A551C9" w:rsidRPr="00A551C9">
        <w:rPr>
          <w:rFonts w:ascii="Times New Roman" w:hAnsi="Times New Roman" w:cs="Times New Roman"/>
          <w:sz w:val="26"/>
          <w:szCs w:val="26"/>
        </w:rPr>
        <w:t xml:space="preserve"> </w:t>
      </w:r>
      <w:r w:rsidR="00A551C9">
        <w:rPr>
          <w:rFonts w:ascii="Times New Roman" w:hAnsi="Times New Roman" w:cs="Times New Roman"/>
          <w:sz w:val="26"/>
          <w:szCs w:val="26"/>
        </w:rPr>
        <w:t>và cộng sự</w:t>
      </w:r>
      <w:r w:rsidRPr="00FA3FC9">
        <w:rPr>
          <w:rFonts w:ascii="Times New Roman" w:hAnsi="Times New Roman" w:cs="Times New Roman"/>
          <w:sz w:val="26"/>
          <w:szCs w:val="26"/>
        </w:rPr>
        <w:t xml:space="preserve"> [21] nhấn mạnh rằng TEOM là một công cụ được thiết lập tốt khi có nhu cầu đo PM10 và PM2.5 trong thời gian thực trong quá trình đốt sinh khối. Jiang và Bell [32] đã sử dụng TEOM để lấy mẫu liên tục PM10 ở các khu vực thành thị. Thiết bị này cũng được sử dụng bởi Elsasser </w:t>
      </w:r>
      <w:r w:rsidR="00A551C9">
        <w:rPr>
          <w:rFonts w:ascii="Times New Roman" w:hAnsi="Times New Roman" w:cs="Times New Roman"/>
          <w:sz w:val="26"/>
          <w:szCs w:val="26"/>
        </w:rPr>
        <w:t>và cộng sự</w:t>
      </w:r>
      <w:r w:rsidR="00A551C9" w:rsidRPr="00FA3FC9">
        <w:rPr>
          <w:rFonts w:ascii="Times New Roman" w:hAnsi="Times New Roman" w:cs="Times New Roman"/>
          <w:sz w:val="26"/>
          <w:szCs w:val="26"/>
        </w:rPr>
        <w:t xml:space="preserve"> </w:t>
      </w:r>
      <w:r w:rsidRPr="00FA3FC9">
        <w:rPr>
          <w:rFonts w:ascii="Times New Roman" w:hAnsi="Times New Roman" w:cs="Times New Roman"/>
          <w:sz w:val="26"/>
          <w:szCs w:val="26"/>
        </w:rPr>
        <w:t>[40] để lấy mẫu PM2.5.</w:t>
      </w:r>
    </w:p>
    <w:p w14:paraId="06834919"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 xml:space="preserve">Trong vi cân bằng tinh thể thạch anh, tinh thể thạch anh có đặc tính áp điện là thay đổi tần số cộng hưởng của nó khi có thêm một lượng nhỏ khối lượng trên bề mặt của nó. Như đã đề cập bởi Giechaskiel </w:t>
      </w:r>
      <w:r w:rsidR="00A551C9">
        <w:rPr>
          <w:rFonts w:ascii="Times New Roman" w:hAnsi="Times New Roman" w:cs="Times New Roman"/>
          <w:sz w:val="26"/>
          <w:szCs w:val="26"/>
        </w:rPr>
        <w:t>và cộng sự</w:t>
      </w:r>
      <w:r w:rsidR="00A551C9" w:rsidRPr="00FA3FC9">
        <w:rPr>
          <w:rFonts w:ascii="Times New Roman" w:hAnsi="Times New Roman" w:cs="Times New Roman"/>
          <w:sz w:val="26"/>
          <w:szCs w:val="26"/>
        </w:rPr>
        <w:t xml:space="preserve"> </w:t>
      </w:r>
      <w:r w:rsidRPr="00FA3FC9">
        <w:rPr>
          <w:rFonts w:ascii="Times New Roman" w:hAnsi="Times New Roman" w:cs="Times New Roman"/>
          <w:sz w:val="26"/>
          <w:szCs w:val="26"/>
        </w:rPr>
        <w:t>[24] Các hạt trong QCM được lắng đọng bằng cách lắng đọng tĩnh điện trong một bộ cộng hưởng tinh thể thạch anh mịn.</w:t>
      </w:r>
    </w:p>
    <w:p w14:paraId="7597E99E" w14:textId="77777777" w:rsidR="00FA3FC9" w:rsidRPr="00A551C9" w:rsidRDefault="00FA3FC9" w:rsidP="00310131">
      <w:pPr>
        <w:spacing w:before="120" w:after="120"/>
        <w:jc w:val="both"/>
        <w:rPr>
          <w:rFonts w:ascii="Times New Roman" w:hAnsi="Times New Roman" w:cs="Times New Roman"/>
          <w:i/>
          <w:sz w:val="26"/>
          <w:szCs w:val="26"/>
        </w:rPr>
      </w:pPr>
      <w:r w:rsidRPr="00A551C9">
        <w:rPr>
          <w:rFonts w:ascii="Times New Roman" w:hAnsi="Times New Roman" w:cs="Times New Roman"/>
          <w:i/>
          <w:sz w:val="26"/>
          <w:szCs w:val="26"/>
        </w:rPr>
        <w:t>3.2. Phương pháp đo lường phân bố kích thước</w:t>
      </w:r>
    </w:p>
    <w:p w14:paraId="5FEA52AD"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Phương pháp phân bố kích thước đo kích thước sol khí, có thể được biểu thị bằng đường kính (độ linh động, khí động học, trong số các đường kính tương đương khác) và nồng độ sol khí.</w:t>
      </w:r>
    </w:p>
    <w:p w14:paraId="3B728F7D"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 xml:space="preserve">Theo Giechaskiel </w:t>
      </w:r>
      <w:r w:rsidR="00A551C9">
        <w:rPr>
          <w:rFonts w:ascii="Times New Roman" w:hAnsi="Times New Roman" w:cs="Times New Roman"/>
          <w:sz w:val="26"/>
          <w:szCs w:val="26"/>
        </w:rPr>
        <w:t>và cộng sự</w:t>
      </w:r>
      <w:r w:rsidR="00A551C9" w:rsidRPr="00FA3FC9">
        <w:rPr>
          <w:rFonts w:ascii="Times New Roman" w:hAnsi="Times New Roman" w:cs="Times New Roman"/>
          <w:sz w:val="26"/>
          <w:szCs w:val="26"/>
        </w:rPr>
        <w:t xml:space="preserve"> </w:t>
      </w:r>
      <w:r w:rsidRPr="00FA3FC9">
        <w:rPr>
          <w:rFonts w:ascii="Times New Roman" w:hAnsi="Times New Roman" w:cs="Times New Roman"/>
          <w:sz w:val="26"/>
          <w:szCs w:val="26"/>
        </w:rPr>
        <w:t>[24], kích thước hạt được đo dựa trên các đặc tính như kích thước hình học, quán tính, tính linh động, tính linh động điện và tính chất quang học.</w:t>
      </w:r>
    </w:p>
    <w:p w14:paraId="34F783AE"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Nói chung, phép đo phân bố kích thước hạt được thực hiện từ sự kết hợp của một số dụng cụ đo. Sự kết hợp này bao gồm việc tải các hạt trong bộ sạc hào quang, phân loại kích thước hạt (bộ tác động hoặc bộ phân loại di động) và phát hiện (bộ đếm quang học hoặc điện kế).</w:t>
      </w:r>
    </w:p>
    <w:p w14:paraId="168378D0" w14:textId="77777777" w:rsidR="00FA3FC9" w:rsidRPr="00FA3FC9" w:rsidRDefault="00FA3FC9" w:rsidP="00310131">
      <w:pPr>
        <w:spacing w:before="120" w:after="120"/>
        <w:jc w:val="both"/>
        <w:rPr>
          <w:rFonts w:ascii="Times New Roman" w:hAnsi="Times New Roman" w:cs="Times New Roman"/>
          <w:sz w:val="26"/>
          <w:szCs w:val="26"/>
        </w:rPr>
      </w:pPr>
      <w:r w:rsidRPr="00FA3FC9">
        <w:rPr>
          <w:rFonts w:ascii="Times New Roman" w:hAnsi="Times New Roman" w:cs="Times New Roman"/>
          <w:sz w:val="26"/>
          <w:szCs w:val="26"/>
        </w:rPr>
        <w:t>3.2.1. Kính hiển vi</w:t>
      </w:r>
    </w:p>
    <w:p w14:paraId="4CBE8BCB"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Theo Vincent [26], lấy mẫu sol khí để phân tích kích thước hạt, trong kính hiển vi, thường bao gồm việc thu thập các hạt trực tiếp từ bộ lọc, sau đó là chuẩn bị bộ lọc để cải thiện khả năng hiển thị.</w:t>
      </w:r>
    </w:p>
    <w:p w14:paraId="4505C87B"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 xml:space="preserve">Bên cạnh kích thước của các hạt rắn, kính hiển vi điện tử cũng kiểm tra hình thái của chúng, như được chỉ định bởi Giechaskiel </w:t>
      </w:r>
      <w:r w:rsidR="00A551C9">
        <w:rPr>
          <w:rFonts w:ascii="Times New Roman" w:hAnsi="Times New Roman" w:cs="Times New Roman"/>
          <w:sz w:val="26"/>
          <w:szCs w:val="26"/>
        </w:rPr>
        <w:t>và cộng sự</w:t>
      </w:r>
      <w:r w:rsidR="00A551C9" w:rsidRPr="00FA3FC9">
        <w:rPr>
          <w:rFonts w:ascii="Times New Roman" w:hAnsi="Times New Roman" w:cs="Times New Roman"/>
          <w:sz w:val="26"/>
          <w:szCs w:val="26"/>
        </w:rPr>
        <w:t xml:space="preserve"> </w:t>
      </w:r>
      <w:r w:rsidRPr="00FA3FC9">
        <w:rPr>
          <w:rFonts w:ascii="Times New Roman" w:hAnsi="Times New Roman" w:cs="Times New Roman"/>
          <w:sz w:val="26"/>
          <w:szCs w:val="26"/>
        </w:rPr>
        <w:t>[24].</w:t>
      </w:r>
    </w:p>
    <w:p w14:paraId="09E8F971"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Wentzel và cộng sự</w:t>
      </w:r>
      <w:r w:rsidR="00A551C9">
        <w:rPr>
          <w:rFonts w:ascii="Times New Roman" w:hAnsi="Times New Roman" w:cs="Times New Roman"/>
          <w:sz w:val="26"/>
          <w:szCs w:val="26"/>
        </w:rPr>
        <w:t xml:space="preserve"> </w:t>
      </w:r>
      <w:r w:rsidRPr="00FA3FC9">
        <w:rPr>
          <w:rFonts w:ascii="Times New Roman" w:hAnsi="Times New Roman" w:cs="Times New Roman"/>
          <w:sz w:val="26"/>
          <w:szCs w:val="26"/>
        </w:rPr>
        <w:t>[41] nhấn mạnh rằng phân tích hình ảnh cung cấp nhiều thông tin như bán kính quay, phân bố kích thước của các tập hợp, kích thước fractal, số lượng các hạt chính trên mỗi tập hợp và sự phân bố kích thước của các hạt sơ cấp.</w:t>
      </w:r>
    </w:p>
    <w:p w14:paraId="49B626F6"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 xml:space="preserve">Như đã nêu bởi Giechaskiel </w:t>
      </w:r>
      <w:r w:rsidR="00A551C9">
        <w:rPr>
          <w:rFonts w:ascii="Times New Roman" w:hAnsi="Times New Roman" w:cs="Times New Roman"/>
          <w:sz w:val="26"/>
          <w:szCs w:val="26"/>
        </w:rPr>
        <w:t>và cộng sự</w:t>
      </w:r>
      <w:r w:rsidR="00A551C9" w:rsidRPr="00FA3FC9">
        <w:rPr>
          <w:rFonts w:ascii="Times New Roman" w:hAnsi="Times New Roman" w:cs="Times New Roman"/>
          <w:sz w:val="26"/>
          <w:szCs w:val="26"/>
        </w:rPr>
        <w:t xml:space="preserve"> </w:t>
      </w:r>
      <w:r w:rsidRPr="00FA3FC9">
        <w:rPr>
          <w:rFonts w:ascii="Times New Roman" w:hAnsi="Times New Roman" w:cs="Times New Roman"/>
          <w:sz w:val="26"/>
          <w:szCs w:val="26"/>
        </w:rPr>
        <w:t>[24], một nhược điểm của phương pháp kính hiển vi là tốn thời gian để phân tích một số lượng hạt đủ về mặt thống kê.</w:t>
      </w:r>
    </w:p>
    <w:p w14:paraId="6C018D12" w14:textId="77777777" w:rsidR="00FA3FC9" w:rsidRPr="00FA3FC9" w:rsidRDefault="00FA3FC9" w:rsidP="00310131">
      <w:pPr>
        <w:spacing w:before="120" w:after="120"/>
        <w:jc w:val="both"/>
        <w:rPr>
          <w:rFonts w:ascii="Times New Roman" w:hAnsi="Times New Roman" w:cs="Times New Roman"/>
          <w:sz w:val="26"/>
          <w:szCs w:val="26"/>
        </w:rPr>
      </w:pPr>
      <w:r w:rsidRPr="00FA3FC9">
        <w:rPr>
          <w:rFonts w:ascii="Times New Roman" w:hAnsi="Times New Roman" w:cs="Times New Roman"/>
          <w:sz w:val="26"/>
          <w:szCs w:val="26"/>
        </w:rPr>
        <w:t>3.2.2. Tác động</w:t>
      </w:r>
    </w:p>
    <w:p w14:paraId="128DE65A"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lastRenderedPageBreak/>
        <w:t>Máy tác động là dụng cụ đo phân bố kích thước theo khối lượng, nguyên lý hoạt động là trọng lực, có nhiều giai đoạn tác động; trong một số thiết bị nhiều lỗ được tìm thấy.</w:t>
      </w:r>
    </w:p>
    <w:p w14:paraId="68CAB314"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Theo Hinds [29], các bộ tác động được sử dụng nhiều nhất là loại thác, hoạt động dựa trên sự phân loại quán tính của các hạt.</w:t>
      </w:r>
    </w:p>
    <w:p w14:paraId="434502CC"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Về nguyên lý hoạt động của Cascade Impactors, Vincent [26] đã báo cáo rằng mẫu sol khí trải qua một chuỗi các giai đoạn. Trong mỗi giai đoạn, một tia không khí chứa sol khí đến tấm va chạm và các hạt lớn hơn đường kính ngưỡng của giai đoạn được thu thập. Các hạt nhỏ hơn theo dòng khí bao quanh tấm thu và được thu lại trong giai đoạn tiếp theo, trong đó các lỗ nhỏ hơn và có điều kiện để tốc độ không khí lớn hơn. Quá trình này tiếp tục cho đến khi các hạt nhỏ hơn được loại bỏ trong bộ lọc sau.</w:t>
      </w:r>
    </w:p>
    <w:p w14:paraId="4989219A"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Nussbaumer và cộng sự [21] đã đề cập đến một số Tác động phân tầng áp suất thấp được sử dụng nhiều nhất (Tác động lực Andersen, Tác động tác động áp suất thấp Dekati (DLPI) và Tác động tác động áp suất thấp Berner (BLPI)). Các tác giả mô tả rằng các bộ tác động này thu thập các hạt trong phạm vi từ 30 nm đến 10 μm, và có thể mở rộng phạm vi đo tới các hạt nhỏ hơn, nếu sử dụng các bộ lọc thích hợp.</w:t>
      </w:r>
    </w:p>
    <w:p w14:paraId="2CDAF474"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 xml:space="preserve">Theo Giechaskiel </w:t>
      </w:r>
      <w:r w:rsidR="00A551C9">
        <w:rPr>
          <w:rFonts w:ascii="Times New Roman" w:hAnsi="Times New Roman" w:cs="Times New Roman"/>
          <w:sz w:val="26"/>
          <w:szCs w:val="26"/>
        </w:rPr>
        <w:t>và cộng sự</w:t>
      </w:r>
      <w:r w:rsidR="00A551C9" w:rsidRPr="00FA3FC9">
        <w:rPr>
          <w:rFonts w:ascii="Times New Roman" w:hAnsi="Times New Roman" w:cs="Times New Roman"/>
          <w:sz w:val="26"/>
          <w:szCs w:val="26"/>
        </w:rPr>
        <w:t xml:space="preserve"> </w:t>
      </w:r>
      <w:r w:rsidRPr="00FA3FC9">
        <w:rPr>
          <w:rFonts w:ascii="Times New Roman" w:hAnsi="Times New Roman" w:cs="Times New Roman"/>
          <w:sz w:val="26"/>
          <w:szCs w:val="26"/>
        </w:rPr>
        <w:t>[24] và Vincent [26], máy bay tác động đầu tiên xuất hiện vào năm 1945, với vòi phun hình trụ (Casella Mk1) và phiên bản gần đây nhất là Andersen Mk-II được biết đến, với hệ thống phản lực đa vòng.</w:t>
      </w:r>
    </w:p>
    <w:p w14:paraId="66E0C202"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Vincent [26] đã mô tả rằng Máy tác động tầng thông thường hoạt động ở áp suất khí quyển và không chọn các hạt nhỏ hơn 0,4 μm. Theo cách này, các tác giả đã đề cập đến một họ khác của Cascade Impactor dựa trên Micro-Orifice Uniform Deposit Impactor (MOUDI). MOUDI là các tác động phân tầng chính xác bao gồm một loạt các kích thước hạt. Chúng bao gồm một loạt các tốc độ dòng chảy từ 10 đế</w:t>
      </w:r>
      <w:r w:rsidR="00A551C9">
        <w:rPr>
          <w:rFonts w:ascii="Times New Roman" w:hAnsi="Times New Roman" w:cs="Times New Roman"/>
          <w:sz w:val="26"/>
          <w:szCs w:val="26"/>
        </w:rPr>
        <w:t>n 100 L/</w:t>
      </w:r>
      <w:r w:rsidRPr="00FA3FC9">
        <w:rPr>
          <w:rFonts w:ascii="Times New Roman" w:hAnsi="Times New Roman" w:cs="Times New Roman"/>
          <w:sz w:val="26"/>
          <w:szCs w:val="26"/>
        </w:rPr>
        <w:t>phút và một số kết hợp của các giai đoạn tác động. Có các mô hình truyền thống với tám giai đoạn và mô hình với sự quay của các tấm va đập. Các mô hình MOUDI cuối cùng này đảm bảo sự lắng đọng các hạt đồng đều hơn trên các tấm, và cũng giảm các vấn đề liên quan đến phản ứng dội lại cũng như sự bay hơi của vật liệu bán bay hơi.</w:t>
      </w:r>
    </w:p>
    <w:p w14:paraId="577FA596"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Venkataraman và Rao [42] đã mô tả rằng MOUDI có 50% đường kính khí động học điểm cắt là 10, 5.6, 3.2, 1.8, 1.0, 0.56, 0.32, 0.18, 0.097 và 0.056 μm ở các giai đoạn 1 đến 10, và thu thập các hạt nhỏ hơn 0,056 μm trên sợi thạch anh 37 mm sau khi lọc.</w:t>
      </w:r>
    </w:p>
    <w:p w14:paraId="570043AF"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Một khái niệm tác động tương đối gần đây là Tác động điện áp thấp (ELPI). Nguyên tắc hoạt động của ELPI dựa trên việc sạc bình xịt bằng điện. Thiết bị này được thảo luận trong Phần 3.2.8.</w:t>
      </w:r>
    </w:p>
    <w:p w14:paraId="40316265" w14:textId="77777777" w:rsidR="00FA3FC9" w:rsidRPr="00FA3FC9" w:rsidRDefault="00FA3FC9" w:rsidP="00310131">
      <w:pPr>
        <w:spacing w:before="120" w:after="120"/>
        <w:jc w:val="both"/>
        <w:rPr>
          <w:rFonts w:ascii="Times New Roman" w:hAnsi="Times New Roman" w:cs="Times New Roman"/>
          <w:sz w:val="26"/>
          <w:szCs w:val="26"/>
        </w:rPr>
      </w:pPr>
      <w:r w:rsidRPr="00FA3FC9">
        <w:rPr>
          <w:rFonts w:ascii="Times New Roman" w:hAnsi="Times New Roman" w:cs="Times New Roman"/>
          <w:sz w:val="26"/>
          <w:szCs w:val="26"/>
        </w:rPr>
        <w:t>3.2.3. Pin khuếch tán (EDB)</w:t>
      </w:r>
    </w:p>
    <w:p w14:paraId="4198A405"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lastRenderedPageBreak/>
        <w:t>Theo Vincent [26], các hạt có kích thước dưới 0,1 μm không bị ảnh hưởng mạnh bởi lực hấp dẫn và quán tính. Do đó, hành vi của chúng không được thể hiện tốt bằng đường kính khí động học, một phép đo phổ biến trong các thiết bị truyền thống. Thay vào đó, chuyển động của hạt thường bị chi phối bởi sự khuếch tán. Bằng cách này, đường kính tương đương về thể tích, thu được trong Pin khuếch tán, trở nên thích hợp hơn đối với các hạt nano. Theo Hinds [29], Pin khuếch tán được phát triển để xác định hệ số khuếch tán của các hạt.</w:t>
      </w:r>
    </w:p>
    <w:p w14:paraId="17D919CD"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Đối với Fierz và cộng sự [43] Các phương pháp đo trọng lực và quang học gần đây rất kém nhạy để đo các hạt nano, và do đó không thích hợp cho nhiệm vụ này.</w:t>
      </w:r>
    </w:p>
    <w:p w14:paraId="7EBF99F9"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Giechaskiel và cộng sự [24] đã mô tả rằng Pin khuếch tán tách các hạt bằng tính di động của chúng. Theo các tác giả này, những pin này thường được sử dụng như một van chuyển mạch để thay đổi độ dài hiệu quả của đường khuếch tán và với CPC, để đo nồng độ theo số lượng.</w:t>
      </w:r>
    </w:p>
    <w:p w14:paraId="1782D0C2"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Một cách tiếp cận mới cho Pin khuếch tán là Pin khuếch tán điện (EDB). Trong EDB, các hạt được mang theo bởi bộ sạc hào quang và sau đó đi vào Pin khuếch tán có thể có hai loại: dạng ống hoặc dạng màn hình.</w:t>
      </w:r>
    </w:p>
    <w:p w14:paraId="108F5A27"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Theo Vincent [26], hiệu suất thu EDB là một hàm số của các đặc tính hình học của ống hoặc màn chắn, tốc độ dòng chảy và kích thước hạt, được biểu thị bằng đường kính tương đương về thể tích.</w:t>
      </w:r>
    </w:p>
    <w:p w14:paraId="66823C11" w14:textId="77777777" w:rsidR="00FA3FC9" w:rsidRPr="00FA3FC9" w:rsidRDefault="00FA3FC9" w:rsidP="00310131">
      <w:pPr>
        <w:spacing w:before="120" w:after="120"/>
        <w:jc w:val="both"/>
        <w:rPr>
          <w:rFonts w:ascii="Times New Roman" w:hAnsi="Times New Roman" w:cs="Times New Roman"/>
          <w:sz w:val="26"/>
          <w:szCs w:val="26"/>
        </w:rPr>
      </w:pPr>
      <w:r w:rsidRPr="00FA3FC9">
        <w:rPr>
          <w:rFonts w:ascii="Times New Roman" w:hAnsi="Times New Roman" w:cs="Times New Roman"/>
          <w:sz w:val="26"/>
          <w:szCs w:val="26"/>
        </w:rPr>
        <w:t>3.2.4. Máy phân tích tính di động</w:t>
      </w:r>
    </w:p>
    <w:p w14:paraId="2D475755"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 xml:space="preserve">Trong số các máy phân tích Mobility, Giechaskiel </w:t>
      </w:r>
      <w:r w:rsidR="00D65BB0">
        <w:rPr>
          <w:rFonts w:ascii="Times New Roman" w:hAnsi="Times New Roman" w:cs="Times New Roman"/>
          <w:sz w:val="26"/>
          <w:szCs w:val="26"/>
        </w:rPr>
        <w:t>và cộng sự</w:t>
      </w:r>
      <w:r w:rsidRPr="00FA3FC9">
        <w:rPr>
          <w:rFonts w:ascii="Times New Roman" w:hAnsi="Times New Roman" w:cs="Times New Roman"/>
          <w:sz w:val="26"/>
          <w:szCs w:val="26"/>
        </w:rPr>
        <w:t xml:space="preserve"> [24] đã đề cập đến Máy phân tích khí dung điện (EAA) là máy phân tích tính di động lâu đời nhất và DMA là kiểu máy mới nhất.</w:t>
      </w:r>
    </w:p>
    <w:p w14:paraId="24EE14B9"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Giechaskiel và cộng sự</w:t>
      </w:r>
      <w:r w:rsidR="00A551C9">
        <w:rPr>
          <w:rFonts w:ascii="Times New Roman" w:hAnsi="Times New Roman" w:cs="Times New Roman"/>
          <w:sz w:val="26"/>
          <w:szCs w:val="26"/>
        </w:rPr>
        <w:t xml:space="preserve"> </w:t>
      </w:r>
      <w:r w:rsidRPr="00FA3FC9">
        <w:rPr>
          <w:rFonts w:ascii="Times New Roman" w:hAnsi="Times New Roman" w:cs="Times New Roman"/>
          <w:sz w:val="26"/>
          <w:szCs w:val="26"/>
        </w:rPr>
        <w:t>[24] mô tả rằng các DMA sử dụng sạc khuếch tán lưỡng cực để tạo ra sự phân bố điện tích được xác định rõ ràng trong sol khí. Sau khi tải, các hạt được đưa vào thiết bị phân loại tĩnh điện, cho phép hạt đi qua trong một phạm vi hẹp về độ linh động điện. Các hạt đã phân loại được đo bằng điện kế hoặc CPC.</w:t>
      </w:r>
    </w:p>
    <w:p w14:paraId="5C9DC390"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 xml:space="preserve">Công cụ Phân tích Di động Chênh lệch Tandem (VTDMA) đã được tìm thấy trong tài liệu. Theo Hossain </w:t>
      </w:r>
      <w:r w:rsidR="00A551C9">
        <w:rPr>
          <w:rFonts w:ascii="Times New Roman" w:hAnsi="Times New Roman" w:cs="Times New Roman"/>
          <w:sz w:val="26"/>
          <w:szCs w:val="26"/>
        </w:rPr>
        <w:t>và cộng sự</w:t>
      </w:r>
      <w:r w:rsidR="00A551C9" w:rsidRPr="00FA3FC9">
        <w:rPr>
          <w:rFonts w:ascii="Times New Roman" w:hAnsi="Times New Roman" w:cs="Times New Roman"/>
          <w:sz w:val="26"/>
          <w:szCs w:val="26"/>
        </w:rPr>
        <w:t xml:space="preserve"> </w:t>
      </w:r>
      <w:r w:rsidRPr="00FA3FC9">
        <w:rPr>
          <w:rFonts w:ascii="Times New Roman" w:hAnsi="Times New Roman" w:cs="Times New Roman"/>
          <w:sz w:val="26"/>
          <w:szCs w:val="26"/>
        </w:rPr>
        <w:t>[44], hệ thống này bao gồm hai nano-DMA, hai DMA dài (để bao phủ một loạt các kích thước lớn), một ống gia nhiệt và một Máy đếm hạt ngưng tụ siêu mịn (UCPC).</w:t>
      </w:r>
    </w:p>
    <w:p w14:paraId="2B645AA8" w14:textId="77777777" w:rsidR="00FA3FC9" w:rsidRPr="00FA3FC9" w:rsidRDefault="00FA3FC9" w:rsidP="00310131">
      <w:pPr>
        <w:spacing w:before="120" w:after="120"/>
        <w:jc w:val="both"/>
        <w:rPr>
          <w:rFonts w:ascii="Times New Roman" w:hAnsi="Times New Roman" w:cs="Times New Roman"/>
          <w:sz w:val="26"/>
          <w:szCs w:val="26"/>
        </w:rPr>
      </w:pPr>
      <w:r w:rsidRPr="00FA3FC9">
        <w:rPr>
          <w:rFonts w:ascii="Times New Roman" w:hAnsi="Times New Roman" w:cs="Times New Roman"/>
          <w:sz w:val="26"/>
          <w:szCs w:val="26"/>
        </w:rPr>
        <w:t>3.2.5. Phép đo ly tâm khối lượng hạt</w:t>
      </w:r>
    </w:p>
    <w:p w14:paraId="43F6B5B9"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Phép đo ly tâm khối lượng hạt có thể được thực hiện bằng cách sử dụng Máy phân tích khối lượng hạt ly tâm (CPMA) hoặc Khối lượng hạt khí dung (APM).</w:t>
      </w:r>
    </w:p>
    <w:p w14:paraId="6AA65A1D"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lastRenderedPageBreak/>
        <w:t xml:space="preserve">Theo Giechaskiel </w:t>
      </w:r>
      <w:r w:rsidR="00A551C9">
        <w:rPr>
          <w:rFonts w:ascii="Times New Roman" w:hAnsi="Times New Roman" w:cs="Times New Roman"/>
          <w:sz w:val="26"/>
          <w:szCs w:val="26"/>
        </w:rPr>
        <w:t>và cộng sự</w:t>
      </w:r>
      <w:r w:rsidR="00A551C9" w:rsidRPr="00FA3FC9">
        <w:rPr>
          <w:rFonts w:ascii="Times New Roman" w:hAnsi="Times New Roman" w:cs="Times New Roman"/>
          <w:sz w:val="26"/>
          <w:szCs w:val="26"/>
        </w:rPr>
        <w:t xml:space="preserve"> </w:t>
      </w:r>
      <w:r w:rsidRPr="00FA3FC9">
        <w:rPr>
          <w:rFonts w:ascii="Times New Roman" w:hAnsi="Times New Roman" w:cs="Times New Roman"/>
          <w:sz w:val="26"/>
          <w:szCs w:val="26"/>
        </w:rPr>
        <w:t>[24], CPMA bao gồm hai điện cực hình trụ đồng trục, một bên trong và một bên ngoài. Điện cực bên trong quay nhanh hơn một chút so với điện cực bên ngoài. Trong khi đi ngang qua các điện cực, các hạt được nạp chịu lực tĩnh điện và lực ly tâm, tác động ngược chiều nhau. Tùy thuộc vào tốc độ quay và lực căng, giữa các điện cực, các hạt có thể xuyên qua CPMA. Johnson và cộng sự [45] mô tả rằng CPMA phân loại sol khí theo tỷ lệ khối lượng trên điện tích. Theo các tác giả này, CPMA đo độ linh động khối lượng được sử dụng ngược dòng DMS (Máy đo phổ di động vi sai), đo sự phân bố kích thước độ linh động của các hạt được phân loại theo khối lượng trong thời gian thực.</w:t>
      </w:r>
    </w:p>
    <w:p w14:paraId="0ADBF78F"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 xml:space="preserve">Sự khác biệt chính giữa CPMA và APM là trong APM, cả hai điện cực quay theo cùng một tốc độ góc, như Giechaskiel </w:t>
      </w:r>
      <w:r w:rsidR="00A551C9">
        <w:rPr>
          <w:rFonts w:ascii="Times New Roman" w:hAnsi="Times New Roman" w:cs="Times New Roman"/>
          <w:sz w:val="26"/>
          <w:szCs w:val="26"/>
        </w:rPr>
        <w:t>và cộng sự [24]</w:t>
      </w:r>
      <w:r w:rsidR="00A551C9" w:rsidRPr="00FA3FC9">
        <w:rPr>
          <w:rFonts w:ascii="Times New Roman" w:hAnsi="Times New Roman" w:cs="Times New Roman"/>
          <w:sz w:val="26"/>
          <w:szCs w:val="26"/>
        </w:rPr>
        <w:t xml:space="preserve"> </w:t>
      </w:r>
      <w:r w:rsidRPr="00FA3FC9">
        <w:rPr>
          <w:rFonts w:ascii="Times New Roman" w:hAnsi="Times New Roman" w:cs="Times New Roman"/>
          <w:sz w:val="26"/>
          <w:szCs w:val="26"/>
        </w:rPr>
        <w:t xml:space="preserve">đã khẳng định. </w:t>
      </w:r>
    </w:p>
    <w:p w14:paraId="33B4E771"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 xml:space="preserve">Đối với Giechaskiel </w:t>
      </w:r>
      <w:r w:rsidR="00A551C9">
        <w:rPr>
          <w:rFonts w:ascii="Times New Roman" w:hAnsi="Times New Roman" w:cs="Times New Roman"/>
          <w:sz w:val="26"/>
          <w:szCs w:val="26"/>
        </w:rPr>
        <w:t>và cộng sự</w:t>
      </w:r>
      <w:r w:rsidRPr="00FA3FC9">
        <w:rPr>
          <w:rFonts w:ascii="Times New Roman" w:hAnsi="Times New Roman" w:cs="Times New Roman"/>
          <w:sz w:val="26"/>
          <w:szCs w:val="26"/>
        </w:rPr>
        <w:t xml:space="preserve"> [24], ưu điểm của những dụng cụ này là khả năng đăng ký khối lượng hạt mà không cần thu thập hạt để cân.</w:t>
      </w:r>
    </w:p>
    <w:p w14:paraId="3E1FA042" w14:textId="77777777" w:rsidR="00FA3FC9" w:rsidRPr="00FA3FC9" w:rsidRDefault="00FA3FC9" w:rsidP="00310131">
      <w:pPr>
        <w:spacing w:before="120" w:after="120"/>
        <w:jc w:val="both"/>
        <w:rPr>
          <w:rFonts w:ascii="Times New Roman" w:hAnsi="Times New Roman" w:cs="Times New Roman"/>
          <w:sz w:val="26"/>
          <w:szCs w:val="26"/>
        </w:rPr>
      </w:pPr>
      <w:r w:rsidRPr="00FA3FC9">
        <w:rPr>
          <w:rFonts w:ascii="Times New Roman" w:hAnsi="Times New Roman" w:cs="Times New Roman"/>
          <w:sz w:val="26"/>
          <w:szCs w:val="26"/>
        </w:rPr>
        <w:t>3.2.6. Máy đo phổ di động vi sai (DMS)</w:t>
      </w:r>
    </w:p>
    <w:p w14:paraId="5E53E562"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 xml:space="preserve">Trong số các máy quang phổ dựa trên tính linh động của hạt, được biết đến nhiều nhất là Máy đo phổ di động vi sai (DMS) và Máy đo hạt di động nhanh (FMPS), được đề cập bởi Hosseini </w:t>
      </w:r>
      <w:r w:rsidR="00A551C9">
        <w:rPr>
          <w:rFonts w:ascii="Times New Roman" w:hAnsi="Times New Roman" w:cs="Times New Roman"/>
          <w:sz w:val="26"/>
          <w:szCs w:val="26"/>
        </w:rPr>
        <w:t xml:space="preserve">và cộng sự </w:t>
      </w:r>
      <w:r w:rsidRPr="00FA3FC9">
        <w:rPr>
          <w:rFonts w:ascii="Times New Roman" w:hAnsi="Times New Roman" w:cs="Times New Roman"/>
          <w:sz w:val="26"/>
          <w:szCs w:val="26"/>
        </w:rPr>
        <w:t xml:space="preserve">[16] và Hossain </w:t>
      </w:r>
      <w:r w:rsidR="00A551C9">
        <w:rPr>
          <w:rFonts w:ascii="Times New Roman" w:hAnsi="Times New Roman" w:cs="Times New Roman"/>
          <w:sz w:val="26"/>
          <w:szCs w:val="26"/>
        </w:rPr>
        <w:t xml:space="preserve">và cộng sự </w:t>
      </w:r>
      <w:r w:rsidRPr="00FA3FC9">
        <w:rPr>
          <w:rFonts w:ascii="Times New Roman" w:hAnsi="Times New Roman" w:cs="Times New Roman"/>
          <w:sz w:val="26"/>
          <w:szCs w:val="26"/>
        </w:rPr>
        <w:t>[44].</w:t>
      </w:r>
    </w:p>
    <w:p w14:paraId="5393BF89"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Tuy nhiên, các máy quang phổ tương tự khác cũng đo đường kính độ linh động của hạt: Máy quét hạt di động (SMPS) và Máy đo hạt di động kép (TDMPS).</w:t>
      </w:r>
    </w:p>
    <w:p w14:paraId="6627C9ED"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 xml:space="preserve">Các máy quang phổ này bao gồm một bộ nạp hạt, một cột phân loại và một loạt các bộ dò, như được mô tả bởi Giechaskiel </w:t>
      </w:r>
      <w:r w:rsidR="00AC517D">
        <w:rPr>
          <w:rFonts w:ascii="Times New Roman" w:hAnsi="Times New Roman" w:cs="Times New Roman"/>
          <w:sz w:val="26"/>
          <w:szCs w:val="26"/>
        </w:rPr>
        <w:t xml:space="preserve">và cộng sự </w:t>
      </w:r>
      <w:r w:rsidRPr="00FA3FC9">
        <w:rPr>
          <w:rFonts w:ascii="Times New Roman" w:hAnsi="Times New Roman" w:cs="Times New Roman"/>
          <w:sz w:val="26"/>
          <w:szCs w:val="26"/>
        </w:rPr>
        <w:t>[24].</w:t>
      </w:r>
    </w:p>
    <w:p w14:paraId="1F7A7D2A"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Giechaskiel và cộng sự [24] nhấn mạnh rằng SMPS là công cụ chính xác nhất để phân phối kích thước độ phân giải cao của sol khí từ khí thải xe. Nussbaumer và cộng sự [21] cũng đề cập đến việc sử dụng SMPS để đo nồng độ phân bố số lượng và kích thước của các hạt từ quá trình đốt sinh khối. Theo các tác giả này, có rất nhiều phiên bản của dụng cụ này, hoạt động trong phạm vi kích thước từ vài nanomet đến 1 μm.</w:t>
      </w:r>
    </w:p>
    <w:p w14:paraId="39207599"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 xml:space="preserve">Như đã nêu bởi Hosseini </w:t>
      </w:r>
      <w:r w:rsidR="00AC517D">
        <w:rPr>
          <w:rFonts w:ascii="Times New Roman" w:hAnsi="Times New Roman" w:cs="Times New Roman"/>
          <w:sz w:val="26"/>
          <w:szCs w:val="26"/>
        </w:rPr>
        <w:t xml:space="preserve">và cộng sự </w:t>
      </w:r>
      <w:r w:rsidRPr="00FA3FC9">
        <w:rPr>
          <w:rFonts w:ascii="Times New Roman" w:hAnsi="Times New Roman" w:cs="Times New Roman"/>
          <w:sz w:val="26"/>
          <w:szCs w:val="26"/>
        </w:rPr>
        <w:t>[16], FMPS được làm bằng hai trụ đồng tâm (cột phân loại), một bộ nạp khuếch tán và 32 điện kế, bao phủ phạm vi kích thước hạt từ năm đến 560 nm. Dòng điện chứa các hạt mang điện tích dương chạy dọc theo vỏ bọc. Điện áp cao giữa hai trụ vận chuyển các hạt từ điểm chúng được đưa sang phía bên kia là nơi chứa các điện kế. Bên cạnh đỉnh cột, các hạt có độ linh động điện lớn hơn được thu thập và các hạt có độ linh động điện kém hơn được thu thập ở phía dưới.</w:t>
      </w:r>
    </w:p>
    <w:p w14:paraId="2D4C310B"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 xml:space="preserve">FMPS sử dụng một kỹ thuật đo độ linh động điện tương tự như kỹ thuật được sử dụng trong SMPS. Tuy nhiên, thay vì CPC, máy quang phổ FMPS sử dụng nhiều máy đo </w:t>
      </w:r>
      <w:r w:rsidRPr="00FA3FC9">
        <w:rPr>
          <w:rFonts w:ascii="Times New Roman" w:hAnsi="Times New Roman" w:cs="Times New Roman"/>
          <w:sz w:val="26"/>
          <w:szCs w:val="26"/>
        </w:rPr>
        <w:lastRenderedPageBreak/>
        <w:t>điện có độ ồn thấp để phát hiện hạt. Điều này tạo ra các phép đo phân bố kích thước hạt với độ phân giải một giây, cung cấp khả năng hình dung các sự kiện hạt và những thay đổi trong phân bố kích thước hạt trong thời gian thực.</w:t>
      </w:r>
    </w:p>
    <w:p w14:paraId="5F025141" w14:textId="77777777" w:rsidR="00FA3FC9" w:rsidRPr="00FA3FC9" w:rsidRDefault="00FA3FC9" w:rsidP="00310131">
      <w:pPr>
        <w:spacing w:before="120" w:after="120"/>
        <w:jc w:val="both"/>
        <w:rPr>
          <w:rFonts w:ascii="Times New Roman" w:hAnsi="Times New Roman" w:cs="Times New Roman"/>
          <w:sz w:val="26"/>
          <w:szCs w:val="26"/>
        </w:rPr>
      </w:pPr>
      <w:r w:rsidRPr="00FA3FC9">
        <w:rPr>
          <w:rFonts w:ascii="Times New Roman" w:hAnsi="Times New Roman" w:cs="Times New Roman"/>
          <w:sz w:val="26"/>
          <w:szCs w:val="26"/>
        </w:rPr>
        <w:t>Kamilli và cộng sự [46] giải thích rằng TDMPS bao gồm hai DMA, một Bộ đếm hạt ngưng tụ siêu mịn (UCPC) và một CPC. Các hạt được tích điện và đưa về trạng thái cân bằng điện tích. Với sự trợ giúp của hai bộ sấy khuếch tán tái tạo, bên trong TDMPS, điều kiện độ ẩm tương đối có thể được theo dõi liên tục.</w:t>
      </w:r>
    </w:p>
    <w:p w14:paraId="76F417C8" w14:textId="77777777" w:rsidR="00FA3FC9" w:rsidRPr="00FA3FC9" w:rsidRDefault="00FA3FC9" w:rsidP="00310131">
      <w:pPr>
        <w:spacing w:before="120" w:after="120"/>
        <w:jc w:val="both"/>
        <w:rPr>
          <w:rFonts w:ascii="Times New Roman" w:hAnsi="Times New Roman" w:cs="Times New Roman"/>
          <w:sz w:val="26"/>
          <w:szCs w:val="26"/>
        </w:rPr>
      </w:pPr>
      <w:r w:rsidRPr="00FA3FC9">
        <w:rPr>
          <w:rFonts w:ascii="Times New Roman" w:hAnsi="Times New Roman" w:cs="Times New Roman"/>
          <w:sz w:val="26"/>
          <w:szCs w:val="26"/>
        </w:rPr>
        <w:t>3.2.7. Máy đo quang phổ di động tích hợp nhanh (FIMS)</w:t>
      </w:r>
    </w:p>
    <w:p w14:paraId="0D414673" w14:textId="77777777" w:rsidR="00FA3FC9" w:rsidRPr="00FA3FC9" w:rsidRDefault="00FA3FC9" w:rsidP="00310131">
      <w:pPr>
        <w:spacing w:before="120" w:after="120"/>
        <w:ind w:firstLine="720"/>
        <w:jc w:val="both"/>
        <w:rPr>
          <w:rFonts w:ascii="Times New Roman" w:hAnsi="Times New Roman" w:cs="Times New Roman"/>
          <w:sz w:val="26"/>
          <w:szCs w:val="26"/>
        </w:rPr>
      </w:pPr>
      <w:r w:rsidRPr="00FA3FC9">
        <w:rPr>
          <w:rFonts w:ascii="Times New Roman" w:hAnsi="Times New Roman" w:cs="Times New Roman"/>
          <w:sz w:val="26"/>
          <w:szCs w:val="26"/>
        </w:rPr>
        <w:t>Giechaskiel và cộng sự</w:t>
      </w:r>
      <w:r w:rsidR="00AC517D">
        <w:rPr>
          <w:rFonts w:ascii="Times New Roman" w:hAnsi="Times New Roman" w:cs="Times New Roman"/>
          <w:sz w:val="26"/>
          <w:szCs w:val="26"/>
        </w:rPr>
        <w:t xml:space="preserve"> </w:t>
      </w:r>
      <w:r w:rsidRPr="00FA3FC9">
        <w:rPr>
          <w:rFonts w:ascii="Times New Roman" w:hAnsi="Times New Roman" w:cs="Times New Roman"/>
          <w:sz w:val="26"/>
          <w:szCs w:val="26"/>
        </w:rPr>
        <w:t>[24] tuyên bố rằng Máy đo phổ di động tích hợp nhanh (FIMS) được cấu tạo bởi một bộ sạc, một bộ phân loại kích thước, một bình ngưng và một máy dò.</w:t>
      </w:r>
    </w:p>
    <w:p w14:paraId="1C3867BF" w14:textId="77777777" w:rsidR="00FA3FC9" w:rsidRPr="00FA3FC9" w:rsidRDefault="00FA3FC9" w:rsidP="00310131">
      <w:pPr>
        <w:spacing w:before="120" w:after="120"/>
        <w:ind w:firstLine="720"/>
        <w:jc w:val="both"/>
        <w:rPr>
          <w:rFonts w:ascii="Times New Roman" w:hAnsi="Times New Roman" w:cs="Times New Roman"/>
          <w:sz w:val="26"/>
          <w:szCs w:val="26"/>
        </w:rPr>
      </w:pPr>
      <w:r w:rsidRPr="00FA3FC9">
        <w:rPr>
          <w:rFonts w:ascii="Times New Roman" w:hAnsi="Times New Roman" w:cs="Times New Roman"/>
          <w:sz w:val="26"/>
          <w:szCs w:val="26"/>
        </w:rPr>
        <w:t>Kulkarni và cộng sự [28] và Olfert và cộng sự [47] đã mô tả nguyên tắc làm việc của FIMS. Theo các tác giả này, sol khí đi qua một bộ trung hòa, nơi các hạt nhận được sự phân bố điện tích của trạng thái cân bằng lưỡng cực. Theo trình tự, sol khí đi qua một máy phân tích độ linh động, qua đó một dòng khí (bão hòa butanol). Trong trường điện của máy phân tích độ linh động, các hạt mang điện được tách ra theo các đường khác nhau, dựa trên tính linh động điện của chúng. Sau đó, các hạt đã phân loại được vận chuyển bằng dòng chảy trong bình ngưng không có trường, ở đó hơi butanol siêu bão hòa ngưng tụ trên các hạt đã phân loại, làm tăng kích thước của chúng. Tại lối ra của bình ngưng, một chùm tia laser chiếu sáng các giọt và hình ảnh được chụp ở tần số 10 Hz bằng máy ảnh. Hình ảnh không chỉ cung cấp nồng độ hạt mà còn cả đường kính độ linh động của hạt.</w:t>
      </w:r>
    </w:p>
    <w:p w14:paraId="3AF0C62E" w14:textId="77777777" w:rsidR="00FA3FC9" w:rsidRPr="00FA3FC9" w:rsidRDefault="00FA3FC9" w:rsidP="00310131">
      <w:pPr>
        <w:spacing w:before="120" w:after="120"/>
        <w:jc w:val="both"/>
        <w:rPr>
          <w:rFonts w:ascii="Times New Roman" w:hAnsi="Times New Roman" w:cs="Times New Roman"/>
          <w:sz w:val="26"/>
          <w:szCs w:val="26"/>
        </w:rPr>
      </w:pPr>
      <w:r w:rsidRPr="00FA3FC9">
        <w:rPr>
          <w:rFonts w:ascii="Times New Roman" w:hAnsi="Times New Roman" w:cs="Times New Roman"/>
          <w:sz w:val="26"/>
          <w:szCs w:val="26"/>
        </w:rPr>
        <w:t>3.2.8. Bộ tác động điện áp thấp (ELPI)</w:t>
      </w:r>
    </w:p>
    <w:p w14:paraId="41EFAA9A"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 xml:space="preserve">Như đã trình bày bởi Giechaskiel </w:t>
      </w:r>
      <w:r w:rsidR="00AC517D">
        <w:rPr>
          <w:rFonts w:ascii="Times New Roman" w:hAnsi="Times New Roman" w:cs="Times New Roman"/>
          <w:sz w:val="26"/>
          <w:szCs w:val="26"/>
        </w:rPr>
        <w:t>và cộng sự</w:t>
      </w:r>
      <w:r w:rsidRPr="00FA3FC9">
        <w:rPr>
          <w:rFonts w:ascii="Times New Roman" w:hAnsi="Times New Roman" w:cs="Times New Roman"/>
          <w:sz w:val="26"/>
          <w:szCs w:val="26"/>
        </w:rPr>
        <w:t xml:space="preserve"> [24], ELPI phân loại các hạt theo đường kính khí động học của nó, bên cạnh việc đo nồng độ và phân bố hạt theo số lượng (7 nm đến 10 μm). Vincent [26] nói thêm rằng các phép đo sử dụng ELPI gần với thời gian thực.</w:t>
      </w:r>
    </w:p>
    <w:p w14:paraId="2270B242"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Coudray và cộng sự [48] ​​cho rằng sự phân bố kích thước theo số lượng dễ dàng và nhanh chóng bằng cách sử dụng ELPI, để đốt sinh khối. Tuy nhiên, kỹ thuật này phụ thuộc vào mật độ bình xịt. Đối với các tác giả, mật độ sol khí từ các nguồn đốt không được biết rõ và phụ thuộc vào một số thông số. Điều này có thể làm ảnh hưởng đến độ chính xác trong việc phân bố kích thước theo số lượng, do các phép đo ELPI.</w:t>
      </w:r>
    </w:p>
    <w:p w14:paraId="58735F6C"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 xml:space="preserve">Vincent [26] đã mô tả rằng trong ELPIs, các hạt mang điện khi chúng được hút vào. Theo Giechaskiel </w:t>
      </w:r>
      <w:r w:rsidR="00AC517D">
        <w:rPr>
          <w:rFonts w:ascii="Times New Roman" w:hAnsi="Times New Roman" w:cs="Times New Roman"/>
          <w:sz w:val="26"/>
          <w:szCs w:val="26"/>
        </w:rPr>
        <w:t>và cộng sự</w:t>
      </w:r>
      <w:r w:rsidRPr="00FA3FC9">
        <w:rPr>
          <w:rFonts w:ascii="Times New Roman" w:hAnsi="Times New Roman" w:cs="Times New Roman"/>
          <w:sz w:val="26"/>
          <w:szCs w:val="26"/>
        </w:rPr>
        <w:t xml:space="preserve"> [24], việc sạc được thực hiện bằng bộ sạc corona đơn cực. Các hạt tích điện đi qua một Cascade Impactor áp suất thấp, được cấu tạo bởi các bước </w:t>
      </w:r>
      <w:r w:rsidRPr="00FA3FC9">
        <w:rPr>
          <w:rFonts w:ascii="Times New Roman" w:hAnsi="Times New Roman" w:cs="Times New Roman"/>
          <w:sz w:val="26"/>
          <w:szCs w:val="26"/>
        </w:rPr>
        <w:lastRenderedPageBreak/>
        <w:t>thu gom được cách ly về mặt điện. Vì các hạt tác động trong một giai đoạn cụ thể, chúng tạo ra một dòng điện được ghi nhận trong thời gian thực bởi một điện kế.</w:t>
      </w:r>
    </w:p>
    <w:p w14:paraId="5D209D15" w14:textId="77777777" w:rsidR="00AC517D"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 xml:space="preserve">Theo Giechaskiel </w:t>
      </w:r>
      <w:r w:rsidR="00AC517D">
        <w:rPr>
          <w:rFonts w:ascii="Times New Roman" w:hAnsi="Times New Roman" w:cs="Times New Roman"/>
          <w:sz w:val="26"/>
          <w:szCs w:val="26"/>
        </w:rPr>
        <w:t xml:space="preserve">và cộng sự </w:t>
      </w:r>
      <w:r w:rsidRPr="00FA3FC9">
        <w:rPr>
          <w:rFonts w:ascii="Times New Roman" w:hAnsi="Times New Roman" w:cs="Times New Roman"/>
          <w:sz w:val="26"/>
          <w:szCs w:val="26"/>
        </w:rPr>
        <w:t xml:space="preserve">[24], một điều chỉnh ELPI đã được phát triển để đo lượng khí của xe và nó được đặt tên là Dekati Mass Monitor (DMM). Một giai đoạn di động điện đã được thêm vào sự thích ứng này. </w:t>
      </w:r>
    </w:p>
    <w:p w14:paraId="47370938" w14:textId="77777777" w:rsidR="00AC517D"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Trong DMM, sự kết hợp của dữ liệu kích thước khí động học và dữ liệu di động được sử dụng để ước tính mật độ hạt, do đó cho phép chuyển đổi dữ liệu tác động theo nồng độ khối lượng thời gian thực, theo</w:t>
      </w:r>
      <w:r w:rsidR="00AC517D">
        <w:rPr>
          <w:rFonts w:ascii="Times New Roman" w:hAnsi="Times New Roman" w:cs="Times New Roman"/>
          <w:sz w:val="26"/>
          <w:szCs w:val="26"/>
        </w:rPr>
        <w:t xml:space="preserve"> </w:t>
      </w:r>
      <w:r w:rsidRPr="00FA3FC9">
        <w:rPr>
          <w:rFonts w:ascii="Times New Roman" w:hAnsi="Times New Roman" w:cs="Times New Roman"/>
          <w:sz w:val="26"/>
          <w:szCs w:val="26"/>
        </w:rPr>
        <w:t xml:space="preserve">những gì được mô tả bởi Giechaskiel </w:t>
      </w:r>
      <w:r w:rsidR="00AC517D">
        <w:rPr>
          <w:rFonts w:ascii="Times New Roman" w:hAnsi="Times New Roman" w:cs="Times New Roman"/>
          <w:sz w:val="26"/>
          <w:szCs w:val="26"/>
        </w:rPr>
        <w:t>và cộng sự</w:t>
      </w:r>
      <w:r w:rsidRPr="00FA3FC9">
        <w:rPr>
          <w:rFonts w:ascii="Times New Roman" w:hAnsi="Times New Roman" w:cs="Times New Roman"/>
          <w:sz w:val="26"/>
          <w:szCs w:val="26"/>
        </w:rPr>
        <w:t xml:space="preserve"> [24]. </w:t>
      </w:r>
    </w:p>
    <w:p w14:paraId="256973F9" w14:textId="77777777" w:rsidR="00FA3FC9" w:rsidRPr="00FA3FC9" w:rsidRDefault="00AC517D" w:rsidP="00310131">
      <w:pPr>
        <w:spacing w:before="120" w:after="120"/>
        <w:jc w:val="both"/>
        <w:rPr>
          <w:rFonts w:ascii="Times New Roman" w:hAnsi="Times New Roman" w:cs="Times New Roman"/>
          <w:sz w:val="26"/>
          <w:szCs w:val="26"/>
        </w:rPr>
      </w:pPr>
      <w:r>
        <w:rPr>
          <w:rFonts w:ascii="Times New Roman" w:hAnsi="Times New Roman" w:cs="Times New Roman"/>
          <w:sz w:val="26"/>
          <w:szCs w:val="26"/>
        </w:rPr>
        <w:t>3.</w:t>
      </w:r>
      <w:r w:rsidR="00FA3FC9" w:rsidRPr="00FA3FC9">
        <w:rPr>
          <w:rFonts w:ascii="Times New Roman" w:hAnsi="Times New Roman" w:cs="Times New Roman"/>
          <w:sz w:val="26"/>
          <w:szCs w:val="26"/>
        </w:rPr>
        <w:t>2.9. Khí động học Sizers</w:t>
      </w:r>
    </w:p>
    <w:p w14:paraId="5992EDFF"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Máy đo hạt khí động học (APS), Phân bố kích thước hạt (PSD) và Máy đo phổ khối lượng khí dung (AMS) là thiết bị được sử dụng để đo kích thước khí động học.</w:t>
      </w:r>
    </w:p>
    <w:p w14:paraId="74C147F8"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 xml:space="preserve">Trong các nghiên cứu được thực hiện bởi Hossain </w:t>
      </w:r>
      <w:r w:rsidR="00AC517D">
        <w:rPr>
          <w:rFonts w:ascii="Times New Roman" w:hAnsi="Times New Roman" w:cs="Times New Roman"/>
          <w:sz w:val="26"/>
          <w:szCs w:val="26"/>
        </w:rPr>
        <w:t xml:space="preserve">và cộng sự </w:t>
      </w:r>
      <w:r w:rsidRPr="00FA3FC9">
        <w:rPr>
          <w:rFonts w:ascii="Times New Roman" w:hAnsi="Times New Roman" w:cs="Times New Roman"/>
          <w:sz w:val="26"/>
          <w:szCs w:val="26"/>
        </w:rPr>
        <w:t>[44], một PSD đã được sử dụng để đo đường kính khí động học PM. Tuy nhiên, không tìm thấy mô tả liên quan đến thiết bị này, vì cấu tạo của nó bị nhà sản xuất hạn chế.</w:t>
      </w:r>
    </w:p>
    <w:p w14:paraId="35F2EA5C"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APS là một quang phổ kế có nguyên lý hoạt động dựa trên sự gia tốc của dòng mẫu sol khí qua một lỗ gia tốc. Kích thước khí động học của hạt quyết định tốc độ gia tốc của nó. Các hạt lớn hơn tăng tốc chậm do quán tính lớn hơn. Tại đầu ra của vòi phun, các hạt bắt chéo nhau qua hai chùm tia laze chồng lên nhau một phần, trong vùng phát hiện. Ánh sáng bị tán xạ khi mỗi hạt đi qua các chùm tia chồng lên nhau. Một gương hình elip, được đặt 90 độ so với trục chùm tia laze, thu thập và tập trung ánh sáng qua một máy tách sóng quang tuyết lở (APD). Tiếp theo, APS chuyển đổi xung ánh sáng thành xung điện.</w:t>
      </w:r>
    </w:p>
    <w:p w14:paraId="4315893D"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 xml:space="preserve">Như đã thảo luận bởi Hosseini </w:t>
      </w:r>
      <w:r w:rsidR="00AC517D">
        <w:rPr>
          <w:rFonts w:ascii="Times New Roman" w:hAnsi="Times New Roman" w:cs="Times New Roman"/>
          <w:sz w:val="26"/>
          <w:szCs w:val="26"/>
        </w:rPr>
        <w:t xml:space="preserve">và cộng sự </w:t>
      </w:r>
      <w:r w:rsidRPr="00FA3FC9">
        <w:rPr>
          <w:rFonts w:ascii="Times New Roman" w:hAnsi="Times New Roman" w:cs="Times New Roman"/>
          <w:sz w:val="26"/>
          <w:szCs w:val="26"/>
        </w:rPr>
        <w:t>[16], APS có khả năng đo phân bố kích thước của các hạt trong phạm vi kích thước từ 0,5 đến 20 μm. Các hạt mẫu được tăng tốc khi khí vận chuyển chảy qua vòi phun hội tụ. Do quán tính, các hạt không thể tăng tốc nhanh như khí và thiếu tốc độ so với khí. Kích thước hạt có liên quan đến sự thiếu tốc độ này, được đo bằng lối ra của vòi phun mà qua đó các hạt đi qua hai chùm tia laze có khoảng cách gần nhau. Thời gian bay giữa hai chùm tia laser sau đó được sử dụng để tính toán đường kính khí động học.</w:t>
      </w:r>
    </w:p>
    <w:p w14:paraId="2C3EBD62"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Khả năng thực hiện các phép đo phân bố kích thước và khối lượng sol khí, trong một AMS, được so sánh với các phép đo đồng thời sử dụng DMA và CPC, trong các nghiên cứu của Jayne và cộng sự</w:t>
      </w:r>
      <w:r w:rsidR="00AC517D">
        <w:rPr>
          <w:rFonts w:ascii="Times New Roman" w:hAnsi="Times New Roman" w:cs="Times New Roman"/>
          <w:sz w:val="26"/>
          <w:szCs w:val="26"/>
        </w:rPr>
        <w:t xml:space="preserve"> </w:t>
      </w:r>
      <w:r w:rsidRPr="00FA3FC9">
        <w:rPr>
          <w:rFonts w:ascii="Times New Roman" w:hAnsi="Times New Roman" w:cs="Times New Roman"/>
          <w:sz w:val="26"/>
          <w:szCs w:val="26"/>
        </w:rPr>
        <w:t>[49]. AMS được phát triển trong phòng thí nghiệm kết hợp lấy mẫu khí dung hiệu suất cao và một hệ thống hiệu quả để phát hiện hạt, thông qua hóa hơi nhiệt. Theo các tác giả này, thiết bị được cấu tạo bởi ba phần chính: một khoang để lấy mẫu sol khí, một khoang để đo kích thước hạt và một khoang để phát hiện thành phần hạt.</w:t>
      </w:r>
    </w:p>
    <w:p w14:paraId="7DF4125E" w14:textId="77777777" w:rsidR="00FA3FC9" w:rsidRPr="00FA3FC9" w:rsidRDefault="00FA3FC9" w:rsidP="00310131">
      <w:pPr>
        <w:spacing w:before="120" w:after="120"/>
        <w:jc w:val="both"/>
        <w:rPr>
          <w:rFonts w:ascii="Times New Roman" w:hAnsi="Times New Roman" w:cs="Times New Roman"/>
          <w:b/>
          <w:bCs/>
          <w:sz w:val="26"/>
          <w:szCs w:val="26"/>
        </w:rPr>
      </w:pPr>
      <w:r w:rsidRPr="00FA3FC9">
        <w:rPr>
          <w:rFonts w:ascii="Times New Roman" w:hAnsi="Times New Roman" w:cs="Times New Roman"/>
          <w:b/>
          <w:bCs/>
          <w:sz w:val="26"/>
          <w:szCs w:val="26"/>
        </w:rPr>
        <w:lastRenderedPageBreak/>
        <w:t>4. Thảo luận</w:t>
      </w:r>
    </w:p>
    <w:p w14:paraId="1771A214"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 xml:space="preserve">Như được mô tả trong bài tổng quan này, có nhiều loại thiết bị khác nhau để đo </w:t>
      </w:r>
      <w:r w:rsidR="00AC517D">
        <w:rPr>
          <w:rFonts w:ascii="Times New Roman" w:hAnsi="Times New Roman" w:cs="Times New Roman"/>
          <w:sz w:val="26"/>
          <w:szCs w:val="26"/>
        </w:rPr>
        <w:t xml:space="preserve">hàm lượng bụi </w:t>
      </w:r>
      <w:r w:rsidRPr="00FA3FC9">
        <w:rPr>
          <w:rFonts w:ascii="Times New Roman" w:hAnsi="Times New Roman" w:cs="Times New Roman"/>
          <w:sz w:val="26"/>
          <w:szCs w:val="26"/>
        </w:rPr>
        <w:t>trên thị trường. Các đặc điểm của thiết bị đo hạt chính được mô tả trên Bảng 1. Những đặc điểm này có thể hướng dẫn nhà nghiên cứu lựa chọn thiết bị thích hợp nhất cho nhu cầu của mình.</w:t>
      </w:r>
    </w:p>
    <w:p w14:paraId="7D638B8A"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Các đặc điểm được đánh giá trên Bảng 1 bao gồm: khả năng lấy mẫu hạt trong thời gian thực; cần pha loãng dòng khí trước khi thu; giới hạn phát hiện của thiết bị; phạm vi kích thước; độ chính xác của thiết bị; và những ưu nhược điểm chính. Ngoài các thông số được đánh giá trong công việc này, có các thông số khác có thể được sử dụng để lựa chọn máy đo PM thích hợp nhất, ví dụ, độ bền, yêu cầu bảo trì và tính sẵn sàng để đo hạt trong dòng không khí ẩm hoặc trong môi trường được làm ẩm .</w:t>
      </w:r>
    </w:p>
    <w:p w14:paraId="6EED28C3"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 xml:space="preserve">Lấy mẫu hạt theo thời gian thực là một đặc tính mong muốn trong tất cả các nghiên cứu vì nó cho phép giám sát các quá trình như đốt cháy. Hơn nữa, các thiết bị cho phép thu thập hạt trong thời gian thực thường có hệ thống tự động để lưu trữ dữ liệu. Data Ram 4, được sử dụng trong các thí nghiệm của Costa </w:t>
      </w:r>
      <w:r w:rsidR="00F32DCB">
        <w:rPr>
          <w:rFonts w:ascii="Times New Roman" w:hAnsi="Times New Roman" w:cs="Times New Roman"/>
          <w:sz w:val="26"/>
          <w:szCs w:val="26"/>
        </w:rPr>
        <w:t>và cộng sự</w:t>
      </w:r>
      <w:r w:rsidRPr="00FA3FC9">
        <w:rPr>
          <w:rFonts w:ascii="Times New Roman" w:hAnsi="Times New Roman" w:cs="Times New Roman"/>
          <w:sz w:val="26"/>
          <w:szCs w:val="26"/>
        </w:rPr>
        <w:t xml:space="preserve"> [17] và Amaral và cộng s</w:t>
      </w:r>
      <w:r w:rsidR="00F32DCB">
        <w:rPr>
          <w:rFonts w:ascii="Times New Roman" w:hAnsi="Times New Roman" w:cs="Times New Roman"/>
          <w:sz w:val="26"/>
          <w:szCs w:val="26"/>
        </w:rPr>
        <w:t xml:space="preserve">ự </w:t>
      </w:r>
      <w:r w:rsidRPr="00FA3FC9">
        <w:rPr>
          <w:rFonts w:ascii="Times New Roman" w:hAnsi="Times New Roman" w:cs="Times New Roman"/>
          <w:sz w:val="26"/>
          <w:szCs w:val="26"/>
        </w:rPr>
        <w:t>[50], là một ví dụ về thiết bị bao gồm thu thập hạt trong thời gian thực và lưu trữ dữ liệu.</w:t>
      </w:r>
    </w:p>
    <w:p w14:paraId="1B41B5F5"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Một đặc điểm khác phải được quan sát trong quá trình lựa chọn máy đo PM là liệu có cần hệ thống pha loãng hay không. Hệ thống pha loãng có thể làm giảm nồng độ hạt và nhiệt độ của khí cháy. Do đó, việc sử dụng hệ thống pha loãng cung cấp việc lấy mẫu thực tế hơn và đại diện hơn về phát thải vật chất dạng hạt. Sự pha loãng làm giảm nhiệt độ, dập tắt các phản ứng hóa học trong dòng khí và ngăn chặn sự thay đổi của kích thước hạt. Hơn nữa, các hệ thống này cung cấp độ bền cao hơn cho các dụng cụ đo do các yêu cầu đầu vào của máy phân tích. Theo Nussbaumer et al. [21], hầu hết các dụng cụ có sẵn để đo hạt đều yêu cầu hệ thống pha loãng. Các thiết bị như Scattering, Spotmeter, Opacity và DLPI không yêu cầu sử dụng hệ thống pha loãng. Đối với thiết bị TEOM, việc sử dụng hệ thống pha loãng là tùy chọn.</w:t>
      </w:r>
    </w:p>
    <w:p w14:paraId="42EE27E2" w14:textId="77777777" w:rsidR="00FA3FC9" w:rsidRPr="00FA3FC9" w:rsidRDefault="00FA3FC9" w:rsidP="00FA3FC9">
      <w:pPr>
        <w:spacing w:before="120"/>
        <w:jc w:val="both"/>
        <w:rPr>
          <w:rFonts w:ascii="Times New Roman" w:hAnsi="Times New Roman" w:cs="Times New Roman"/>
          <w:sz w:val="26"/>
          <w:szCs w:val="26"/>
        </w:rPr>
      </w:pPr>
      <w:r w:rsidRPr="00FA3FC9">
        <w:rPr>
          <w:rFonts w:ascii="Times New Roman" w:hAnsi="Times New Roman" w:cs="Times New Roman"/>
          <w:noProof/>
          <w:sz w:val="26"/>
          <w:szCs w:val="26"/>
          <w:lang w:eastAsia="zh-CN"/>
        </w:rPr>
        <w:lastRenderedPageBreak/>
        <w:drawing>
          <wp:inline distT="0" distB="0" distL="0" distR="0" wp14:anchorId="721EDC54" wp14:editId="24F782DF">
            <wp:extent cx="5727700" cy="4293235"/>
            <wp:effectExtent l="0" t="0" r="0" b="0"/>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pic:nvPicPr>
                  <pic:blipFill>
                    <a:blip r:embed="rId6"/>
                    <a:stretch>
                      <a:fillRect/>
                    </a:stretch>
                  </pic:blipFill>
                  <pic:spPr>
                    <a:xfrm>
                      <a:off x="0" y="0"/>
                      <a:ext cx="5727700" cy="4293235"/>
                    </a:xfrm>
                    <a:prstGeom prst="rect">
                      <a:avLst/>
                    </a:prstGeom>
                  </pic:spPr>
                </pic:pic>
              </a:graphicData>
            </a:graphic>
          </wp:inline>
        </w:drawing>
      </w:r>
    </w:p>
    <w:p w14:paraId="457CE590"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Khi quyết định thiết bị nào thích hợp nhất, nhà nghiên cứu phải đánh giá các vấn đề liên quan đến giới hạn phát hiện và phạm vi kích thước của thiết bị. Spotmeter, được sử dụng để đo nồng độ BC thông qua sự hấp thụ ánh sáng, đã được báo cáo là có thể đo tất cả các kích thước hạt</w:t>
      </w:r>
      <w:r w:rsidRPr="00FA3FC9">
        <w:rPr>
          <w:rFonts w:ascii="Times New Roman" w:hAnsi="Times New Roman" w:cs="Times New Roman"/>
          <w:sz w:val="26"/>
          <w:szCs w:val="26"/>
          <w:lang w:val="vi-VN"/>
        </w:rPr>
        <w:t xml:space="preserve"> </w:t>
      </w:r>
      <w:r w:rsidRPr="00FA3FC9">
        <w:rPr>
          <w:rFonts w:ascii="Times New Roman" w:hAnsi="Times New Roman" w:cs="Times New Roman"/>
          <w:sz w:val="26"/>
          <w:szCs w:val="26"/>
        </w:rPr>
        <w:t>3 dãy. Giới hạn phát hiện của thiết bị</w:t>
      </w:r>
      <w:r w:rsidR="00F32DCB">
        <w:rPr>
          <w:rFonts w:ascii="Times New Roman" w:hAnsi="Times New Roman" w:cs="Times New Roman"/>
          <w:sz w:val="26"/>
          <w:szCs w:val="26"/>
        </w:rPr>
        <w:t xml:space="preserve"> này là 25 μg/</w:t>
      </w:r>
      <w:r w:rsidRPr="00FA3FC9">
        <w:rPr>
          <w:rFonts w:ascii="Times New Roman" w:hAnsi="Times New Roman" w:cs="Times New Roman"/>
          <w:sz w:val="26"/>
          <w:szCs w:val="26"/>
        </w:rPr>
        <w:t>m.</w:t>
      </w:r>
    </w:p>
    <w:p w14:paraId="637FA4B2"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Độ chính xác thể hiện sự gần gũi giữa giá trị đo bằng công cụ và giá trị thực. Đây là một biến số cũng cần được xem xét trong quá trình lựa chọn máy đo PM. Thiết bị có độ chính xác cao nhất trên Bảng 1 là Máy đo quang tán xạ (30%). Mặt khác, phương pháp đo dựa trên bộ lọc kém chính xác nhất (5%).</w:t>
      </w:r>
    </w:p>
    <w:p w14:paraId="32DE2345"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 xml:space="preserve">Các phương pháp sử dụng bộ lọc không chính xác lắm, nhưng ưu điểm chính của việc đo các hạt bằng bộ lọc và Máy tác động tầng thông thường là khả năng thực hiện phân tích hóa học. Tuy nhiên, phương pháp lấy mẫu này rất tốn công sức. Trong hệ thống này, việc thu thập không tự động và không diễn ra theo thời gian thực. Thiết bị này được chỉ định cho các tình huống trong đó phép đo bao gồm các hạt thô và mịn và không bao gồm các hạt siêu mịn, như Wilson </w:t>
      </w:r>
      <w:r w:rsidR="00F32DCB">
        <w:rPr>
          <w:rFonts w:ascii="Times New Roman" w:hAnsi="Times New Roman" w:cs="Times New Roman"/>
          <w:sz w:val="26"/>
          <w:szCs w:val="26"/>
        </w:rPr>
        <w:t>và cộng sự [23]</w:t>
      </w:r>
      <w:r w:rsidRPr="00FA3FC9">
        <w:rPr>
          <w:rFonts w:ascii="Times New Roman" w:hAnsi="Times New Roman" w:cs="Times New Roman"/>
          <w:sz w:val="26"/>
          <w:szCs w:val="26"/>
        </w:rPr>
        <w:t xml:space="preserve"> mô tả</w:t>
      </w:r>
      <w:r w:rsidR="00F32DCB">
        <w:rPr>
          <w:rFonts w:ascii="Times New Roman" w:hAnsi="Times New Roman" w:cs="Times New Roman"/>
          <w:sz w:val="26"/>
          <w:szCs w:val="26"/>
        </w:rPr>
        <w:t>.</w:t>
      </w:r>
    </w:p>
    <w:p w14:paraId="0EFBE968"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lastRenderedPageBreak/>
        <w:t>Các phép đo liên quan đến UFP rất quan trọng, đặc biệt là trong các nghiên cứu liên quan đến sức khỏe. Trong trường hợp này, thiết bị được khuyến nghị nhất là đo nồng độ số của các hạt, như trong trường hợp SMPS, FMPS, ELPI và OPC.</w:t>
      </w:r>
    </w:p>
    <w:p w14:paraId="7135FE5D"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 xml:space="preserve">Mặc dù độ chính xác thấp, SMPS đo các hạt rất nhỏ tốt hơn FMPS. Tuy nhiên, lấy mẫu SMPS không theo thời gian thực, như đã thảo luận bởi Nussbaumer </w:t>
      </w:r>
      <w:r w:rsidR="00F32DCB">
        <w:rPr>
          <w:rFonts w:ascii="Times New Roman" w:hAnsi="Times New Roman" w:cs="Times New Roman"/>
          <w:sz w:val="26"/>
          <w:szCs w:val="26"/>
        </w:rPr>
        <w:t>và cộng sự</w:t>
      </w:r>
      <w:r w:rsidRPr="00FA3FC9">
        <w:rPr>
          <w:rFonts w:ascii="Times New Roman" w:hAnsi="Times New Roman" w:cs="Times New Roman"/>
          <w:sz w:val="26"/>
          <w:szCs w:val="26"/>
        </w:rPr>
        <w:t xml:space="preserve"> [21].</w:t>
      </w:r>
    </w:p>
    <w:p w14:paraId="3F6C2FD8"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Đối với ELPI, là một Cascade Impactor, giới hạn phát hiện hạt tối thiểu là 10 nm và tối đa là 10.000 nm. Ngoài ra, các phép đo được thực hiện theo thời gian thực và có thể tiến hành phân tích hóa học các hạt tích tụ trong đĩa Impactor. Với thiết bị này, nồng độ số được xác định trực tuyến và nồng độ khối lượng ngoại tuyến.</w:t>
      </w:r>
    </w:p>
    <w:p w14:paraId="34744743"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 xml:space="preserve">Trong nghiên cứu của Nussbaumer </w:t>
      </w:r>
      <w:r w:rsidR="00F32DCB">
        <w:rPr>
          <w:rFonts w:ascii="Times New Roman" w:hAnsi="Times New Roman" w:cs="Times New Roman"/>
          <w:sz w:val="26"/>
          <w:szCs w:val="26"/>
        </w:rPr>
        <w:t>và cộng sự</w:t>
      </w:r>
      <w:r w:rsidR="00F32DCB" w:rsidRPr="00FA3FC9">
        <w:rPr>
          <w:rFonts w:ascii="Times New Roman" w:hAnsi="Times New Roman" w:cs="Times New Roman"/>
          <w:sz w:val="26"/>
          <w:szCs w:val="26"/>
        </w:rPr>
        <w:t xml:space="preserve"> </w:t>
      </w:r>
      <w:r w:rsidRPr="00FA3FC9">
        <w:rPr>
          <w:rFonts w:ascii="Times New Roman" w:hAnsi="Times New Roman" w:cs="Times New Roman"/>
          <w:sz w:val="26"/>
          <w:szCs w:val="26"/>
        </w:rPr>
        <w:t>[21] về sự phát xạ hạt do đốt sinh khối, 17 viện đã được phỏng vấn về thiết bị mà họ sử dụng để đo vật chất dạng hạt. SMPS và ELPI đã được sử dụng bởi 50% tất cả các viện. FMPS đã được sử dụng trong một viện. Máy đếm hạt quang học đã được sử dụng 25% và máy đo độ mờ không được sử dụng. APS được sử dụng bởi hai viện và TEOM được sử dụng bởi 40% số người được hỏi.</w:t>
      </w:r>
    </w:p>
    <w:p w14:paraId="6BDEAE5A"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 xml:space="preserve">Mặc dù có những ưu điểm của SMPS và ELPI trong phép đo UFP, các thiết bị này không phân biệt được giữa chất kết tụ UFP và hạt thô. Sự phân biệt này cực kỳ quan trọng trong các vấn đề liên quan đến sức khỏe. Theo Oberdörster </w:t>
      </w:r>
      <w:r w:rsidR="00F32DCB">
        <w:rPr>
          <w:rFonts w:ascii="Times New Roman" w:hAnsi="Times New Roman" w:cs="Times New Roman"/>
          <w:sz w:val="26"/>
          <w:szCs w:val="26"/>
        </w:rPr>
        <w:t>và cộng sự</w:t>
      </w:r>
      <w:r w:rsidR="00F32DCB" w:rsidRPr="00FA3FC9">
        <w:rPr>
          <w:rFonts w:ascii="Times New Roman" w:hAnsi="Times New Roman" w:cs="Times New Roman"/>
          <w:sz w:val="26"/>
          <w:szCs w:val="26"/>
        </w:rPr>
        <w:t xml:space="preserve"> </w:t>
      </w:r>
      <w:r w:rsidRPr="00FA3FC9">
        <w:rPr>
          <w:rFonts w:ascii="Times New Roman" w:hAnsi="Times New Roman" w:cs="Times New Roman"/>
          <w:sz w:val="26"/>
          <w:szCs w:val="26"/>
        </w:rPr>
        <w:t xml:space="preserve">[7], UFP kết tụ độc hơn các hạt thô. Ảnh hưởng sức khỏe của UFP liên quan đến diện tích bề mặt của chúng. Như vậy, trong nghiên cứu liên quan đến sức khỏe, thiết bị phải đo diện tích bề mặt của hạt. Trong </w:t>
      </w:r>
      <w:r w:rsidR="00F32DCB">
        <w:rPr>
          <w:rFonts w:ascii="Times New Roman" w:hAnsi="Times New Roman" w:cs="Times New Roman"/>
          <w:sz w:val="26"/>
          <w:szCs w:val="26"/>
        </w:rPr>
        <w:t>trường hợp</w:t>
      </w:r>
      <w:r w:rsidRPr="00FA3FC9">
        <w:rPr>
          <w:rFonts w:ascii="Times New Roman" w:hAnsi="Times New Roman" w:cs="Times New Roman"/>
          <w:sz w:val="26"/>
          <w:szCs w:val="26"/>
        </w:rPr>
        <w:t xml:space="preserve"> này, Bộ sạc khuếch tán (DC) là công cụ phù hợp nhất.</w:t>
      </w:r>
    </w:p>
    <w:p w14:paraId="58D3AACE"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Khả năng thu nhận điện tích của các hạt tạo điều kiện cho sự phát triển của Bộ sạc khuếch tán, như đã được khẳng định bởi Giechaskiel và cộng sự</w:t>
      </w:r>
      <w:r w:rsidR="00F32DCB">
        <w:rPr>
          <w:rFonts w:ascii="Times New Roman" w:hAnsi="Times New Roman" w:cs="Times New Roman"/>
          <w:sz w:val="26"/>
          <w:szCs w:val="26"/>
        </w:rPr>
        <w:t xml:space="preserve"> </w:t>
      </w:r>
      <w:r w:rsidRPr="00FA3FC9">
        <w:rPr>
          <w:rFonts w:ascii="Times New Roman" w:hAnsi="Times New Roman" w:cs="Times New Roman"/>
          <w:sz w:val="26"/>
          <w:szCs w:val="26"/>
        </w:rPr>
        <w:t>[24]. Theo các tác giả này, cảm biến có xu hướng thiết kế đơn giản, giá thành rẻ và độ nhạy cao.</w:t>
      </w:r>
    </w:p>
    <w:p w14:paraId="4B4C8145"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Trong Bộ sạc khuếch tán, sol khí được thu thập trong thiết bị và đi qua bộ ion hóa mang các hạt dương. Bình xịt được nạp sẽ đi qua một cái bẫy để loại bỏ lượng ion dư thừa và thông qua DMA để tách các hạt nạp. Các hạt đi đến một điện kế, nơi đo điện tích của sol khí, thông qua việc ghi lại dòng điện. Giechaskiel và cộng sự [24] trình bày chi tiết quá trình tải các hạt của các ion trong bộ ion hóa. Các tác giả đã đề cập rằng các ion thường bắt nguồn từ sự phóng điện hào quang.</w:t>
      </w:r>
    </w:p>
    <w:p w14:paraId="51080523"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Ngoài các đặc điểm đã thảo luận trước đây, khi lựa chọn thiết bị đo hạt, khả năng vận chuyển thiết bị đến môi trường lấy mẫu, tức là thiết bị có di động hay không, là một yếu tố quan trọng cần xem xét.</w:t>
      </w:r>
    </w:p>
    <w:p w14:paraId="3BB9FE16"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lastRenderedPageBreak/>
        <w:t>Không có một công cụ tốt nhất để đo vật chất dạng hạt, nhưng một công cụ thích hợp nhất cho từng tình huống. Để chọn thiết bị tốt nhất, nhà nghiên cứu phải đặt mục tiêu chính của phép đo của mình và tìm hiểu các đặc điểm chính của thiết bị thương mại.</w:t>
      </w:r>
    </w:p>
    <w:p w14:paraId="69555AD2"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 xml:space="preserve">Các phương pháp đo hạt khác nhau được khuyến nghị để xác nhận các giá trị thu được trong quá trình lấy mẫu, như trong các nghiên cứu của Hosseini </w:t>
      </w:r>
      <w:r w:rsidR="00F32DCB">
        <w:rPr>
          <w:rFonts w:ascii="Times New Roman" w:hAnsi="Times New Roman" w:cs="Times New Roman"/>
          <w:sz w:val="26"/>
          <w:szCs w:val="26"/>
        </w:rPr>
        <w:t>và cộng sự</w:t>
      </w:r>
      <w:r w:rsidR="00F32DCB" w:rsidRPr="00FA3FC9">
        <w:rPr>
          <w:rFonts w:ascii="Times New Roman" w:hAnsi="Times New Roman" w:cs="Times New Roman"/>
          <w:sz w:val="26"/>
          <w:szCs w:val="26"/>
        </w:rPr>
        <w:t xml:space="preserve"> </w:t>
      </w:r>
      <w:r w:rsidRPr="00FA3FC9">
        <w:rPr>
          <w:rFonts w:ascii="Times New Roman" w:hAnsi="Times New Roman" w:cs="Times New Roman"/>
          <w:sz w:val="26"/>
          <w:szCs w:val="26"/>
        </w:rPr>
        <w:t xml:space="preserve">[16], Costa và cộng sự [17], Hossain và cộng sự [44], và Amaral </w:t>
      </w:r>
      <w:r w:rsidR="00F32DCB">
        <w:rPr>
          <w:rFonts w:ascii="Times New Roman" w:hAnsi="Times New Roman" w:cs="Times New Roman"/>
          <w:sz w:val="26"/>
          <w:szCs w:val="26"/>
        </w:rPr>
        <w:t>và cộng sự</w:t>
      </w:r>
      <w:r w:rsidR="00F32DCB" w:rsidRPr="00FA3FC9">
        <w:rPr>
          <w:rFonts w:ascii="Times New Roman" w:hAnsi="Times New Roman" w:cs="Times New Roman"/>
          <w:sz w:val="26"/>
          <w:szCs w:val="26"/>
        </w:rPr>
        <w:t xml:space="preserve"> </w:t>
      </w:r>
      <w:r w:rsidRPr="00FA3FC9">
        <w:rPr>
          <w:rFonts w:ascii="Times New Roman" w:hAnsi="Times New Roman" w:cs="Times New Roman"/>
          <w:sz w:val="26"/>
          <w:szCs w:val="26"/>
        </w:rPr>
        <w:t>[50].</w:t>
      </w:r>
    </w:p>
    <w:p w14:paraId="0A8A1969" w14:textId="77777777" w:rsidR="00FA3FC9" w:rsidRPr="00FA3FC9" w:rsidRDefault="00FA3FC9" w:rsidP="00310131">
      <w:pPr>
        <w:spacing w:before="120" w:after="120"/>
        <w:jc w:val="both"/>
        <w:rPr>
          <w:rFonts w:ascii="Times New Roman" w:hAnsi="Times New Roman" w:cs="Times New Roman"/>
          <w:b/>
          <w:bCs/>
          <w:sz w:val="26"/>
          <w:szCs w:val="26"/>
        </w:rPr>
      </w:pPr>
      <w:r w:rsidRPr="00FA3FC9">
        <w:rPr>
          <w:rFonts w:ascii="Times New Roman" w:hAnsi="Times New Roman" w:cs="Times New Roman"/>
          <w:b/>
          <w:bCs/>
          <w:sz w:val="26"/>
          <w:szCs w:val="26"/>
        </w:rPr>
        <w:t xml:space="preserve">5. Kết </w:t>
      </w:r>
      <w:r w:rsidR="00F32DCB">
        <w:rPr>
          <w:rFonts w:ascii="Times New Roman" w:hAnsi="Times New Roman" w:cs="Times New Roman"/>
          <w:b/>
          <w:bCs/>
          <w:sz w:val="26"/>
          <w:szCs w:val="26"/>
        </w:rPr>
        <w:t>l</w:t>
      </w:r>
      <w:r w:rsidRPr="00FA3FC9">
        <w:rPr>
          <w:rFonts w:ascii="Times New Roman" w:hAnsi="Times New Roman" w:cs="Times New Roman"/>
          <w:b/>
          <w:bCs/>
          <w:sz w:val="26"/>
          <w:szCs w:val="26"/>
        </w:rPr>
        <w:t>uận</w:t>
      </w:r>
    </w:p>
    <w:p w14:paraId="6EFD92EE"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Mục đích của công việc này là giúp các nhà nghiên cứu chọn thiết bị phù hợp nhất để đo PM. Trong bối cảnh đó, các kết luận chính là: để chọn thiết bị thích hợp, nhà nghiên cứu phải xác định rõ mục đích của nghiên cứu, cũng như hiểu rõ các thông số kỹ thuật chính của thiết bị; ELPI và SMPS là các thiết bị phù hợp để đo các hạt mịn và ELPI hoạt động trong thời gian thực; Trong các nghiên cứu liên quan đến sức khỏe, Bộ sạc khuếch tán là loại thiết bị thể hiện rõ nhất bề mặt của các hạt siêu mịn; Nên sử dụng các phương pháp và thiết bị đo hạt khác nhau để xác nhận các giá trị thu được trong quá trình lấy mẫu.</w:t>
      </w:r>
    </w:p>
    <w:p w14:paraId="10FAA0BC" w14:textId="47DF7C05" w:rsidR="00FA3FC9" w:rsidRPr="005C07F5" w:rsidRDefault="005C07F5" w:rsidP="00310131">
      <w:pPr>
        <w:spacing w:before="120" w:after="120"/>
        <w:jc w:val="both"/>
        <w:rPr>
          <w:rFonts w:ascii="Times New Roman" w:hAnsi="Times New Roman" w:cs="Times New Roman"/>
          <w:b/>
          <w:bCs/>
          <w:sz w:val="26"/>
          <w:szCs w:val="26"/>
          <w:lang w:val="vi-VN"/>
        </w:rPr>
      </w:pPr>
      <w:r>
        <w:rPr>
          <w:rFonts w:ascii="Times New Roman" w:hAnsi="Times New Roman" w:cs="Times New Roman"/>
          <w:b/>
          <w:bCs/>
          <w:sz w:val="26"/>
          <w:szCs w:val="26"/>
        </w:rPr>
        <w:t>Lời</w:t>
      </w:r>
      <w:r>
        <w:rPr>
          <w:rFonts w:ascii="Times New Roman" w:hAnsi="Times New Roman" w:cs="Times New Roman"/>
          <w:b/>
          <w:bCs/>
          <w:sz w:val="26"/>
          <w:szCs w:val="26"/>
          <w:lang w:val="vi-VN"/>
        </w:rPr>
        <w:t xml:space="preserve"> cảm </w:t>
      </w:r>
      <w:r w:rsidR="007361F7">
        <w:rPr>
          <w:rFonts w:ascii="Times New Roman" w:hAnsi="Times New Roman" w:cs="Times New Roman"/>
          <w:b/>
          <w:bCs/>
          <w:sz w:val="26"/>
          <w:szCs w:val="26"/>
          <w:lang w:val="vi-VN"/>
        </w:rPr>
        <w:t>ơn</w:t>
      </w:r>
    </w:p>
    <w:p w14:paraId="79F511E7"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Tài trợ cho nghiên cứu này do Quỹ Hỗ trợ Nghiên cứu (FAPESP) của Bang São Paulo cung cấp (Dự án chuyên đề số 08 / 04490-4 và Học bổng Tiến sĩ 13 / 21231-0).</w:t>
      </w:r>
    </w:p>
    <w:p w14:paraId="49BCC14E" w14:textId="77777777" w:rsidR="00FA3FC9" w:rsidRPr="00FA3FC9" w:rsidRDefault="00FA3FC9" w:rsidP="00310131">
      <w:pPr>
        <w:spacing w:before="120" w:after="120"/>
        <w:jc w:val="both"/>
        <w:rPr>
          <w:rFonts w:ascii="Times New Roman" w:hAnsi="Times New Roman" w:cs="Times New Roman"/>
          <w:b/>
          <w:bCs/>
          <w:sz w:val="26"/>
          <w:szCs w:val="26"/>
        </w:rPr>
      </w:pPr>
      <w:r w:rsidRPr="00FA3FC9">
        <w:rPr>
          <w:rFonts w:ascii="Times New Roman" w:hAnsi="Times New Roman" w:cs="Times New Roman"/>
          <w:b/>
          <w:bCs/>
          <w:sz w:val="26"/>
          <w:szCs w:val="26"/>
        </w:rPr>
        <w:t>Sự đóng góp của tác giả</w:t>
      </w:r>
    </w:p>
    <w:p w14:paraId="6950A6E0"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Simone Simões Amaral chịu trách nhiệm tìm kiếm thư mục và viết bài báo; Cleverson Pinheiro tham gia thiết kế nghiên cứu và phân tích kết quả; João Andrade de Carvalho Jr. và Maria Angélica Martins Costa đã tham gia vào việc chuẩn bị, chỉnh sửa và phê duyệt bản thảo đã nộp.</w:t>
      </w:r>
    </w:p>
    <w:p w14:paraId="561EBB89" w14:textId="77777777" w:rsidR="00FA3FC9" w:rsidRPr="00FA3FC9" w:rsidRDefault="00FA3FC9" w:rsidP="00310131">
      <w:pPr>
        <w:spacing w:before="120" w:after="120"/>
        <w:jc w:val="both"/>
        <w:rPr>
          <w:rFonts w:ascii="Times New Roman" w:hAnsi="Times New Roman" w:cs="Times New Roman"/>
          <w:b/>
          <w:bCs/>
          <w:sz w:val="26"/>
          <w:szCs w:val="26"/>
        </w:rPr>
      </w:pPr>
      <w:r w:rsidRPr="00FA3FC9">
        <w:rPr>
          <w:rFonts w:ascii="Times New Roman" w:hAnsi="Times New Roman" w:cs="Times New Roman"/>
          <w:b/>
          <w:bCs/>
          <w:sz w:val="26"/>
          <w:szCs w:val="26"/>
        </w:rPr>
        <w:t>Xung đột lợi ích</w:t>
      </w:r>
    </w:p>
    <w:p w14:paraId="740D60A4" w14:textId="77777777" w:rsidR="00FA3FC9" w:rsidRPr="00FA3FC9" w:rsidRDefault="00FA3FC9" w:rsidP="00310131">
      <w:pPr>
        <w:spacing w:before="120" w:after="120"/>
        <w:ind w:firstLine="425"/>
        <w:jc w:val="both"/>
        <w:rPr>
          <w:rFonts w:ascii="Times New Roman" w:hAnsi="Times New Roman" w:cs="Times New Roman"/>
          <w:sz w:val="26"/>
          <w:szCs w:val="26"/>
        </w:rPr>
      </w:pPr>
      <w:r w:rsidRPr="00FA3FC9">
        <w:rPr>
          <w:rFonts w:ascii="Times New Roman" w:hAnsi="Times New Roman" w:cs="Times New Roman"/>
          <w:sz w:val="26"/>
          <w:szCs w:val="26"/>
        </w:rPr>
        <w:t>Các nhà tài trợ sáng lập không có vai trò gì trong việc thiết kế nghiên cứu; trong việc thu thập, phân tích hoặc giải thích dữ liệu; trong việc viết bản thảo, và trong quyết định công bố kết quả.</w:t>
      </w:r>
    </w:p>
    <w:p w14:paraId="404166AB" w14:textId="77777777" w:rsidR="00FA3FC9" w:rsidRPr="00FA3FC9" w:rsidRDefault="00F33C4C" w:rsidP="00310131">
      <w:pPr>
        <w:spacing w:before="120" w:after="120"/>
        <w:jc w:val="both"/>
        <w:rPr>
          <w:rFonts w:ascii="Times New Roman" w:hAnsi="Times New Roman" w:cs="Times New Roman"/>
          <w:b/>
          <w:bCs/>
          <w:sz w:val="26"/>
          <w:szCs w:val="26"/>
          <w:lang w:val="vi-VN"/>
        </w:rPr>
      </w:pPr>
      <w:r>
        <w:rPr>
          <w:rFonts w:ascii="Times New Roman" w:hAnsi="Times New Roman" w:cs="Times New Roman"/>
          <w:b/>
          <w:bCs/>
          <w:sz w:val="26"/>
          <w:szCs w:val="26"/>
        </w:rPr>
        <w:t>TÀI LIỆU THAM KHẢO</w:t>
      </w:r>
    </w:p>
    <w:p w14:paraId="280C87F6" w14:textId="77777777" w:rsidR="00FA3FC9" w:rsidRPr="00FA3FC9" w:rsidRDefault="00FA3FC9" w:rsidP="000F6E58">
      <w:pPr>
        <w:numPr>
          <w:ilvl w:val="0"/>
          <w:numId w:val="1"/>
        </w:numPr>
        <w:tabs>
          <w:tab w:val="clear" w:pos="720"/>
          <w:tab w:val="num" w:pos="851"/>
        </w:tabs>
        <w:spacing w:before="120" w:after="120"/>
        <w:ind w:left="0" w:firstLine="426"/>
        <w:jc w:val="both"/>
        <w:rPr>
          <w:rFonts w:ascii="Times New Roman" w:eastAsia="Times New Roman" w:hAnsi="Times New Roman" w:cs="Times New Roman"/>
          <w:sz w:val="26"/>
          <w:szCs w:val="26"/>
        </w:rPr>
      </w:pPr>
      <w:r w:rsidRPr="00FA3FC9">
        <w:rPr>
          <w:rFonts w:ascii="Times New Roman" w:eastAsia="Times New Roman" w:hAnsi="Times New Roman" w:cs="Times New Roman"/>
          <w:sz w:val="26"/>
          <w:szCs w:val="26"/>
        </w:rPr>
        <w:t xml:space="preserve">Demirbas, A. Combustion characteristics of different biomass fuels. </w:t>
      </w:r>
      <w:r w:rsidRPr="00F32DCB">
        <w:rPr>
          <w:rFonts w:ascii="Times New Roman" w:eastAsia="Times New Roman" w:hAnsi="Times New Roman" w:cs="Times New Roman"/>
          <w:i/>
          <w:sz w:val="26"/>
          <w:szCs w:val="26"/>
        </w:rPr>
        <w:t>Prog. Energy Combust. Sci.</w:t>
      </w:r>
      <w:r w:rsidRPr="00FA3FC9">
        <w:rPr>
          <w:rFonts w:ascii="Times New Roman" w:eastAsia="Times New Roman" w:hAnsi="Times New Roman" w:cs="Times New Roman"/>
          <w:sz w:val="26"/>
          <w:szCs w:val="26"/>
        </w:rPr>
        <w:t xml:space="preserve"> 2004, 30, 219–230. </w:t>
      </w:r>
    </w:p>
    <w:p w14:paraId="03C8BA0B" w14:textId="77777777" w:rsidR="00FA3FC9" w:rsidRPr="00FA3FC9" w:rsidRDefault="00FA3FC9" w:rsidP="000F6E58">
      <w:pPr>
        <w:numPr>
          <w:ilvl w:val="0"/>
          <w:numId w:val="1"/>
        </w:numPr>
        <w:tabs>
          <w:tab w:val="clear" w:pos="720"/>
          <w:tab w:val="num" w:pos="851"/>
        </w:tabs>
        <w:spacing w:before="120" w:after="120"/>
        <w:ind w:left="0" w:firstLine="426"/>
        <w:jc w:val="both"/>
        <w:rPr>
          <w:rFonts w:ascii="Times New Roman" w:eastAsia="Times New Roman" w:hAnsi="Times New Roman" w:cs="Times New Roman"/>
          <w:sz w:val="26"/>
          <w:szCs w:val="26"/>
        </w:rPr>
      </w:pPr>
      <w:r w:rsidRPr="00FA3FC9">
        <w:rPr>
          <w:rFonts w:ascii="Times New Roman" w:eastAsia="Times New Roman" w:hAnsi="Times New Roman" w:cs="Times New Roman"/>
          <w:sz w:val="26"/>
          <w:szCs w:val="26"/>
        </w:rPr>
        <w:t xml:space="preserve">Williams, A.; Jones, J.M.; Ma, L.; Pourkashanian, M. Pollutants from the combustion of solid biomass fuels. </w:t>
      </w:r>
      <w:r w:rsidRPr="00F32DCB">
        <w:rPr>
          <w:rFonts w:ascii="Times New Roman" w:eastAsia="Times New Roman" w:hAnsi="Times New Roman" w:cs="Times New Roman"/>
          <w:i/>
          <w:sz w:val="26"/>
          <w:szCs w:val="26"/>
        </w:rPr>
        <w:t>Prog. Energy Combust. Sci</w:t>
      </w:r>
      <w:r w:rsidRPr="00FA3FC9">
        <w:rPr>
          <w:rFonts w:ascii="Times New Roman" w:eastAsia="Times New Roman" w:hAnsi="Times New Roman" w:cs="Times New Roman"/>
          <w:sz w:val="26"/>
          <w:szCs w:val="26"/>
        </w:rPr>
        <w:t xml:space="preserve">. 2012, 38, 113–137. </w:t>
      </w:r>
    </w:p>
    <w:p w14:paraId="4695EB06" w14:textId="77777777" w:rsidR="00FA3FC9" w:rsidRPr="00FA3FC9" w:rsidRDefault="00FA3FC9" w:rsidP="000F6E58">
      <w:pPr>
        <w:numPr>
          <w:ilvl w:val="0"/>
          <w:numId w:val="1"/>
        </w:numPr>
        <w:tabs>
          <w:tab w:val="clear" w:pos="720"/>
          <w:tab w:val="num" w:pos="851"/>
        </w:tabs>
        <w:spacing w:before="120" w:after="120"/>
        <w:ind w:left="0" w:firstLine="426"/>
        <w:jc w:val="both"/>
        <w:rPr>
          <w:rFonts w:ascii="Times New Roman" w:eastAsia="Times New Roman" w:hAnsi="Times New Roman" w:cs="Times New Roman"/>
          <w:sz w:val="26"/>
          <w:szCs w:val="26"/>
        </w:rPr>
      </w:pPr>
      <w:r w:rsidRPr="00FA3FC9">
        <w:rPr>
          <w:rFonts w:ascii="Times New Roman" w:eastAsia="Times New Roman" w:hAnsi="Times New Roman" w:cs="Times New Roman"/>
          <w:sz w:val="26"/>
          <w:szCs w:val="26"/>
        </w:rPr>
        <w:lastRenderedPageBreak/>
        <w:t xml:space="preserve">Tiwari, S.; Pandithurai, G.; Attri, S.D.; Srivastava, A.K.; Soni, V.K.; Bisht, D.S.; Anil Kumar, V.; Srivastava, M.K. Aerosol optical properties and their relationship with meteorological parameters during wintertime in Delhi, India. </w:t>
      </w:r>
      <w:r w:rsidRPr="00F32DCB">
        <w:rPr>
          <w:rFonts w:ascii="Times New Roman" w:eastAsia="Times New Roman" w:hAnsi="Times New Roman" w:cs="Times New Roman"/>
          <w:i/>
          <w:sz w:val="26"/>
          <w:szCs w:val="26"/>
        </w:rPr>
        <w:t>Atmos. Res</w:t>
      </w:r>
      <w:r w:rsidRPr="00FA3FC9">
        <w:rPr>
          <w:rFonts w:ascii="Times New Roman" w:eastAsia="Times New Roman" w:hAnsi="Times New Roman" w:cs="Times New Roman"/>
          <w:sz w:val="26"/>
          <w:szCs w:val="26"/>
        </w:rPr>
        <w:t xml:space="preserve">. 2015, 153, 465–479. </w:t>
      </w:r>
    </w:p>
    <w:p w14:paraId="00661369" w14:textId="77777777" w:rsidR="00FA3FC9" w:rsidRPr="00FA3FC9" w:rsidRDefault="00FA3FC9" w:rsidP="000F6E58">
      <w:pPr>
        <w:numPr>
          <w:ilvl w:val="0"/>
          <w:numId w:val="1"/>
        </w:numPr>
        <w:tabs>
          <w:tab w:val="clear" w:pos="720"/>
          <w:tab w:val="num" w:pos="851"/>
        </w:tabs>
        <w:spacing w:before="120" w:after="120"/>
        <w:ind w:left="0" w:firstLine="426"/>
        <w:jc w:val="both"/>
        <w:rPr>
          <w:rFonts w:ascii="Times New Roman" w:eastAsia="Times New Roman" w:hAnsi="Times New Roman" w:cs="Times New Roman"/>
          <w:sz w:val="26"/>
          <w:szCs w:val="26"/>
        </w:rPr>
      </w:pPr>
      <w:r w:rsidRPr="00FA3FC9">
        <w:rPr>
          <w:rFonts w:ascii="Times New Roman" w:eastAsia="Times New Roman" w:hAnsi="Times New Roman" w:cs="Times New Roman"/>
          <w:sz w:val="26"/>
          <w:szCs w:val="26"/>
        </w:rPr>
        <w:t>Pipal, A.S.; Gursumeeran Satsangi, P. Study of carbonaceous species, morphology and sources of fine (PM2.5) and coarse (PM10) particles along with their climatic nature in India</w:t>
      </w:r>
      <w:r w:rsidRPr="00F32DCB">
        <w:rPr>
          <w:rFonts w:ascii="Times New Roman" w:eastAsia="Times New Roman" w:hAnsi="Times New Roman" w:cs="Times New Roman"/>
          <w:i/>
          <w:sz w:val="26"/>
          <w:szCs w:val="26"/>
        </w:rPr>
        <w:t>. Atmos. Res</w:t>
      </w:r>
      <w:r w:rsidRPr="00FA3FC9">
        <w:rPr>
          <w:rFonts w:ascii="Times New Roman" w:eastAsia="Times New Roman" w:hAnsi="Times New Roman" w:cs="Times New Roman"/>
          <w:sz w:val="26"/>
          <w:szCs w:val="26"/>
        </w:rPr>
        <w:t xml:space="preserve">. 2015, 154, 103–115. </w:t>
      </w:r>
    </w:p>
    <w:p w14:paraId="67034888" w14:textId="77777777" w:rsidR="00FA3FC9" w:rsidRPr="00FA3FC9" w:rsidRDefault="00FA3FC9" w:rsidP="000F6E58">
      <w:pPr>
        <w:numPr>
          <w:ilvl w:val="0"/>
          <w:numId w:val="1"/>
        </w:numPr>
        <w:tabs>
          <w:tab w:val="clear" w:pos="720"/>
          <w:tab w:val="num" w:pos="851"/>
        </w:tabs>
        <w:spacing w:before="120" w:after="120"/>
        <w:ind w:left="0" w:firstLine="426"/>
        <w:jc w:val="both"/>
        <w:rPr>
          <w:rFonts w:ascii="Times New Roman" w:eastAsia="Times New Roman" w:hAnsi="Times New Roman" w:cs="Times New Roman"/>
          <w:sz w:val="26"/>
          <w:szCs w:val="26"/>
        </w:rPr>
      </w:pPr>
      <w:r w:rsidRPr="00FA3FC9">
        <w:rPr>
          <w:rFonts w:ascii="Times New Roman" w:eastAsia="Times New Roman" w:hAnsi="Times New Roman" w:cs="Times New Roman"/>
          <w:sz w:val="26"/>
          <w:szCs w:val="26"/>
        </w:rPr>
        <w:t xml:space="preserve">Gong, W.; Zhang, M.; Han, G.; Ma, X.; Zhu, Z. An Investigation of Aerosol Scattering and Absorption Properties in Wuhan, Central China. </w:t>
      </w:r>
      <w:r w:rsidRPr="00F32DCB">
        <w:rPr>
          <w:rFonts w:ascii="Times New Roman" w:eastAsia="Times New Roman" w:hAnsi="Times New Roman" w:cs="Times New Roman"/>
          <w:i/>
          <w:sz w:val="26"/>
          <w:szCs w:val="26"/>
        </w:rPr>
        <w:t>Atmosphere</w:t>
      </w:r>
      <w:r w:rsidRPr="00FA3FC9">
        <w:rPr>
          <w:rFonts w:ascii="Times New Roman" w:eastAsia="Times New Roman" w:hAnsi="Times New Roman" w:cs="Times New Roman"/>
          <w:sz w:val="26"/>
          <w:szCs w:val="26"/>
        </w:rPr>
        <w:t xml:space="preserve"> 2015, 6, 503–520. </w:t>
      </w:r>
    </w:p>
    <w:p w14:paraId="04027BC1" w14:textId="77777777" w:rsidR="00FA3FC9" w:rsidRPr="00FA3FC9" w:rsidRDefault="00FA3FC9" w:rsidP="000F6E58">
      <w:pPr>
        <w:numPr>
          <w:ilvl w:val="0"/>
          <w:numId w:val="1"/>
        </w:numPr>
        <w:tabs>
          <w:tab w:val="clear" w:pos="720"/>
          <w:tab w:val="num" w:pos="851"/>
        </w:tabs>
        <w:spacing w:before="120" w:after="120"/>
        <w:ind w:left="0" w:firstLine="426"/>
        <w:jc w:val="both"/>
        <w:rPr>
          <w:rFonts w:ascii="Times New Roman" w:eastAsia="Times New Roman" w:hAnsi="Times New Roman" w:cs="Times New Roman"/>
          <w:sz w:val="26"/>
          <w:szCs w:val="26"/>
        </w:rPr>
      </w:pPr>
      <w:r w:rsidRPr="00FA3FC9">
        <w:rPr>
          <w:rFonts w:ascii="Times New Roman" w:eastAsia="Times New Roman" w:hAnsi="Times New Roman" w:cs="Times New Roman"/>
          <w:sz w:val="26"/>
          <w:szCs w:val="26"/>
        </w:rPr>
        <w:t xml:space="preserve">Li, Y.; Chen, Q.; Zhao, H.; Wang, L.; Tao, R. Variations in PM10, PM2.5 and PM1.0 in an Urban Area of the Sichuan Basin and Their Relation to Meteorological Factors. </w:t>
      </w:r>
      <w:r w:rsidRPr="004D1E70">
        <w:rPr>
          <w:rFonts w:ascii="Times New Roman" w:eastAsia="Times New Roman" w:hAnsi="Times New Roman" w:cs="Times New Roman"/>
          <w:i/>
          <w:sz w:val="26"/>
          <w:szCs w:val="26"/>
        </w:rPr>
        <w:t>Atmosphere</w:t>
      </w:r>
      <w:r w:rsidRPr="00FA3FC9">
        <w:rPr>
          <w:rFonts w:ascii="Times New Roman" w:eastAsia="Times New Roman" w:hAnsi="Times New Roman" w:cs="Times New Roman"/>
          <w:sz w:val="26"/>
          <w:szCs w:val="26"/>
        </w:rPr>
        <w:t xml:space="preserve"> 2015, 6, 150–163. </w:t>
      </w:r>
    </w:p>
    <w:p w14:paraId="6E523DA7" w14:textId="77777777" w:rsidR="00FA3FC9" w:rsidRPr="00FA3FC9" w:rsidRDefault="00FA3FC9" w:rsidP="000F6E58">
      <w:pPr>
        <w:pStyle w:val="NormalWeb"/>
        <w:numPr>
          <w:ilvl w:val="0"/>
          <w:numId w:val="2"/>
        </w:numPr>
        <w:tabs>
          <w:tab w:val="clear" w:pos="720"/>
          <w:tab w:val="num" w:pos="851"/>
        </w:tabs>
        <w:spacing w:before="120" w:beforeAutospacing="0" w:after="120" w:afterAutospacing="0" w:line="276" w:lineRule="auto"/>
        <w:ind w:left="0" w:firstLine="426"/>
        <w:jc w:val="both"/>
        <w:rPr>
          <w:sz w:val="26"/>
          <w:szCs w:val="26"/>
        </w:rPr>
      </w:pPr>
      <w:r w:rsidRPr="00FA3FC9">
        <w:rPr>
          <w:sz w:val="26"/>
          <w:szCs w:val="26"/>
        </w:rPr>
        <w:t xml:space="preserve">Oberdörster, G.; Oberdörster, E.; Oberdörster, J. Nanotoxicology: An Emerging Discipline Evolving from Studies of Ultrafine Particles. </w:t>
      </w:r>
      <w:r w:rsidRPr="004D1E70">
        <w:rPr>
          <w:i/>
          <w:sz w:val="26"/>
          <w:szCs w:val="26"/>
        </w:rPr>
        <w:t>Environ. Health Perspect</w:t>
      </w:r>
      <w:r w:rsidRPr="00FA3FC9">
        <w:rPr>
          <w:sz w:val="26"/>
          <w:szCs w:val="26"/>
        </w:rPr>
        <w:t xml:space="preserve">. 2005, 113, 823–839. </w:t>
      </w:r>
    </w:p>
    <w:p w14:paraId="641425C1" w14:textId="77777777" w:rsidR="00FA3FC9" w:rsidRPr="00FA3FC9" w:rsidRDefault="00FA3FC9" w:rsidP="000F6E58">
      <w:pPr>
        <w:pStyle w:val="NormalWeb"/>
        <w:numPr>
          <w:ilvl w:val="0"/>
          <w:numId w:val="2"/>
        </w:numPr>
        <w:tabs>
          <w:tab w:val="clear" w:pos="720"/>
          <w:tab w:val="num" w:pos="851"/>
        </w:tabs>
        <w:spacing w:before="120" w:beforeAutospacing="0" w:after="120" w:afterAutospacing="0" w:line="276" w:lineRule="auto"/>
        <w:ind w:left="0" w:firstLine="426"/>
        <w:jc w:val="both"/>
        <w:rPr>
          <w:sz w:val="26"/>
          <w:szCs w:val="26"/>
        </w:rPr>
      </w:pPr>
      <w:r w:rsidRPr="00FA3FC9">
        <w:rPr>
          <w:sz w:val="26"/>
          <w:szCs w:val="26"/>
        </w:rPr>
        <w:t xml:space="preserve">Bai, Y.; Brugha, R.E.; Jacobs, L.; Grigg, J.; Nawrot, T.S.; Nemery, B. Carbon loading in airway macrophages as a biomarker for individual exposure to particulate matter air pollution—A critical review. </w:t>
      </w:r>
      <w:r w:rsidRPr="004D1E70">
        <w:rPr>
          <w:i/>
          <w:sz w:val="26"/>
          <w:szCs w:val="26"/>
        </w:rPr>
        <w:t>Environ. Int</w:t>
      </w:r>
      <w:r w:rsidRPr="00FA3FC9">
        <w:rPr>
          <w:sz w:val="26"/>
          <w:szCs w:val="26"/>
        </w:rPr>
        <w:t xml:space="preserve">. 2015, 74C, 32–41. </w:t>
      </w:r>
    </w:p>
    <w:p w14:paraId="73F94124" w14:textId="77777777" w:rsidR="00FA3FC9" w:rsidRPr="00FA3FC9" w:rsidRDefault="00FA3FC9" w:rsidP="000F6E58">
      <w:pPr>
        <w:pStyle w:val="NormalWeb"/>
        <w:numPr>
          <w:ilvl w:val="0"/>
          <w:numId w:val="2"/>
        </w:numPr>
        <w:tabs>
          <w:tab w:val="clear" w:pos="720"/>
          <w:tab w:val="num" w:pos="851"/>
        </w:tabs>
        <w:spacing w:before="120" w:beforeAutospacing="0" w:after="120" w:afterAutospacing="0" w:line="276" w:lineRule="auto"/>
        <w:ind w:left="0" w:firstLine="426"/>
        <w:jc w:val="both"/>
        <w:rPr>
          <w:sz w:val="26"/>
          <w:szCs w:val="26"/>
        </w:rPr>
      </w:pPr>
      <w:r w:rsidRPr="00FA3FC9">
        <w:rPr>
          <w:sz w:val="26"/>
          <w:szCs w:val="26"/>
        </w:rPr>
        <w:t xml:space="preserve">Rafael, S.; Tarelho, L.; Monteiro, A.; Sá, E.; Miranda, A.I.; Borrego, C.; Lopes, M. Impact of forest biomass residues to the energy supply chain on regional air quality. </w:t>
      </w:r>
      <w:r w:rsidRPr="004D1E70">
        <w:rPr>
          <w:i/>
          <w:sz w:val="26"/>
          <w:szCs w:val="26"/>
        </w:rPr>
        <w:t>Sci. Total Environ</w:t>
      </w:r>
      <w:r w:rsidRPr="00FA3FC9">
        <w:rPr>
          <w:sz w:val="26"/>
          <w:szCs w:val="26"/>
        </w:rPr>
        <w:t xml:space="preserve">. 2015, doi:10.1016/j.scitotenv.2014.10.049. </w:t>
      </w:r>
    </w:p>
    <w:p w14:paraId="3C44EEBA" w14:textId="77777777" w:rsidR="00FA3FC9" w:rsidRPr="00FA3FC9" w:rsidRDefault="00FA3FC9" w:rsidP="000F6E58">
      <w:pPr>
        <w:pStyle w:val="NormalWeb"/>
        <w:numPr>
          <w:ilvl w:val="0"/>
          <w:numId w:val="2"/>
        </w:numPr>
        <w:tabs>
          <w:tab w:val="clear" w:pos="720"/>
          <w:tab w:val="num" w:pos="851"/>
        </w:tabs>
        <w:spacing w:before="120" w:beforeAutospacing="0" w:after="120" w:afterAutospacing="0" w:line="276" w:lineRule="auto"/>
        <w:ind w:left="0" w:firstLine="426"/>
        <w:jc w:val="both"/>
        <w:rPr>
          <w:sz w:val="26"/>
          <w:szCs w:val="26"/>
        </w:rPr>
      </w:pPr>
      <w:r w:rsidRPr="00FA3FC9">
        <w:rPr>
          <w:sz w:val="26"/>
          <w:szCs w:val="26"/>
        </w:rPr>
        <w:t xml:space="preserve">Peters, A.; Dockery, D.W.; Muller, J.E.; Mittleman, M.A. Increased particulate air pollution and the triggering of myocardial infarction. </w:t>
      </w:r>
      <w:r w:rsidRPr="004D1E70">
        <w:rPr>
          <w:i/>
          <w:sz w:val="26"/>
          <w:szCs w:val="26"/>
        </w:rPr>
        <w:t>Circulation</w:t>
      </w:r>
      <w:r w:rsidRPr="00FA3FC9">
        <w:rPr>
          <w:sz w:val="26"/>
          <w:szCs w:val="26"/>
        </w:rPr>
        <w:t xml:space="preserve"> 2001, 103, 2810–2815. </w:t>
      </w:r>
    </w:p>
    <w:p w14:paraId="3B8717BC" w14:textId="77777777" w:rsidR="00FA3FC9" w:rsidRPr="00FA3FC9" w:rsidRDefault="00FA3FC9" w:rsidP="000F6E58">
      <w:pPr>
        <w:pStyle w:val="NormalWeb"/>
        <w:numPr>
          <w:ilvl w:val="0"/>
          <w:numId w:val="2"/>
        </w:numPr>
        <w:tabs>
          <w:tab w:val="clear" w:pos="720"/>
          <w:tab w:val="num" w:pos="851"/>
        </w:tabs>
        <w:spacing w:before="120" w:beforeAutospacing="0" w:after="120" w:afterAutospacing="0" w:line="276" w:lineRule="auto"/>
        <w:ind w:left="0" w:firstLine="426"/>
        <w:jc w:val="both"/>
        <w:rPr>
          <w:sz w:val="26"/>
          <w:szCs w:val="26"/>
        </w:rPr>
      </w:pPr>
      <w:r w:rsidRPr="00FA3FC9">
        <w:rPr>
          <w:sz w:val="26"/>
          <w:szCs w:val="26"/>
        </w:rPr>
        <w:t xml:space="preserve">Brook, R.D.; Rajagopalan, S.; Pope, C.A.; Brook, J.R.; Bhatnagar, A.; Diez-Roux, A.V.; Holguin, F.; Hong, Y.; Luepker, R.V.; Mittleman, M. A.; et al. Particulate matter air pollution and cardiovascular disease: An update to the scientific statement from the american heart association. </w:t>
      </w:r>
      <w:r w:rsidRPr="004D1E70">
        <w:rPr>
          <w:i/>
          <w:sz w:val="26"/>
          <w:szCs w:val="26"/>
        </w:rPr>
        <w:t>Circulation</w:t>
      </w:r>
      <w:r w:rsidRPr="00FA3FC9">
        <w:rPr>
          <w:sz w:val="26"/>
          <w:szCs w:val="26"/>
        </w:rPr>
        <w:t xml:space="preserve"> 2010, 121, 2331–2378. </w:t>
      </w:r>
    </w:p>
    <w:p w14:paraId="48A649AF" w14:textId="77777777" w:rsidR="00FA3FC9" w:rsidRPr="00FA3FC9" w:rsidRDefault="00FA3FC9" w:rsidP="000F6E58">
      <w:pPr>
        <w:pStyle w:val="NormalWeb"/>
        <w:numPr>
          <w:ilvl w:val="0"/>
          <w:numId w:val="2"/>
        </w:numPr>
        <w:tabs>
          <w:tab w:val="clear" w:pos="720"/>
          <w:tab w:val="num" w:pos="851"/>
        </w:tabs>
        <w:spacing w:before="120" w:beforeAutospacing="0" w:after="120" w:afterAutospacing="0" w:line="276" w:lineRule="auto"/>
        <w:ind w:left="0" w:firstLine="426"/>
        <w:jc w:val="both"/>
        <w:rPr>
          <w:sz w:val="26"/>
          <w:szCs w:val="26"/>
        </w:rPr>
      </w:pPr>
      <w:r w:rsidRPr="00FA3FC9">
        <w:rPr>
          <w:sz w:val="26"/>
          <w:szCs w:val="26"/>
        </w:rPr>
        <w:t xml:space="preserve">Franklin, B.A.; Brook, R.; Pope, C.A., III. Air pollution and cardiovascular disease. </w:t>
      </w:r>
      <w:r w:rsidRPr="004D1E70">
        <w:rPr>
          <w:i/>
          <w:sz w:val="26"/>
          <w:szCs w:val="26"/>
        </w:rPr>
        <w:t>Curr. Probl. Cardiol</w:t>
      </w:r>
      <w:r w:rsidRPr="00FA3FC9">
        <w:rPr>
          <w:sz w:val="26"/>
          <w:szCs w:val="26"/>
        </w:rPr>
        <w:t xml:space="preserve">. 2015, 40, 207–238. </w:t>
      </w:r>
    </w:p>
    <w:p w14:paraId="2E6595DE" w14:textId="77777777" w:rsidR="00FA3FC9" w:rsidRPr="00FA3FC9" w:rsidRDefault="00FA3FC9" w:rsidP="000F6E58">
      <w:pPr>
        <w:pStyle w:val="NormalWeb"/>
        <w:numPr>
          <w:ilvl w:val="0"/>
          <w:numId w:val="2"/>
        </w:numPr>
        <w:tabs>
          <w:tab w:val="clear" w:pos="720"/>
          <w:tab w:val="num" w:pos="851"/>
        </w:tabs>
        <w:spacing w:before="120" w:beforeAutospacing="0" w:after="120" w:afterAutospacing="0" w:line="276" w:lineRule="auto"/>
        <w:ind w:left="0" w:firstLine="426"/>
        <w:jc w:val="both"/>
        <w:rPr>
          <w:sz w:val="26"/>
          <w:szCs w:val="26"/>
        </w:rPr>
      </w:pPr>
      <w:r w:rsidRPr="00FA3FC9">
        <w:rPr>
          <w:sz w:val="26"/>
          <w:szCs w:val="26"/>
        </w:rPr>
        <w:t xml:space="preserve">Utell, M.J.; Frampton, M.W. Acute health effects of ambient air pollution: the ultrafine particle hypothesis. </w:t>
      </w:r>
      <w:r w:rsidRPr="004D1E70">
        <w:rPr>
          <w:i/>
          <w:sz w:val="26"/>
          <w:szCs w:val="26"/>
        </w:rPr>
        <w:t>J. Aerosol Med</w:t>
      </w:r>
      <w:r w:rsidRPr="00FA3FC9">
        <w:rPr>
          <w:sz w:val="26"/>
          <w:szCs w:val="26"/>
        </w:rPr>
        <w:t xml:space="preserve">. 2000, 13, 355–359. </w:t>
      </w:r>
    </w:p>
    <w:p w14:paraId="0A333095" w14:textId="77777777" w:rsidR="00FA3FC9" w:rsidRPr="00FA3FC9" w:rsidRDefault="00FA3FC9" w:rsidP="000F6E58">
      <w:pPr>
        <w:pStyle w:val="NormalWeb"/>
        <w:numPr>
          <w:ilvl w:val="0"/>
          <w:numId w:val="2"/>
        </w:numPr>
        <w:tabs>
          <w:tab w:val="clear" w:pos="720"/>
          <w:tab w:val="num" w:pos="851"/>
        </w:tabs>
        <w:spacing w:before="120" w:beforeAutospacing="0" w:after="120" w:afterAutospacing="0" w:line="276" w:lineRule="auto"/>
        <w:ind w:left="0" w:firstLine="426"/>
        <w:jc w:val="both"/>
        <w:rPr>
          <w:sz w:val="26"/>
          <w:szCs w:val="26"/>
        </w:rPr>
      </w:pPr>
      <w:r w:rsidRPr="00FA3FC9">
        <w:rPr>
          <w:sz w:val="26"/>
          <w:szCs w:val="26"/>
        </w:rPr>
        <w:lastRenderedPageBreak/>
        <w:t xml:space="preserve">Tissari, J.; Lyyränen, J.; Hytönen, K.; Sippula, O.; Tapper, U.; Frey, A.; Saarnio, K.; Pennanen, A.S.; Hillamo, R.; Salonen, R.O.; et al. Fine particle and gaseous emissions from normal and smouldering wood combustion in a conventional masonry heater. </w:t>
      </w:r>
      <w:r w:rsidRPr="004D1E70">
        <w:rPr>
          <w:i/>
          <w:sz w:val="26"/>
          <w:szCs w:val="26"/>
        </w:rPr>
        <w:t>Atmos. Environ.</w:t>
      </w:r>
      <w:r w:rsidRPr="00FA3FC9">
        <w:rPr>
          <w:sz w:val="26"/>
          <w:szCs w:val="26"/>
        </w:rPr>
        <w:t xml:space="preserve"> 2008, 42, 7862–7873. </w:t>
      </w:r>
    </w:p>
    <w:p w14:paraId="68DB69D1" w14:textId="77777777" w:rsidR="00FA3FC9" w:rsidRPr="00FA3FC9" w:rsidRDefault="00FA3FC9" w:rsidP="000F6E58">
      <w:pPr>
        <w:pStyle w:val="NormalWeb"/>
        <w:numPr>
          <w:ilvl w:val="0"/>
          <w:numId w:val="2"/>
        </w:numPr>
        <w:tabs>
          <w:tab w:val="clear" w:pos="720"/>
          <w:tab w:val="num" w:pos="851"/>
        </w:tabs>
        <w:spacing w:before="120" w:beforeAutospacing="0" w:after="120" w:afterAutospacing="0" w:line="276" w:lineRule="auto"/>
        <w:ind w:left="0" w:firstLine="426"/>
        <w:jc w:val="both"/>
        <w:rPr>
          <w:sz w:val="26"/>
          <w:szCs w:val="26"/>
        </w:rPr>
      </w:pPr>
      <w:r w:rsidRPr="00FA3FC9">
        <w:rPr>
          <w:sz w:val="26"/>
          <w:szCs w:val="26"/>
        </w:rPr>
        <w:t xml:space="preserve">Kwasny, F.; Madl, P.; Hofmann, W. Correlation of air quality data to ultrafine particles (UFP) concentration and size distribution in ambient air. </w:t>
      </w:r>
      <w:r w:rsidRPr="004D1E70">
        <w:rPr>
          <w:i/>
          <w:sz w:val="26"/>
          <w:szCs w:val="26"/>
        </w:rPr>
        <w:t>Atmosphere</w:t>
      </w:r>
      <w:r w:rsidRPr="00FA3FC9">
        <w:rPr>
          <w:sz w:val="26"/>
          <w:szCs w:val="26"/>
        </w:rPr>
        <w:t xml:space="preserve"> 2010, 1, 3–14. </w:t>
      </w:r>
    </w:p>
    <w:p w14:paraId="44775EC7" w14:textId="77777777" w:rsidR="00FA3FC9" w:rsidRPr="00FA3FC9" w:rsidRDefault="00FA3FC9" w:rsidP="000F6E58">
      <w:pPr>
        <w:pStyle w:val="NormalWeb"/>
        <w:numPr>
          <w:ilvl w:val="0"/>
          <w:numId w:val="2"/>
        </w:numPr>
        <w:tabs>
          <w:tab w:val="clear" w:pos="720"/>
          <w:tab w:val="num" w:pos="851"/>
        </w:tabs>
        <w:spacing w:before="120" w:beforeAutospacing="0" w:after="120" w:afterAutospacing="0" w:line="276" w:lineRule="auto"/>
        <w:ind w:left="0" w:firstLine="426"/>
        <w:jc w:val="both"/>
        <w:rPr>
          <w:sz w:val="26"/>
          <w:szCs w:val="26"/>
        </w:rPr>
      </w:pPr>
      <w:r w:rsidRPr="00FA3FC9">
        <w:rPr>
          <w:sz w:val="26"/>
          <w:szCs w:val="26"/>
        </w:rPr>
        <w:t xml:space="preserve">Hosseini, S.; Li, Q.; Cocker, D.; Weise, D.; Miller, A.; Shrivastava, M.; Miller, J.W.; Mahalingam, S.; Princevac, M.; Jung, H. Particle size distributions from laboratory-scale biomass fires using fast response instruments. </w:t>
      </w:r>
      <w:r w:rsidRPr="004D1E70">
        <w:rPr>
          <w:i/>
          <w:sz w:val="26"/>
          <w:szCs w:val="26"/>
        </w:rPr>
        <w:t>Atmos. Chem. Phys.</w:t>
      </w:r>
      <w:r w:rsidRPr="00FA3FC9">
        <w:rPr>
          <w:sz w:val="26"/>
          <w:szCs w:val="26"/>
        </w:rPr>
        <w:t xml:space="preserve"> 2010, 10, 8065–8076. </w:t>
      </w:r>
    </w:p>
    <w:p w14:paraId="327BC8B1" w14:textId="77777777" w:rsidR="00FA3FC9" w:rsidRPr="00FA3FC9" w:rsidRDefault="00FA3FC9" w:rsidP="000F6E58">
      <w:pPr>
        <w:pStyle w:val="NormalWeb"/>
        <w:numPr>
          <w:ilvl w:val="0"/>
          <w:numId w:val="2"/>
        </w:numPr>
        <w:tabs>
          <w:tab w:val="clear" w:pos="720"/>
          <w:tab w:val="num" w:pos="851"/>
        </w:tabs>
        <w:spacing w:before="120" w:beforeAutospacing="0" w:after="120" w:afterAutospacing="0" w:line="276" w:lineRule="auto"/>
        <w:ind w:left="0" w:firstLine="426"/>
        <w:jc w:val="both"/>
        <w:rPr>
          <w:sz w:val="26"/>
          <w:szCs w:val="26"/>
        </w:rPr>
      </w:pPr>
      <w:r w:rsidRPr="00FA3FC9">
        <w:rPr>
          <w:sz w:val="26"/>
          <w:szCs w:val="26"/>
        </w:rPr>
        <w:t xml:space="preserve">Costa, M.A.M.; Carvalho, J.A.; Neto, T.G.S.; Anselmo, E.; Lima, B.A.; Kura, L.T.U.; Santos, J.C. Real-time sampling of particulate matter smaller than 2.5 μm from Amazon forest biomass combustion. </w:t>
      </w:r>
      <w:r w:rsidRPr="004D1E70">
        <w:rPr>
          <w:i/>
          <w:sz w:val="26"/>
          <w:szCs w:val="26"/>
        </w:rPr>
        <w:t>Atmos. Environ</w:t>
      </w:r>
      <w:r w:rsidRPr="00FA3FC9">
        <w:rPr>
          <w:sz w:val="26"/>
          <w:szCs w:val="26"/>
        </w:rPr>
        <w:t xml:space="preserve">. 2012, 54, 480–489. </w:t>
      </w:r>
    </w:p>
    <w:p w14:paraId="51CF0451" w14:textId="77777777" w:rsidR="00FA3FC9" w:rsidRPr="00FA3FC9" w:rsidRDefault="00FA3FC9" w:rsidP="000F6E58">
      <w:pPr>
        <w:pStyle w:val="NormalWeb"/>
        <w:numPr>
          <w:ilvl w:val="0"/>
          <w:numId w:val="2"/>
        </w:numPr>
        <w:tabs>
          <w:tab w:val="clear" w:pos="720"/>
          <w:tab w:val="num" w:pos="851"/>
        </w:tabs>
        <w:spacing w:before="120" w:beforeAutospacing="0" w:after="120" w:afterAutospacing="0" w:line="276" w:lineRule="auto"/>
        <w:ind w:left="0" w:firstLine="426"/>
        <w:jc w:val="both"/>
        <w:rPr>
          <w:sz w:val="26"/>
          <w:szCs w:val="26"/>
        </w:rPr>
      </w:pPr>
      <w:r w:rsidRPr="00FA3FC9">
        <w:rPr>
          <w:sz w:val="26"/>
          <w:szCs w:val="26"/>
        </w:rPr>
        <w:t xml:space="preserve">França, D.D.A.; Longo, K.M.; Neto, T.G.S.; Santos, J.C.; Freitas, S.R.; Rudorff, B.F.T.; Cortez, E.V.; Anselmo, E.; Carvalho, J.A. Pre-Harvest Sugarcane Burning: Determination of Emission Factors through Laboratory Measurements. </w:t>
      </w:r>
      <w:r w:rsidRPr="004D1E70">
        <w:rPr>
          <w:i/>
          <w:sz w:val="26"/>
          <w:szCs w:val="26"/>
        </w:rPr>
        <w:t>Atmosphere</w:t>
      </w:r>
      <w:r w:rsidRPr="00FA3FC9">
        <w:rPr>
          <w:sz w:val="26"/>
          <w:szCs w:val="26"/>
        </w:rPr>
        <w:t xml:space="preserve"> 2012, 3, 164–180. </w:t>
      </w:r>
    </w:p>
    <w:p w14:paraId="0DE58559" w14:textId="77777777" w:rsidR="00FA3FC9" w:rsidRPr="00FA3FC9" w:rsidRDefault="00FA3FC9" w:rsidP="000F6E58">
      <w:pPr>
        <w:pStyle w:val="NormalWeb"/>
        <w:numPr>
          <w:ilvl w:val="0"/>
          <w:numId w:val="2"/>
        </w:numPr>
        <w:tabs>
          <w:tab w:val="clear" w:pos="720"/>
          <w:tab w:val="num" w:pos="851"/>
        </w:tabs>
        <w:spacing w:before="120" w:beforeAutospacing="0" w:after="120" w:afterAutospacing="0" w:line="276" w:lineRule="auto"/>
        <w:ind w:left="0" w:firstLine="426"/>
        <w:jc w:val="both"/>
        <w:rPr>
          <w:sz w:val="26"/>
          <w:szCs w:val="26"/>
        </w:rPr>
      </w:pPr>
      <w:r w:rsidRPr="00FA3FC9">
        <w:rPr>
          <w:sz w:val="26"/>
          <w:szCs w:val="26"/>
        </w:rPr>
        <w:t>Nakata, M.; Sano, I.; Mukai, S.; Holben, B. Spatial and Temporal Variations of Atmospheric Aerosol in Osaka</w:t>
      </w:r>
      <w:r w:rsidRPr="004D1E70">
        <w:rPr>
          <w:i/>
          <w:sz w:val="26"/>
          <w:szCs w:val="26"/>
        </w:rPr>
        <w:t>. Atmosphere</w:t>
      </w:r>
      <w:r w:rsidRPr="00FA3FC9">
        <w:rPr>
          <w:sz w:val="26"/>
          <w:szCs w:val="26"/>
        </w:rPr>
        <w:t xml:space="preserve"> 2013, 4, 157–168. </w:t>
      </w:r>
    </w:p>
    <w:p w14:paraId="39396CB7" w14:textId="77777777" w:rsidR="00FA3FC9" w:rsidRPr="00FA3FC9" w:rsidRDefault="00FA3FC9" w:rsidP="000F6E58">
      <w:pPr>
        <w:pStyle w:val="NormalWeb"/>
        <w:numPr>
          <w:ilvl w:val="0"/>
          <w:numId w:val="2"/>
        </w:numPr>
        <w:tabs>
          <w:tab w:val="clear" w:pos="720"/>
          <w:tab w:val="num" w:pos="851"/>
        </w:tabs>
        <w:spacing w:before="120" w:beforeAutospacing="0" w:after="120" w:afterAutospacing="0" w:line="276" w:lineRule="auto"/>
        <w:ind w:left="0" w:firstLine="426"/>
        <w:jc w:val="both"/>
        <w:rPr>
          <w:sz w:val="26"/>
          <w:szCs w:val="26"/>
        </w:rPr>
      </w:pPr>
      <w:r w:rsidRPr="00FA3FC9">
        <w:rPr>
          <w:sz w:val="26"/>
          <w:szCs w:val="26"/>
        </w:rPr>
        <w:t xml:space="preserve">Leskinen, J.; Tissari, J.; Uski, O.; Virén, A.; Torvela, T.; Kaivosoja, T.; Lamberg, H.; Nuutinen, I.; Kettunen, T.; Joutsensaari, J.; et al. Fine particle emissions in three different combustion conditions of a wood chip-fired appliance—Particulate physico-chemical properties and induced cell death. </w:t>
      </w:r>
      <w:r w:rsidRPr="004D1E70">
        <w:rPr>
          <w:i/>
          <w:sz w:val="26"/>
          <w:szCs w:val="26"/>
        </w:rPr>
        <w:t>Atmos. Environ</w:t>
      </w:r>
      <w:r w:rsidRPr="00FA3FC9">
        <w:rPr>
          <w:sz w:val="26"/>
          <w:szCs w:val="26"/>
        </w:rPr>
        <w:t xml:space="preserve">. 2014, 86, 129–139. </w:t>
      </w:r>
    </w:p>
    <w:p w14:paraId="6B0C89F6" w14:textId="77777777" w:rsidR="00FA3FC9" w:rsidRPr="00FA3FC9" w:rsidRDefault="00FA3FC9" w:rsidP="000F6E58">
      <w:pPr>
        <w:pStyle w:val="NormalWeb"/>
        <w:numPr>
          <w:ilvl w:val="0"/>
          <w:numId w:val="2"/>
        </w:numPr>
        <w:tabs>
          <w:tab w:val="clear" w:pos="720"/>
          <w:tab w:val="num" w:pos="851"/>
        </w:tabs>
        <w:spacing w:before="120" w:beforeAutospacing="0" w:after="120" w:afterAutospacing="0" w:line="276" w:lineRule="auto"/>
        <w:ind w:left="0" w:firstLine="426"/>
        <w:jc w:val="both"/>
        <w:rPr>
          <w:sz w:val="26"/>
          <w:szCs w:val="26"/>
        </w:rPr>
      </w:pPr>
      <w:r w:rsidRPr="00FA3FC9">
        <w:rPr>
          <w:sz w:val="26"/>
          <w:szCs w:val="26"/>
        </w:rPr>
        <w:t xml:space="preserve">Nussbaumer, T.; Czasch, C.; Klippel, N.; Johansson, L.; Tullin, C. Particulate emissions from biomass combustion in IEA countries. In Proceeding of the 16th European Biomass Conference and Exhibition, Zurich, Switzerland, 2–6 June 2008; p. 40. </w:t>
      </w:r>
    </w:p>
    <w:p w14:paraId="5B158845" w14:textId="77777777" w:rsidR="00FA3FC9" w:rsidRPr="00FA3FC9" w:rsidRDefault="00FA3FC9" w:rsidP="000F6E58">
      <w:pPr>
        <w:pStyle w:val="NormalWeb"/>
        <w:numPr>
          <w:ilvl w:val="0"/>
          <w:numId w:val="3"/>
        </w:numPr>
        <w:tabs>
          <w:tab w:val="clear" w:pos="720"/>
          <w:tab w:val="num" w:pos="851"/>
        </w:tabs>
        <w:spacing w:before="120" w:beforeAutospacing="0" w:after="120" w:afterAutospacing="0" w:line="276" w:lineRule="auto"/>
        <w:ind w:left="0" w:firstLine="426"/>
        <w:jc w:val="both"/>
        <w:rPr>
          <w:sz w:val="26"/>
          <w:szCs w:val="26"/>
        </w:rPr>
      </w:pPr>
      <w:r w:rsidRPr="00FA3FC9">
        <w:rPr>
          <w:sz w:val="26"/>
          <w:szCs w:val="26"/>
        </w:rPr>
        <w:t xml:space="preserve">Obaidullah, M.; Bram, S.; Verma, V.; de Ruyck, J. A review on particle emissions from small scale biomass combustion. </w:t>
      </w:r>
      <w:r w:rsidRPr="004D1E70">
        <w:rPr>
          <w:i/>
          <w:sz w:val="26"/>
          <w:szCs w:val="26"/>
        </w:rPr>
        <w:t>Int. J. Renew. Eergy Res</w:t>
      </w:r>
      <w:r w:rsidRPr="00FA3FC9">
        <w:rPr>
          <w:sz w:val="26"/>
          <w:szCs w:val="26"/>
        </w:rPr>
        <w:t xml:space="preserve">. 2012, 2, 147–159. </w:t>
      </w:r>
    </w:p>
    <w:p w14:paraId="64199A1A" w14:textId="77777777" w:rsidR="00FA3FC9" w:rsidRPr="00FA3FC9" w:rsidRDefault="00FA3FC9" w:rsidP="000F6E58">
      <w:pPr>
        <w:pStyle w:val="NormalWeb"/>
        <w:numPr>
          <w:ilvl w:val="0"/>
          <w:numId w:val="3"/>
        </w:numPr>
        <w:tabs>
          <w:tab w:val="clear" w:pos="720"/>
          <w:tab w:val="num" w:pos="851"/>
        </w:tabs>
        <w:spacing w:before="120" w:beforeAutospacing="0" w:after="120" w:afterAutospacing="0" w:line="276" w:lineRule="auto"/>
        <w:ind w:left="0" w:firstLine="426"/>
        <w:jc w:val="both"/>
        <w:rPr>
          <w:sz w:val="26"/>
          <w:szCs w:val="26"/>
        </w:rPr>
      </w:pPr>
      <w:r w:rsidRPr="00FA3FC9">
        <w:rPr>
          <w:sz w:val="26"/>
          <w:szCs w:val="26"/>
        </w:rPr>
        <w:t xml:space="preserve">Wilson, W.E.; Chow, J.C.; Claiborn, C.; Fusheng, W.; Engelbrecht, J.; Watson, J.G. Monitoring of particulate matter outdoors. </w:t>
      </w:r>
      <w:r w:rsidRPr="004D1E70">
        <w:rPr>
          <w:i/>
          <w:sz w:val="26"/>
          <w:szCs w:val="26"/>
        </w:rPr>
        <w:t>Chemosphere</w:t>
      </w:r>
      <w:r w:rsidRPr="00FA3FC9">
        <w:rPr>
          <w:sz w:val="26"/>
          <w:szCs w:val="26"/>
        </w:rPr>
        <w:t xml:space="preserve"> 2002, 49, 1009–1043. </w:t>
      </w:r>
    </w:p>
    <w:p w14:paraId="4539CBE2" w14:textId="77777777" w:rsidR="00FA3FC9" w:rsidRPr="00FA3FC9" w:rsidRDefault="00FA3FC9" w:rsidP="000F6E58">
      <w:pPr>
        <w:pStyle w:val="NormalWeb"/>
        <w:numPr>
          <w:ilvl w:val="0"/>
          <w:numId w:val="3"/>
        </w:numPr>
        <w:tabs>
          <w:tab w:val="clear" w:pos="720"/>
          <w:tab w:val="num" w:pos="851"/>
        </w:tabs>
        <w:spacing w:before="120" w:beforeAutospacing="0" w:after="120" w:afterAutospacing="0" w:line="276" w:lineRule="auto"/>
        <w:ind w:left="0" w:firstLine="426"/>
        <w:jc w:val="both"/>
        <w:rPr>
          <w:sz w:val="26"/>
          <w:szCs w:val="26"/>
        </w:rPr>
      </w:pPr>
      <w:r w:rsidRPr="00FA3FC9">
        <w:rPr>
          <w:sz w:val="26"/>
          <w:szCs w:val="26"/>
        </w:rPr>
        <w:lastRenderedPageBreak/>
        <w:t xml:space="preserve">Giechaskiel, B.; Maricq, M.; Ntziachristos, L.; Dardiotis, C.; Wang, X.; Axmann, H.; Bergmann, A.; Schindler, W. Review of motor vehicle particulate emissions sampling and measurement: From smoke and filter mass to particle number. </w:t>
      </w:r>
      <w:r w:rsidRPr="004D1E70">
        <w:rPr>
          <w:i/>
          <w:sz w:val="26"/>
          <w:szCs w:val="26"/>
        </w:rPr>
        <w:t>J. Aerosol Sci</w:t>
      </w:r>
      <w:r w:rsidRPr="00FA3FC9">
        <w:rPr>
          <w:sz w:val="26"/>
          <w:szCs w:val="26"/>
        </w:rPr>
        <w:t xml:space="preserve">. 2014, 67, 48–86. </w:t>
      </w:r>
    </w:p>
    <w:p w14:paraId="554F8148" w14:textId="77777777" w:rsidR="00FA3FC9" w:rsidRPr="00FA3FC9" w:rsidRDefault="00FA3FC9" w:rsidP="000F6E58">
      <w:pPr>
        <w:pStyle w:val="NormalWeb"/>
        <w:numPr>
          <w:ilvl w:val="0"/>
          <w:numId w:val="3"/>
        </w:numPr>
        <w:tabs>
          <w:tab w:val="clear" w:pos="720"/>
          <w:tab w:val="num" w:pos="851"/>
        </w:tabs>
        <w:spacing w:before="120" w:beforeAutospacing="0" w:after="120" w:afterAutospacing="0" w:line="276" w:lineRule="auto"/>
        <w:ind w:left="0" w:firstLine="426"/>
        <w:jc w:val="both"/>
        <w:rPr>
          <w:sz w:val="26"/>
          <w:szCs w:val="26"/>
        </w:rPr>
      </w:pPr>
      <w:r w:rsidRPr="00FA3FC9">
        <w:rPr>
          <w:sz w:val="26"/>
          <w:szCs w:val="26"/>
        </w:rPr>
        <w:t xml:space="preserve">Wark, K.; Warner, C.F.; Davis, W.T. </w:t>
      </w:r>
      <w:r w:rsidRPr="004D1E70">
        <w:rPr>
          <w:i/>
          <w:sz w:val="26"/>
          <w:szCs w:val="26"/>
        </w:rPr>
        <w:t>Air Pollution: Its Origin and Control</w:t>
      </w:r>
      <w:r w:rsidRPr="00FA3FC9">
        <w:rPr>
          <w:sz w:val="26"/>
          <w:szCs w:val="26"/>
        </w:rPr>
        <w:t xml:space="preserve">, 3rd ed.; Addison-Wesley-Longman: Boston, MA, USA, 1998. </w:t>
      </w:r>
    </w:p>
    <w:p w14:paraId="661F7B60" w14:textId="77777777" w:rsidR="00FA3FC9" w:rsidRPr="00FA3FC9" w:rsidRDefault="00FA3FC9" w:rsidP="000F6E58">
      <w:pPr>
        <w:pStyle w:val="NormalWeb"/>
        <w:numPr>
          <w:ilvl w:val="0"/>
          <w:numId w:val="3"/>
        </w:numPr>
        <w:tabs>
          <w:tab w:val="clear" w:pos="720"/>
          <w:tab w:val="num" w:pos="851"/>
        </w:tabs>
        <w:spacing w:before="120" w:beforeAutospacing="0" w:after="120" w:afterAutospacing="0" w:line="276" w:lineRule="auto"/>
        <w:ind w:left="0" w:firstLine="426"/>
        <w:jc w:val="both"/>
        <w:rPr>
          <w:sz w:val="26"/>
          <w:szCs w:val="26"/>
        </w:rPr>
      </w:pPr>
      <w:r w:rsidRPr="00FA3FC9">
        <w:rPr>
          <w:sz w:val="26"/>
          <w:szCs w:val="26"/>
        </w:rPr>
        <w:t xml:space="preserve">Vincent, J.H. </w:t>
      </w:r>
      <w:r w:rsidRPr="004D1E70">
        <w:rPr>
          <w:i/>
          <w:sz w:val="26"/>
          <w:szCs w:val="26"/>
        </w:rPr>
        <w:t>Aerosol Sampling: Science, Standards, Instrumentation and Applications</w:t>
      </w:r>
      <w:r w:rsidRPr="00FA3FC9">
        <w:rPr>
          <w:sz w:val="26"/>
          <w:szCs w:val="26"/>
        </w:rPr>
        <w:t xml:space="preserve">; JohnWiley &amp; Sons: Hoboken, NJ, USA, 2007. </w:t>
      </w:r>
    </w:p>
    <w:p w14:paraId="60CCF202" w14:textId="77777777" w:rsidR="00FA3FC9" w:rsidRPr="00FA3FC9" w:rsidRDefault="00FA3FC9" w:rsidP="000F6E58">
      <w:pPr>
        <w:pStyle w:val="NormalWeb"/>
        <w:numPr>
          <w:ilvl w:val="0"/>
          <w:numId w:val="3"/>
        </w:numPr>
        <w:tabs>
          <w:tab w:val="clear" w:pos="720"/>
          <w:tab w:val="num" w:pos="851"/>
        </w:tabs>
        <w:spacing w:before="120" w:beforeAutospacing="0" w:after="120" w:afterAutospacing="0" w:line="276" w:lineRule="auto"/>
        <w:ind w:left="0" w:firstLine="426"/>
        <w:jc w:val="both"/>
        <w:rPr>
          <w:sz w:val="26"/>
          <w:szCs w:val="26"/>
        </w:rPr>
      </w:pPr>
      <w:r w:rsidRPr="00FA3FC9">
        <w:rPr>
          <w:sz w:val="26"/>
          <w:szCs w:val="26"/>
        </w:rPr>
        <w:t xml:space="preserve">Turner, J.; Colbeck, I. Physical and chemical properties of atmospheric aerosols. In </w:t>
      </w:r>
      <w:r w:rsidRPr="004D1E70">
        <w:rPr>
          <w:i/>
          <w:sz w:val="26"/>
          <w:szCs w:val="26"/>
        </w:rPr>
        <w:t>Environmental Chemistry of Aerosols</w:t>
      </w:r>
      <w:r w:rsidRPr="00FA3FC9">
        <w:rPr>
          <w:sz w:val="26"/>
          <w:szCs w:val="26"/>
        </w:rPr>
        <w:t xml:space="preserve">, 3rd ed.; Colbeck, I., Ed.; Blackwell Publishing Ltd.: Oxford, UK, 2008. </w:t>
      </w:r>
    </w:p>
    <w:p w14:paraId="316D124A" w14:textId="77777777" w:rsidR="00FA3FC9" w:rsidRPr="00FA3FC9" w:rsidRDefault="00FA3FC9" w:rsidP="000F6E58">
      <w:pPr>
        <w:pStyle w:val="NormalWeb"/>
        <w:numPr>
          <w:ilvl w:val="0"/>
          <w:numId w:val="3"/>
        </w:numPr>
        <w:tabs>
          <w:tab w:val="clear" w:pos="720"/>
          <w:tab w:val="num" w:pos="851"/>
        </w:tabs>
        <w:spacing w:before="120" w:beforeAutospacing="0" w:after="120" w:afterAutospacing="0" w:line="276" w:lineRule="auto"/>
        <w:ind w:left="0" w:firstLine="426"/>
        <w:jc w:val="both"/>
        <w:rPr>
          <w:sz w:val="26"/>
          <w:szCs w:val="26"/>
        </w:rPr>
      </w:pPr>
      <w:r w:rsidRPr="00FA3FC9">
        <w:rPr>
          <w:sz w:val="26"/>
          <w:szCs w:val="26"/>
        </w:rPr>
        <w:t xml:space="preserve">Kulkarni, P.; Baron, P.A.; Willeke, K. </w:t>
      </w:r>
      <w:r w:rsidRPr="004D1E70">
        <w:rPr>
          <w:i/>
          <w:sz w:val="26"/>
          <w:szCs w:val="26"/>
        </w:rPr>
        <w:t>Aerosol Measurement: Principles, Techniques, and Applications</w:t>
      </w:r>
      <w:r w:rsidRPr="00FA3FC9">
        <w:rPr>
          <w:sz w:val="26"/>
          <w:szCs w:val="26"/>
        </w:rPr>
        <w:t xml:space="preserve">, 3rd ed.; JohnWiley &amp; Sons: Hoboken, NJ, USA, 2011. </w:t>
      </w:r>
    </w:p>
    <w:p w14:paraId="40637960" w14:textId="77777777" w:rsidR="00FA3FC9" w:rsidRPr="00FA3FC9" w:rsidRDefault="00FA3FC9" w:rsidP="000F6E58">
      <w:pPr>
        <w:pStyle w:val="NormalWeb"/>
        <w:numPr>
          <w:ilvl w:val="0"/>
          <w:numId w:val="3"/>
        </w:numPr>
        <w:tabs>
          <w:tab w:val="clear" w:pos="720"/>
          <w:tab w:val="num" w:pos="851"/>
        </w:tabs>
        <w:spacing w:before="120" w:beforeAutospacing="0" w:after="120" w:afterAutospacing="0" w:line="276" w:lineRule="auto"/>
        <w:ind w:left="0" w:firstLine="426"/>
        <w:jc w:val="both"/>
        <w:rPr>
          <w:sz w:val="26"/>
          <w:szCs w:val="26"/>
        </w:rPr>
      </w:pPr>
      <w:r w:rsidRPr="00FA3FC9">
        <w:rPr>
          <w:sz w:val="26"/>
          <w:szCs w:val="26"/>
        </w:rPr>
        <w:t xml:space="preserve">Hinds, W.C. </w:t>
      </w:r>
      <w:r w:rsidRPr="004D1E70">
        <w:rPr>
          <w:i/>
          <w:sz w:val="26"/>
          <w:szCs w:val="26"/>
        </w:rPr>
        <w:t>Aerosol Technology: Properties, Behavior, and Measurement of Airborne Particles</w:t>
      </w:r>
      <w:r w:rsidRPr="00FA3FC9">
        <w:rPr>
          <w:sz w:val="26"/>
          <w:szCs w:val="26"/>
        </w:rPr>
        <w:t xml:space="preserve">, 2nd ed.; John Wiley &amp; Sons: Hoboken, NJ, USA, 1999. </w:t>
      </w:r>
    </w:p>
    <w:p w14:paraId="43341F35" w14:textId="77777777" w:rsidR="00FA3FC9" w:rsidRPr="00FA3FC9" w:rsidRDefault="00FA3FC9" w:rsidP="000F6E58">
      <w:pPr>
        <w:pStyle w:val="NormalWeb"/>
        <w:numPr>
          <w:ilvl w:val="0"/>
          <w:numId w:val="3"/>
        </w:numPr>
        <w:tabs>
          <w:tab w:val="clear" w:pos="720"/>
          <w:tab w:val="num" w:pos="851"/>
        </w:tabs>
        <w:spacing w:before="120" w:beforeAutospacing="0" w:after="120" w:afterAutospacing="0" w:line="276" w:lineRule="auto"/>
        <w:ind w:left="0" w:firstLine="426"/>
        <w:jc w:val="both"/>
        <w:rPr>
          <w:sz w:val="26"/>
          <w:szCs w:val="26"/>
        </w:rPr>
      </w:pPr>
      <w:r w:rsidRPr="00FA3FC9">
        <w:rPr>
          <w:sz w:val="26"/>
          <w:szCs w:val="26"/>
        </w:rPr>
        <w:t xml:space="preserve">Chowdhury, Z.; Campanella, L.; Gray, C.; Al Masud, A.; Marter-Kenyon, J.; Pennise, D.; Charron, D.; Zuzhang, X. Measurement and modeling of indoor air pollution in rural households with multiple stove interventions in Yunnan, China. </w:t>
      </w:r>
      <w:r w:rsidRPr="004D1E70">
        <w:rPr>
          <w:i/>
          <w:sz w:val="26"/>
          <w:szCs w:val="26"/>
        </w:rPr>
        <w:t>Atmos. Environ</w:t>
      </w:r>
      <w:r w:rsidRPr="00FA3FC9">
        <w:rPr>
          <w:sz w:val="26"/>
          <w:szCs w:val="26"/>
        </w:rPr>
        <w:t xml:space="preserve">. 2013, 67, 161–169. </w:t>
      </w:r>
    </w:p>
    <w:p w14:paraId="419E0B19" w14:textId="77777777" w:rsidR="00FA3FC9" w:rsidRPr="00FA3FC9" w:rsidRDefault="00FA3FC9" w:rsidP="000F6E58">
      <w:pPr>
        <w:pStyle w:val="NormalWeb"/>
        <w:numPr>
          <w:ilvl w:val="0"/>
          <w:numId w:val="3"/>
        </w:numPr>
        <w:tabs>
          <w:tab w:val="clear" w:pos="720"/>
          <w:tab w:val="num" w:pos="851"/>
        </w:tabs>
        <w:spacing w:before="120" w:beforeAutospacing="0" w:after="120" w:afterAutospacing="0" w:line="276" w:lineRule="auto"/>
        <w:ind w:left="0" w:firstLine="426"/>
        <w:jc w:val="both"/>
        <w:rPr>
          <w:sz w:val="26"/>
          <w:szCs w:val="26"/>
        </w:rPr>
      </w:pPr>
      <w:r w:rsidRPr="00FA3FC9">
        <w:rPr>
          <w:sz w:val="26"/>
          <w:szCs w:val="26"/>
        </w:rPr>
        <w:t xml:space="preserve">Prado, G.F.; Zanetta, D.M.T.; Arbex, M.A.; Braga, A.L.; Pereira, L.A.A.; de Marchi, M.R.R.; de Melo Loureiro, A.P.; Marcourakis, T.; Sugauara, L.E.; Gattás, G.J.F.; et al. Burnt sugarcane harvesting: particulate matter exposure and the effects on lung function, oxidative stress, and urinary 1-hydroxypyrene. </w:t>
      </w:r>
      <w:r w:rsidRPr="004D1E70">
        <w:rPr>
          <w:i/>
          <w:sz w:val="26"/>
          <w:szCs w:val="26"/>
        </w:rPr>
        <w:t>Sci. Total Environ.</w:t>
      </w:r>
      <w:r w:rsidRPr="00FA3FC9">
        <w:rPr>
          <w:sz w:val="26"/>
          <w:szCs w:val="26"/>
        </w:rPr>
        <w:t xml:space="preserve"> 2012, 437, 200–208. </w:t>
      </w:r>
    </w:p>
    <w:p w14:paraId="671C8590" w14:textId="77777777" w:rsidR="00FA3FC9" w:rsidRPr="00FA3FC9" w:rsidRDefault="00FA3FC9" w:rsidP="000F6E58">
      <w:pPr>
        <w:pStyle w:val="NormalWeb"/>
        <w:numPr>
          <w:ilvl w:val="0"/>
          <w:numId w:val="3"/>
        </w:numPr>
        <w:tabs>
          <w:tab w:val="clear" w:pos="720"/>
          <w:tab w:val="num" w:pos="851"/>
        </w:tabs>
        <w:spacing w:before="120" w:beforeAutospacing="0" w:after="120" w:afterAutospacing="0" w:line="276" w:lineRule="auto"/>
        <w:ind w:left="0" w:firstLine="426"/>
        <w:jc w:val="both"/>
        <w:rPr>
          <w:sz w:val="26"/>
          <w:szCs w:val="26"/>
        </w:rPr>
      </w:pPr>
      <w:r w:rsidRPr="00FA3FC9">
        <w:rPr>
          <w:sz w:val="26"/>
          <w:szCs w:val="26"/>
        </w:rPr>
        <w:t xml:space="preserve">Jiang, R.; Bell, M.L. A Comparison of Particulate Matter from Biomass-Burning Rural and Non-Biomass-Burning Urban Households in Northeastern China. </w:t>
      </w:r>
      <w:r w:rsidRPr="004D1E70">
        <w:rPr>
          <w:i/>
          <w:sz w:val="26"/>
          <w:szCs w:val="26"/>
        </w:rPr>
        <w:t>Environ. Health Perspect</w:t>
      </w:r>
      <w:r w:rsidRPr="00FA3FC9">
        <w:rPr>
          <w:sz w:val="26"/>
          <w:szCs w:val="26"/>
        </w:rPr>
        <w:t xml:space="preserve">. 2008, 116, 907–914. </w:t>
      </w:r>
    </w:p>
    <w:p w14:paraId="4C3CCA17" w14:textId="77777777" w:rsidR="00FA3FC9" w:rsidRPr="00FA3FC9" w:rsidRDefault="00FA3FC9" w:rsidP="000F6E58">
      <w:pPr>
        <w:pStyle w:val="NormalWeb"/>
        <w:numPr>
          <w:ilvl w:val="0"/>
          <w:numId w:val="3"/>
        </w:numPr>
        <w:tabs>
          <w:tab w:val="clear" w:pos="720"/>
          <w:tab w:val="num" w:pos="851"/>
        </w:tabs>
        <w:spacing w:before="120" w:beforeAutospacing="0" w:after="120" w:afterAutospacing="0" w:line="276" w:lineRule="auto"/>
        <w:ind w:left="0" w:firstLine="426"/>
        <w:jc w:val="both"/>
        <w:rPr>
          <w:sz w:val="26"/>
          <w:szCs w:val="26"/>
        </w:rPr>
      </w:pPr>
      <w:r w:rsidRPr="00FA3FC9">
        <w:rPr>
          <w:sz w:val="26"/>
          <w:szCs w:val="26"/>
        </w:rPr>
        <w:t xml:space="preserve">Torvela, T.; Tissari, J.; Sippula, O.; Kaivosoja, T.; Leskinen, J.; Virén, A.; Lähde, A.; Jokiniemi, J. Effect of wood combustion conditions on the morphology of freshly emitted fine particles. </w:t>
      </w:r>
      <w:r w:rsidRPr="004D1E70">
        <w:rPr>
          <w:i/>
          <w:sz w:val="26"/>
          <w:szCs w:val="26"/>
        </w:rPr>
        <w:t>Atmos. Environ</w:t>
      </w:r>
      <w:r w:rsidRPr="00FA3FC9">
        <w:rPr>
          <w:sz w:val="26"/>
          <w:szCs w:val="26"/>
        </w:rPr>
        <w:t xml:space="preserve">. 2014, 87, 65–76. </w:t>
      </w:r>
    </w:p>
    <w:p w14:paraId="5321B9F5" w14:textId="77777777" w:rsidR="00FA3FC9" w:rsidRPr="00FA3FC9" w:rsidRDefault="00FA3FC9" w:rsidP="000F6E58">
      <w:pPr>
        <w:pStyle w:val="NormalWeb"/>
        <w:numPr>
          <w:ilvl w:val="0"/>
          <w:numId w:val="3"/>
        </w:numPr>
        <w:tabs>
          <w:tab w:val="clear" w:pos="720"/>
          <w:tab w:val="num" w:pos="851"/>
        </w:tabs>
        <w:spacing w:before="120" w:beforeAutospacing="0" w:after="120" w:afterAutospacing="0" w:line="276" w:lineRule="auto"/>
        <w:ind w:left="0" w:firstLine="426"/>
        <w:jc w:val="both"/>
        <w:rPr>
          <w:sz w:val="26"/>
          <w:szCs w:val="26"/>
        </w:rPr>
      </w:pPr>
      <w:r w:rsidRPr="00FA3FC9">
        <w:rPr>
          <w:sz w:val="26"/>
          <w:szCs w:val="26"/>
        </w:rPr>
        <w:t xml:space="preserve">Lack, D.A.; Lovejoy, E.R.; Baynard, T.; Pettersson, A.; Ravishankara, A.R. Aerosol Absorption Measurement Using Photoacoustic Spectroscopy: Sensitivity, Calibration, and Uncertainty Developments. </w:t>
      </w:r>
      <w:r w:rsidRPr="004D1E70">
        <w:rPr>
          <w:i/>
          <w:sz w:val="26"/>
          <w:szCs w:val="26"/>
        </w:rPr>
        <w:t>Aerosol Sci. Technol</w:t>
      </w:r>
      <w:r w:rsidRPr="00FA3FC9">
        <w:rPr>
          <w:sz w:val="26"/>
          <w:szCs w:val="26"/>
        </w:rPr>
        <w:t xml:space="preserve">. 2006, 40, 697–708. </w:t>
      </w:r>
    </w:p>
    <w:p w14:paraId="4FE7D188" w14:textId="77777777" w:rsidR="00FA3FC9" w:rsidRPr="00FA3FC9" w:rsidRDefault="00FA3FC9" w:rsidP="000F6E58">
      <w:pPr>
        <w:pStyle w:val="NormalWeb"/>
        <w:numPr>
          <w:ilvl w:val="0"/>
          <w:numId w:val="3"/>
        </w:numPr>
        <w:tabs>
          <w:tab w:val="clear" w:pos="720"/>
          <w:tab w:val="num" w:pos="851"/>
        </w:tabs>
        <w:spacing w:before="120" w:beforeAutospacing="0" w:after="120" w:afterAutospacing="0" w:line="276" w:lineRule="auto"/>
        <w:ind w:left="0" w:firstLine="426"/>
        <w:jc w:val="both"/>
        <w:rPr>
          <w:sz w:val="26"/>
          <w:szCs w:val="26"/>
        </w:rPr>
      </w:pPr>
      <w:r w:rsidRPr="00FA3FC9">
        <w:rPr>
          <w:sz w:val="26"/>
          <w:szCs w:val="26"/>
        </w:rPr>
        <w:lastRenderedPageBreak/>
        <w:t xml:space="preserve">Krecl, P.; Ström, J.; Johansson, C. Carbon content of atmospheric aerosols in a residential area during the wood combustion season in Sweden. </w:t>
      </w:r>
      <w:r w:rsidRPr="004D1E70">
        <w:rPr>
          <w:i/>
          <w:sz w:val="26"/>
          <w:szCs w:val="26"/>
        </w:rPr>
        <w:t>Atmos. Environ</w:t>
      </w:r>
      <w:r w:rsidRPr="00FA3FC9">
        <w:rPr>
          <w:sz w:val="26"/>
          <w:szCs w:val="26"/>
        </w:rPr>
        <w:t xml:space="preserve">. 2007, 41, 6974–6985. </w:t>
      </w:r>
    </w:p>
    <w:p w14:paraId="0B5E2CF8" w14:textId="77777777" w:rsidR="00FA3FC9" w:rsidRPr="00FA3FC9" w:rsidRDefault="00FA3FC9" w:rsidP="000F6E58">
      <w:pPr>
        <w:pStyle w:val="NormalWeb"/>
        <w:numPr>
          <w:ilvl w:val="0"/>
          <w:numId w:val="3"/>
        </w:numPr>
        <w:tabs>
          <w:tab w:val="clear" w:pos="720"/>
          <w:tab w:val="num" w:pos="851"/>
        </w:tabs>
        <w:spacing w:before="120" w:beforeAutospacing="0" w:after="120" w:afterAutospacing="0" w:line="276" w:lineRule="auto"/>
        <w:ind w:left="0" w:firstLine="426"/>
        <w:jc w:val="both"/>
        <w:rPr>
          <w:sz w:val="26"/>
          <w:szCs w:val="26"/>
        </w:rPr>
      </w:pPr>
      <w:r w:rsidRPr="00FA3FC9">
        <w:rPr>
          <w:sz w:val="26"/>
          <w:szCs w:val="26"/>
        </w:rPr>
        <w:t xml:space="preserve">Santoro, R.; Shaddix, C. Laser-induced incandescence. In </w:t>
      </w:r>
      <w:r w:rsidRPr="004D1E70">
        <w:rPr>
          <w:i/>
          <w:sz w:val="26"/>
          <w:szCs w:val="26"/>
        </w:rPr>
        <w:t>Applied Combustion Diagnostics</w:t>
      </w:r>
      <w:r w:rsidRPr="00FA3FC9">
        <w:rPr>
          <w:sz w:val="26"/>
          <w:szCs w:val="26"/>
        </w:rPr>
        <w:t xml:space="preserve">; Kohse-Höinghaus, K., Jeffries, J., Eds.; Taylor and Francis: New York, NY, USA, 2002; pp. 252–286. </w:t>
      </w:r>
    </w:p>
    <w:p w14:paraId="36EFE269" w14:textId="77777777" w:rsidR="00FA3FC9" w:rsidRPr="00FA3FC9" w:rsidRDefault="00FA3FC9" w:rsidP="000F6E58">
      <w:pPr>
        <w:pStyle w:val="NormalWeb"/>
        <w:numPr>
          <w:ilvl w:val="0"/>
          <w:numId w:val="3"/>
        </w:numPr>
        <w:tabs>
          <w:tab w:val="clear" w:pos="720"/>
          <w:tab w:val="num" w:pos="851"/>
        </w:tabs>
        <w:spacing w:before="120" w:beforeAutospacing="0" w:after="120" w:afterAutospacing="0" w:line="276" w:lineRule="auto"/>
        <w:ind w:left="0" w:firstLine="426"/>
        <w:jc w:val="both"/>
        <w:rPr>
          <w:sz w:val="26"/>
          <w:szCs w:val="26"/>
        </w:rPr>
      </w:pPr>
      <w:r w:rsidRPr="00FA3FC9">
        <w:rPr>
          <w:sz w:val="26"/>
          <w:szCs w:val="26"/>
        </w:rPr>
        <w:t xml:space="preserve">Mellon, D.; King, S.J.; Kim, J.; Reid, J.P.; Orr-Ewing, A.J. Measurements of extinction by aerosol particles in the near-infrared using continuous wave cavity ring-down spectroscopy. </w:t>
      </w:r>
      <w:r w:rsidRPr="004D1E70">
        <w:rPr>
          <w:i/>
          <w:sz w:val="26"/>
          <w:szCs w:val="26"/>
        </w:rPr>
        <w:t>J. Phys. Chem</w:t>
      </w:r>
      <w:r w:rsidRPr="00FA3FC9">
        <w:rPr>
          <w:sz w:val="26"/>
          <w:szCs w:val="26"/>
        </w:rPr>
        <w:t xml:space="preserve">. 2011, 115, 774–783. </w:t>
      </w:r>
    </w:p>
    <w:p w14:paraId="2BCDB874" w14:textId="77777777" w:rsidR="00FA3FC9" w:rsidRPr="00FA3FC9" w:rsidRDefault="00FA3FC9" w:rsidP="000F6E58">
      <w:pPr>
        <w:pStyle w:val="NormalWeb"/>
        <w:numPr>
          <w:ilvl w:val="0"/>
          <w:numId w:val="4"/>
        </w:numPr>
        <w:tabs>
          <w:tab w:val="clear" w:pos="720"/>
          <w:tab w:val="num" w:pos="851"/>
        </w:tabs>
        <w:spacing w:before="120" w:beforeAutospacing="0" w:after="120" w:afterAutospacing="0" w:line="276" w:lineRule="auto"/>
        <w:ind w:left="0" w:firstLine="426"/>
        <w:jc w:val="both"/>
        <w:rPr>
          <w:sz w:val="26"/>
          <w:szCs w:val="26"/>
        </w:rPr>
      </w:pPr>
      <w:r w:rsidRPr="00FA3FC9">
        <w:rPr>
          <w:sz w:val="26"/>
          <w:szCs w:val="26"/>
        </w:rPr>
        <w:t xml:space="preserve">Pettersson, A.; Lovejoy, E.R.; Brock, C.A.; Brown, S.S.; Ravishankara, A.R. Measurement of aerosol optical extinction at with pulsed cavity ring down spectroscopy. </w:t>
      </w:r>
      <w:r w:rsidRPr="004D1E70">
        <w:rPr>
          <w:i/>
          <w:sz w:val="26"/>
          <w:szCs w:val="26"/>
        </w:rPr>
        <w:t>J. Aerosol Sci</w:t>
      </w:r>
      <w:r w:rsidRPr="00FA3FC9">
        <w:rPr>
          <w:sz w:val="26"/>
          <w:szCs w:val="26"/>
        </w:rPr>
        <w:t xml:space="preserve">. 2004, 35, 995–1011. </w:t>
      </w:r>
    </w:p>
    <w:p w14:paraId="0E29F99C" w14:textId="77777777" w:rsidR="00FA3FC9" w:rsidRPr="00FA3FC9" w:rsidRDefault="00FA3FC9" w:rsidP="000F6E58">
      <w:pPr>
        <w:pStyle w:val="NormalWeb"/>
        <w:numPr>
          <w:ilvl w:val="0"/>
          <w:numId w:val="4"/>
        </w:numPr>
        <w:tabs>
          <w:tab w:val="clear" w:pos="720"/>
          <w:tab w:val="num" w:pos="851"/>
        </w:tabs>
        <w:spacing w:before="120" w:beforeAutospacing="0" w:after="120" w:afterAutospacing="0" w:line="276" w:lineRule="auto"/>
        <w:ind w:left="0" w:firstLine="426"/>
        <w:jc w:val="both"/>
        <w:rPr>
          <w:sz w:val="26"/>
          <w:szCs w:val="26"/>
        </w:rPr>
      </w:pPr>
      <w:r w:rsidRPr="00FA3FC9">
        <w:rPr>
          <w:sz w:val="26"/>
          <w:szCs w:val="26"/>
        </w:rPr>
        <w:t xml:space="preserve">Öztürk, E. Performance, emissions, combustion and injection characteristics of a diesel engine fuelled with canola oil–hazelnut soapstock biodiesel mixture. </w:t>
      </w:r>
      <w:r w:rsidRPr="004D1E70">
        <w:rPr>
          <w:i/>
          <w:sz w:val="26"/>
          <w:szCs w:val="26"/>
        </w:rPr>
        <w:t>Fuel Process. Technol</w:t>
      </w:r>
      <w:r w:rsidRPr="00FA3FC9">
        <w:rPr>
          <w:sz w:val="26"/>
          <w:szCs w:val="26"/>
        </w:rPr>
        <w:t xml:space="preserve">. 2015, 129, 183–191. </w:t>
      </w:r>
    </w:p>
    <w:p w14:paraId="7B598360" w14:textId="77777777" w:rsidR="00FA3FC9" w:rsidRPr="00FA3FC9" w:rsidRDefault="00FA3FC9" w:rsidP="000F6E58">
      <w:pPr>
        <w:pStyle w:val="NormalWeb"/>
        <w:numPr>
          <w:ilvl w:val="0"/>
          <w:numId w:val="4"/>
        </w:numPr>
        <w:tabs>
          <w:tab w:val="clear" w:pos="720"/>
          <w:tab w:val="num" w:pos="851"/>
        </w:tabs>
        <w:spacing w:before="120" w:beforeAutospacing="0" w:after="120" w:afterAutospacing="0" w:line="276" w:lineRule="auto"/>
        <w:ind w:left="0" w:firstLine="426"/>
        <w:jc w:val="both"/>
        <w:rPr>
          <w:sz w:val="26"/>
          <w:szCs w:val="26"/>
        </w:rPr>
      </w:pPr>
      <w:r w:rsidRPr="00FA3FC9">
        <w:rPr>
          <w:sz w:val="26"/>
          <w:szCs w:val="26"/>
        </w:rPr>
        <w:t xml:space="preserve">Elsasser, M.; Crippa, M.; Orasche, J.; Decarlo, P.F.; Oster, M.; Pitz, M.; Cyrys, J.; Gustafson, T.L.; Pettersson, J.B.C.; Zimmermann, R. Organic molecular markers and signature from wood combustion particles in winter ambient aerosols : Aerosol mass spectrometer (AMS) and high time-resolved GC-MS measurements in Augsburg, Germany. </w:t>
      </w:r>
      <w:r w:rsidRPr="004D1E70">
        <w:rPr>
          <w:i/>
          <w:sz w:val="26"/>
          <w:szCs w:val="26"/>
        </w:rPr>
        <w:t>Atmos. Chem. Phys</w:t>
      </w:r>
      <w:r w:rsidRPr="00FA3FC9">
        <w:rPr>
          <w:sz w:val="26"/>
          <w:szCs w:val="26"/>
        </w:rPr>
        <w:t xml:space="preserve">. 2012, 6113–6128. </w:t>
      </w:r>
    </w:p>
    <w:p w14:paraId="3411F270" w14:textId="77777777" w:rsidR="00FA3FC9" w:rsidRPr="00FA3FC9" w:rsidRDefault="00FA3FC9" w:rsidP="000F6E58">
      <w:pPr>
        <w:pStyle w:val="NormalWeb"/>
        <w:numPr>
          <w:ilvl w:val="0"/>
          <w:numId w:val="4"/>
        </w:numPr>
        <w:tabs>
          <w:tab w:val="clear" w:pos="720"/>
          <w:tab w:val="num" w:pos="851"/>
        </w:tabs>
        <w:spacing w:before="120" w:beforeAutospacing="0" w:after="120" w:afterAutospacing="0" w:line="276" w:lineRule="auto"/>
        <w:ind w:left="0" w:firstLine="426"/>
        <w:jc w:val="both"/>
        <w:rPr>
          <w:sz w:val="26"/>
          <w:szCs w:val="26"/>
        </w:rPr>
      </w:pPr>
      <w:r w:rsidRPr="00FA3FC9">
        <w:rPr>
          <w:sz w:val="26"/>
          <w:szCs w:val="26"/>
        </w:rPr>
        <w:t xml:space="preserve">Wentzel, M.; Gorzawski, H.; Naumann, K.-H.; Saathoff, H.; Weinbruch, S. Transmission electron microscopical and aerosol dynamical characterization of soot aerosols. </w:t>
      </w:r>
      <w:r w:rsidRPr="004D1E70">
        <w:rPr>
          <w:i/>
          <w:sz w:val="26"/>
          <w:szCs w:val="26"/>
        </w:rPr>
        <w:t xml:space="preserve">J. Aerosol Sci. </w:t>
      </w:r>
      <w:r w:rsidRPr="00FA3FC9">
        <w:rPr>
          <w:sz w:val="26"/>
          <w:szCs w:val="26"/>
        </w:rPr>
        <w:t xml:space="preserve">2003, 34, 1347–1370. </w:t>
      </w:r>
    </w:p>
    <w:p w14:paraId="2F8E7034" w14:textId="77777777" w:rsidR="00FA3FC9" w:rsidRPr="00FA3FC9" w:rsidRDefault="00FA3FC9" w:rsidP="000F6E58">
      <w:pPr>
        <w:pStyle w:val="NormalWeb"/>
        <w:numPr>
          <w:ilvl w:val="0"/>
          <w:numId w:val="4"/>
        </w:numPr>
        <w:tabs>
          <w:tab w:val="clear" w:pos="720"/>
          <w:tab w:val="num" w:pos="851"/>
        </w:tabs>
        <w:spacing w:before="120" w:beforeAutospacing="0" w:after="120" w:afterAutospacing="0" w:line="276" w:lineRule="auto"/>
        <w:ind w:left="0" w:firstLine="426"/>
        <w:jc w:val="both"/>
        <w:rPr>
          <w:sz w:val="26"/>
          <w:szCs w:val="26"/>
        </w:rPr>
      </w:pPr>
      <w:r w:rsidRPr="00FA3FC9">
        <w:rPr>
          <w:sz w:val="26"/>
          <w:szCs w:val="26"/>
        </w:rPr>
        <w:t xml:space="preserve">Venkataraman, C.; Rao, G.U.M. Emission Factors of Carbon Monoxide and Size-Resolved Aerosols from Biofuel Combustion. </w:t>
      </w:r>
      <w:r w:rsidRPr="004D1E70">
        <w:rPr>
          <w:i/>
          <w:sz w:val="26"/>
          <w:szCs w:val="26"/>
        </w:rPr>
        <w:t>Environ. Sci. Technol</w:t>
      </w:r>
      <w:r w:rsidRPr="00FA3FC9">
        <w:rPr>
          <w:sz w:val="26"/>
          <w:szCs w:val="26"/>
        </w:rPr>
        <w:t xml:space="preserve">. 2001, 35, 2100–2107. </w:t>
      </w:r>
    </w:p>
    <w:p w14:paraId="0673599B" w14:textId="77777777" w:rsidR="00FA3FC9" w:rsidRPr="00FA3FC9" w:rsidRDefault="00FA3FC9" w:rsidP="000F6E58">
      <w:pPr>
        <w:pStyle w:val="NormalWeb"/>
        <w:numPr>
          <w:ilvl w:val="0"/>
          <w:numId w:val="4"/>
        </w:numPr>
        <w:tabs>
          <w:tab w:val="clear" w:pos="720"/>
          <w:tab w:val="num" w:pos="851"/>
        </w:tabs>
        <w:spacing w:before="120" w:beforeAutospacing="0" w:after="120" w:afterAutospacing="0" w:line="276" w:lineRule="auto"/>
        <w:ind w:left="0" w:firstLine="426"/>
        <w:jc w:val="both"/>
        <w:rPr>
          <w:sz w:val="26"/>
          <w:szCs w:val="26"/>
        </w:rPr>
      </w:pPr>
      <w:r w:rsidRPr="00FA3FC9">
        <w:rPr>
          <w:sz w:val="26"/>
          <w:szCs w:val="26"/>
        </w:rPr>
        <w:t xml:space="preserve">Fierz, M.; Houle, C.; Steigmeier, P.; Burtscher, H. Design, Calibration, and Field Performance of a Miniature Diffusion Size Classifier. </w:t>
      </w:r>
      <w:r w:rsidRPr="004D1E70">
        <w:rPr>
          <w:i/>
          <w:sz w:val="26"/>
          <w:szCs w:val="26"/>
        </w:rPr>
        <w:t>Aerosol Sci. Technol</w:t>
      </w:r>
      <w:r w:rsidRPr="00FA3FC9">
        <w:rPr>
          <w:sz w:val="26"/>
          <w:szCs w:val="26"/>
        </w:rPr>
        <w:t xml:space="preserve">. 2011, 45, 1–10. </w:t>
      </w:r>
    </w:p>
    <w:p w14:paraId="12413334" w14:textId="77777777" w:rsidR="00FA3FC9" w:rsidRPr="00FA3FC9" w:rsidRDefault="00FA3FC9" w:rsidP="000F6E58">
      <w:pPr>
        <w:pStyle w:val="NormalWeb"/>
        <w:numPr>
          <w:ilvl w:val="0"/>
          <w:numId w:val="4"/>
        </w:numPr>
        <w:tabs>
          <w:tab w:val="clear" w:pos="720"/>
          <w:tab w:val="num" w:pos="851"/>
        </w:tabs>
        <w:spacing w:before="120" w:beforeAutospacing="0" w:after="120" w:afterAutospacing="0" w:line="276" w:lineRule="auto"/>
        <w:ind w:left="0" w:firstLine="426"/>
        <w:jc w:val="both"/>
        <w:rPr>
          <w:sz w:val="26"/>
          <w:szCs w:val="26"/>
        </w:rPr>
      </w:pPr>
      <w:r w:rsidRPr="00FA3FC9">
        <w:rPr>
          <w:sz w:val="26"/>
          <w:szCs w:val="26"/>
        </w:rPr>
        <w:t>Hossain, A.M.M.; Park, S.; Kim, J.S.; Park, K. Volatility and mixing states of ultrafine particles from biomass burning</w:t>
      </w:r>
      <w:r w:rsidRPr="004D1E70">
        <w:rPr>
          <w:i/>
          <w:sz w:val="26"/>
          <w:szCs w:val="26"/>
        </w:rPr>
        <w:t>. J. Hazard. Mater</w:t>
      </w:r>
      <w:r w:rsidRPr="00FA3FC9">
        <w:rPr>
          <w:sz w:val="26"/>
          <w:szCs w:val="26"/>
        </w:rPr>
        <w:t xml:space="preserve">. 2012, 189–197. </w:t>
      </w:r>
    </w:p>
    <w:p w14:paraId="6A560597" w14:textId="77777777" w:rsidR="00FA3FC9" w:rsidRPr="00FA3FC9" w:rsidRDefault="00FA3FC9" w:rsidP="000F6E58">
      <w:pPr>
        <w:pStyle w:val="NormalWeb"/>
        <w:numPr>
          <w:ilvl w:val="0"/>
          <w:numId w:val="4"/>
        </w:numPr>
        <w:tabs>
          <w:tab w:val="clear" w:pos="720"/>
          <w:tab w:val="num" w:pos="851"/>
        </w:tabs>
        <w:spacing w:before="120" w:beforeAutospacing="0" w:after="120" w:afterAutospacing="0" w:line="276" w:lineRule="auto"/>
        <w:ind w:left="0" w:firstLine="426"/>
        <w:jc w:val="both"/>
        <w:rPr>
          <w:sz w:val="26"/>
          <w:szCs w:val="26"/>
        </w:rPr>
      </w:pPr>
      <w:r w:rsidRPr="00FA3FC9">
        <w:rPr>
          <w:sz w:val="26"/>
          <w:szCs w:val="26"/>
        </w:rPr>
        <w:t xml:space="preserve">Johnson, T.J.; Symonds, J.P.R.; Olfert, J.S. Mass–Mobility Measurements Using a Centrifugal Particle Mass Analyzer and Differential Mobility Spectrometer. </w:t>
      </w:r>
      <w:r w:rsidRPr="004D1E70">
        <w:rPr>
          <w:i/>
          <w:sz w:val="26"/>
          <w:szCs w:val="26"/>
        </w:rPr>
        <w:t>Aerosol Sci. Technol.</w:t>
      </w:r>
      <w:r w:rsidRPr="00FA3FC9">
        <w:rPr>
          <w:sz w:val="26"/>
          <w:szCs w:val="26"/>
        </w:rPr>
        <w:t xml:space="preserve"> 2013, 47, 1215–1225. </w:t>
      </w:r>
    </w:p>
    <w:p w14:paraId="01215870" w14:textId="77777777" w:rsidR="00FA3FC9" w:rsidRPr="00FA3FC9" w:rsidRDefault="00FA3FC9" w:rsidP="000F6E58">
      <w:pPr>
        <w:pStyle w:val="NormalWeb"/>
        <w:numPr>
          <w:ilvl w:val="0"/>
          <w:numId w:val="4"/>
        </w:numPr>
        <w:tabs>
          <w:tab w:val="clear" w:pos="720"/>
          <w:tab w:val="num" w:pos="851"/>
        </w:tabs>
        <w:spacing w:before="120" w:beforeAutospacing="0" w:after="120" w:afterAutospacing="0" w:line="276" w:lineRule="auto"/>
        <w:ind w:left="0" w:firstLine="426"/>
        <w:jc w:val="both"/>
        <w:rPr>
          <w:sz w:val="26"/>
          <w:szCs w:val="26"/>
        </w:rPr>
      </w:pPr>
      <w:r w:rsidRPr="00FA3FC9">
        <w:rPr>
          <w:sz w:val="26"/>
          <w:szCs w:val="26"/>
        </w:rPr>
        <w:lastRenderedPageBreak/>
        <w:t xml:space="preserve">Kamilli, K.A.; Poulain, L.; Held, A.; Nowak, A.; Birmili, W.; Wiedensohler, A. Hygroscopic properties of the Paris urban aerosol in relation to its chemical composition. </w:t>
      </w:r>
      <w:r w:rsidRPr="004D1E70">
        <w:rPr>
          <w:i/>
          <w:sz w:val="26"/>
          <w:szCs w:val="26"/>
        </w:rPr>
        <w:t>Atmos. Chem. Phys</w:t>
      </w:r>
      <w:r w:rsidRPr="00FA3FC9">
        <w:rPr>
          <w:sz w:val="26"/>
          <w:szCs w:val="26"/>
        </w:rPr>
        <w:t xml:space="preserve">. 2014, 14, 737–749. </w:t>
      </w:r>
    </w:p>
    <w:p w14:paraId="774A6759" w14:textId="77777777" w:rsidR="00FA3FC9" w:rsidRPr="00FA3FC9" w:rsidRDefault="00FA3FC9" w:rsidP="000F6E58">
      <w:pPr>
        <w:pStyle w:val="NormalWeb"/>
        <w:numPr>
          <w:ilvl w:val="0"/>
          <w:numId w:val="4"/>
        </w:numPr>
        <w:tabs>
          <w:tab w:val="clear" w:pos="720"/>
          <w:tab w:val="num" w:pos="851"/>
        </w:tabs>
        <w:spacing w:before="120" w:beforeAutospacing="0" w:after="120" w:afterAutospacing="0" w:line="276" w:lineRule="auto"/>
        <w:ind w:left="0" w:firstLine="426"/>
        <w:jc w:val="both"/>
        <w:rPr>
          <w:sz w:val="26"/>
          <w:szCs w:val="26"/>
        </w:rPr>
      </w:pPr>
      <w:r w:rsidRPr="00FA3FC9">
        <w:rPr>
          <w:sz w:val="26"/>
          <w:szCs w:val="26"/>
        </w:rPr>
        <w:t xml:space="preserve">Olfert, J.S.; Kulkarni, P.; Wang, J. Measuring aerosol size distributions with the fast integrated mobility spectrometer. </w:t>
      </w:r>
      <w:r w:rsidRPr="004D1E70">
        <w:rPr>
          <w:i/>
          <w:sz w:val="26"/>
          <w:szCs w:val="26"/>
        </w:rPr>
        <w:t>J. Aerosol Sci.</w:t>
      </w:r>
      <w:r w:rsidRPr="00FA3FC9">
        <w:rPr>
          <w:sz w:val="26"/>
          <w:szCs w:val="26"/>
        </w:rPr>
        <w:t xml:space="preserve"> 2008, 39, 940–956. </w:t>
      </w:r>
    </w:p>
    <w:p w14:paraId="7C6BB70B" w14:textId="77777777" w:rsidR="00FA3FC9" w:rsidRPr="00FA3FC9" w:rsidRDefault="00FA3FC9" w:rsidP="000F6E58">
      <w:pPr>
        <w:pStyle w:val="NormalWeb"/>
        <w:numPr>
          <w:ilvl w:val="0"/>
          <w:numId w:val="4"/>
        </w:numPr>
        <w:tabs>
          <w:tab w:val="clear" w:pos="720"/>
          <w:tab w:val="num" w:pos="851"/>
        </w:tabs>
        <w:spacing w:before="120" w:beforeAutospacing="0" w:after="120" w:afterAutospacing="0" w:line="276" w:lineRule="auto"/>
        <w:ind w:left="0" w:firstLine="426"/>
        <w:jc w:val="both"/>
        <w:rPr>
          <w:sz w:val="26"/>
          <w:szCs w:val="26"/>
        </w:rPr>
      </w:pPr>
      <w:r w:rsidRPr="00FA3FC9">
        <w:rPr>
          <w:sz w:val="26"/>
          <w:szCs w:val="26"/>
        </w:rPr>
        <w:t xml:space="preserve">Coudray, N.; Dieterlen, A.; Roth, E.; Trouvé, G. Density measurement of fine aerosol fractions from wood combustion sources using ELPI distributions and image processing techniques. </w:t>
      </w:r>
      <w:r w:rsidRPr="004D1E70">
        <w:rPr>
          <w:i/>
          <w:sz w:val="26"/>
          <w:szCs w:val="26"/>
        </w:rPr>
        <w:t>Fuel</w:t>
      </w:r>
      <w:r w:rsidRPr="00FA3FC9">
        <w:rPr>
          <w:sz w:val="26"/>
          <w:szCs w:val="26"/>
        </w:rPr>
        <w:t xml:space="preserve"> 2009, 88, 947–954. </w:t>
      </w:r>
    </w:p>
    <w:p w14:paraId="4B5A1429" w14:textId="77777777" w:rsidR="00FA3FC9" w:rsidRPr="00FA3FC9" w:rsidRDefault="00FA3FC9" w:rsidP="000F6E58">
      <w:pPr>
        <w:pStyle w:val="NormalWeb"/>
        <w:numPr>
          <w:ilvl w:val="0"/>
          <w:numId w:val="4"/>
        </w:numPr>
        <w:tabs>
          <w:tab w:val="clear" w:pos="720"/>
          <w:tab w:val="num" w:pos="851"/>
        </w:tabs>
        <w:spacing w:before="120" w:beforeAutospacing="0" w:after="120" w:afterAutospacing="0" w:line="276" w:lineRule="auto"/>
        <w:ind w:left="0" w:firstLine="426"/>
        <w:jc w:val="both"/>
        <w:rPr>
          <w:sz w:val="26"/>
          <w:szCs w:val="26"/>
        </w:rPr>
      </w:pPr>
      <w:r w:rsidRPr="00FA3FC9">
        <w:rPr>
          <w:sz w:val="26"/>
          <w:szCs w:val="26"/>
        </w:rPr>
        <w:t xml:space="preserve">Jayne, J.T.; Leard, D.C.; Zhang, X.; Davidovits, P.; Smith, K.A.; Kolb, C.E.; Worsnop, D.R. Development of an Aerosol Mass Spectrometer for Size and Composition Analysis of Submicron Particles. </w:t>
      </w:r>
      <w:r w:rsidRPr="004D1E70">
        <w:rPr>
          <w:i/>
          <w:sz w:val="26"/>
          <w:szCs w:val="26"/>
        </w:rPr>
        <w:t>Aerosol Sci. Technol</w:t>
      </w:r>
      <w:r w:rsidRPr="00FA3FC9">
        <w:rPr>
          <w:sz w:val="26"/>
          <w:szCs w:val="26"/>
        </w:rPr>
        <w:t xml:space="preserve">. 2000, 33, 49–70. </w:t>
      </w:r>
    </w:p>
    <w:p w14:paraId="59C449C7" w14:textId="77777777" w:rsidR="00FA3FC9" w:rsidRPr="00B05ED6" w:rsidRDefault="00FA3FC9" w:rsidP="000F6E58">
      <w:pPr>
        <w:pStyle w:val="NormalWeb"/>
        <w:numPr>
          <w:ilvl w:val="0"/>
          <w:numId w:val="4"/>
        </w:numPr>
        <w:tabs>
          <w:tab w:val="clear" w:pos="720"/>
          <w:tab w:val="num" w:pos="851"/>
        </w:tabs>
        <w:spacing w:before="120" w:beforeAutospacing="0" w:after="120" w:afterAutospacing="0" w:line="276" w:lineRule="auto"/>
        <w:ind w:left="0" w:firstLine="426"/>
        <w:jc w:val="both"/>
        <w:rPr>
          <w:sz w:val="26"/>
          <w:szCs w:val="26"/>
        </w:rPr>
      </w:pPr>
      <w:r w:rsidRPr="00FA3FC9">
        <w:rPr>
          <w:sz w:val="26"/>
          <w:szCs w:val="26"/>
        </w:rPr>
        <w:t xml:space="preserve">Amaral, S.S.; de Carvalho, J.A.; Costa, M.A.M.; Neto, T.G.S.; Dellani, R.; Leite, L.H.S. Comparative study for hardwood and softwood forest biomass: chemical characterization, combustion phases and gas and particulate matter emissions. </w:t>
      </w:r>
      <w:r w:rsidRPr="004D1E70">
        <w:rPr>
          <w:i/>
          <w:sz w:val="26"/>
          <w:szCs w:val="26"/>
        </w:rPr>
        <w:t>Bioresour. Technol.</w:t>
      </w:r>
      <w:r w:rsidRPr="00FA3FC9">
        <w:rPr>
          <w:sz w:val="26"/>
          <w:szCs w:val="26"/>
        </w:rPr>
        <w:t xml:space="preserve"> 2014, 164, 55–63. </w:t>
      </w:r>
    </w:p>
    <w:sectPr w:rsidR="00FA3FC9" w:rsidRPr="00B05E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F24BB6"/>
    <w:multiLevelType w:val="multilevel"/>
    <w:tmpl w:val="93C0B17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C908A8"/>
    <w:multiLevelType w:val="multilevel"/>
    <w:tmpl w:val="8E4A1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513E98"/>
    <w:multiLevelType w:val="multilevel"/>
    <w:tmpl w:val="03FAF5B8"/>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BA00A3"/>
    <w:multiLevelType w:val="multilevel"/>
    <w:tmpl w:val="2FECC452"/>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1771"/>
    <w:rsid w:val="00066530"/>
    <w:rsid w:val="000F6E58"/>
    <w:rsid w:val="00124D23"/>
    <w:rsid w:val="002D086F"/>
    <w:rsid w:val="00310131"/>
    <w:rsid w:val="00325E38"/>
    <w:rsid w:val="004900FB"/>
    <w:rsid w:val="004B709A"/>
    <w:rsid w:val="004D1E70"/>
    <w:rsid w:val="005524DF"/>
    <w:rsid w:val="005C07F5"/>
    <w:rsid w:val="006222BA"/>
    <w:rsid w:val="0066637A"/>
    <w:rsid w:val="007361F7"/>
    <w:rsid w:val="007C616B"/>
    <w:rsid w:val="00891771"/>
    <w:rsid w:val="00975F4C"/>
    <w:rsid w:val="00A551C9"/>
    <w:rsid w:val="00AC517D"/>
    <w:rsid w:val="00B05ED6"/>
    <w:rsid w:val="00B268B1"/>
    <w:rsid w:val="00C20840"/>
    <w:rsid w:val="00C41E60"/>
    <w:rsid w:val="00D54B9D"/>
    <w:rsid w:val="00D65BB0"/>
    <w:rsid w:val="00F32DCB"/>
    <w:rsid w:val="00F33C4C"/>
    <w:rsid w:val="00FA3FC9"/>
    <w:rsid w:val="00FB0731"/>
    <w:rsid w:val="00FF32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3BAFF"/>
  <w15:docId w15:val="{6FE9B477-E219-554C-AB19-DA57B2A01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91771"/>
    <w:rPr>
      <w:color w:val="0000FF" w:themeColor="hyperlink"/>
      <w:u w:val="single"/>
    </w:rPr>
  </w:style>
  <w:style w:type="paragraph" w:styleId="NormalWeb">
    <w:name w:val="Normal (Web)"/>
    <w:basedOn w:val="Normal"/>
    <w:uiPriority w:val="99"/>
    <w:unhideWhenUsed/>
    <w:rsid w:val="00FA3FC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A3F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3FC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403</TotalTime>
  <Pages>24</Pages>
  <Words>8123</Words>
  <Characters>46306</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DELL</cp:lastModifiedBy>
  <cp:revision>13</cp:revision>
  <dcterms:created xsi:type="dcterms:W3CDTF">2021-01-17T13:45:00Z</dcterms:created>
  <dcterms:modified xsi:type="dcterms:W3CDTF">2021-04-09T10:01:00Z</dcterms:modified>
</cp:coreProperties>
</file>