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126B4C" w14:textId="77777777" w:rsidR="00713F12" w:rsidRPr="00203DC6" w:rsidRDefault="00831FAA" w:rsidP="00203DC6">
      <w:pPr>
        <w:pStyle w:val="Title"/>
        <w:spacing w:before="120" w:line="240" w:lineRule="auto"/>
        <w:ind w:left="-2" w:right="106"/>
        <w:jc w:val="both"/>
        <w:rPr>
          <w:color w:val="000000" w:themeColor="text1"/>
          <w:sz w:val="26"/>
          <w:szCs w:val="26"/>
          <w:vertAlign w:val="superscript"/>
        </w:rPr>
      </w:pPr>
      <w:r w:rsidRPr="00203DC6">
        <w:rPr>
          <w:color w:val="000000" w:themeColor="text1"/>
          <w:sz w:val="26"/>
          <w:szCs w:val="26"/>
          <w:vertAlign w:val="superscript"/>
        </w:rPr>
        <w:t xml:space="preserve">KỸ THUẬT TÁC ĐỘNG QUÁN TÍNH </w:t>
      </w:r>
    </w:p>
    <w:p w14:paraId="3AAAFA22" w14:textId="77777777" w:rsidR="00713F12" w:rsidRPr="00203DC6" w:rsidRDefault="00831FAA" w:rsidP="00203DC6">
      <w:pPr>
        <w:pStyle w:val="Title"/>
        <w:spacing w:before="120" w:line="240" w:lineRule="auto"/>
        <w:ind w:left="-2" w:right="106"/>
        <w:jc w:val="both"/>
        <w:rPr>
          <w:color w:val="000000" w:themeColor="text1"/>
          <w:sz w:val="26"/>
          <w:szCs w:val="26"/>
          <w:vertAlign w:val="superscript"/>
        </w:rPr>
      </w:pPr>
      <w:r w:rsidRPr="00203DC6">
        <w:rPr>
          <w:color w:val="000000" w:themeColor="text1"/>
          <w:sz w:val="26"/>
          <w:szCs w:val="26"/>
          <w:vertAlign w:val="superscript"/>
        </w:rPr>
        <w:t>ĐỂ PHÂN LOẠI VẬT CHẤT HẠT VÀ HẠT NANO  (Review +)</w:t>
      </w:r>
    </w:p>
    <w:p w14:paraId="4C4AB4AE" w14:textId="77777777" w:rsidR="00713F12" w:rsidRPr="00203DC6" w:rsidRDefault="00831FAA" w:rsidP="00203DC6">
      <w:pPr>
        <w:pStyle w:val="Heading1"/>
        <w:spacing w:before="120"/>
        <w:ind w:left="-2" w:right="1645"/>
        <w:jc w:val="both"/>
        <w:rPr>
          <w:b w:val="0"/>
          <w:color w:val="000000" w:themeColor="text1"/>
          <w:sz w:val="26"/>
          <w:szCs w:val="26"/>
        </w:rPr>
      </w:pPr>
      <w:r w:rsidRPr="00203DC6">
        <w:rPr>
          <w:color w:val="000000" w:themeColor="text1"/>
          <w:sz w:val="26"/>
          <w:szCs w:val="26"/>
        </w:rPr>
        <w:t xml:space="preserve">Thi-Cuc Le and Chuen-Jinn Tsai </w:t>
      </w:r>
      <w:r w:rsidRPr="00203DC6">
        <w:rPr>
          <w:b w:val="0"/>
          <w:color w:val="000000" w:themeColor="text1"/>
          <w:position w:val="2"/>
          <w:sz w:val="26"/>
          <w:szCs w:val="26"/>
        </w:rPr>
        <w:t>*</w:t>
      </w:r>
    </w:p>
    <w:p w14:paraId="690263B4" w14:textId="77777777" w:rsidR="00713F12" w:rsidRPr="00203DC6" w:rsidRDefault="00831FAA" w:rsidP="00203DC6">
      <w:pPr>
        <w:spacing w:before="120"/>
        <w:ind w:left="-2" w:right="906"/>
        <w:jc w:val="both"/>
        <w:rPr>
          <w:rFonts w:ascii="Times New Roman" w:hAnsi="Times New Roman" w:cs="Times New Roman"/>
          <w:i/>
          <w:color w:val="000000" w:themeColor="text1"/>
          <w:sz w:val="26"/>
          <w:szCs w:val="26"/>
        </w:rPr>
      </w:pPr>
      <w:r w:rsidRPr="00203DC6">
        <w:rPr>
          <w:rFonts w:ascii="Times New Roman" w:hAnsi="Times New Roman" w:cs="Times New Roman"/>
          <w:i/>
          <w:color w:val="000000" w:themeColor="text1"/>
          <w:sz w:val="26"/>
          <w:szCs w:val="26"/>
        </w:rPr>
        <w:t>Institute of Environmental Engineering, National Chiao Tung University, Taiwan</w:t>
      </w:r>
    </w:p>
    <w:p w14:paraId="1BB7F132" w14:textId="77777777" w:rsidR="00713F12" w:rsidRPr="00203DC6" w:rsidRDefault="00713F12" w:rsidP="00203DC6">
      <w:pPr>
        <w:pStyle w:val="Title"/>
        <w:spacing w:before="120" w:line="240" w:lineRule="auto"/>
        <w:ind w:left="-2"/>
        <w:jc w:val="both"/>
        <w:rPr>
          <w:color w:val="000000" w:themeColor="text1"/>
          <w:sz w:val="26"/>
          <w:szCs w:val="26"/>
          <w:vertAlign w:val="superscript"/>
        </w:rPr>
      </w:pPr>
    </w:p>
    <w:p w14:paraId="7AACC7DA"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517BFB58"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1C663045" w14:textId="77777777" w:rsidR="00713F12" w:rsidRPr="00203DC6" w:rsidRDefault="00831FAA" w:rsidP="00203DC6">
      <w:pPr>
        <w:spacing w:before="120"/>
        <w:ind w:left="-2"/>
        <w:jc w:val="both"/>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 xml:space="preserve">Tóm tắt </w:t>
      </w:r>
    </w:p>
    <w:p w14:paraId="17567D9E" w14:textId="77777777" w:rsidR="00713F12" w:rsidRPr="00203DC6" w:rsidRDefault="00831FAA" w:rsidP="00203DC6">
      <w:pPr>
        <w:spacing w:before="120"/>
        <w:ind w:firstLine="709"/>
        <w:jc w:val="both"/>
        <w:rPr>
          <w:rFonts w:ascii="Times New Roman" w:hAnsi="Times New Roman" w:cs="Times New Roman"/>
          <w:color w:val="000000" w:themeColor="text1"/>
          <w:spacing w:val="2"/>
          <w:sz w:val="26"/>
          <w:szCs w:val="26"/>
        </w:rPr>
      </w:pPr>
      <w:r w:rsidRPr="00203DC6">
        <w:rPr>
          <w:rFonts w:ascii="Times New Roman" w:hAnsi="Times New Roman" w:cs="Times New Roman"/>
          <w:color w:val="000000" w:themeColor="text1"/>
          <w:spacing w:val="2"/>
          <w:sz w:val="26"/>
          <w:szCs w:val="26"/>
        </w:rPr>
        <w:t>Tác động quán tính được ứng dụng rộng rãi để phân loại các chất dạng hạt (PM) và hạt nano (NP) với đường kính khí động học mong muốn cho các phân tích sâu hơn do đặc điểm cắt sắc bén, thiết kế đơn giản, dễ vận hành và khả năng thu gom cao. Một vài trăm bài báo đã được xuất bản từ những năm 1860 đề cập đến các đặc điểm và ứng dụng của các tác động quán tính. Trong 30 năm qua, nhóm của chúng tôi cũng đã thực hiện rất nhiều nghiên cứu để đóng góp vào việc thiết kế và cải tiến các bộ tác động quán tính. Với sự hiểu biết của chúng tôi về tác động quán tính, bài viết này xem xét các nghiên cứu trước đây về một số loại tác động quán tính điển hình bao gồm tác động thông thường, tác động nối tầng và tác động ảo và các thông số để xem xét thiết kế của các thiết bị này. Bài báo cũng đánh giá một số ứng dụng của tác động quán tính, đó là đo nồng độ khối lượng, đo khối lượng và phân bố số lượng, đo mức độ phơi nhiễm cá nhân, vật chất dạng hạt kiểm soát và phân loại bột. Kiến thức tổng hợp về bộ tác động quán tính trong nghiên cứu này có thể giúp các nhà nghiên cứu thiết kế bộ tác động quán tính với đường kính ngưỡng chính xác, đường cong hiệu quả thu thập sắc nét, không có phản ứng nảy hạt và quá tải hạt để sử dụng lâu dài cho mục đích phân loại và kiểm soát PM.</w:t>
      </w:r>
    </w:p>
    <w:p w14:paraId="4F2F5887" w14:textId="77777777" w:rsidR="00713F12" w:rsidRPr="00203DC6" w:rsidRDefault="00831FAA" w:rsidP="00203DC6">
      <w:pPr>
        <w:spacing w:before="120"/>
        <w:ind w:left="-2"/>
        <w:jc w:val="both"/>
        <w:rPr>
          <w:rFonts w:ascii="Times New Roman" w:hAnsi="Times New Roman" w:cs="Times New Roman"/>
          <w:color w:val="000000" w:themeColor="text1"/>
          <w:sz w:val="26"/>
          <w:szCs w:val="26"/>
        </w:rPr>
      </w:pPr>
      <w:r w:rsidRPr="00203DC6">
        <w:rPr>
          <w:rFonts w:ascii="Times New Roman" w:hAnsi="Times New Roman" w:cs="Times New Roman"/>
          <w:b/>
          <w:bCs/>
          <w:color w:val="000000" w:themeColor="text1"/>
          <w:sz w:val="26"/>
          <w:szCs w:val="26"/>
        </w:rPr>
        <w:t>Từ khóa</w:t>
      </w:r>
      <w:r w:rsidRPr="00203DC6">
        <w:rPr>
          <w:rFonts w:ascii="Times New Roman" w:hAnsi="Times New Roman" w:cs="Times New Roman"/>
          <w:color w:val="000000" w:themeColor="text1"/>
          <w:sz w:val="26"/>
          <w:szCs w:val="26"/>
        </w:rPr>
        <w:t>: Tác động quán tính, tác động tầng, tác động ảo, hạt nano, lấy mẫu</w:t>
      </w:r>
    </w:p>
    <w:p w14:paraId="538349F1" w14:textId="77777777" w:rsidR="00203DC6" w:rsidRPr="00203DC6" w:rsidRDefault="00203DC6" w:rsidP="00203DC6">
      <w:pPr>
        <w:spacing w:before="120"/>
        <w:ind w:left="-2"/>
        <w:jc w:val="both"/>
        <w:rPr>
          <w:rFonts w:ascii="Times New Roman" w:hAnsi="Times New Roman" w:cs="Times New Roman"/>
          <w:b/>
          <w:bCs/>
          <w:color w:val="000000" w:themeColor="text1"/>
          <w:sz w:val="26"/>
          <w:szCs w:val="26"/>
        </w:rPr>
      </w:pPr>
    </w:p>
    <w:p w14:paraId="27E4850D" w14:textId="3D7D5960" w:rsidR="00713F12" w:rsidRPr="00A93550" w:rsidRDefault="00831FAA" w:rsidP="00A93550">
      <w:pPr>
        <w:pStyle w:val="ListParagraph"/>
        <w:numPr>
          <w:ilvl w:val="0"/>
          <w:numId w:val="8"/>
        </w:numPr>
        <w:spacing w:before="120"/>
        <w:jc w:val="both"/>
        <w:rPr>
          <w:rFonts w:ascii="Times New Roman" w:hAnsi="Times New Roman" w:cs="Times New Roman"/>
          <w:b/>
          <w:bCs/>
          <w:color w:val="000000" w:themeColor="text1"/>
          <w:sz w:val="26"/>
          <w:szCs w:val="26"/>
        </w:rPr>
      </w:pPr>
      <w:r w:rsidRPr="00A93550">
        <w:rPr>
          <w:rFonts w:ascii="Times New Roman" w:hAnsi="Times New Roman" w:cs="Times New Roman"/>
          <w:b/>
          <w:bCs/>
          <w:color w:val="000000" w:themeColor="text1"/>
          <w:sz w:val="26"/>
          <w:szCs w:val="26"/>
        </w:rPr>
        <w:t xml:space="preserve">Giới thiệu </w:t>
      </w:r>
    </w:p>
    <w:p w14:paraId="04D106A3" w14:textId="77777777" w:rsidR="00713F12" w:rsidRPr="00203DC6" w:rsidRDefault="00831FAA" w:rsidP="00203DC6">
      <w:pPr>
        <w:spacing w:before="120"/>
        <w:ind w:left="-2" w:firstLine="711"/>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Nhu cầu lớn về việc phát triển các thiết bị thu thập các hạt trong không khí với các kích thước khác nhau để nghiên cứu ảnh hưởng của các hạt vật chất (PMs) đối với sức khỏe con người (Anderson J.O. et al., 2012). Trong giai đoạn từ 1860 đến 1880, các nhà nghiên cứu đã phát hiện ra rằng các tác động quán tính có thể được sử dụng để thu thập các hạt trong không khí để phân tích thêm (Marple V.A., 2004). Các bộ tác động quán tính bao gồm bộ tác động thông thường, bộ tác động theo tầng và bộ tác động ảo có thể phân loại các hạt thành các phạm vi kích thước khác nhau dựa trên quán tính của hạt. Trong các tác động quán tính, khi luồng không khí buộc phải thay đổi hướng, các hạt có đủ quán tính thoát khỏi dòng chuyển động trong khi các hạt có quán tính nhỏ hơn vẫn ở trong dòng dẫn đến việc phân loại dựa trên kích thước hạt. Một đợt phát triển của các bộ tác động quán tính đã bùng nổ kể từ năm 1945 khi bộ tác động tầng đầu tiên (một loạt các bộ tác động thông thường) được phát triển để thu thập các mẫu hạt sinh ra trong không khí có </w:t>
      </w:r>
      <w:r w:rsidRPr="00203DC6">
        <w:rPr>
          <w:rFonts w:ascii="Times New Roman" w:hAnsi="Times New Roman" w:cs="Times New Roman"/>
          <w:color w:val="000000" w:themeColor="text1"/>
          <w:sz w:val="26"/>
          <w:szCs w:val="26"/>
        </w:rPr>
        <w:lastRenderedPageBreak/>
        <w:t>kích thước phân đoạn với hiệu suất thu thập cao để có được sự phân bố khối lượng hạt (May KR , Năm 1945).</w:t>
      </w:r>
    </w:p>
    <w:p w14:paraId="31DC9151" w14:textId="77777777" w:rsidR="008D62DB" w:rsidRDefault="00831FAA" w:rsidP="00203DC6">
      <w:pPr>
        <w:spacing w:before="120"/>
        <w:ind w:left="-2" w:firstLine="711"/>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Kể từ những năm 1970, các nhà nghiên cứu đã tính toán trường dòng chảy và quỹ đạo của hạt bên trong bộ tác động bằng cách sử dụng các phương pháp chênh lệch hữu hạn và cho thấy bộ tác động có đặc tính cắt rõ nét (McFarland A.R. và cộng sự, 1978). Sau đó, tác động được coi là tiêu chuẩn để phân loại PM dựa trên đường kính khí động học của hạt. Bộ tác động ảo được phát triển sau đó vào năm 1966 (Conner W.D., 1966) với một tính năng không có trong bộ tác động thông thường, trong đó các hạt được thu thập trong một đầu dò thay vì trên đĩa thu để tránh hạt nảy. Tác động ảo cũng thu hút rất nhiều sự quan tâm từ các nhà nghiên cứu đối với việc phân loại PM vì hai phân số kích thước hạt có thể được thu thập để phân tích thêm vì lý thuyết thiết kế đã được nghiên cứu và hiểu rõ hơn (Marple V.A. và Chien C.M., 1980; Zahir M.Z. và cộng sự, 2018). Từ năm 1970 đến nay, tác động quán tính đã được sử dụng rộng rãi cho nhiều mục đích khác nhau như</w:t>
      </w:r>
      <w:r w:rsidR="008D62DB">
        <w:rPr>
          <w:rFonts w:ascii="Times New Roman" w:hAnsi="Times New Roman" w:cs="Times New Roman"/>
          <w:color w:val="000000" w:themeColor="text1"/>
          <w:sz w:val="26"/>
          <w:szCs w:val="26"/>
        </w:rPr>
        <w:t>:</w:t>
      </w:r>
      <w:r w:rsidRPr="00203DC6">
        <w:rPr>
          <w:rFonts w:ascii="Times New Roman" w:hAnsi="Times New Roman" w:cs="Times New Roman"/>
          <w:color w:val="000000" w:themeColor="text1"/>
          <w:sz w:val="26"/>
          <w:szCs w:val="26"/>
        </w:rPr>
        <w:t xml:space="preserve"> </w:t>
      </w:r>
    </w:p>
    <w:p w14:paraId="54DCC569" w14:textId="4B9FED0C" w:rsidR="008D62DB" w:rsidRPr="008D62DB" w:rsidRDefault="00831FAA" w:rsidP="008D62DB">
      <w:pPr>
        <w:pStyle w:val="ListParagraph"/>
        <w:numPr>
          <w:ilvl w:val="0"/>
          <w:numId w:val="6"/>
        </w:numPr>
        <w:spacing w:before="120"/>
        <w:jc w:val="both"/>
        <w:rPr>
          <w:rFonts w:ascii="Times New Roman" w:hAnsi="Times New Roman" w:cs="Times New Roman"/>
          <w:color w:val="000000" w:themeColor="text1"/>
          <w:sz w:val="26"/>
          <w:szCs w:val="26"/>
        </w:rPr>
      </w:pPr>
      <w:r w:rsidRPr="008D62DB">
        <w:rPr>
          <w:rFonts w:ascii="Times New Roman" w:hAnsi="Times New Roman" w:cs="Times New Roman"/>
          <w:color w:val="000000" w:themeColor="text1"/>
          <w:sz w:val="26"/>
          <w:szCs w:val="26"/>
        </w:rPr>
        <w:t xml:space="preserve">phân loại dựa trên kích thước để đo nồng độ khối lượng (Le TC và Tsai CJ, 2017; Le TC et al., 2019), </w:t>
      </w:r>
    </w:p>
    <w:p w14:paraId="37B80D2D" w14:textId="196BACFA" w:rsidR="008D62DB" w:rsidRDefault="00831FAA" w:rsidP="008D62DB">
      <w:pPr>
        <w:pStyle w:val="ListParagraph"/>
        <w:numPr>
          <w:ilvl w:val="0"/>
          <w:numId w:val="6"/>
        </w:numPr>
        <w:spacing w:before="120"/>
        <w:jc w:val="both"/>
        <w:rPr>
          <w:rFonts w:ascii="Times New Roman" w:hAnsi="Times New Roman" w:cs="Times New Roman"/>
          <w:color w:val="000000" w:themeColor="text1"/>
          <w:sz w:val="26"/>
          <w:szCs w:val="26"/>
        </w:rPr>
      </w:pPr>
      <w:r w:rsidRPr="008D62DB">
        <w:rPr>
          <w:rFonts w:ascii="Times New Roman" w:hAnsi="Times New Roman" w:cs="Times New Roman"/>
          <w:color w:val="000000" w:themeColor="text1"/>
          <w:sz w:val="26"/>
          <w:szCs w:val="26"/>
        </w:rPr>
        <w:t xml:space="preserve">khối lượng hạt đo lường phân bố (Marple VA và cộng sự, 1991; Demokritou P. và cộng sự, 2004a), </w:t>
      </w:r>
    </w:p>
    <w:p w14:paraId="2DEBCF77" w14:textId="52D7B6C8" w:rsidR="008D62DB" w:rsidRDefault="00831FAA" w:rsidP="008D62DB">
      <w:pPr>
        <w:pStyle w:val="ListParagraph"/>
        <w:numPr>
          <w:ilvl w:val="0"/>
          <w:numId w:val="6"/>
        </w:numPr>
        <w:spacing w:before="120"/>
        <w:jc w:val="both"/>
        <w:rPr>
          <w:rFonts w:ascii="Times New Roman" w:hAnsi="Times New Roman" w:cs="Times New Roman"/>
          <w:color w:val="000000" w:themeColor="text1"/>
          <w:sz w:val="26"/>
          <w:szCs w:val="26"/>
        </w:rPr>
      </w:pPr>
      <w:r w:rsidRPr="008D62DB">
        <w:rPr>
          <w:rFonts w:ascii="Times New Roman" w:hAnsi="Times New Roman" w:cs="Times New Roman"/>
          <w:color w:val="000000" w:themeColor="text1"/>
          <w:sz w:val="26"/>
          <w:szCs w:val="26"/>
        </w:rPr>
        <w:t xml:space="preserve">đo thành phần hóa học (Marple VA và cộng sự, 1991), </w:t>
      </w:r>
    </w:p>
    <w:p w14:paraId="16FFE28E" w14:textId="388BE6D5" w:rsidR="008D62DB" w:rsidRDefault="00831FAA" w:rsidP="008D62DB">
      <w:pPr>
        <w:pStyle w:val="ListParagraph"/>
        <w:numPr>
          <w:ilvl w:val="0"/>
          <w:numId w:val="6"/>
        </w:numPr>
        <w:spacing w:before="120"/>
        <w:jc w:val="both"/>
        <w:rPr>
          <w:rFonts w:ascii="Times New Roman" w:hAnsi="Times New Roman" w:cs="Times New Roman"/>
          <w:color w:val="000000" w:themeColor="text1"/>
          <w:sz w:val="26"/>
          <w:szCs w:val="26"/>
        </w:rPr>
      </w:pPr>
      <w:r w:rsidRPr="008D62DB">
        <w:rPr>
          <w:rFonts w:ascii="Times New Roman" w:hAnsi="Times New Roman" w:cs="Times New Roman"/>
          <w:color w:val="000000" w:themeColor="text1"/>
          <w:sz w:val="26"/>
          <w:szCs w:val="26"/>
        </w:rPr>
        <w:t xml:space="preserve">đo phơi nhiễm cá nhân (Tsai CJ và cộng sự, 2012b), và </w:t>
      </w:r>
    </w:p>
    <w:p w14:paraId="61F8568E" w14:textId="6A233A7D" w:rsidR="00713F12" w:rsidRPr="008D62DB" w:rsidRDefault="00831FAA" w:rsidP="008D62DB">
      <w:pPr>
        <w:pStyle w:val="ListParagraph"/>
        <w:numPr>
          <w:ilvl w:val="0"/>
          <w:numId w:val="6"/>
        </w:numPr>
        <w:spacing w:before="120"/>
        <w:jc w:val="both"/>
        <w:rPr>
          <w:rFonts w:ascii="Times New Roman" w:hAnsi="Times New Roman" w:cs="Times New Roman"/>
          <w:color w:val="000000" w:themeColor="text1"/>
          <w:sz w:val="26"/>
          <w:szCs w:val="26"/>
        </w:rPr>
      </w:pPr>
      <w:r w:rsidRPr="008D62DB">
        <w:rPr>
          <w:rFonts w:ascii="Times New Roman" w:hAnsi="Times New Roman" w:cs="Times New Roman"/>
          <w:color w:val="000000" w:themeColor="text1"/>
          <w:sz w:val="26"/>
          <w:szCs w:val="26"/>
        </w:rPr>
        <w:t>phép đo hạt nano (NP) (Chow JC và Watson JG, 2007).</w:t>
      </w:r>
    </w:p>
    <w:p w14:paraId="0F1D8066" w14:textId="77777777" w:rsidR="00713F12" w:rsidRPr="00203DC6" w:rsidRDefault="00831FAA" w:rsidP="00203DC6">
      <w:pPr>
        <w:spacing w:before="120"/>
        <w:ind w:left="-2" w:firstLine="711"/>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Những lý do chính đằng sau ứng dụng đa dạng của tác động quán tính là khả năng tách biệt rõ ràng, khả năng thu gom cao, thiết kế tương đối đơn giản và dễ vận hành. Nhưng một số hạn chế vốn có đối với các tác nhân tác động như hạt nảy và cuốn theo lại (Turner JR và Hering SV, 1987; Fujitani Y. và cộng sự, 2006), hạt quá tải  (Tsai CJ và Cheng YH, 1995; Demokritou P. et cộng sự, 2004b), và mất hạt (Fang C. và cộng sự, 1991; Durand T. và cộng sự, 2014), có thể làm giảm hiệu suất của chúng. Hơn nữa, một số đặc điểm điển hình của bộ tác động quán tính như đường kính ngưỡng, độ sắc nét của đường cong hiệu quả thu và các đặc tính của nền tác động nên được hiểu rõ vì PMs có kích thước, hình dạng, loại, thành phần và đặc tính khác nhau (Loo BW, 1975; Hinds WC, 1999). Đã có nhiều nghiên cứu được thực hiện để giải quyết những vấn đề này từ năm 1970 trở đi, được xem xét chi tiết trong Phần 2.</w:t>
      </w:r>
    </w:p>
    <w:p w14:paraId="79D3715D" w14:textId="49606098" w:rsidR="00713F12" w:rsidRPr="00203DC6" w:rsidRDefault="00831FAA" w:rsidP="00203DC6">
      <w:pPr>
        <w:spacing w:before="120"/>
        <w:ind w:left="-2" w:firstLine="711"/>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Trong 30 năm qua, nhóm của chúng tôi cũng đã thực hiện rất nhiều nghiên cứu để đóng góp vào việc thiết kế và cải tiến các bộ tác động quán tính. Năm 1995, một bộ tác động với một khoang hình nón ngược làm đĩa thu được phát triển để loại bỏ sự nảy và cuốn theo của hạt và nâng cao khả năng tải (Tsai C.J. và Cheng Y.H., 1995). Thiết kế này đã được nghiên cứu thêm bởi các nhà nghiên cứu khác (Chang M. và cộng sự, 1999; Kim DS và cộng sự, 2006; Kim YJ và Yook SJ, 2011; Kim WG và cộng sự, 2013) và được sử dụng để phát triển EPA (Cơ quan Bảo vệ Môi trường) Máy tác động giếng PM2.5 chín mươi sáu (WINS) (Peters TM và cộng sự, 2001). Một số máy lấy mẫu cá nhân khác nhau đã được phát triển để đo các hạt và NP có thể hô hấp để đánh giá mức độ phơi nhiễm tại nơi làm việc như máy tác động quán tính cá nhân (Huang CH và cộng sự, 2006) và máy lấy mẫu hạt nano cá nhân hoạt động mới (PENS) (Tsai CJ và cộng sự, 2012b). PENS đã được sử dụng cho các nghiên cứu sâu hơn của các nhóm nghiên cứu khác (Hsiao TC và cộng sự, 2010; Hsiao TC và cộng sự, 2011; Sung G. và cộng sự, 2018) hoặc cho các phép đo thực </w:t>
      </w:r>
      <w:r w:rsidRPr="00203DC6">
        <w:rPr>
          <w:rFonts w:ascii="Times New Roman" w:hAnsi="Times New Roman" w:cs="Times New Roman"/>
          <w:color w:val="000000" w:themeColor="text1"/>
          <w:sz w:val="26"/>
          <w:szCs w:val="26"/>
        </w:rPr>
        <w:lastRenderedPageBreak/>
        <w:t>địa (Young LH và cộng sự, 2013; Zhou Y. và cộng sự, 2014; Zhu CS và cộng sự, 2016; Asbach C. và cộng sự, 2017; Zhu CS và cộng sự, 2017). Một số thiết bị lấy mẫu thương mại đã được nghiên cứu để chứng minh hiệu suất lấy mẫu của chúng tại phòng thí nghiệm của chúng tôi. Chúng tôi nhận thấy sự mất mát giữa các giai đoạn của tắc nghẽn NP trong bốn giai đoạn cuối cùng của bộ tác động lắng đọng đồng nhất vi lỗ (MOUDI) do cấu trúc vòi phun khôn ngoan của nó với sự co lại đột ngột (Liu CN và cộng sự, 2013b) và đã phát triển NCTU bộ tác động tầng vi lỗ (NMCI) với hình dạng vòi trơn để loại bỏ những vấn đề này (Chien CL và cộng sự, 2015). Hiệu suất lấy mẫu của đầu vào tiêu chuẩn EPA mở rộng PM10 và đầu vào PM2.5 WINS đã được nghiên cứu và các hiệu ứng nảy hạt, cuốn theo và quá tải hạt của các thiết bị này đã được tìm thấy (LeT.C. và Tsai CJ, 2017; Le TC et al., 2019). Đầu vào PM10 (M-PM10) được sửa đổi không dội ngược và đầu vào WINS (M-WINS) đã được sửa đổi được phát triển cho mục đích lấy mẫu lâu dài mà không cần bảo trì thường xuyên. Bộ lấy mẫu PM10 và PM2.5 đa bộ lọc (MFPPS) bao gồm các bộ tác động PM10 và PM2.5 được phát triển để thu thập đồng thời nhiều mẫu PM10 và PM2.5 cho các phân tích khác nhau hoặc kiểm tra so sánh của các thiết bị khác nhau (Liu CN et al., 2011). Bên cạnh đó, nhiều nghiên cứu lý thuyết và thực nghiệm đã được thực hiện bởi nhóm của chúng tôi, khám phá các vấn đề cơ bản của thiết bị quán tính bao gồm ảnh hưởng của trọng lực đến hiệu quả thu gom hạt (Huang CH và Tsai CJ, 2001), ảnh hưởng của đường kính tấm va đập và hạt mật độ trên hiệu suất thu thập của các tác động quán tính (Huang CH và Tsai CJ, 2002a), ảnh hưởng của kim loại xốp (Huang CH và cộng sự, 2001; Huang C.H. và Tsai C.J., 2002b; Hoàng C.H. và Tsai CJ, 2003) và bọt xốp (Huang CH và cộng sự, 2005) làm chất nền tác động lên kích thước cắt và hiệu quả thu gom, và ảnh hưởng của độ ẩm tương đối (RH) đối với các phép đo nồng độ NP và phân bố khối lượng hạt bằng MOUDI (Chen SC và cộng sự, 2011).</w:t>
      </w:r>
    </w:p>
    <w:p w14:paraId="024E1A06" w14:textId="57F724BB" w:rsidR="00713F12" w:rsidRPr="00203DC6" w:rsidRDefault="00831FAA" w:rsidP="00203DC6">
      <w:pPr>
        <w:spacing w:before="120"/>
        <w:ind w:left="-2" w:firstLine="711"/>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Với sự hiểu biết của chúng tôi về tác động quán tính, bài viết này nhằm mục đích tổng hợp kiến thức hiện có về thiết kế tác động và thảo luận về các quan điểm trong tương lai trong các ứng dụng của kỹ thuật quán tính để phân loại PM, NP và bột. Nguyên tắc thiết kế, đặc điểm cắt, các ưu điểm và nhược điểm của từng loại tác động quán tính được xem xét. Một số ứng dụng điển hình của tác động quán tính bao gồm đo nồng độ khối lượng, đo khối lượng và phân bố số lượng, đo mức độ phơi nhiễm cá nhân, kiểm soát PM và phân loại bột sẽ được thảo luận. Hai loại tác động quán tính bao gồm tác động thông thường và tác động ảo được bảo hiểm.</w:t>
      </w:r>
    </w:p>
    <w:p w14:paraId="09491BEB" w14:textId="51E0869B" w:rsidR="00713F12" w:rsidRPr="00203DC6" w:rsidRDefault="00831FAA" w:rsidP="00203DC6">
      <w:pPr>
        <w:pStyle w:val="ListParagraph"/>
        <w:numPr>
          <w:ilvl w:val="0"/>
          <w:numId w:val="3"/>
        </w:numPr>
        <w:spacing w:before="120"/>
        <w:jc w:val="both"/>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 xml:space="preserve">Nguyên tắc và thiết kế </w:t>
      </w:r>
    </w:p>
    <w:p w14:paraId="54C0C1A4" w14:textId="77777777" w:rsidR="00713F12" w:rsidRPr="00203DC6" w:rsidRDefault="00831FAA" w:rsidP="00203DC6">
      <w:pPr>
        <w:spacing w:before="120"/>
        <w:ind w:left="-2" w:firstLine="711"/>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Các loại và nguyên lý của tác động quán tính được trình bày trong sách giáo khoa (Hinds W.C., 1999; Marple V.A. và Olson B.A., 2011) và được mô tả ngắn gọn ở đây để hỗ trợ các cân nhắc về thiết kế và ứng dụng. Mô tả và ưu nhược điểm của từng loại tác động quán tính được tóm tắt trong Bảng 1. Danh sách các thiết bị thương mại của chúng có thể được tìm thấy trong Watson J.G. và Chow J.C. (2011).</w:t>
      </w:r>
    </w:p>
    <w:p w14:paraId="604FCE2A" w14:textId="18FFE73C" w:rsidR="00713F12" w:rsidRPr="00A93550" w:rsidRDefault="00831FAA" w:rsidP="00A93550">
      <w:pPr>
        <w:pStyle w:val="ListParagraph"/>
        <w:numPr>
          <w:ilvl w:val="1"/>
          <w:numId w:val="3"/>
        </w:numPr>
        <w:spacing w:before="120"/>
        <w:jc w:val="both"/>
        <w:rPr>
          <w:rFonts w:ascii="Times New Roman" w:hAnsi="Times New Roman" w:cs="Times New Roman"/>
          <w:b/>
          <w:bCs/>
          <w:i/>
          <w:iCs/>
          <w:color w:val="000000" w:themeColor="text1"/>
          <w:sz w:val="26"/>
          <w:szCs w:val="26"/>
        </w:rPr>
      </w:pPr>
      <w:r w:rsidRPr="00A93550">
        <w:rPr>
          <w:rFonts w:ascii="Times New Roman" w:hAnsi="Times New Roman" w:cs="Times New Roman"/>
          <w:b/>
          <w:bCs/>
          <w:i/>
          <w:iCs/>
          <w:color w:val="000000" w:themeColor="text1"/>
          <w:sz w:val="26"/>
          <w:szCs w:val="26"/>
        </w:rPr>
        <w:t>Bộ tác động thông thường và bộ tác động tầng</w:t>
      </w:r>
    </w:p>
    <w:p w14:paraId="082A29C1" w14:textId="77777777" w:rsidR="00713F12" w:rsidRPr="00203DC6" w:rsidRDefault="00831FAA" w:rsidP="00203DC6">
      <w:pPr>
        <w:spacing w:before="120"/>
        <w:ind w:left="-2" w:firstLine="711"/>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Một bộ tác động một tầng thông thường bao gồm một hoặc nhiều vòi phun có hình tròn hoặc hình chữ nhật và một tấm tác động bên dưới vòi phun như thể hiện trong Hình 1a. Khi không khí chứa nhiều hạt đi qua (các) vòi và quay phía trên tấm tác động, các hạt có đủ quán tính sẽ không thể đi theo dòng và tác động lên tấm thu trong khi các hạt có quán tính nhỏ hơn sẽ chảy ra khỏi bộ tác động và được thu </w:t>
      </w:r>
      <w:r w:rsidRPr="00203DC6">
        <w:rPr>
          <w:rFonts w:ascii="Times New Roman" w:hAnsi="Times New Roman" w:cs="Times New Roman"/>
          <w:color w:val="000000" w:themeColor="text1"/>
          <w:sz w:val="26"/>
          <w:szCs w:val="26"/>
        </w:rPr>
        <w:lastRenderedPageBreak/>
        <w:t>thập bằng bộ lọc để phân tích thêm hoặc được đo trực tiếp bằng thiết bị khí dung (Marple VA và Olson BA, 2011). Để phân loại các hạt thành nhiều phạm vi kích thước, một loạt các bộ tác động một tầng được sử dụng, được gọi là bộ tác động tầng (Marple V.A. và Olson B.A., 2011). Các giai đoạn tiếp theo được thiết kế để cung cấp tốc độ phản lực cao hơn dần dần và/hoặc giảm áp suất để kích thước khí động học trung bình của các hạt được thu thập ở mỗi giai đoạn nhỏ dần. Nhiều vòi phun (nhiều vòi) được sử dụng chủ yếu để tăng tốc độ dòng khí. Các vòi phun này được khoan trên một tấm vòi phun được đặt trên đỉnh của tấm tác động với một khoảng cách từ tia tới tấm cho trước.</w:t>
      </w:r>
    </w:p>
    <w:p w14:paraId="7B447A7D" w14:textId="39CE11C8" w:rsidR="001D5282" w:rsidRDefault="001D5282" w:rsidP="001D5282">
      <w:pPr>
        <w:pStyle w:val="Caption"/>
        <w:keepNext/>
      </w:pPr>
      <w:r w:rsidRPr="001D5282">
        <w:rPr>
          <w:rFonts w:ascii="Times New Roman" w:hAnsi="Times New Roman" w:cs="Times New Roman"/>
          <w:sz w:val="26"/>
          <w:szCs w:val="26"/>
        </w:rPr>
        <w:t xml:space="preserve">Bảng </w:t>
      </w:r>
      <w:r w:rsidRPr="001D5282">
        <w:rPr>
          <w:rFonts w:ascii="Times New Roman" w:hAnsi="Times New Roman" w:cs="Times New Roman"/>
          <w:sz w:val="26"/>
          <w:szCs w:val="26"/>
        </w:rPr>
        <w:fldChar w:fldCharType="begin"/>
      </w:r>
      <w:r w:rsidRPr="001D5282">
        <w:rPr>
          <w:rFonts w:ascii="Times New Roman" w:hAnsi="Times New Roman" w:cs="Times New Roman"/>
          <w:sz w:val="26"/>
          <w:szCs w:val="26"/>
        </w:rPr>
        <w:instrText xml:space="preserve"> SEQ Bảng \* ARABIC </w:instrText>
      </w:r>
      <w:r w:rsidRPr="001D5282">
        <w:rPr>
          <w:rFonts w:ascii="Times New Roman" w:hAnsi="Times New Roman" w:cs="Times New Roman"/>
          <w:sz w:val="26"/>
          <w:szCs w:val="26"/>
        </w:rPr>
        <w:fldChar w:fldCharType="separate"/>
      </w:r>
      <w:r w:rsidR="00207321">
        <w:rPr>
          <w:rFonts w:ascii="Times New Roman" w:hAnsi="Times New Roman" w:cs="Times New Roman"/>
          <w:noProof/>
          <w:sz w:val="26"/>
          <w:szCs w:val="26"/>
        </w:rPr>
        <w:t>1</w:t>
      </w:r>
      <w:r w:rsidRPr="001D5282">
        <w:rPr>
          <w:rFonts w:ascii="Times New Roman" w:hAnsi="Times New Roman" w:cs="Times New Roman"/>
          <w:sz w:val="26"/>
          <w:szCs w:val="26"/>
        </w:rPr>
        <w:fldChar w:fldCharType="end"/>
      </w:r>
      <w:r w:rsidRPr="001D5282">
        <w:rPr>
          <w:rFonts w:ascii="Times New Roman" w:hAnsi="Times New Roman" w:cs="Times New Roman"/>
          <w:sz w:val="26"/>
          <w:szCs w:val="26"/>
        </w:rPr>
        <w:t xml:space="preserve"> </w:t>
      </w:r>
      <w:r w:rsidRPr="001D5282">
        <w:rPr>
          <w:rFonts w:ascii="Times New Roman" w:hAnsi="Times New Roman" w:cs="Times New Roman"/>
          <w:color w:val="000000" w:themeColor="text1"/>
          <w:sz w:val="26"/>
          <w:szCs w:val="26"/>
        </w:rPr>
        <w:t>Loại</w:t>
      </w:r>
      <w:r w:rsidRPr="00203DC6">
        <w:rPr>
          <w:rFonts w:ascii="Times New Roman" w:hAnsi="Times New Roman" w:cs="Times New Roman"/>
          <w:color w:val="000000" w:themeColor="text1"/>
          <w:sz w:val="26"/>
          <w:szCs w:val="26"/>
        </w:rPr>
        <w:t xml:space="preserve"> tác động quán tính</w:t>
      </w:r>
    </w:p>
    <w:tbl>
      <w:tblPr>
        <w:tblStyle w:val="TableGrid"/>
        <w:tblW w:w="8871" w:type="dxa"/>
        <w:jc w:val="center"/>
        <w:tblLook w:val="04A0" w:firstRow="1" w:lastRow="0" w:firstColumn="1" w:lastColumn="0" w:noHBand="0" w:noVBand="1"/>
      </w:tblPr>
      <w:tblGrid>
        <w:gridCol w:w="1668"/>
        <w:gridCol w:w="1800"/>
        <w:gridCol w:w="1801"/>
        <w:gridCol w:w="1801"/>
        <w:gridCol w:w="1801"/>
      </w:tblGrid>
      <w:tr w:rsidR="005D56AD" w:rsidRPr="005D56AD" w14:paraId="2EE58E65" w14:textId="77777777" w:rsidTr="005D56AD">
        <w:trPr>
          <w:jc w:val="center"/>
        </w:trPr>
        <w:tc>
          <w:tcPr>
            <w:tcW w:w="1668" w:type="dxa"/>
            <w:vAlign w:val="center"/>
          </w:tcPr>
          <w:p w14:paraId="2CDC8E32" w14:textId="4BC558DD" w:rsidR="005D56AD" w:rsidRPr="005D56AD" w:rsidRDefault="005D56AD" w:rsidP="005D56AD">
            <w:pPr>
              <w:spacing w:before="120"/>
              <w:jc w:val="center"/>
              <w:rPr>
                <w:rFonts w:ascii="Times New Roman" w:hAnsi="Times New Roman" w:cs="Times New Roman"/>
                <w:i/>
                <w:iCs/>
                <w:color w:val="000000" w:themeColor="text1"/>
                <w:sz w:val="26"/>
                <w:szCs w:val="26"/>
              </w:rPr>
            </w:pPr>
            <w:r w:rsidRPr="005D56AD">
              <w:rPr>
                <w:rFonts w:ascii="Times New Roman" w:hAnsi="Times New Roman" w:cs="Times New Roman"/>
                <w:b/>
                <w:bCs/>
                <w:color w:val="000000" w:themeColor="text1"/>
                <w:sz w:val="24"/>
                <w:szCs w:val="24"/>
                <w:lang w:val="vi-VN"/>
              </w:rPr>
              <w:t>Miêu tả</w:t>
            </w:r>
          </w:p>
        </w:tc>
        <w:tc>
          <w:tcPr>
            <w:tcW w:w="1800" w:type="dxa"/>
            <w:vAlign w:val="center"/>
          </w:tcPr>
          <w:p w14:paraId="2447E16B" w14:textId="77777777" w:rsidR="005D56AD" w:rsidRPr="005D56AD" w:rsidRDefault="005D56AD" w:rsidP="005D56AD">
            <w:pPr>
              <w:spacing w:before="120"/>
              <w:jc w:val="center"/>
              <w:rPr>
                <w:rFonts w:ascii="Times New Roman" w:hAnsi="Times New Roman" w:cs="Times New Roman"/>
                <w:i/>
                <w:iCs/>
                <w:color w:val="000000" w:themeColor="text1"/>
                <w:sz w:val="26"/>
                <w:szCs w:val="26"/>
              </w:rPr>
            </w:pPr>
          </w:p>
        </w:tc>
        <w:tc>
          <w:tcPr>
            <w:tcW w:w="1801" w:type="dxa"/>
            <w:vAlign w:val="center"/>
          </w:tcPr>
          <w:p w14:paraId="749F83C2" w14:textId="3BC570D8" w:rsidR="005D56AD" w:rsidRPr="00916E21" w:rsidRDefault="00916E21" w:rsidP="00916E21">
            <w:pPr>
              <w:spacing w:before="120"/>
              <w:jc w:val="center"/>
              <w:rPr>
                <w:rFonts w:ascii="Times New Roman" w:hAnsi="Times New Roman" w:cs="Times New Roman"/>
                <w:i/>
                <w:iCs/>
                <w:color w:val="000000" w:themeColor="text1"/>
                <w:sz w:val="26"/>
                <w:szCs w:val="26"/>
              </w:rPr>
            </w:pPr>
            <w:r>
              <w:rPr>
                <w:rFonts w:ascii="Times New Roman" w:hAnsi="Times New Roman" w:cs="Times New Roman"/>
                <w:b/>
                <w:bCs/>
                <w:iCs/>
                <w:color w:val="000000" w:themeColor="text1"/>
                <w:sz w:val="24"/>
                <w:szCs w:val="24"/>
              </w:rPr>
              <w:t xml:space="preserve">Ưu </w:t>
            </w:r>
            <w:r w:rsidR="005D56AD" w:rsidRPr="005D56AD">
              <w:rPr>
                <w:rFonts w:ascii="Times New Roman" w:hAnsi="Times New Roman" w:cs="Times New Roman"/>
                <w:b/>
                <w:bCs/>
                <w:iCs/>
                <w:color w:val="000000" w:themeColor="text1"/>
                <w:sz w:val="24"/>
                <w:szCs w:val="24"/>
                <w:lang w:val="vi-VN"/>
              </w:rPr>
              <w:t xml:space="preserve"> và </w:t>
            </w:r>
            <w:r>
              <w:rPr>
                <w:rFonts w:ascii="Times New Roman" w:hAnsi="Times New Roman" w:cs="Times New Roman"/>
                <w:b/>
                <w:bCs/>
                <w:iCs/>
                <w:color w:val="000000" w:themeColor="text1"/>
                <w:sz w:val="24"/>
                <w:szCs w:val="24"/>
              </w:rPr>
              <w:t>nhược điểm</w:t>
            </w:r>
          </w:p>
        </w:tc>
        <w:tc>
          <w:tcPr>
            <w:tcW w:w="1801" w:type="dxa"/>
            <w:vAlign w:val="center"/>
          </w:tcPr>
          <w:p w14:paraId="0FA0B6CD" w14:textId="77777777" w:rsidR="000E58AA" w:rsidRDefault="00916E21" w:rsidP="005D56AD">
            <w:pPr>
              <w:spacing w:before="12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Thiết bị </w:t>
            </w:r>
          </w:p>
          <w:p w14:paraId="268EAB08" w14:textId="2AF18C51" w:rsidR="005D56AD" w:rsidRPr="005D56AD" w:rsidRDefault="00916E21" w:rsidP="005D56AD">
            <w:pPr>
              <w:spacing w:before="120"/>
              <w:jc w:val="center"/>
              <w:rPr>
                <w:rFonts w:ascii="Times New Roman" w:hAnsi="Times New Roman" w:cs="Times New Roman"/>
                <w:i/>
                <w:iCs/>
                <w:color w:val="000000" w:themeColor="text1"/>
                <w:sz w:val="26"/>
                <w:szCs w:val="26"/>
              </w:rPr>
            </w:pPr>
            <w:r>
              <w:rPr>
                <w:rFonts w:ascii="Times New Roman" w:hAnsi="Times New Roman" w:cs="Times New Roman"/>
                <w:b/>
                <w:bCs/>
                <w:color w:val="000000" w:themeColor="text1"/>
                <w:sz w:val="24"/>
                <w:szCs w:val="24"/>
              </w:rPr>
              <w:t>tiêu biểu</w:t>
            </w:r>
          </w:p>
        </w:tc>
        <w:tc>
          <w:tcPr>
            <w:tcW w:w="1801" w:type="dxa"/>
            <w:vAlign w:val="center"/>
          </w:tcPr>
          <w:p w14:paraId="4A4407A1" w14:textId="7C4F9384" w:rsidR="005D56AD" w:rsidRPr="005D56AD" w:rsidRDefault="00916E21" w:rsidP="005D56AD">
            <w:pPr>
              <w:spacing w:before="120"/>
              <w:jc w:val="center"/>
              <w:rPr>
                <w:rFonts w:ascii="Times New Roman" w:hAnsi="Times New Roman" w:cs="Times New Roman"/>
                <w:i/>
                <w:iCs/>
                <w:color w:val="000000" w:themeColor="text1"/>
                <w:sz w:val="26"/>
                <w:szCs w:val="26"/>
              </w:rPr>
            </w:pPr>
            <w:r>
              <w:rPr>
                <w:rFonts w:ascii="Times New Roman" w:hAnsi="Times New Roman" w:cs="Times New Roman"/>
                <w:b/>
                <w:bCs/>
                <w:color w:val="000000" w:themeColor="text1"/>
                <w:sz w:val="24"/>
                <w:szCs w:val="24"/>
              </w:rPr>
              <w:t>Tham khảo</w:t>
            </w:r>
          </w:p>
        </w:tc>
      </w:tr>
      <w:tr w:rsidR="005D56AD" w:rsidRPr="005D56AD" w14:paraId="1E042024" w14:textId="77777777" w:rsidTr="005D56AD">
        <w:trPr>
          <w:jc w:val="center"/>
        </w:trPr>
        <w:tc>
          <w:tcPr>
            <w:tcW w:w="1668" w:type="dxa"/>
          </w:tcPr>
          <w:p w14:paraId="3794898A" w14:textId="610F46AE"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tác động một tầng, một vòi phun</w:t>
            </w:r>
          </w:p>
        </w:tc>
        <w:tc>
          <w:tcPr>
            <w:tcW w:w="1800" w:type="dxa"/>
          </w:tcPr>
          <w:p w14:paraId="586D4C99" w14:textId="2AC0F17C"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tác động bao gồm một vòi phun duy nhất và một tấm tác động, được sử dụng để thu thập các hạt nhỏ hơn một kích thước nhất định.</w:t>
            </w:r>
          </w:p>
        </w:tc>
        <w:tc>
          <w:tcPr>
            <w:tcW w:w="1801" w:type="dxa"/>
          </w:tcPr>
          <w:p w14:paraId="46FCFA9D" w14:textId="77777777" w:rsidR="005D56AD" w:rsidRPr="005D56AD" w:rsidRDefault="005D56AD" w:rsidP="005D56AD">
            <w:pPr>
              <w:pStyle w:val="TableParagraph"/>
              <w:spacing w:before="0"/>
              <w:ind w:left="0"/>
              <w:rPr>
                <w:iCs/>
                <w:color w:val="000000" w:themeColor="text1"/>
                <w:sz w:val="24"/>
                <w:szCs w:val="24"/>
              </w:rPr>
            </w:pPr>
            <w:r w:rsidRPr="005D56AD">
              <w:rPr>
                <w:iCs/>
                <w:color w:val="000000" w:themeColor="text1"/>
                <w:sz w:val="24"/>
                <w:szCs w:val="24"/>
              </w:rPr>
              <w:t>Ưu điểm: Cấu hình đơn giản, vận hành dễ dàng và chi phí thấp.</w:t>
            </w:r>
          </w:p>
          <w:p w14:paraId="74205EC6" w14:textId="72272755"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iCs/>
                <w:color w:val="000000" w:themeColor="text1"/>
                <w:sz w:val="24"/>
                <w:szCs w:val="24"/>
              </w:rPr>
              <w:t>Nhược điểm: Tốc độ dòng chảy thấp, kích thước cắt lớn, và có thể nảy hạt, quá tải hạt và thất thoát hạt.</w:t>
            </w:r>
          </w:p>
        </w:tc>
        <w:tc>
          <w:tcPr>
            <w:tcW w:w="1801" w:type="dxa"/>
          </w:tcPr>
          <w:p w14:paraId="631CE0F6" w14:textId="77777777" w:rsidR="005D56AD" w:rsidRPr="005D56AD" w:rsidRDefault="005D56AD" w:rsidP="005D56AD">
            <w:pPr>
              <w:pStyle w:val="TableParagraph"/>
              <w:spacing w:before="0"/>
              <w:ind w:left="0"/>
              <w:rPr>
                <w:color w:val="000000" w:themeColor="text1"/>
                <w:sz w:val="24"/>
                <w:szCs w:val="24"/>
              </w:rPr>
            </w:pPr>
            <w:r w:rsidRPr="005D56AD">
              <w:rPr>
                <w:color w:val="000000" w:themeColor="text1"/>
                <w:sz w:val="24"/>
                <w:szCs w:val="24"/>
              </w:rPr>
              <w:t>EPA PM</w:t>
            </w:r>
            <w:r w:rsidRPr="005D56AD">
              <w:rPr>
                <w:color w:val="000000" w:themeColor="text1"/>
                <w:sz w:val="24"/>
                <w:szCs w:val="24"/>
                <w:vertAlign w:val="subscript"/>
              </w:rPr>
              <w:t>2.5</w:t>
            </w:r>
            <w:r w:rsidRPr="005D56AD">
              <w:rPr>
                <w:color w:val="000000" w:themeColor="text1"/>
                <w:sz w:val="24"/>
                <w:szCs w:val="24"/>
              </w:rPr>
              <w:t xml:space="preserve"> WINS;</w:t>
            </w:r>
          </w:p>
          <w:p w14:paraId="18E0BFED" w14:textId="65EF2B96"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EPA đầu vào PM10 lớn; EPA đầu vào phẳng</w:t>
            </w:r>
          </w:p>
        </w:tc>
        <w:tc>
          <w:tcPr>
            <w:tcW w:w="1801" w:type="dxa"/>
          </w:tcPr>
          <w:p w14:paraId="012FB374" w14:textId="22175EF3" w:rsidR="005D56AD" w:rsidRPr="005D56AD" w:rsidRDefault="005D56AD" w:rsidP="005D56AD">
            <w:pPr>
              <w:spacing w:before="120"/>
              <w:rPr>
                <w:rFonts w:ascii="Times New Roman" w:hAnsi="Times New Roman" w:cs="Times New Roman"/>
                <w:i/>
                <w:iCs/>
                <w:color w:val="000000" w:themeColor="text1"/>
                <w:sz w:val="26"/>
                <w:szCs w:val="26"/>
              </w:rPr>
            </w:pPr>
            <w:r w:rsidRPr="005D56AD">
              <w:rPr>
                <w:rStyle w:val="fontstyle01"/>
                <w:rFonts w:ascii="Times New Roman" w:hAnsi="Times New Roman" w:cs="Times New Roman"/>
                <w:color w:val="000000" w:themeColor="text1"/>
                <w:sz w:val="24"/>
                <w:szCs w:val="24"/>
              </w:rPr>
              <w:t>McFarland A.R. et al.,</w:t>
            </w:r>
            <w:r w:rsidRPr="005D56AD">
              <w:rPr>
                <w:rStyle w:val="fontstyle01"/>
                <w:rFonts w:ascii="Times New Roman" w:hAnsi="Times New Roman" w:cs="Times New Roman"/>
                <w:color w:val="000000" w:themeColor="text1"/>
                <w:sz w:val="24"/>
                <w:szCs w:val="24"/>
              </w:rPr>
              <w:br/>
              <w:t>1984; Peters T.M. et</w:t>
            </w:r>
            <w:r w:rsidRPr="005D56AD">
              <w:rPr>
                <w:rStyle w:val="fontstyle01"/>
                <w:rFonts w:ascii="Times New Roman" w:hAnsi="Times New Roman" w:cs="Times New Roman"/>
                <w:color w:val="000000" w:themeColor="text1"/>
                <w:sz w:val="24"/>
                <w:szCs w:val="24"/>
              </w:rPr>
              <w:br/>
              <w:t>al., 2001; Tolocka</w:t>
            </w:r>
            <w:r w:rsidRPr="005D56AD">
              <w:rPr>
                <w:rStyle w:val="fontstyle01"/>
                <w:rFonts w:ascii="Times New Roman" w:hAnsi="Times New Roman" w:cs="Times New Roman"/>
                <w:color w:val="000000" w:themeColor="text1"/>
                <w:sz w:val="24"/>
                <w:szCs w:val="24"/>
              </w:rPr>
              <w:br/>
              <w:t>M.P. et al., 2001</w:t>
            </w:r>
          </w:p>
        </w:tc>
      </w:tr>
      <w:tr w:rsidR="005D56AD" w:rsidRPr="005D56AD" w14:paraId="49CF2E24" w14:textId="77777777" w:rsidTr="005D56AD">
        <w:trPr>
          <w:jc w:val="center"/>
        </w:trPr>
        <w:tc>
          <w:tcPr>
            <w:tcW w:w="1668" w:type="dxa"/>
          </w:tcPr>
          <w:p w14:paraId="1F51C4FF" w14:textId="517BC390"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tác động một tầng, nhiều vòi phun</w:t>
            </w:r>
          </w:p>
        </w:tc>
        <w:tc>
          <w:tcPr>
            <w:tcW w:w="1800" w:type="dxa"/>
          </w:tcPr>
          <w:p w14:paraId="1EFF274B" w14:textId="140A3BA3"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tác động bao gồm một tấm đầu phun với nhiều đầu phun và một tấm ép, được sử dụng để thu thập các hạt nhỏ hơn một kích thước nhất định.</w:t>
            </w:r>
          </w:p>
        </w:tc>
        <w:tc>
          <w:tcPr>
            <w:tcW w:w="1801" w:type="dxa"/>
          </w:tcPr>
          <w:p w14:paraId="679EAB43" w14:textId="77777777" w:rsidR="005D56AD" w:rsidRPr="005D56AD" w:rsidRDefault="005D56AD" w:rsidP="005D56AD">
            <w:pPr>
              <w:pStyle w:val="TableParagraph"/>
              <w:spacing w:before="0"/>
              <w:ind w:left="0"/>
              <w:rPr>
                <w:color w:val="000000" w:themeColor="text1"/>
                <w:sz w:val="24"/>
                <w:szCs w:val="24"/>
              </w:rPr>
            </w:pPr>
            <w:r w:rsidRPr="005D56AD">
              <w:rPr>
                <w:color w:val="000000" w:themeColor="text1"/>
                <w:sz w:val="24"/>
                <w:szCs w:val="24"/>
              </w:rPr>
              <w:t>Ưu điểm: Cấu hình đơn giản, vận hành dễ dàng, nhiều tốc độ dòng chảy và kích thước cắt nhỏ hơn.</w:t>
            </w:r>
          </w:p>
          <w:p w14:paraId="3D93305D" w14:textId="4D1D1B61"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Nhược điểm: Độ nảy của hạt, quá tải hạt, mất hạt và nhiều tương tác phản lực.</w:t>
            </w:r>
          </w:p>
        </w:tc>
        <w:tc>
          <w:tcPr>
            <w:tcW w:w="1801" w:type="dxa"/>
          </w:tcPr>
          <w:p w14:paraId="52B34640" w14:textId="70B0439C"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EPA Hivol PM10 impactor (1133 L/min); Harvard sharp cut impactor (10 and 20 L/min)</w:t>
            </w:r>
          </w:p>
        </w:tc>
        <w:tc>
          <w:tcPr>
            <w:tcW w:w="1801" w:type="dxa"/>
          </w:tcPr>
          <w:p w14:paraId="429ADAF8" w14:textId="75A24CAB"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eastAsia="TimesNewRomanPSMT" w:hAnsi="Times New Roman" w:cs="Times New Roman"/>
                <w:color w:val="000000" w:themeColor="text1"/>
                <w:sz w:val="24"/>
                <w:szCs w:val="24"/>
              </w:rPr>
              <w:t>McFarland A.R. et al.,</w:t>
            </w:r>
            <w:r w:rsidRPr="005D56AD">
              <w:rPr>
                <w:rFonts w:ascii="Times New Roman" w:eastAsia="TimesNewRomanPSMT" w:hAnsi="Times New Roman" w:cs="Times New Roman"/>
                <w:color w:val="000000" w:themeColor="text1"/>
                <w:sz w:val="24"/>
                <w:szCs w:val="24"/>
              </w:rPr>
              <w:br/>
              <w:t>1984; Turner W.A. et</w:t>
            </w:r>
            <w:r w:rsidRPr="005D56AD">
              <w:rPr>
                <w:rFonts w:ascii="Times New Roman" w:eastAsia="TimesNewRomanPSMT" w:hAnsi="Times New Roman" w:cs="Times New Roman"/>
                <w:color w:val="000000" w:themeColor="text1"/>
                <w:sz w:val="24"/>
                <w:szCs w:val="24"/>
              </w:rPr>
              <w:br/>
              <w:t>al., 2000</w:t>
            </w:r>
          </w:p>
        </w:tc>
      </w:tr>
      <w:tr w:rsidR="005D56AD" w:rsidRPr="005D56AD" w14:paraId="35A14C65" w14:textId="77777777" w:rsidTr="005D56AD">
        <w:trPr>
          <w:jc w:val="center"/>
        </w:trPr>
        <w:tc>
          <w:tcPr>
            <w:tcW w:w="1668" w:type="dxa"/>
          </w:tcPr>
          <w:p w14:paraId="2C29F0F3" w14:textId="3C20CA8B"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Cascade tác động</w:t>
            </w:r>
          </w:p>
        </w:tc>
        <w:tc>
          <w:tcPr>
            <w:tcW w:w="1800" w:type="dxa"/>
          </w:tcPr>
          <w:p w14:paraId="600D53E5" w14:textId="51071C8C"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tác động là một loạt bộ tác động nhiều vòi được sử dụng để đo sự phân bố khối lượng hạt</w:t>
            </w:r>
          </w:p>
        </w:tc>
        <w:tc>
          <w:tcPr>
            <w:tcW w:w="1801" w:type="dxa"/>
          </w:tcPr>
          <w:p w14:paraId="18DF0FD6" w14:textId="77777777" w:rsidR="005D56AD" w:rsidRPr="005D56AD" w:rsidRDefault="005D56AD" w:rsidP="005D56AD">
            <w:pPr>
              <w:pStyle w:val="TableParagraph"/>
              <w:spacing w:before="0"/>
              <w:ind w:left="0"/>
              <w:rPr>
                <w:color w:val="000000" w:themeColor="text1"/>
                <w:sz w:val="24"/>
                <w:szCs w:val="24"/>
              </w:rPr>
            </w:pPr>
            <w:r w:rsidRPr="005D56AD">
              <w:rPr>
                <w:color w:val="000000" w:themeColor="text1"/>
                <w:sz w:val="24"/>
                <w:szCs w:val="24"/>
              </w:rPr>
              <w:t>Ưu điểm: Nó có thể đo sự phân bố khối lượng hạt từ 10 nm đến 10 μm.</w:t>
            </w:r>
          </w:p>
          <w:p w14:paraId="7A586C2D" w14:textId="406F4A93"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 xml:space="preserve">Nhược điểm: Có thể quá tải, tái cuốn theo hạt và mất mát giữa các tuyến </w:t>
            </w:r>
            <w:r w:rsidRPr="005D56AD">
              <w:rPr>
                <w:rFonts w:ascii="Times New Roman" w:hAnsi="Times New Roman" w:cs="Times New Roman"/>
                <w:color w:val="000000" w:themeColor="text1"/>
                <w:sz w:val="24"/>
                <w:szCs w:val="24"/>
              </w:rPr>
              <w:lastRenderedPageBreak/>
              <w:t>đường cao tốc</w:t>
            </w:r>
          </w:p>
        </w:tc>
        <w:tc>
          <w:tcPr>
            <w:tcW w:w="1801" w:type="dxa"/>
          </w:tcPr>
          <w:p w14:paraId="2D3B0172" w14:textId="6E642565"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eastAsia="TimesNewRomanPSMT" w:hAnsi="Times New Roman" w:cs="Times New Roman"/>
                <w:color w:val="000000" w:themeColor="text1"/>
                <w:sz w:val="24"/>
                <w:szCs w:val="24"/>
              </w:rPr>
              <w:lastRenderedPageBreak/>
              <w:t>MOUDI; MOUDI-II;</w:t>
            </w:r>
            <w:r w:rsidRPr="005D56AD">
              <w:rPr>
                <w:rFonts w:ascii="Times New Roman" w:eastAsia="TimesNewRomanPSMT" w:hAnsi="Times New Roman" w:cs="Times New Roman"/>
                <w:color w:val="000000" w:themeColor="text1"/>
                <w:sz w:val="24"/>
                <w:szCs w:val="24"/>
              </w:rPr>
              <w:br/>
              <w:t>Andersen cascade</w:t>
            </w:r>
            <w:r w:rsidRPr="005D56AD">
              <w:rPr>
                <w:rFonts w:ascii="Times New Roman" w:eastAsia="TimesNewRomanPSMT" w:hAnsi="Times New Roman" w:cs="Times New Roman"/>
                <w:color w:val="000000" w:themeColor="text1"/>
                <w:sz w:val="24"/>
                <w:szCs w:val="24"/>
              </w:rPr>
              <w:br/>
              <w:t>impactor; NMCI</w:t>
            </w:r>
          </w:p>
        </w:tc>
        <w:tc>
          <w:tcPr>
            <w:tcW w:w="1801" w:type="dxa"/>
          </w:tcPr>
          <w:p w14:paraId="4BB33912" w14:textId="12FB757A"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eastAsia="TimesNewRomanPSMT" w:hAnsi="Times New Roman" w:cs="Times New Roman"/>
                <w:color w:val="000000" w:themeColor="text1"/>
                <w:sz w:val="24"/>
                <w:szCs w:val="24"/>
              </w:rPr>
              <w:t>Andersen A.A., 1966;</w:t>
            </w:r>
            <w:r w:rsidRPr="005D56AD">
              <w:rPr>
                <w:rFonts w:ascii="Times New Roman" w:eastAsia="TimesNewRomanPSMT" w:hAnsi="Times New Roman" w:cs="Times New Roman"/>
                <w:color w:val="000000" w:themeColor="text1"/>
                <w:sz w:val="24"/>
                <w:szCs w:val="24"/>
              </w:rPr>
              <w:br/>
              <w:t>Marple V.A. et al.,</w:t>
            </w:r>
            <w:r w:rsidRPr="005D56AD">
              <w:rPr>
                <w:rFonts w:ascii="Times New Roman" w:eastAsia="TimesNewRomanPSMT" w:hAnsi="Times New Roman" w:cs="Times New Roman"/>
                <w:color w:val="000000" w:themeColor="text1"/>
                <w:sz w:val="24"/>
                <w:szCs w:val="24"/>
              </w:rPr>
              <w:br/>
              <w:t>1991; Chien C.L. et</w:t>
            </w:r>
            <w:r w:rsidRPr="005D56AD">
              <w:rPr>
                <w:rFonts w:ascii="Times New Roman" w:eastAsia="TimesNewRomanPSMT" w:hAnsi="Times New Roman" w:cs="Times New Roman"/>
                <w:color w:val="000000" w:themeColor="text1"/>
                <w:sz w:val="24"/>
                <w:szCs w:val="24"/>
              </w:rPr>
              <w:br/>
              <w:t>al., 2015</w:t>
            </w:r>
          </w:p>
        </w:tc>
      </w:tr>
      <w:tr w:rsidR="005D56AD" w:rsidRPr="005D56AD" w14:paraId="4C46FB50" w14:textId="77777777" w:rsidTr="005D56AD">
        <w:trPr>
          <w:jc w:val="center"/>
        </w:trPr>
        <w:tc>
          <w:tcPr>
            <w:tcW w:w="1668" w:type="dxa"/>
          </w:tcPr>
          <w:p w14:paraId="07FC84E7" w14:textId="5D2B8E36"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tác động áp suất thấp (LPI)</w:t>
            </w:r>
          </w:p>
        </w:tc>
        <w:tc>
          <w:tcPr>
            <w:tcW w:w="1800" w:type="dxa"/>
          </w:tcPr>
          <w:p w14:paraId="7D834CF5" w14:textId="6AFBA55A"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tác động tầng hoạt động ở điều kiện áp suất thấp</w:t>
            </w:r>
          </w:p>
        </w:tc>
        <w:tc>
          <w:tcPr>
            <w:tcW w:w="1801" w:type="dxa"/>
          </w:tcPr>
          <w:p w14:paraId="53035193" w14:textId="77777777" w:rsidR="005D56AD" w:rsidRPr="005D56AD" w:rsidRDefault="005D56AD" w:rsidP="005D56AD">
            <w:pPr>
              <w:pStyle w:val="TableParagraph"/>
              <w:spacing w:before="0"/>
              <w:ind w:left="0"/>
              <w:rPr>
                <w:color w:val="000000" w:themeColor="text1"/>
                <w:sz w:val="24"/>
                <w:szCs w:val="24"/>
              </w:rPr>
            </w:pPr>
            <w:r w:rsidRPr="005D56AD">
              <w:rPr>
                <w:color w:val="000000" w:themeColor="text1"/>
                <w:sz w:val="24"/>
                <w:szCs w:val="24"/>
              </w:rPr>
              <w:t>Ưu điểm: Nó có thể đo sự phân bố khối lượng hạt của NPs xuống tới 10 nm.</w:t>
            </w:r>
          </w:p>
          <w:p w14:paraId="312C584D" w14:textId="415D5330"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Nhược điểm: Giảm áp suất cao.</w:t>
            </w:r>
          </w:p>
        </w:tc>
        <w:tc>
          <w:tcPr>
            <w:tcW w:w="1801" w:type="dxa"/>
          </w:tcPr>
          <w:p w14:paraId="0D446136" w14:textId="344D29A9"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tác động áp suất thấp kiểu Berner</w:t>
            </w:r>
          </w:p>
        </w:tc>
        <w:tc>
          <w:tcPr>
            <w:tcW w:w="1801" w:type="dxa"/>
          </w:tcPr>
          <w:p w14:paraId="135202ED" w14:textId="53D67E72"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eastAsia="TimesNewRomanPSMT" w:hAnsi="Times New Roman" w:cs="Times New Roman"/>
                <w:color w:val="000000" w:themeColor="text1"/>
                <w:sz w:val="24"/>
                <w:szCs w:val="24"/>
              </w:rPr>
              <w:t>Berner A., 1972</w:t>
            </w:r>
          </w:p>
        </w:tc>
      </w:tr>
      <w:tr w:rsidR="005D56AD" w:rsidRPr="005D56AD" w14:paraId="68F3838D" w14:textId="77777777" w:rsidTr="005D56AD">
        <w:trPr>
          <w:jc w:val="center"/>
        </w:trPr>
        <w:tc>
          <w:tcPr>
            <w:tcW w:w="1668" w:type="dxa"/>
          </w:tcPr>
          <w:p w14:paraId="5A241543" w14:textId="07C459C4"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Tác động ảo</w:t>
            </w:r>
          </w:p>
        </w:tc>
        <w:tc>
          <w:tcPr>
            <w:tcW w:w="1800" w:type="dxa"/>
          </w:tcPr>
          <w:p w14:paraId="35508614" w14:textId="12B4618A"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tác động bao gồm một vòi phun duy nhất và đầu dò thu gom đơn, được sử dụng để thu thập các phân số kích thước hai hạt.</w:t>
            </w:r>
          </w:p>
        </w:tc>
        <w:tc>
          <w:tcPr>
            <w:tcW w:w="1801" w:type="dxa"/>
          </w:tcPr>
          <w:p w14:paraId="2D0E9A7D" w14:textId="77777777" w:rsidR="005D56AD" w:rsidRPr="005D56AD" w:rsidRDefault="005D56AD" w:rsidP="005D56AD">
            <w:pPr>
              <w:pStyle w:val="TableParagraph"/>
              <w:spacing w:before="0"/>
              <w:ind w:left="0"/>
              <w:rPr>
                <w:color w:val="000000" w:themeColor="text1"/>
                <w:sz w:val="24"/>
                <w:szCs w:val="24"/>
              </w:rPr>
            </w:pPr>
            <w:r w:rsidRPr="005D56AD">
              <w:rPr>
                <w:color w:val="000000" w:themeColor="text1"/>
                <w:sz w:val="24"/>
                <w:szCs w:val="24"/>
              </w:rPr>
              <w:t>Ưu điểm: Không có hạt nảy và hiệu ứng tải hạt; Đo đồng thời phạm vi kích thước hai hạt.</w:t>
            </w:r>
          </w:p>
          <w:p w14:paraId="24497F75" w14:textId="77777777" w:rsidR="005D56AD" w:rsidRPr="005D56AD" w:rsidRDefault="005D56AD" w:rsidP="005D56AD">
            <w:pPr>
              <w:pStyle w:val="TableParagraph"/>
              <w:spacing w:before="0"/>
              <w:ind w:left="0"/>
              <w:rPr>
                <w:color w:val="000000" w:themeColor="text1"/>
                <w:sz w:val="24"/>
                <w:szCs w:val="24"/>
              </w:rPr>
            </w:pPr>
            <w:r w:rsidRPr="005D56AD">
              <w:rPr>
                <w:color w:val="000000" w:themeColor="text1"/>
                <w:sz w:val="24"/>
                <w:szCs w:val="24"/>
              </w:rPr>
              <w:t>Nhược điểm: Ô nhiễm các hạt thô bởi các hạt nhỏ hơn kích thước cắt; Sự hao hụt hạt;</w:t>
            </w:r>
          </w:p>
          <w:p w14:paraId="6D3485D4" w14:textId="32AB815F"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Sử dụng hai đồng hồ đo lưu lượng.</w:t>
            </w:r>
          </w:p>
        </w:tc>
        <w:tc>
          <w:tcPr>
            <w:tcW w:w="1801" w:type="dxa"/>
          </w:tcPr>
          <w:p w14:paraId="12FF0AAF" w14:textId="788EF97E"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hAnsi="Times New Roman" w:cs="Times New Roman"/>
                <w:color w:val="000000" w:themeColor="text1"/>
                <w:sz w:val="24"/>
                <w:szCs w:val="24"/>
              </w:rPr>
              <w:t>Bộ lấy mẫu lưỡng sắc</w:t>
            </w:r>
          </w:p>
        </w:tc>
        <w:tc>
          <w:tcPr>
            <w:tcW w:w="1801" w:type="dxa"/>
          </w:tcPr>
          <w:p w14:paraId="5D498801" w14:textId="66BDACEF" w:rsidR="005D56AD" w:rsidRPr="005D56AD" w:rsidRDefault="005D56AD" w:rsidP="005D56AD">
            <w:pPr>
              <w:spacing w:before="120"/>
              <w:rPr>
                <w:rFonts w:ascii="Times New Roman" w:hAnsi="Times New Roman" w:cs="Times New Roman"/>
                <w:i/>
                <w:iCs/>
                <w:color w:val="000000" w:themeColor="text1"/>
                <w:sz w:val="26"/>
                <w:szCs w:val="26"/>
              </w:rPr>
            </w:pPr>
            <w:r w:rsidRPr="005D56AD">
              <w:rPr>
                <w:rFonts w:ascii="Times New Roman" w:eastAsia="TimesNewRomanPSMT" w:hAnsi="Times New Roman" w:cs="Times New Roman"/>
                <w:color w:val="000000" w:themeColor="text1"/>
                <w:sz w:val="24"/>
                <w:szCs w:val="24"/>
              </w:rPr>
              <w:t>McFarland A.R. et al.,</w:t>
            </w:r>
            <w:r w:rsidRPr="005D56AD">
              <w:rPr>
                <w:rFonts w:ascii="Times New Roman" w:eastAsia="TimesNewRomanPSMT" w:hAnsi="Times New Roman" w:cs="Times New Roman"/>
                <w:color w:val="000000" w:themeColor="text1"/>
                <w:sz w:val="24"/>
                <w:szCs w:val="24"/>
              </w:rPr>
              <w:br/>
              <w:t>1978</w:t>
            </w:r>
          </w:p>
        </w:tc>
      </w:tr>
    </w:tbl>
    <w:p w14:paraId="7C2EAF5B" w14:textId="77777777" w:rsidR="00713F12" w:rsidRPr="008E3713" w:rsidRDefault="00831FAA" w:rsidP="008E3713">
      <w:pPr>
        <w:spacing w:before="120"/>
        <w:ind w:firstLine="709"/>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Lý thuyết thiết kế của bộ tác động thông thường dựa trên mô hình số của trường dòng và các phương trình chuyển động của hạt của Marple và các đồng nghiệp (Marple V.A. và Rubow K.L., 1986). Hiệu suất của bộ tác động quán tính được đặc trưng bởi đường cong hiệu suất thu, là đường cong hình chữ “S” do trường dòng chảy không lý tưởng và không đồng nhất trong bộ tác động. Đường cong hiệu quả thu gom được biểu diễn bằng đường kính khí động học cắt (Dpa50), là đường kính khí động học cho hiệu suất thu gom 50% và độ sắc nét hoặc độ lệch chuẩn hình học (GSD ≥ 1,0) của đường cong hiệu suất thu gom từng phần. GSD được tính là (Marple V.A. và Olson B.A., 2011)</w:t>
      </w:r>
    </w:p>
    <w:p w14:paraId="260A2FF8" w14:textId="77777777" w:rsidR="00713F12" w:rsidRPr="008E3713" w:rsidRDefault="00831FAA" w:rsidP="008E3713">
      <w:pPr>
        <w:spacing w:before="120"/>
        <w:ind w:left="-2"/>
        <w:jc w:val="center"/>
        <w:rPr>
          <w:rFonts w:ascii="Times New Roman" w:hAnsi="Times New Roman" w:cs="Times New Roman"/>
          <w:color w:val="000000" w:themeColor="text1"/>
          <w:sz w:val="26"/>
          <w:szCs w:val="26"/>
        </w:rPr>
      </w:pPr>
      <w:r w:rsidRPr="008E3713">
        <w:rPr>
          <w:rFonts w:ascii="Times New Roman" w:hAnsi="Times New Roman" w:cs="Times New Roman"/>
          <w:noProof/>
          <w:color w:val="000000" w:themeColor="text1"/>
          <w:sz w:val="26"/>
          <w:szCs w:val="26"/>
          <w:lang w:eastAsia="en-US"/>
        </w:rPr>
        <w:drawing>
          <wp:inline distT="0" distB="0" distL="0" distR="0" wp14:anchorId="03E1C52B" wp14:editId="0755A3BE">
            <wp:extent cx="4343400" cy="850900"/>
            <wp:effectExtent l="0" t="0" r="0" b="0"/>
            <wp:docPr id="22" name="Picture 22"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shape&#10;&#10;Description automatically generated"/>
                    <pic:cNvPicPr>
                      <a:picLocks noChangeAspect="1"/>
                    </pic:cNvPicPr>
                  </pic:nvPicPr>
                  <pic:blipFill>
                    <a:blip r:embed="rId6"/>
                    <a:stretch>
                      <a:fillRect/>
                    </a:stretch>
                  </pic:blipFill>
                  <pic:spPr>
                    <a:xfrm>
                      <a:off x="0" y="0"/>
                      <a:ext cx="4343400" cy="850900"/>
                    </a:xfrm>
                    <a:prstGeom prst="rect">
                      <a:avLst/>
                    </a:prstGeom>
                  </pic:spPr>
                </pic:pic>
              </a:graphicData>
            </a:graphic>
          </wp:inline>
        </w:drawing>
      </w:r>
    </w:p>
    <w:p w14:paraId="6FDF04F3" w14:textId="49899964" w:rsidR="00713F12" w:rsidRPr="008E3713" w:rsidRDefault="008E3713" w:rsidP="008E3713">
      <w:pPr>
        <w:spacing w:before="120"/>
        <w:ind w:left="-2" w:firstLine="711"/>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T</w:t>
      </w:r>
      <w:r w:rsidR="00831FAA" w:rsidRPr="008E3713">
        <w:rPr>
          <w:rFonts w:ascii="Times New Roman" w:hAnsi="Times New Roman" w:cs="Times New Roman"/>
          <w:color w:val="000000" w:themeColor="text1"/>
          <w:sz w:val="26"/>
          <w:szCs w:val="26"/>
        </w:rPr>
        <w:t>rong đó D</w:t>
      </w:r>
      <w:r w:rsidR="00831FAA" w:rsidRPr="008E3713">
        <w:rPr>
          <w:rFonts w:ascii="Times New Roman" w:hAnsi="Times New Roman" w:cs="Times New Roman"/>
          <w:color w:val="000000" w:themeColor="text1"/>
          <w:sz w:val="26"/>
          <w:szCs w:val="26"/>
          <w:vertAlign w:val="subscript"/>
        </w:rPr>
        <w:t>pa84</w:t>
      </w:r>
      <w:r w:rsidR="00831FAA" w:rsidRPr="008E3713">
        <w:rPr>
          <w:rFonts w:ascii="Times New Roman" w:hAnsi="Times New Roman" w:cs="Times New Roman"/>
          <w:color w:val="000000" w:themeColor="text1"/>
          <w:sz w:val="26"/>
          <w:szCs w:val="26"/>
        </w:rPr>
        <w:t xml:space="preserve"> và D</w:t>
      </w:r>
      <w:r w:rsidR="00831FAA" w:rsidRPr="008E3713">
        <w:rPr>
          <w:rFonts w:ascii="Times New Roman" w:hAnsi="Times New Roman" w:cs="Times New Roman"/>
          <w:color w:val="000000" w:themeColor="text1"/>
          <w:sz w:val="26"/>
          <w:szCs w:val="26"/>
          <w:vertAlign w:val="subscript"/>
        </w:rPr>
        <w:t>pa16</w:t>
      </w:r>
      <w:r w:rsidR="00831FAA" w:rsidRPr="008E3713">
        <w:rPr>
          <w:rFonts w:ascii="Times New Roman" w:hAnsi="Times New Roman" w:cs="Times New Roman"/>
          <w:color w:val="000000" w:themeColor="text1"/>
          <w:sz w:val="26"/>
          <w:szCs w:val="26"/>
        </w:rPr>
        <w:t xml:space="preserve"> là đường kính khí động học cho hiệu suất thu gom lần lượt là 84% và 16%. Thông số quan trọng nhất chi phối hiệu quả thu gom là số Stokes (S</w:t>
      </w:r>
      <w:r w:rsidR="00831FAA" w:rsidRPr="00A93550">
        <w:rPr>
          <w:rFonts w:ascii="Times New Roman" w:hAnsi="Times New Roman" w:cs="Times New Roman"/>
          <w:color w:val="000000" w:themeColor="text1"/>
          <w:sz w:val="26"/>
          <w:szCs w:val="26"/>
          <w:vertAlign w:val="subscript"/>
        </w:rPr>
        <w:t>tk</w:t>
      </w:r>
      <w:r w:rsidR="00831FAA" w:rsidRPr="008E3713">
        <w:rPr>
          <w:rFonts w:ascii="Times New Roman" w:hAnsi="Times New Roman" w:cs="Times New Roman"/>
          <w:color w:val="000000" w:themeColor="text1"/>
          <w:sz w:val="26"/>
          <w:szCs w:val="26"/>
        </w:rPr>
        <w:t>) được sử dụng để dự đoán liệu một hạt sẽ tác động vào tấm tác động hoặc theo dòng không khí để thoát ra khỏi bộ tác động. Stk là số Reynolds phản lực (Re) là một tham số khác chi phối trường dòng chảy và hiệu suất thu thập hạt</w:t>
      </w:r>
      <w:r w:rsidR="00831FAA" w:rsidRPr="008E3713">
        <w:rPr>
          <w:rFonts w:ascii="Times New Roman" w:hAnsi="Times New Roman" w:cs="Times New Roman"/>
          <w:color w:val="000000" w:themeColor="text1"/>
          <w:sz w:val="26"/>
          <w:szCs w:val="26"/>
          <w:u w:val="single"/>
        </w:rPr>
        <w:t xml:space="preserve">. </w:t>
      </w:r>
      <w:r w:rsidR="00831FAA" w:rsidRPr="008E3713">
        <w:rPr>
          <w:rFonts w:ascii="Times New Roman" w:hAnsi="Times New Roman" w:cs="Times New Roman"/>
          <w:color w:val="000000" w:themeColor="text1"/>
          <w:sz w:val="26"/>
          <w:szCs w:val="26"/>
        </w:rPr>
        <w:t>Re ảnh hưởng đến độ sắc nét của đường cong hiệu quả thu gom nhiều hơn đường kính ngưỡng. Re của tác động vòi tròn được biểu thị bằng (Marple V.A. và Olson B.A., 2011) tỷ số giữa khoảng cách dừng của hạt với kích thước đặc trưng của vòi và được tính như sau (Marple V.A. và Olson B.A., 2011)</w:t>
      </w:r>
    </w:p>
    <w:p w14:paraId="4539BBEB" w14:textId="77777777" w:rsidR="00713F12" w:rsidRPr="00203DC6" w:rsidRDefault="00831FAA" w:rsidP="008E3713">
      <w:pPr>
        <w:spacing w:before="120"/>
        <w:ind w:left="-2"/>
        <w:jc w:val="center"/>
        <w:rPr>
          <w:rFonts w:ascii="Times New Roman" w:hAnsi="Times New Roman" w:cs="Times New Roman"/>
          <w:color w:val="000000" w:themeColor="text1"/>
          <w:sz w:val="26"/>
          <w:szCs w:val="26"/>
        </w:rPr>
      </w:pPr>
      <w:r w:rsidRPr="00203DC6">
        <w:rPr>
          <w:rFonts w:ascii="Times New Roman" w:hAnsi="Times New Roman" w:cs="Times New Roman"/>
          <w:noProof/>
          <w:color w:val="000000" w:themeColor="text1"/>
          <w:sz w:val="26"/>
          <w:szCs w:val="26"/>
          <w:lang w:eastAsia="en-US"/>
        </w:rPr>
        <w:lastRenderedPageBreak/>
        <w:drawing>
          <wp:inline distT="0" distB="0" distL="0" distR="0" wp14:anchorId="7B776E6F" wp14:editId="2FD4A44B">
            <wp:extent cx="4318000" cy="825500"/>
            <wp:effectExtent l="0" t="0" r="0" b="0"/>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a:picLocks noChangeAspect="1"/>
                    </pic:cNvPicPr>
                  </pic:nvPicPr>
                  <pic:blipFill>
                    <a:blip r:embed="rId7"/>
                    <a:stretch>
                      <a:fillRect/>
                    </a:stretch>
                  </pic:blipFill>
                  <pic:spPr>
                    <a:xfrm>
                      <a:off x="0" y="0"/>
                      <a:ext cx="4318000" cy="825500"/>
                    </a:xfrm>
                    <a:prstGeom prst="rect">
                      <a:avLst/>
                    </a:prstGeom>
                  </pic:spPr>
                </pic:pic>
              </a:graphicData>
            </a:graphic>
          </wp:inline>
        </w:drawing>
      </w:r>
    </w:p>
    <w:p w14:paraId="39C5CD85" w14:textId="77777777" w:rsidR="008E3713" w:rsidRDefault="008E3713" w:rsidP="008E3713">
      <w:pPr>
        <w:spacing w:before="120"/>
        <w:ind w:left="-2"/>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w:t>
      </w:r>
      <w:r w:rsidR="00831FAA" w:rsidRPr="00203DC6">
        <w:rPr>
          <w:rFonts w:ascii="Times New Roman" w:hAnsi="Times New Roman" w:cs="Times New Roman"/>
          <w:color w:val="000000" w:themeColor="text1"/>
          <w:sz w:val="26"/>
          <w:szCs w:val="26"/>
        </w:rPr>
        <w:t>rong đó</w:t>
      </w:r>
      <w:r>
        <w:rPr>
          <w:rFonts w:ascii="Times New Roman" w:hAnsi="Times New Roman" w:cs="Times New Roman"/>
          <w:color w:val="000000" w:themeColor="text1"/>
          <w:sz w:val="26"/>
          <w:szCs w:val="26"/>
        </w:rPr>
        <w:t xml:space="preserve">: </w:t>
      </w:r>
      <w:r w:rsidRPr="008E3713">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 xml:space="preserve"> </w:t>
      </w:r>
      <w:r w:rsidR="00831FAA" w:rsidRPr="008E3713">
        <w:rPr>
          <w:rFonts w:ascii="Times New Roman" w:hAnsi="Times New Roman" w:cs="Times New Roman"/>
          <w:color w:val="000000" w:themeColor="text1"/>
          <w:sz w:val="26"/>
          <w:szCs w:val="26"/>
        </w:rPr>
        <w:t>ρ</w:t>
      </w:r>
      <w:r w:rsidR="00831FAA" w:rsidRPr="008E3713">
        <w:rPr>
          <w:rFonts w:ascii="Times New Roman" w:hAnsi="Times New Roman" w:cs="Times New Roman"/>
          <w:color w:val="000000" w:themeColor="text1"/>
          <w:sz w:val="26"/>
          <w:szCs w:val="26"/>
          <w:vertAlign w:val="subscript"/>
        </w:rPr>
        <w:t>p</w:t>
      </w:r>
      <w:r w:rsidR="00831FAA" w:rsidRPr="008E3713">
        <w:rPr>
          <w:rFonts w:ascii="Times New Roman" w:hAnsi="Times New Roman" w:cs="Times New Roman"/>
          <w:color w:val="000000" w:themeColor="text1"/>
          <w:sz w:val="26"/>
          <w:szCs w:val="26"/>
        </w:rPr>
        <w:t xml:space="preserve"> là mật độ hạt (kg/m</w:t>
      </w:r>
      <w:r w:rsidR="00831FAA" w:rsidRPr="008E3713">
        <w:rPr>
          <w:rFonts w:ascii="Times New Roman" w:hAnsi="Times New Roman" w:cs="Times New Roman"/>
          <w:color w:val="000000" w:themeColor="text1"/>
          <w:sz w:val="26"/>
          <w:szCs w:val="26"/>
          <w:vertAlign w:val="superscript"/>
        </w:rPr>
        <w:t>3</w:t>
      </w:r>
      <w:r w:rsidR="00831FAA" w:rsidRPr="008E3713">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w:t>
      </w:r>
    </w:p>
    <w:p w14:paraId="41B902F0" w14:textId="77777777" w:rsidR="008E3713" w:rsidRDefault="008E3713" w:rsidP="008E3713">
      <w:pPr>
        <w:spacing w:before="120"/>
        <w:ind w:left="-2" w:firstLine="1136"/>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00831FAA" w:rsidRPr="008E3713">
        <w:rPr>
          <w:rFonts w:ascii="Times New Roman" w:hAnsi="Times New Roman" w:cs="Times New Roman"/>
          <w:color w:val="000000" w:themeColor="text1"/>
          <w:sz w:val="26"/>
          <w:szCs w:val="26"/>
        </w:rPr>
        <w:t xml:space="preserve"> ρ</w:t>
      </w:r>
      <w:r w:rsidR="00831FAA" w:rsidRPr="008E3713">
        <w:rPr>
          <w:rFonts w:ascii="Times New Roman" w:hAnsi="Times New Roman" w:cs="Times New Roman"/>
          <w:color w:val="000000" w:themeColor="text1"/>
          <w:sz w:val="26"/>
          <w:szCs w:val="26"/>
          <w:vertAlign w:val="subscript"/>
        </w:rPr>
        <w:t>p0</w:t>
      </w:r>
      <w:r w:rsidR="00831FAA" w:rsidRPr="008E3713">
        <w:rPr>
          <w:rFonts w:ascii="Times New Roman" w:hAnsi="Times New Roman" w:cs="Times New Roman"/>
          <w:color w:val="000000" w:themeColor="text1"/>
          <w:sz w:val="26"/>
          <w:szCs w:val="26"/>
        </w:rPr>
        <w:t xml:space="preserve"> là đơn vị khối lượng riêng (1000 kg/m</w:t>
      </w:r>
      <w:r w:rsidR="00831FAA" w:rsidRPr="008E3713">
        <w:rPr>
          <w:rFonts w:ascii="Times New Roman" w:hAnsi="Times New Roman" w:cs="Times New Roman"/>
          <w:color w:val="000000" w:themeColor="text1"/>
          <w:sz w:val="26"/>
          <w:szCs w:val="26"/>
          <w:vertAlign w:val="superscript"/>
        </w:rPr>
        <w:t>3</w:t>
      </w:r>
      <w:r w:rsidR="00831FAA" w:rsidRPr="008E3713">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w:t>
      </w:r>
    </w:p>
    <w:p w14:paraId="73692FF6" w14:textId="77777777" w:rsidR="008E3713" w:rsidRDefault="008E3713" w:rsidP="008E3713">
      <w:pPr>
        <w:spacing w:before="120"/>
        <w:ind w:left="-2" w:firstLine="1136"/>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00831FAA" w:rsidRPr="008E3713">
        <w:rPr>
          <w:rFonts w:ascii="Times New Roman" w:hAnsi="Times New Roman" w:cs="Times New Roman"/>
          <w:color w:val="000000" w:themeColor="text1"/>
          <w:sz w:val="26"/>
          <w:szCs w:val="26"/>
        </w:rPr>
        <w:t xml:space="preserve"> C</w:t>
      </w:r>
      <w:r w:rsidR="00831FAA" w:rsidRPr="008E3713">
        <w:rPr>
          <w:rFonts w:ascii="Times New Roman" w:hAnsi="Times New Roman" w:cs="Times New Roman"/>
          <w:color w:val="000000" w:themeColor="text1"/>
          <w:sz w:val="26"/>
          <w:szCs w:val="26"/>
          <w:vertAlign w:val="subscript"/>
        </w:rPr>
        <w:t>c</w:t>
      </w:r>
      <w:r w:rsidR="00831FAA" w:rsidRPr="008E3713">
        <w:rPr>
          <w:rFonts w:ascii="Times New Roman" w:hAnsi="Times New Roman" w:cs="Times New Roman"/>
          <w:color w:val="000000" w:themeColor="text1"/>
          <w:sz w:val="26"/>
          <w:szCs w:val="26"/>
        </w:rPr>
        <w:t xml:space="preserve"> là hệ số hiệu chỉnh độ trượt</w:t>
      </w:r>
      <w:r>
        <w:rPr>
          <w:rFonts w:ascii="Times New Roman" w:hAnsi="Times New Roman" w:cs="Times New Roman"/>
          <w:color w:val="000000" w:themeColor="text1"/>
          <w:sz w:val="26"/>
          <w:szCs w:val="26"/>
        </w:rPr>
        <w:t>;</w:t>
      </w:r>
    </w:p>
    <w:p w14:paraId="263DAE6D" w14:textId="77777777" w:rsidR="008E3713" w:rsidRDefault="008E3713" w:rsidP="008E3713">
      <w:pPr>
        <w:spacing w:before="120"/>
        <w:ind w:left="-2" w:firstLine="1136"/>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00831FAA" w:rsidRPr="008E3713">
        <w:rPr>
          <w:rFonts w:ascii="Times New Roman" w:hAnsi="Times New Roman" w:cs="Times New Roman"/>
          <w:color w:val="000000" w:themeColor="text1"/>
          <w:sz w:val="26"/>
          <w:szCs w:val="26"/>
        </w:rPr>
        <w:t xml:space="preserve"> U</w:t>
      </w:r>
      <w:r w:rsidR="00831FAA" w:rsidRPr="008E3713">
        <w:rPr>
          <w:rFonts w:ascii="Times New Roman" w:hAnsi="Times New Roman" w:cs="Times New Roman"/>
          <w:color w:val="000000" w:themeColor="text1"/>
          <w:sz w:val="26"/>
          <w:szCs w:val="26"/>
          <w:vertAlign w:val="subscript"/>
        </w:rPr>
        <w:t>0</w:t>
      </w:r>
      <w:r w:rsidR="00831FAA" w:rsidRPr="008E3713">
        <w:rPr>
          <w:rFonts w:ascii="Times New Roman" w:hAnsi="Times New Roman" w:cs="Times New Roman"/>
          <w:color w:val="000000" w:themeColor="text1"/>
          <w:sz w:val="26"/>
          <w:szCs w:val="26"/>
        </w:rPr>
        <w:t xml:space="preserve"> là vận tốc dòng khí (m/s)</w:t>
      </w:r>
      <w:r>
        <w:rPr>
          <w:rFonts w:ascii="Times New Roman" w:hAnsi="Times New Roman" w:cs="Times New Roman"/>
          <w:color w:val="000000" w:themeColor="text1"/>
          <w:sz w:val="26"/>
          <w:szCs w:val="26"/>
        </w:rPr>
        <w:t>;</w:t>
      </w:r>
    </w:p>
    <w:p w14:paraId="7CD80544" w14:textId="77777777" w:rsidR="008E3713" w:rsidRDefault="008E3713" w:rsidP="008E3713">
      <w:pPr>
        <w:spacing w:before="120"/>
        <w:ind w:left="-2" w:firstLine="1136"/>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00831FAA" w:rsidRPr="008E3713">
        <w:rPr>
          <w:rFonts w:ascii="Times New Roman" w:hAnsi="Times New Roman" w:cs="Times New Roman"/>
          <w:color w:val="000000" w:themeColor="text1"/>
          <w:sz w:val="26"/>
          <w:szCs w:val="26"/>
        </w:rPr>
        <w:t xml:space="preserve"> D</w:t>
      </w:r>
      <w:r w:rsidR="00831FAA" w:rsidRPr="008E3713">
        <w:rPr>
          <w:rFonts w:ascii="Times New Roman" w:hAnsi="Times New Roman" w:cs="Times New Roman"/>
          <w:color w:val="000000" w:themeColor="text1"/>
          <w:sz w:val="26"/>
          <w:szCs w:val="26"/>
          <w:vertAlign w:val="subscript"/>
        </w:rPr>
        <w:t>p</w:t>
      </w:r>
      <w:r w:rsidR="00831FAA" w:rsidRPr="008E3713">
        <w:rPr>
          <w:rFonts w:ascii="Times New Roman" w:hAnsi="Times New Roman" w:cs="Times New Roman"/>
          <w:color w:val="000000" w:themeColor="text1"/>
          <w:sz w:val="26"/>
          <w:szCs w:val="26"/>
        </w:rPr>
        <w:t xml:space="preserve"> là đường kính hạt (m)</w:t>
      </w:r>
      <w:r>
        <w:rPr>
          <w:rFonts w:ascii="Times New Roman" w:hAnsi="Times New Roman" w:cs="Times New Roman"/>
          <w:color w:val="000000" w:themeColor="text1"/>
          <w:sz w:val="26"/>
          <w:szCs w:val="26"/>
        </w:rPr>
        <w:t>;</w:t>
      </w:r>
    </w:p>
    <w:p w14:paraId="7F107747" w14:textId="77777777" w:rsidR="008E3713" w:rsidRDefault="008E3713" w:rsidP="008E3713">
      <w:pPr>
        <w:spacing w:before="120"/>
        <w:ind w:left="-2" w:firstLine="1136"/>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w:t>
      </w:r>
      <w:r w:rsidR="00831FAA" w:rsidRPr="008E3713">
        <w:rPr>
          <w:rFonts w:ascii="Times New Roman" w:hAnsi="Times New Roman" w:cs="Times New Roman"/>
          <w:color w:val="000000" w:themeColor="text1"/>
          <w:sz w:val="26"/>
          <w:szCs w:val="26"/>
        </w:rPr>
        <w:t xml:space="preserve"> μ là độ nhớt không khí động (kg·s/m</w:t>
      </w:r>
      <w:r w:rsidR="00831FAA" w:rsidRPr="008E3713">
        <w:rPr>
          <w:rFonts w:ascii="Times New Roman" w:hAnsi="Times New Roman" w:cs="Times New Roman"/>
          <w:color w:val="000000" w:themeColor="text1"/>
          <w:sz w:val="26"/>
          <w:szCs w:val="26"/>
          <w:vertAlign w:val="superscript"/>
        </w:rPr>
        <w:t>2</w:t>
      </w:r>
      <w:r w:rsidR="00831FAA" w:rsidRPr="008E3713">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w:t>
      </w:r>
    </w:p>
    <w:p w14:paraId="56C9B0A0" w14:textId="77777777" w:rsidR="008E3713" w:rsidRDefault="008E3713" w:rsidP="008E3713">
      <w:pPr>
        <w:spacing w:before="120"/>
        <w:ind w:left="-2" w:firstLine="1136"/>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00831FAA" w:rsidRPr="008E3713">
        <w:rPr>
          <w:rFonts w:ascii="Times New Roman" w:hAnsi="Times New Roman" w:cs="Times New Roman"/>
          <w:color w:val="000000" w:themeColor="text1"/>
          <w:sz w:val="26"/>
          <w:szCs w:val="26"/>
        </w:rPr>
        <w:t xml:space="preserve">W là đường kính hoặc chiều rộng của vòi phun (m). </w:t>
      </w:r>
    </w:p>
    <w:p w14:paraId="2FE79B21" w14:textId="297DB65C" w:rsidR="00713F12" w:rsidRPr="008E3713" w:rsidRDefault="00831FAA" w:rsidP="008E3713">
      <w:pPr>
        <w:spacing w:before="120"/>
        <w:ind w:left="-2" w:firstLine="711"/>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S</w:t>
      </w:r>
      <w:r w:rsidRPr="008E3713">
        <w:rPr>
          <w:rFonts w:ascii="Times New Roman" w:hAnsi="Times New Roman" w:cs="Times New Roman"/>
          <w:color w:val="000000" w:themeColor="text1"/>
          <w:sz w:val="26"/>
          <w:szCs w:val="26"/>
          <w:vertAlign w:val="subscript"/>
        </w:rPr>
        <w:t>tk50</w:t>
      </w:r>
      <w:r w:rsidRPr="008E3713">
        <w:rPr>
          <w:rFonts w:ascii="Times New Roman" w:hAnsi="Times New Roman" w:cs="Times New Roman"/>
          <w:color w:val="000000" w:themeColor="text1"/>
          <w:sz w:val="26"/>
          <w:szCs w:val="26"/>
        </w:rPr>
        <w:t xml:space="preserve"> là số Stokes cho hiệu suất thu thập 50%. Đối với một bộ tác động, S</w:t>
      </w:r>
      <w:r w:rsidRPr="008E3713">
        <w:rPr>
          <w:rFonts w:ascii="Times New Roman" w:hAnsi="Times New Roman" w:cs="Times New Roman"/>
          <w:color w:val="000000" w:themeColor="text1"/>
          <w:sz w:val="26"/>
          <w:szCs w:val="26"/>
          <w:vertAlign w:val="subscript"/>
        </w:rPr>
        <w:t>tk50</w:t>
      </w:r>
      <w:r w:rsidRPr="008E3713">
        <w:rPr>
          <w:rFonts w:ascii="Times New Roman" w:hAnsi="Times New Roman" w:cs="Times New Roman"/>
          <w:color w:val="000000" w:themeColor="text1"/>
          <w:sz w:val="26"/>
          <w:szCs w:val="26"/>
        </w:rPr>
        <w:t xml:space="preserve"> thường được cố định trong các điều kiện tối ưu hóa và D</w:t>
      </w:r>
      <w:r w:rsidRPr="008E3713">
        <w:rPr>
          <w:rFonts w:ascii="Times New Roman" w:hAnsi="Times New Roman" w:cs="Times New Roman"/>
          <w:color w:val="000000" w:themeColor="text1"/>
          <w:sz w:val="26"/>
          <w:szCs w:val="26"/>
          <w:vertAlign w:val="subscript"/>
        </w:rPr>
        <w:t xml:space="preserve">pa50 </w:t>
      </w:r>
      <w:r w:rsidRPr="008E3713">
        <w:rPr>
          <w:rFonts w:ascii="Times New Roman" w:hAnsi="Times New Roman" w:cs="Times New Roman"/>
          <w:color w:val="000000" w:themeColor="text1"/>
          <w:sz w:val="26"/>
          <w:szCs w:val="26"/>
        </w:rPr>
        <w:t>có thể được tính theo phương trình sau (Marple V.A. và Olson B.A., 2011):</w:t>
      </w:r>
    </w:p>
    <w:p w14:paraId="6336FF40" w14:textId="77777777" w:rsidR="00713F12" w:rsidRPr="00203DC6" w:rsidRDefault="00831FAA" w:rsidP="008E3713">
      <w:pPr>
        <w:spacing w:before="120"/>
        <w:ind w:left="-2"/>
        <w:jc w:val="center"/>
        <w:rPr>
          <w:rFonts w:ascii="Times New Roman" w:hAnsi="Times New Roman" w:cs="Times New Roman"/>
          <w:color w:val="000000" w:themeColor="text1"/>
          <w:sz w:val="26"/>
          <w:szCs w:val="26"/>
        </w:rPr>
      </w:pPr>
      <w:r w:rsidRPr="00203DC6">
        <w:rPr>
          <w:rFonts w:ascii="Times New Roman" w:hAnsi="Times New Roman" w:cs="Times New Roman"/>
          <w:noProof/>
          <w:color w:val="000000" w:themeColor="text1"/>
          <w:sz w:val="26"/>
          <w:szCs w:val="26"/>
          <w:lang w:eastAsia="en-US"/>
        </w:rPr>
        <w:drawing>
          <wp:inline distT="0" distB="0" distL="0" distR="0" wp14:anchorId="0BAF906A" wp14:editId="6943EAB4">
            <wp:extent cx="4216400" cy="800100"/>
            <wp:effectExtent l="0" t="0" r="0" b="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a:picLocks noChangeAspect="1"/>
                    </pic:cNvPicPr>
                  </pic:nvPicPr>
                  <pic:blipFill>
                    <a:blip r:embed="rId8"/>
                    <a:stretch>
                      <a:fillRect/>
                    </a:stretch>
                  </pic:blipFill>
                  <pic:spPr>
                    <a:xfrm>
                      <a:off x="0" y="0"/>
                      <a:ext cx="4216400" cy="800100"/>
                    </a:xfrm>
                    <a:prstGeom prst="rect">
                      <a:avLst/>
                    </a:prstGeom>
                  </pic:spPr>
                </pic:pic>
              </a:graphicData>
            </a:graphic>
          </wp:inline>
        </w:drawing>
      </w:r>
    </w:p>
    <w:p w14:paraId="4FEB3847" w14:textId="77777777" w:rsidR="00713F12" w:rsidRPr="008E3713" w:rsidRDefault="00831FAA" w:rsidP="008E3713">
      <w:pPr>
        <w:spacing w:before="120"/>
        <w:ind w:left="-2" w:firstLine="711"/>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 xml:space="preserve">Số Reynolds phản lực (Re) là một tham số </w:t>
      </w:r>
      <w:r w:rsidRPr="008E3713">
        <w:rPr>
          <w:rFonts w:ascii="Times New Roman" w:hAnsi="Times New Roman" w:cs="Times New Roman"/>
          <w:color w:val="000000" w:themeColor="text1"/>
          <w:sz w:val="26"/>
          <w:szCs w:val="26"/>
          <w:u w:val="single"/>
        </w:rPr>
        <w:t>khác</w:t>
      </w:r>
      <w:r w:rsidRPr="008E3713">
        <w:rPr>
          <w:rFonts w:ascii="Times New Roman" w:hAnsi="Times New Roman" w:cs="Times New Roman"/>
          <w:color w:val="000000" w:themeColor="text1"/>
          <w:sz w:val="26"/>
          <w:szCs w:val="26"/>
        </w:rPr>
        <w:t xml:space="preserve"> chi phối trường dòng chảy và hiệu quả thu gom hạt. Re ảnh hưởng đến độ sắc nét của đường cong hiệu quả thu gom nhiều hơn đường kính ngưỡng. Re của bộ tác động vòi tròn được biểu thị bằng (Marple V.A. và Olson B.A., 2011)</w:t>
      </w:r>
    </w:p>
    <w:p w14:paraId="223F1720" w14:textId="77777777" w:rsidR="00713F12" w:rsidRPr="00203DC6" w:rsidRDefault="00831FAA" w:rsidP="008E3713">
      <w:pPr>
        <w:spacing w:before="120"/>
        <w:ind w:left="-2"/>
        <w:jc w:val="center"/>
        <w:rPr>
          <w:rFonts w:ascii="Times New Roman" w:hAnsi="Times New Roman" w:cs="Times New Roman"/>
          <w:color w:val="000000" w:themeColor="text1"/>
          <w:sz w:val="26"/>
          <w:szCs w:val="26"/>
        </w:rPr>
      </w:pPr>
      <w:r w:rsidRPr="00203DC6">
        <w:rPr>
          <w:rFonts w:ascii="Times New Roman" w:hAnsi="Times New Roman" w:cs="Times New Roman"/>
          <w:noProof/>
          <w:color w:val="000000" w:themeColor="text1"/>
          <w:sz w:val="26"/>
          <w:szCs w:val="26"/>
          <w:lang w:eastAsia="en-US"/>
        </w:rPr>
        <w:drawing>
          <wp:inline distT="0" distB="0" distL="0" distR="0" wp14:anchorId="6D8FDE12" wp14:editId="43473AD8">
            <wp:extent cx="4330700" cy="736600"/>
            <wp:effectExtent l="0" t="0" r="0" b="0"/>
            <wp:docPr id="21" name="Picture 21"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Background pattern&#10;&#10;Description automatically generated with low confidence"/>
                    <pic:cNvPicPr>
                      <a:picLocks noChangeAspect="1"/>
                    </pic:cNvPicPr>
                  </pic:nvPicPr>
                  <pic:blipFill>
                    <a:blip r:embed="rId9"/>
                    <a:stretch>
                      <a:fillRect/>
                    </a:stretch>
                  </pic:blipFill>
                  <pic:spPr>
                    <a:xfrm>
                      <a:off x="0" y="0"/>
                      <a:ext cx="4330700" cy="736600"/>
                    </a:xfrm>
                    <a:prstGeom prst="rect">
                      <a:avLst/>
                    </a:prstGeom>
                  </pic:spPr>
                </pic:pic>
              </a:graphicData>
            </a:graphic>
          </wp:inline>
        </w:drawing>
      </w:r>
    </w:p>
    <w:p w14:paraId="2C2B4DB4" w14:textId="0F3DAFCC" w:rsidR="00713F12" w:rsidRPr="008E3713" w:rsidRDefault="008E3713" w:rsidP="008E3713">
      <w:pPr>
        <w:spacing w:before="120"/>
        <w:ind w:firstLine="709"/>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T</w:t>
      </w:r>
      <w:r w:rsidR="00831FAA" w:rsidRPr="008E3713">
        <w:rPr>
          <w:rFonts w:ascii="Times New Roman" w:hAnsi="Times New Roman" w:cs="Times New Roman"/>
          <w:color w:val="000000" w:themeColor="text1"/>
          <w:sz w:val="26"/>
          <w:szCs w:val="26"/>
        </w:rPr>
        <w:t>rong đó</w:t>
      </w:r>
      <w:r w:rsidRPr="008E3713">
        <w:rPr>
          <w:rFonts w:ascii="Times New Roman" w:hAnsi="Times New Roman" w:cs="Times New Roman"/>
          <w:color w:val="000000" w:themeColor="text1"/>
          <w:sz w:val="26"/>
          <w:szCs w:val="26"/>
        </w:rPr>
        <w:t>:</w:t>
      </w:r>
      <w:r w:rsidR="00831FAA" w:rsidRPr="008E3713">
        <w:rPr>
          <w:rFonts w:ascii="Times New Roman" w:hAnsi="Times New Roman" w:cs="Times New Roman"/>
          <w:color w:val="000000" w:themeColor="text1"/>
          <w:sz w:val="26"/>
          <w:szCs w:val="26"/>
        </w:rPr>
        <w:t xml:space="preserve"> </w:t>
      </w:r>
      <w:r w:rsidRPr="008E3713">
        <w:rPr>
          <w:rFonts w:ascii="Times New Roman" w:hAnsi="Times New Roman" w:cs="Times New Roman"/>
          <w:color w:val="000000" w:themeColor="text1"/>
          <w:sz w:val="26"/>
          <w:szCs w:val="26"/>
        </w:rPr>
        <w:t xml:space="preserve">- </w:t>
      </w:r>
      <w:r w:rsidR="00831FAA" w:rsidRPr="008E3713">
        <w:rPr>
          <w:rFonts w:ascii="Times New Roman" w:hAnsi="Times New Roman" w:cs="Times New Roman"/>
          <w:color w:val="000000" w:themeColor="text1"/>
          <w:sz w:val="26"/>
          <w:szCs w:val="26"/>
        </w:rPr>
        <w:t>ρ</w:t>
      </w:r>
      <w:r w:rsidR="00831FAA" w:rsidRPr="008E3713">
        <w:rPr>
          <w:rFonts w:ascii="Times New Roman" w:hAnsi="Times New Roman" w:cs="Times New Roman"/>
          <w:color w:val="000000" w:themeColor="text1"/>
          <w:sz w:val="26"/>
          <w:szCs w:val="26"/>
          <w:vertAlign w:val="subscript"/>
        </w:rPr>
        <w:t>a</w:t>
      </w:r>
      <w:r w:rsidR="00831FAA" w:rsidRPr="008E3713">
        <w:rPr>
          <w:rFonts w:ascii="Times New Roman" w:hAnsi="Times New Roman" w:cs="Times New Roman"/>
          <w:color w:val="000000" w:themeColor="text1"/>
          <w:sz w:val="26"/>
          <w:szCs w:val="26"/>
        </w:rPr>
        <w:t xml:space="preserve"> là mật độ không khí (kg/m</w:t>
      </w:r>
      <w:r w:rsidR="00831FAA" w:rsidRPr="008E3713">
        <w:rPr>
          <w:rFonts w:ascii="Times New Roman" w:hAnsi="Times New Roman" w:cs="Times New Roman"/>
          <w:color w:val="000000" w:themeColor="text1"/>
          <w:sz w:val="26"/>
          <w:szCs w:val="26"/>
          <w:vertAlign w:val="superscript"/>
        </w:rPr>
        <w:t>3</w:t>
      </w:r>
      <w:r w:rsidR="00831FAA" w:rsidRPr="008E3713">
        <w:rPr>
          <w:rFonts w:ascii="Times New Roman" w:hAnsi="Times New Roman" w:cs="Times New Roman"/>
          <w:color w:val="000000" w:themeColor="text1"/>
          <w:sz w:val="26"/>
          <w:szCs w:val="26"/>
        </w:rPr>
        <w:t>). Các bộ tác động quán tính sẽ có các đường cong hiệu quả thu gom sắc nét và gần giống nhau với S</w:t>
      </w:r>
      <w:r w:rsidR="00831FAA" w:rsidRPr="008E3713">
        <w:rPr>
          <w:rFonts w:ascii="Times New Roman" w:hAnsi="Times New Roman" w:cs="Times New Roman"/>
          <w:color w:val="000000" w:themeColor="text1"/>
          <w:sz w:val="26"/>
          <w:szCs w:val="26"/>
          <w:vertAlign w:val="subscript"/>
        </w:rPr>
        <w:t>tk50</w:t>
      </w:r>
      <w:r w:rsidR="00831FAA" w:rsidRPr="008E3713">
        <w:rPr>
          <w:rFonts w:ascii="Times New Roman" w:hAnsi="Times New Roman" w:cs="Times New Roman"/>
          <w:color w:val="000000" w:themeColor="text1"/>
          <w:sz w:val="26"/>
          <w:szCs w:val="26"/>
        </w:rPr>
        <w:t xml:space="preserve"> cố định là 0,24 (vòi tròn) hoặc 0,59 (vòi hình chữ nhật) nếu Re nằm trong khoảng từ 500 đến 3000.</w:t>
      </w:r>
    </w:p>
    <w:p w14:paraId="1450AE1D" w14:textId="4312A831" w:rsidR="00713F12" w:rsidRPr="008E3713" w:rsidRDefault="00831FAA" w:rsidP="008E3713">
      <w:pPr>
        <w:spacing w:before="120"/>
        <w:ind w:firstLine="709"/>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 xml:space="preserve">Tỷ lệ S/W, là khoảng cách từ tia tới tấm (S) chia cho W, cũng ảnh hưởng đến hiệu quả thu gom. Một bộ tác động sẽ có đường cong hiệu quả rõ nét nếu S/W lớn hơn 1,0 đối với bộ tác động vòi tròn và lớn hơn 1,5 đối với bộ tác động vòi phun hình chữ nhật (Marple V.A. và Rubow K.L., 1986). S/W thường nằm trong khoảng từ 1 đến 5 để loại bỏ ảnh hưởng trên Stk50 đối với các bộ tác động vòi phun đơn (Marple V.A. và Liu B.Y., 1974). Hơn nữa, để cung cấp đủ thời gian cho các hạt tăng tốc đến vận tốc chất lỏng, chiều dài họng (T) chia cho W (T/W) phải lớn hơn 1,0 và lối vào của vòi phải có hình côn hoặc hình nón ( Marple VA và Willeke K., 1976). Ngoài ra, ảnh hưởng của trọng lực hạt đến hiệu quả thu thập hạt ngày càng tăng đã được tìm thấy khi Re là dưới 1500 (Huang C.H. và Tsai C.J., 2001). Các thông số khác ảnh hưởng đến đường cong hiệu quả thu gom là đường kính tấm ép, mật độ hạt (Huang C.H. và Tsai C.J., 2002a) và thiết kế bề mặt ép (Tsai C.J. và Cheng Y.H., 1995; Tsai C.J. và Lin T.Y., 2000). Một tấm ép nhỏ sẽ làm tăng đường </w:t>
      </w:r>
      <w:r w:rsidRPr="008E3713">
        <w:rPr>
          <w:rFonts w:ascii="Times New Roman" w:hAnsi="Times New Roman" w:cs="Times New Roman"/>
          <w:color w:val="000000" w:themeColor="text1"/>
          <w:sz w:val="26"/>
          <w:szCs w:val="26"/>
        </w:rPr>
        <w:lastRenderedPageBreak/>
        <w:t>kính ngưỡng (Huang CH và Tsai CJ, 2002a) trong khi một giếng tác động nhỏ sẽ làm giảm đường kính ngưỡng do lực tác động thứ cấp lên thành giếng (Hu S. et al., 2007).</w:t>
      </w:r>
    </w:p>
    <w:p w14:paraId="76343917" w14:textId="43DAC09D" w:rsidR="00713F12" w:rsidRPr="008E3713" w:rsidRDefault="00831FAA" w:rsidP="008E3713">
      <w:pPr>
        <w:spacing w:before="120"/>
        <w:ind w:firstLine="709"/>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Cần lưu ý rằng những cân nhắc về thiết kế ở trên không chỉ phù hợp với đầu phun đơn, bộ tác động một tầng mà còn có thể áp dụng cho bộ tác động nhiều vòi, nhiều tầng với các đầu phun đủ xa nhau. Nếu các vòi phun quá gần nhau, tương tác dòng chảy chéo của vòi phun xảy ra, điều này ảnh hưởng đến hiệu quả thu gom của thiết bị phun nhiều vòi (Fang C. et al., 1991; Kwon S.B. et al., 2002). Tham số dòng chảy chéo, là hàm của số lượng vòi phun, đường kính vòi phun và đường kính cụm vòi phun, phải nhỏ hơn 1,2 để loại bỏ ảnh hưởng của tương tác dòng chảy chéo (Fang C. và cộng sự, 1991). Các nghiên cứu khác trước đây cho thấy rằng các đặc điểm cắt của bộ tác động nhiều vòi cũng bị ảnh hưởng bởi S/W và Re ngay cả khi chúng nằm trong phạm vi được khuyến nghị cho bộ tác động một vòi (Gudmundsson A. và cộng sự, 1995; Kwon SB et al., 2002; Yao M. và Mainelis G., 2006). Các đặc điểm cắt của các giai đoạn liên tiếp của bộ tác động tầng với Dpa50 &lt;100 nm được phát hiện là rất nhạy cảm với S/W (Arffman A. và cộng sự, 2011; Tsai C.J. và cộng sự, 2012b; Liu C.N. và cộng sự, 2013b). Trong bộ tác động nhiều vòi phun, sự lắng đọng thứ hai của các hạt do tương tác phản lực dẫn đến sự khác biệt giữa hiệu quả thu thập lý thuyết và thực nghiệm và hiệu quả thu gom kém sắc nét hơn và Stk thấp hơn (Rocklage JM và cộng sự, 2013; García-Ruiz E . và cộng sự, 2019).</w:t>
      </w:r>
    </w:p>
    <w:p w14:paraId="4C7F2E27" w14:textId="77777777" w:rsidR="00713F12" w:rsidRPr="008E3713" w:rsidRDefault="00831FAA" w:rsidP="008E3713">
      <w:pPr>
        <w:spacing w:before="120"/>
        <w:ind w:firstLine="709"/>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Để đạt được kích thước cắt nhỏ hơn trong các giai đoạn thấp hơn của bộ tác động tầng, nhiều bộ tác động lỗ nhỏ (MOI) hoặc bộ tác động áp suất thấp (LPI) được sử dụng. Trong LPI, các hạt có đường kính ngưỡng rất nhỏ (ví dụ: 0,05 μm) được thu thập do sự tăng của hệ số hiệu chỉnh trượt với sự giảm áp suất. Một máy bơm chân không lớn để hút không khí qua các vòi phun tại một Vận tốc dòng chảy cao là cần thiết để tạo ra sự sụt giảm áp suất lớn để tác động xảy ra ở áp suất thấp (ví dụ: 3 kPa). Đường kính ngưỡng kích thước nano (ví dụ 2 hoặc 5 nm) cũng có thể đạt được bằng cách mở rộng sol khí thành một vùng được sơ tán tạo ra các điều kiện tác động siêu âm (Fernandez de la Mora J. và Schmidt-Ott A., 1993). Những tác động áp suất thấp này có thể làm mất bay hơi của các vật liệu hạt bán dễ bay hơi (SVM) (Biswas P. et al., 1987). Trong khi so sánh, trong MOI, đường kính cắt nhỏ hơn thu được bằng cách sử dụng nhiều lỗ siêu nhỏ, cung cấp tốc độ dòng mong muốn ở mức giảm áp suất tương đối thấp. Sự thất thoát do bay hơi của SVMs đã được loại bỏ trong MOIs nếu giảm áp suất dưới 40 kPa (Fang C. và cộng sự, 1991). Bộ tác động tầng có thể được phát triển với các cân nhắc thiết kế ở trên và được hiệu chuẩn với phương pháp tiêu chuẩn được trình bày bởi Marple V.A. và Olson B.A. (2009). Việc xem xét thiết kế bộ tác động quán tính với kích thước cắt nhỏ hơn, đường cong hiệu quả thu gom sắc nét hơn và tốc độ dòng chảy cao hơn được tóm tắt trong Bảng 2.</w:t>
      </w:r>
    </w:p>
    <w:p w14:paraId="7CC77566" w14:textId="3A1C27FE" w:rsidR="00713F12" w:rsidRPr="00203DC6" w:rsidRDefault="00831FAA" w:rsidP="008E3713">
      <w:pPr>
        <w:spacing w:before="120"/>
        <w:ind w:firstLine="709"/>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Có những nhược điểm chính của bộ tác động thông thường là độ nảy của hạt, quá tải của hạt và sự mất mát của hạt như được thể hiện trong Hình 1b – d. Vì những tác động này có thể gây ra sự thay đổi của đường kính ngưỡng và đường cong hiệu suất thu dẫn đến việc đo PM không chính xác, nhiều nhà nghiên cứu đã nghiên cứu những vấn đề này để tìm ra giải pháp (Liu CN và cộng sự, 2013b; Le TC và Tsai CJ, 2017; Le TC và cộng sự, 2019).</w:t>
      </w:r>
    </w:p>
    <w:p w14:paraId="0AEFB521" w14:textId="77777777" w:rsidR="00713F12" w:rsidRPr="00203DC6" w:rsidRDefault="00831FAA" w:rsidP="00203DC6">
      <w:pPr>
        <w:spacing w:before="120"/>
        <w:ind w:left="-2"/>
        <w:jc w:val="both"/>
        <w:rPr>
          <w:rFonts w:ascii="Times New Roman" w:hAnsi="Times New Roman" w:cs="Times New Roman"/>
          <w:color w:val="000000" w:themeColor="text1"/>
          <w:sz w:val="26"/>
          <w:szCs w:val="26"/>
        </w:rPr>
      </w:pPr>
      <w:r w:rsidRPr="00203DC6">
        <w:rPr>
          <w:rFonts w:ascii="Times New Roman" w:hAnsi="Times New Roman" w:cs="Times New Roman"/>
          <w:noProof/>
          <w:color w:val="000000" w:themeColor="text1"/>
          <w:sz w:val="26"/>
          <w:szCs w:val="26"/>
          <w:lang w:eastAsia="en-US"/>
        </w:rPr>
        <w:lastRenderedPageBreak/>
        <w:drawing>
          <wp:inline distT="0" distB="0" distL="114300" distR="114300" wp14:anchorId="1EA9564C" wp14:editId="616075AD">
            <wp:extent cx="2534285" cy="2116455"/>
            <wp:effectExtent l="0" t="0" r="18415" b="17145"/>
            <wp:docPr id="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
                    <pic:cNvPicPr>
                      <a:picLocks noChangeAspect="1"/>
                    </pic:cNvPicPr>
                  </pic:nvPicPr>
                  <pic:blipFill>
                    <a:blip r:embed="rId10"/>
                    <a:stretch>
                      <a:fillRect/>
                    </a:stretch>
                  </pic:blipFill>
                  <pic:spPr>
                    <a:xfrm>
                      <a:off x="0" y="0"/>
                      <a:ext cx="2534285" cy="2116455"/>
                    </a:xfrm>
                    <a:prstGeom prst="rect">
                      <a:avLst/>
                    </a:prstGeom>
                    <a:noFill/>
                    <a:ln>
                      <a:noFill/>
                    </a:ln>
                  </pic:spPr>
                </pic:pic>
              </a:graphicData>
            </a:graphic>
          </wp:inline>
        </w:drawing>
      </w:r>
      <w:r w:rsidRPr="00203DC6">
        <w:rPr>
          <w:rFonts w:ascii="Times New Roman" w:hAnsi="Times New Roman" w:cs="Times New Roman"/>
          <w:noProof/>
          <w:color w:val="000000" w:themeColor="text1"/>
          <w:sz w:val="26"/>
          <w:szCs w:val="26"/>
          <w:lang w:eastAsia="en-US"/>
        </w:rPr>
        <w:drawing>
          <wp:inline distT="0" distB="0" distL="114300" distR="114300" wp14:anchorId="4C8F6668" wp14:editId="34588796">
            <wp:extent cx="2569845" cy="1867535"/>
            <wp:effectExtent l="0" t="0" r="1905" b="18415"/>
            <wp:docPr id="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
                    <pic:cNvPicPr>
                      <a:picLocks noChangeAspect="1"/>
                    </pic:cNvPicPr>
                  </pic:nvPicPr>
                  <pic:blipFill>
                    <a:blip r:embed="rId11"/>
                    <a:stretch>
                      <a:fillRect/>
                    </a:stretch>
                  </pic:blipFill>
                  <pic:spPr>
                    <a:xfrm>
                      <a:off x="0" y="0"/>
                      <a:ext cx="2569845" cy="1867535"/>
                    </a:xfrm>
                    <a:prstGeom prst="rect">
                      <a:avLst/>
                    </a:prstGeom>
                    <a:noFill/>
                    <a:ln>
                      <a:noFill/>
                    </a:ln>
                  </pic:spPr>
                </pic:pic>
              </a:graphicData>
            </a:graphic>
          </wp:inline>
        </w:drawing>
      </w:r>
    </w:p>
    <w:p w14:paraId="29047C32"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2C1D4F66"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57D80EBA" w14:textId="734902F9" w:rsidR="00713F12" w:rsidRPr="00203DC6" w:rsidRDefault="00831FAA" w:rsidP="00531029">
      <w:pPr>
        <w:spacing w:before="120"/>
        <w:ind w:left="-2"/>
        <w:jc w:val="both"/>
        <w:rPr>
          <w:rFonts w:ascii="Times New Roman" w:hAnsi="Times New Roman" w:cs="Times New Roman"/>
          <w:color w:val="000000" w:themeColor="text1"/>
          <w:sz w:val="26"/>
          <w:szCs w:val="26"/>
        </w:rPr>
      </w:pPr>
      <w:r w:rsidRPr="00203DC6">
        <w:rPr>
          <w:rFonts w:ascii="Times New Roman" w:hAnsi="Times New Roman" w:cs="Times New Roman"/>
          <w:noProof/>
          <w:color w:val="000000" w:themeColor="text1"/>
          <w:sz w:val="26"/>
          <w:szCs w:val="26"/>
          <w:lang w:eastAsia="en-US"/>
        </w:rPr>
        <w:drawing>
          <wp:inline distT="0" distB="0" distL="114300" distR="114300" wp14:anchorId="43565D3C" wp14:editId="6343952C">
            <wp:extent cx="2845435" cy="2000250"/>
            <wp:effectExtent l="0" t="0" r="12065" b="0"/>
            <wp:docPr id="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
                    <pic:cNvPicPr>
                      <a:picLocks noChangeAspect="1"/>
                    </pic:cNvPicPr>
                  </pic:nvPicPr>
                  <pic:blipFill>
                    <a:blip r:embed="rId12"/>
                    <a:stretch>
                      <a:fillRect/>
                    </a:stretch>
                  </pic:blipFill>
                  <pic:spPr>
                    <a:xfrm>
                      <a:off x="0" y="0"/>
                      <a:ext cx="2845435" cy="2000250"/>
                    </a:xfrm>
                    <a:prstGeom prst="rect">
                      <a:avLst/>
                    </a:prstGeom>
                    <a:noFill/>
                    <a:ln>
                      <a:noFill/>
                    </a:ln>
                  </pic:spPr>
                </pic:pic>
              </a:graphicData>
            </a:graphic>
          </wp:inline>
        </w:drawing>
      </w:r>
      <w:r w:rsidRPr="00203DC6">
        <w:rPr>
          <w:rFonts w:ascii="Times New Roman" w:hAnsi="Times New Roman" w:cs="Times New Roman"/>
          <w:noProof/>
          <w:color w:val="000000" w:themeColor="text1"/>
          <w:sz w:val="26"/>
          <w:szCs w:val="26"/>
          <w:lang w:eastAsia="en-US"/>
        </w:rPr>
        <w:drawing>
          <wp:inline distT="0" distB="0" distL="114300" distR="114300" wp14:anchorId="32BE92AD" wp14:editId="540DBA95">
            <wp:extent cx="2381885" cy="1954530"/>
            <wp:effectExtent l="0" t="0" r="18415" b="7620"/>
            <wp:docPr id="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8"/>
                    <pic:cNvPicPr>
                      <a:picLocks noChangeAspect="1"/>
                    </pic:cNvPicPr>
                  </pic:nvPicPr>
                  <pic:blipFill>
                    <a:blip r:embed="rId13"/>
                    <a:stretch>
                      <a:fillRect/>
                    </a:stretch>
                  </pic:blipFill>
                  <pic:spPr>
                    <a:xfrm>
                      <a:off x="0" y="0"/>
                      <a:ext cx="2381885" cy="1954530"/>
                    </a:xfrm>
                    <a:prstGeom prst="rect">
                      <a:avLst/>
                    </a:prstGeom>
                    <a:noFill/>
                    <a:ln>
                      <a:noFill/>
                    </a:ln>
                  </pic:spPr>
                </pic:pic>
              </a:graphicData>
            </a:graphic>
          </wp:inline>
        </w:drawing>
      </w:r>
    </w:p>
    <w:p w14:paraId="716DBFC7" w14:textId="4CD340A3" w:rsidR="00713F12" w:rsidRPr="00203DC6" w:rsidRDefault="00831FAA" w:rsidP="008E3713">
      <w:pPr>
        <w:spacing w:before="120"/>
        <w:ind w:left="-2"/>
        <w:jc w:val="both"/>
        <w:rPr>
          <w:rFonts w:ascii="Times New Roman" w:hAnsi="Times New Roman" w:cs="Times New Roman"/>
          <w:color w:val="000000" w:themeColor="text1"/>
          <w:sz w:val="26"/>
          <w:szCs w:val="26"/>
        </w:rPr>
      </w:pPr>
      <w:r w:rsidRPr="00203DC6">
        <w:rPr>
          <w:rFonts w:ascii="Times New Roman" w:hAnsi="Times New Roman" w:cs="Times New Roman"/>
          <w:noProof/>
          <w:color w:val="000000" w:themeColor="text1"/>
          <w:sz w:val="26"/>
          <w:szCs w:val="26"/>
          <w:lang w:eastAsia="en-US"/>
        </w:rPr>
        <w:drawing>
          <wp:inline distT="0" distB="0" distL="114300" distR="114300" wp14:anchorId="2DBBC7C3" wp14:editId="17EB5152">
            <wp:extent cx="5268595" cy="576580"/>
            <wp:effectExtent l="0" t="0" r="8255" b="13970"/>
            <wp:docPr id="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9"/>
                    <pic:cNvPicPr>
                      <a:picLocks noChangeAspect="1"/>
                    </pic:cNvPicPr>
                  </pic:nvPicPr>
                  <pic:blipFill>
                    <a:blip r:embed="rId14"/>
                    <a:stretch>
                      <a:fillRect/>
                    </a:stretch>
                  </pic:blipFill>
                  <pic:spPr>
                    <a:xfrm>
                      <a:off x="0" y="0"/>
                      <a:ext cx="5268595" cy="576580"/>
                    </a:xfrm>
                    <a:prstGeom prst="rect">
                      <a:avLst/>
                    </a:prstGeom>
                    <a:noFill/>
                    <a:ln>
                      <a:noFill/>
                    </a:ln>
                  </pic:spPr>
                </pic:pic>
              </a:graphicData>
            </a:graphic>
          </wp:inline>
        </w:drawing>
      </w:r>
    </w:p>
    <w:p w14:paraId="1A633A71" w14:textId="64F215BF" w:rsidR="00713F12" w:rsidRPr="00D52E2B" w:rsidRDefault="00831FAA" w:rsidP="00D52E2B">
      <w:pPr>
        <w:pStyle w:val="ListParagraph"/>
        <w:numPr>
          <w:ilvl w:val="1"/>
          <w:numId w:val="3"/>
        </w:numPr>
        <w:spacing w:before="120"/>
        <w:jc w:val="both"/>
        <w:rPr>
          <w:rFonts w:ascii="Times New Roman" w:hAnsi="Times New Roman" w:cs="Times New Roman"/>
          <w:b/>
          <w:bCs/>
          <w:i/>
          <w:iCs/>
          <w:color w:val="000000" w:themeColor="text1"/>
          <w:sz w:val="26"/>
          <w:szCs w:val="26"/>
          <w:lang w:val="vi-VN"/>
        </w:rPr>
      </w:pPr>
      <w:r w:rsidRPr="00D52E2B">
        <w:rPr>
          <w:rFonts w:ascii="Times New Roman" w:hAnsi="Times New Roman" w:cs="Times New Roman"/>
          <w:b/>
          <w:bCs/>
          <w:i/>
          <w:iCs/>
          <w:color w:val="000000" w:themeColor="text1"/>
          <w:sz w:val="26"/>
          <w:szCs w:val="26"/>
        </w:rPr>
        <w:t>Hiệu ứng tung</w:t>
      </w:r>
      <w:r w:rsidRPr="00D52E2B">
        <w:rPr>
          <w:rFonts w:ascii="Times New Roman" w:hAnsi="Times New Roman" w:cs="Times New Roman"/>
          <w:b/>
          <w:bCs/>
          <w:i/>
          <w:iCs/>
          <w:color w:val="000000" w:themeColor="text1"/>
          <w:sz w:val="26"/>
          <w:szCs w:val="26"/>
          <w:lang w:val="vi-VN"/>
        </w:rPr>
        <w:t xml:space="preserve"> hạt lên</w:t>
      </w:r>
    </w:p>
    <w:p w14:paraId="6BC5D258" w14:textId="77777777" w:rsidR="00713F12" w:rsidRPr="008E3713" w:rsidRDefault="00831FAA" w:rsidP="008E3713">
      <w:pPr>
        <w:spacing w:before="120"/>
        <w:ind w:left="-2" w:firstLine="711"/>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Sự</w:t>
      </w:r>
      <w:r w:rsidRPr="008E3713">
        <w:rPr>
          <w:rFonts w:ascii="Times New Roman" w:hAnsi="Times New Roman" w:cs="Times New Roman"/>
          <w:color w:val="000000" w:themeColor="text1"/>
          <w:sz w:val="26"/>
          <w:szCs w:val="26"/>
          <w:lang w:val="vi-VN"/>
        </w:rPr>
        <w:t xml:space="preserve"> tung hạt lên</w:t>
      </w:r>
      <w:r w:rsidRPr="008E3713">
        <w:rPr>
          <w:rFonts w:ascii="Times New Roman" w:hAnsi="Times New Roman" w:cs="Times New Roman"/>
          <w:color w:val="000000" w:themeColor="text1"/>
          <w:sz w:val="26"/>
          <w:szCs w:val="26"/>
        </w:rPr>
        <w:t xml:space="preserve"> xảy ra khi tấm va chạm không thể hấp thụ hoàn toàn động năng của các hạt tới (Hình 1b). Các hạt không bị giữ lại bởi bề mặt, dẫn đến hiệu quả thu thập hạt thấp hơn đối với các hạt lớn hơn đường kính ngưỡng (JohnW. Et al., 1991; Bateman A.P. et al., 2013). Các hạt dội lại có thể được thu thập sau một bộ lọc hoặc một giai đoạn tiếp theo dẫn đến độ lệch dương của phép đo PM hoặc sự thay đổi phân bố khối lượng về kích thước khí động học nhỏ hơn (Marple VA và Olson BA, 2011; Jain S. và Petrucci GA, 2015) . Sự nảy của hạt phụ thuộc vào năng lượng bám dính giữa các hạt và bề mặt tác động, cơ chế mất năng lượng trong các hạt (năng lượng tiêu tán), và vận tốc ban đầu (hoặc động năng) của các hạt (Bateman AP và cộng sự, 2013; Jain S . và Petrucci GA, 2015). Sau khi va chạm, động năng tới được cân bằng bởi một số thuật ngữ giãn năng lượng bao gồm năng lượng tiêu tán, năng lượng bám dính và năng lượng phục hồi. Năng lượng dội lại lớn hơn tổng năng lượng tiêu tán và năng lượng bám dính sẽ dẫn đến sự nảy của hạt. Các đặc tính vật lý của các hạt như độ hút ẩm, kích thước, mật độ, pha, độ đàn hồi và độ cứng cũng có thể đóng một vai trò quan trọng trong hành vi nảy của hạt (Matthew BM và cộng sự, 2008; Bateman AP và cộng sự, Kang M. và cộng sự, 2015; Chen M. và cộng sự, 2016). Người ta thấy rằng các hạt chất lỏng và chất lỏng </w:t>
      </w:r>
      <w:r w:rsidRPr="008E3713">
        <w:rPr>
          <w:rFonts w:ascii="Times New Roman" w:hAnsi="Times New Roman" w:cs="Times New Roman"/>
          <w:color w:val="000000" w:themeColor="text1"/>
          <w:sz w:val="26"/>
          <w:szCs w:val="26"/>
        </w:rPr>
        <w:lastRenderedPageBreak/>
        <w:t>được bao bọc với hiệu suất gần 100%, trong khi hiệu suất thu gom các hạt rắn có thể thấp tới 20% (Matthew B.M. và cộng sự, 2008) .2013;</w:t>
      </w:r>
    </w:p>
    <w:p w14:paraId="2F88965B" w14:textId="3113B539" w:rsidR="00713F12" w:rsidRPr="00207321" w:rsidRDefault="00831FAA" w:rsidP="00207321">
      <w:pPr>
        <w:spacing w:before="120"/>
        <w:ind w:left="-2" w:firstLine="711"/>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 xml:space="preserve">Để tăng năng lượng bám dính và giảm thiểu sự nảy của hạt rắn, tấm ép thường được phủ bằng mỡ chân không, dầu chân không hoặc dầu silicon (Turner JR và Hering SV, 1987), được bao phủ bởi một bộ lọc sợi thủy tinh (GFF) bão hòa trong nước (Dunbar C. et al., 2005), hoặc ngâm trong dầu chân không (Vanderpool RW et al., 2007). Sử dụng các tấm ép nhám (Marjamäki M. và Keskinen J., 2004), nền xốp (Huang CH và cộng sự, 2001; Huang CH và Tsai CJ, 2003; Huang CH và cộng sự, 2005), hoặc tấm ép được thiết kế đặc biệt (Kim YJ và Yook SJ, 2011; Kim WG và cộng sự, 2013) cũng có thể làm giảm độ nảy của hạt. Đối với lớp nền được phủ, loại và độ dày của vật liệu phủ cũng ảnh hưởng đến hạt nảy. Nếu các vật liệu phủ gây trở ngại cho việc phân tích hóa học (Wang L. và cộng sự, 2005; Fujitani Y. và cộng sự, 2006), thì bề mặt ép không phủ sẽ được ưu tiên hơn (Kang M. và cộng sự, 2015). Ngoài ra, độ ẩm tương đối của sol khí đi vào được điều chỉnh ở một giá trị cao hơn (&gt; 70%) có thể giảm thiểu sự nảy của hạt, do sự gia tăng năng lượng kết dính bởi lực mao dẫn giữa nước hấp phụ trên hạt và tấm ép (Chen SC và cộng sự ., 2011; Bateman AP và cộng sự, 2013). </w:t>
      </w:r>
    </w:p>
    <w:p w14:paraId="4F64E793" w14:textId="79346627" w:rsidR="00207321" w:rsidRDefault="00207321" w:rsidP="00207321">
      <w:pPr>
        <w:pStyle w:val="Caption"/>
        <w:keepNext/>
      </w:pPr>
      <w:r w:rsidRPr="00207321">
        <w:rPr>
          <w:rFonts w:ascii="Times New Roman" w:hAnsi="Times New Roman" w:cs="Times New Roman"/>
          <w:sz w:val="26"/>
          <w:szCs w:val="26"/>
        </w:rPr>
        <w:t xml:space="preserve">Bảng </w:t>
      </w:r>
      <w:r w:rsidRPr="00207321">
        <w:rPr>
          <w:rFonts w:ascii="Times New Roman" w:hAnsi="Times New Roman" w:cs="Times New Roman"/>
          <w:sz w:val="26"/>
          <w:szCs w:val="26"/>
        </w:rPr>
        <w:fldChar w:fldCharType="begin"/>
      </w:r>
      <w:r w:rsidRPr="00207321">
        <w:rPr>
          <w:rFonts w:ascii="Times New Roman" w:hAnsi="Times New Roman" w:cs="Times New Roman"/>
          <w:sz w:val="26"/>
          <w:szCs w:val="26"/>
        </w:rPr>
        <w:instrText xml:space="preserve"> SEQ Bảng \* ARABIC </w:instrText>
      </w:r>
      <w:r w:rsidRPr="00207321">
        <w:rPr>
          <w:rFonts w:ascii="Times New Roman" w:hAnsi="Times New Roman" w:cs="Times New Roman"/>
          <w:sz w:val="26"/>
          <w:szCs w:val="26"/>
        </w:rPr>
        <w:fldChar w:fldCharType="separate"/>
      </w:r>
      <w:r>
        <w:rPr>
          <w:rFonts w:ascii="Times New Roman" w:hAnsi="Times New Roman" w:cs="Times New Roman"/>
          <w:noProof/>
          <w:sz w:val="26"/>
          <w:szCs w:val="26"/>
        </w:rPr>
        <w:t>2</w:t>
      </w:r>
      <w:r w:rsidRPr="00207321">
        <w:rPr>
          <w:rFonts w:ascii="Times New Roman" w:hAnsi="Times New Roman" w:cs="Times New Roman"/>
          <w:sz w:val="26"/>
          <w:szCs w:val="26"/>
        </w:rPr>
        <w:fldChar w:fldCharType="end"/>
      </w:r>
      <w:r w:rsidRPr="00207321">
        <w:rPr>
          <w:rFonts w:ascii="Times New Roman" w:hAnsi="Times New Roman" w:cs="Times New Roman"/>
          <w:sz w:val="26"/>
          <w:szCs w:val="26"/>
        </w:rPr>
        <w:t xml:space="preserve"> </w:t>
      </w:r>
      <w:r w:rsidRPr="00207321">
        <w:rPr>
          <w:rFonts w:ascii="Times New Roman" w:hAnsi="Times New Roman" w:cs="Times New Roman"/>
          <w:color w:val="000000" w:themeColor="text1"/>
          <w:sz w:val="26"/>
          <w:szCs w:val="26"/>
        </w:rPr>
        <w:t>Xem</w:t>
      </w:r>
      <w:r w:rsidRPr="008E3713">
        <w:rPr>
          <w:rFonts w:ascii="Times New Roman" w:hAnsi="Times New Roman" w:cs="Times New Roman"/>
          <w:color w:val="000000" w:themeColor="text1"/>
          <w:sz w:val="26"/>
          <w:szCs w:val="26"/>
        </w:rPr>
        <w:t xml:space="preserve"> xét thiết kế của bộ tác động quán tính</w:t>
      </w:r>
    </w:p>
    <w:tbl>
      <w:tblPr>
        <w:tblStyle w:val="TableGrid"/>
        <w:tblW w:w="9060" w:type="dxa"/>
        <w:jc w:val="center"/>
        <w:tblLook w:val="04A0" w:firstRow="1" w:lastRow="0" w:firstColumn="1" w:lastColumn="0" w:noHBand="0" w:noVBand="1"/>
      </w:tblPr>
      <w:tblGrid>
        <w:gridCol w:w="2370"/>
        <w:gridCol w:w="2130"/>
        <w:gridCol w:w="2131"/>
        <w:gridCol w:w="2429"/>
      </w:tblGrid>
      <w:tr w:rsidR="00203DC6" w:rsidRPr="00203DC6" w14:paraId="48BC7CE0" w14:textId="77777777" w:rsidTr="0002773A">
        <w:trPr>
          <w:jc w:val="center"/>
        </w:trPr>
        <w:tc>
          <w:tcPr>
            <w:tcW w:w="2370" w:type="dxa"/>
            <w:tcBorders>
              <w:bottom w:val="single" w:sz="4" w:space="0" w:color="auto"/>
            </w:tcBorders>
            <w:vAlign w:val="center"/>
          </w:tcPr>
          <w:p w14:paraId="25FCEAF1" w14:textId="77777777" w:rsidR="00713F12" w:rsidRPr="00203DC6" w:rsidRDefault="00831FAA" w:rsidP="008E3713">
            <w:pPr>
              <w:jc w:val="center"/>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Yêu cầu</w:t>
            </w:r>
          </w:p>
        </w:tc>
        <w:tc>
          <w:tcPr>
            <w:tcW w:w="2130" w:type="dxa"/>
            <w:vAlign w:val="center"/>
          </w:tcPr>
          <w:p w14:paraId="72CDD6C5" w14:textId="77777777" w:rsidR="00713F12" w:rsidRPr="00203DC6" w:rsidRDefault="00831FAA" w:rsidP="008E3713">
            <w:pPr>
              <w:jc w:val="center"/>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Giải pháp</w:t>
            </w:r>
          </w:p>
        </w:tc>
        <w:tc>
          <w:tcPr>
            <w:tcW w:w="2131" w:type="dxa"/>
            <w:vAlign w:val="center"/>
          </w:tcPr>
          <w:p w14:paraId="5DB53EBF" w14:textId="77777777" w:rsidR="00713F12" w:rsidRPr="00203DC6" w:rsidRDefault="00831FAA" w:rsidP="008E3713">
            <w:pPr>
              <w:jc w:val="center"/>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Giới hạn</w:t>
            </w:r>
          </w:p>
        </w:tc>
        <w:tc>
          <w:tcPr>
            <w:tcW w:w="2429" w:type="dxa"/>
            <w:vAlign w:val="center"/>
          </w:tcPr>
          <w:p w14:paraId="0D3516E8" w14:textId="77777777" w:rsidR="00713F12" w:rsidRPr="00203DC6" w:rsidRDefault="00831FAA" w:rsidP="008E3713">
            <w:pPr>
              <w:jc w:val="center"/>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Tham khảo</w:t>
            </w:r>
          </w:p>
        </w:tc>
      </w:tr>
      <w:tr w:rsidR="00203DC6" w:rsidRPr="00203DC6" w14:paraId="4790BE04" w14:textId="77777777" w:rsidTr="0002773A">
        <w:trPr>
          <w:jc w:val="center"/>
        </w:trPr>
        <w:tc>
          <w:tcPr>
            <w:tcW w:w="2370" w:type="dxa"/>
            <w:tcBorders>
              <w:bottom w:val="nil"/>
            </w:tcBorders>
          </w:tcPr>
          <w:p w14:paraId="020F78DE"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Giảm kích thước cắt xuống </w:t>
            </w:r>
          </w:p>
        </w:tc>
        <w:tc>
          <w:tcPr>
            <w:tcW w:w="2130" w:type="dxa"/>
          </w:tcPr>
          <w:p w14:paraId="269C87CF"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Tăng tốc độ dòng </w:t>
            </w:r>
          </w:p>
        </w:tc>
        <w:tc>
          <w:tcPr>
            <w:tcW w:w="2131" w:type="dxa"/>
          </w:tcPr>
          <w:p w14:paraId="5E12DBA7"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Số Re phải nằm trong khoảng 500–3000 để đạt được đường cong hiệu quả thu gom sắc nét</w:t>
            </w:r>
          </w:p>
        </w:tc>
        <w:tc>
          <w:tcPr>
            <w:tcW w:w="2429" w:type="dxa"/>
          </w:tcPr>
          <w:p w14:paraId="14818324" w14:textId="77777777" w:rsidR="00713F12" w:rsidRPr="00203DC6" w:rsidRDefault="00831FAA" w:rsidP="008E3713">
            <w:pPr>
              <w:pStyle w:val="TableParagraph"/>
              <w:spacing w:before="0"/>
              <w:ind w:left="0" w:right="135"/>
              <w:rPr>
                <w:color w:val="000000" w:themeColor="text1"/>
                <w:sz w:val="26"/>
                <w:szCs w:val="26"/>
              </w:rPr>
            </w:pPr>
            <w:r w:rsidRPr="00203DC6">
              <w:rPr>
                <w:color w:val="000000" w:themeColor="text1"/>
                <w:sz w:val="26"/>
                <w:szCs w:val="26"/>
              </w:rPr>
              <w:t>Marple V.A. and Rubow K.L., 1986</w:t>
            </w:r>
          </w:p>
        </w:tc>
      </w:tr>
      <w:tr w:rsidR="00203DC6" w:rsidRPr="00203DC6" w14:paraId="54D73468" w14:textId="77777777" w:rsidTr="0002773A">
        <w:trPr>
          <w:jc w:val="center"/>
        </w:trPr>
        <w:tc>
          <w:tcPr>
            <w:tcW w:w="2370" w:type="dxa"/>
            <w:tcBorders>
              <w:top w:val="nil"/>
              <w:bottom w:val="nil"/>
            </w:tcBorders>
          </w:tcPr>
          <w:p w14:paraId="16D6734D"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3C120E44"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Tăng đường kính hoặc độ rộng của nozzle </w:t>
            </w:r>
          </w:p>
        </w:tc>
        <w:tc>
          <w:tcPr>
            <w:tcW w:w="2131" w:type="dxa"/>
          </w:tcPr>
          <w:p w14:paraId="1BBA1083" w14:textId="372598E8"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Nó có thể gây ra giảm áp suất tăng lên nếu S/W ≤ 1,0 đối với bộ tác động vòi tròn và ≤ 1,5 đối với bộ tác động vòi phun hình chữ nhật</w:t>
            </w:r>
          </w:p>
        </w:tc>
        <w:tc>
          <w:tcPr>
            <w:tcW w:w="2429" w:type="dxa"/>
          </w:tcPr>
          <w:p w14:paraId="4C1821D8" w14:textId="77777777" w:rsidR="00713F12" w:rsidRPr="00203DC6" w:rsidRDefault="00831FAA" w:rsidP="008E3713">
            <w:pPr>
              <w:pStyle w:val="TableParagraph"/>
              <w:spacing w:before="0"/>
              <w:ind w:left="0" w:right="170"/>
              <w:rPr>
                <w:color w:val="000000" w:themeColor="text1"/>
                <w:sz w:val="26"/>
                <w:szCs w:val="26"/>
              </w:rPr>
            </w:pPr>
            <w:r w:rsidRPr="00203DC6">
              <w:rPr>
                <w:color w:val="000000" w:themeColor="text1"/>
                <w:sz w:val="26"/>
                <w:szCs w:val="26"/>
              </w:rPr>
              <w:t>Berner A., 1972; Marple V.A. et al., 1991</w:t>
            </w:r>
          </w:p>
        </w:tc>
      </w:tr>
      <w:tr w:rsidR="00203DC6" w:rsidRPr="00203DC6" w14:paraId="59A53043" w14:textId="77777777" w:rsidTr="0002773A">
        <w:trPr>
          <w:jc w:val="center"/>
        </w:trPr>
        <w:tc>
          <w:tcPr>
            <w:tcW w:w="2370" w:type="dxa"/>
            <w:tcBorders>
              <w:top w:val="nil"/>
              <w:bottom w:val="nil"/>
            </w:tcBorders>
          </w:tcPr>
          <w:p w14:paraId="5F026AEC"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7ACCC436"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giảm khoảng cách từ khí nén đến tấm</w:t>
            </w:r>
          </w:p>
        </w:tc>
        <w:tc>
          <w:tcPr>
            <w:tcW w:w="2131" w:type="dxa"/>
          </w:tcPr>
          <w:p w14:paraId="1C903BB6" w14:textId="004F4ECE"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T/W ≥ 1,0</w:t>
            </w:r>
          </w:p>
        </w:tc>
        <w:tc>
          <w:tcPr>
            <w:tcW w:w="2429" w:type="dxa"/>
          </w:tcPr>
          <w:p w14:paraId="644F84C4" w14:textId="77777777" w:rsidR="00713F12" w:rsidRPr="00203DC6" w:rsidRDefault="00831FAA" w:rsidP="008E3713">
            <w:pPr>
              <w:pStyle w:val="TableParagraph"/>
              <w:spacing w:before="0"/>
              <w:ind w:left="0"/>
              <w:rPr>
                <w:color w:val="000000" w:themeColor="text1"/>
                <w:sz w:val="26"/>
                <w:szCs w:val="26"/>
              </w:rPr>
            </w:pPr>
            <w:r w:rsidRPr="00203DC6">
              <w:rPr>
                <w:color w:val="000000" w:themeColor="text1"/>
                <w:sz w:val="26"/>
                <w:szCs w:val="26"/>
              </w:rPr>
              <w:t>Chien C.L. et al., 2015</w:t>
            </w:r>
          </w:p>
        </w:tc>
      </w:tr>
      <w:tr w:rsidR="00203DC6" w:rsidRPr="00203DC6" w14:paraId="3A02102B" w14:textId="77777777" w:rsidTr="0002773A">
        <w:trPr>
          <w:jc w:val="center"/>
        </w:trPr>
        <w:tc>
          <w:tcPr>
            <w:tcW w:w="2370" w:type="dxa"/>
            <w:tcBorders>
              <w:top w:val="nil"/>
              <w:bottom w:val="nil"/>
            </w:tcBorders>
          </w:tcPr>
          <w:p w14:paraId="31396B1C"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02CED2D0"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tăng chiều dài họng vòi</w:t>
            </w:r>
          </w:p>
        </w:tc>
        <w:tc>
          <w:tcPr>
            <w:tcW w:w="2131" w:type="dxa"/>
          </w:tcPr>
          <w:p w14:paraId="537A2D88"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Nó được áp dụng như Re &lt;1500</w:t>
            </w:r>
          </w:p>
        </w:tc>
        <w:tc>
          <w:tcPr>
            <w:tcW w:w="2429" w:type="dxa"/>
          </w:tcPr>
          <w:p w14:paraId="1131AE8D" w14:textId="77777777" w:rsidR="00713F12" w:rsidRPr="00203DC6" w:rsidRDefault="00831FAA" w:rsidP="008E3713">
            <w:pPr>
              <w:pStyle w:val="TableParagraph"/>
              <w:spacing w:before="0"/>
              <w:ind w:left="0" w:right="135"/>
              <w:rPr>
                <w:color w:val="000000" w:themeColor="text1"/>
                <w:sz w:val="26"/>
                <w:szCs w:val="26"/>
              </w:rPr>
            </w:pPr>
            <w:r w:rsidRPr="00203DC6">
              <w:rPr>
                <w:color w:val="000000" w:themeColor="text1"/>
                <w:sz w:val="26"/>
                <w:szCs w:val="26"/>
              </w:rPr>
              <w:t>Marple V.A. and Liu B.Y., 1974</w:t>
            </w:r>
          </w:p>
        </w:tc>
      </w:tr>
      <w:tr w:rsidR="00203DC6" w:rsidRPr="00203DC6" w14:paraId="4B7B38AC" w14:textId="77777777" w:rsidTr="0002773A">
        <w:trPr>
          <w:jc w:val="center"/>
        </w:trPr>
        <w:tc>
          <w:tcPr>
            <w:tcW w:w="2370" w:type="dxa"/>
            <w:tcBorders>
              <w:top w:val="nil"/>
              <w:bottom w:val="nil"/>
            </w:tcBorders>
          </w:tcPr>
          <w:p w14:paraId="7C331D41"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4FF64C6F"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tăng đường kính tấm ép</w:t>
            </w:r>
          </w:p>
        </w:tc>
        <w:tc>
          <w:tcPr>
            <w:tcW w:w="2131" w:type="dxa"/>
          </w:tcPr>
          <w:p w14:paraId="36DF280D"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Nó được áp dụng cho bộ tác động vòi tròn</w:t>
            </w:r>
          </w:p>
        </w:tc>
        <w:tc>
          <w:tcPr>
            <w:tcW w:w="2429" w:type="dxa"/>
          </w:tcPr>
          <w:p w14:paraId="2A103984" w14:textId="77777777" w:rsidR="00713F12" w:rsidRPr="00203DC6" w:rsidRDefault="00831FAA" w:rsidP="008E3713">
            <w:pPr>
              <w:pStyle w:val="TableParagraph"/>
              <w:spacing w:before="0"/>
              <w:ind w:left="0" w:right="445"/>
              <w:rPr>
                <w:color w:val="000000" w:themeColor="text1"/>
                <w:sz w:val="26"/>
                <w:szCs w:val="26"/>
              </w:rPr>
            </w:pPr>
            <w:r w:rsidRPr="00203DC6">
              <w:rPr>
                <w:color w:val="000000" w:themeColor="text1"/>
                <w:sz w:val="26"/>
                <w:szCs w:val="26"/>
              </w:rPr>
              <w:t>Huang C.H. and Tsai C.J., 2002a</w:t>
            </w:r>
          </w:p>
        </w:tc>
      </w:tr>
      <w:tr w:rsidR="00203DC6" w:rsidRPr="00203DC6" w14:paraId="2AAD528D" w14:textId="77777777" w:rsidTr="0002773A">
        <w:trPr>
          <w:jc w:val="center"/>
        </w:trPr>
        <w:tc>
          <w:tcPr>
            <w:tcW w:w="2370" w:type="dxa"/>
            <w:tcBorders>
              <w:top w:val="nil"/>
              <w:bottom w:val="nil"/>
            </w:tcBorders>
          </w:tcPr>
          <w:p w14:paraId="5139EF68"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36A24937"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sử dụng tấm ép lõm hình elip</w:t>
            </w:r>
          </w:p>
        </w:tc>
        <w:tc>
          <w:tcPr>
            <w:tcW w:w="2131" w:type="dxa"/>
          </w:tcPr>
          <w:p w14:paraId="0ADF940E"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Nó được áp dụng như Re &lt;1500</w:t>
            </w:r>
          </w:p>
        </w:tc>
        <w:tc>
          <w:tcPr>
            <w:tcW w:w="2429" w:type="dxa"/>
          </w:tcPr>
          <w:p w14:paraId="3E3FA518" w14:textId="77777777" w:rsidR="00713F12" w:rsidRPr="00203DC6" w:rsidRDefault="00831FAA" w:rsidP="008E3713">
            <w:pPr>
              <w:pStyle w:val="TableParagraph"/>
              <w:spacing w:before="0"/>
              <w:ind w:left="0"/>
              <w:rPr>
                <w:color w:val="000000" w:themeColor="text1"/>
                <w:sz w:val="26"/>
                <w:szCs w:val="26"/>
              </w:rPr>
            </w:pPr>
            <w:r w:rsidRPr="00203DC6">
              <w:rPr>
                <w:color w:val="000000" w:themeColor="text1"/>
                <w:sz w:val="26"/>
                <w:szCs w:val="26"/>
              </w:rPr>
              <w:t>Kim Y.J. and Yook S.J., 2011</w:t>
            </w:r>
          </w:p>
        </w:tc>
      </w:tr>
      <w:tr w:rsidR="00203DC6" w:rsidRPr="00203DC6" w14:paraId="7C82D0A0" w14:textId="77777777" w:rsidTr="0002773A">
        <w:trPr>
          <w:jc w:val="center"/>
        </w:trPr>
        <w:tc>
          <w:tcPr>
            <w:tcW w:w="2370" w:type="dxa"/>
            <w:tcBorders>
              <w:top w:val="nil"/>
              <w:bottom w:val="nil"/>
            </w:tcBorders>
          </w:tcPr>
          <w:p w14:paraId="5644B3FA"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24B965F9"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lực hấp dẫn hỗ trợ</w:t>
            </w:r>
          </w:p>
        </w:tc>
        <w:tc>
          <w:tcPr>
            <w:tcW w:w="2131" w:type="dxa"/>
          </w:tcPr>
          <w:p w14:paraId="7789C75D"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Bốc hơi các hợp chất bán bay hơi</w:t>
            </w:r>
          </w:p>
        </w:tc>
        <w:tc>
          <w:tcPr>
            <w:tcW w:w="2429" w:type="dxa"/>
          </w:tcPr>
          <w:p w14:paraId="7BB226AE" w14:textId="77777777" w:rsidR="00713F12" w:rsidRPr="00203DC6" w:rsidRDefault="00831FAA" w:rsidP="008E3713">
            <w:pPr>
              <w:pStyle w:val="TableParagraph"/>
              <w:spacing w:before="0"/>
              <w:ind w:left="0" w:right="445"/>
              <w:rPr>
                <w:color w:val="000000" w:themeColor="text1"/>
                <w:sz w:val="26"/>
                <w:szCs w:val="26"/>
              </w:rPr>
            </w:pPr>
            <w:r w:rsidRPr="00203DC6">
              <w:rPr>
                <w:color w:val="000000" w:themeColor="text1"/>
                <w:sz w:val="26"/>
                <w:szCs w:val="26"/>
              </w:rPr>
              <w:t>Huang C.H. and Tsai C.J., 2001</w:t>
            </w:r>
          </w:p>
        </w:tc>
      </w:tr>
      <w:tr w:rsidR="00203DC6" w:rsidRPr="00203DC6" w14:paraId="1094D869" w14:textId="77777777" w:rsidTr="0002773A">
        <w:trPr>
          <w:jc w:val="center"/>
        </w:trPr>
        <w:tc>
          <w:tcPr>
            <w:tcW w:w="2370" w:type="dxa"/>
            <w:tcBorders>
              <w:top w:val="nil"/>
              <w:bottom w:val="single" w:sz="4" w:space="0" w:color="auto"/>
            </w:tcBorders>
          </w:tcPr>
          <w:p w14:paraId="418A8E39"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7B7F0389"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giảm áp suất bằng cách sử dụng vận </w:t>
            </w:r>
            <w:r w:rsidRPr="00203DC6">
              <w:rPr>
                <w:rFonts w:ascii="Times New Roman" w:hAnsi="Times New Roman" w:cs="Times New Roman"/>
                <w:color w:val="000000" w:themeColor="text1"/>
                <w:sz w:val="26"/>
                <w:szCs w:val="26"/>
              </w:rPr>
              <w:lastRenderedPageBreak/>
              <w:t>tốc phản lực cao</w:t>
            </w:r>
          </w:p>
        </w:tc>
        <w:tc>
          <w:tcPr>
            <w:tcW w:w="2131" w:type="dxa"/>
          </w:tcPr>
          <w:p w14:paraId="52B78F03"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lastRenderedPageBreak/>
              <w:t>Bốc hơi các hợp chất bán bay hơi</w:t>
            </w:r>
          </w:p>
        </w:tc>
        <w:tc>
          <w:tcPr>
            <w:tcW w:w="2429" w:type="dxa"/>
          </w:tcPr>
          <w:p w14:paraId="66F643D3" w14:textId="77777777" w:rsidR="00713F12" w:rsidRPr="00203DC6" w:rsidRDefault="00831FAA" w:rsidP="008E3713">
            <w:pPr>
              <w:pStyle w:val="TableParagraph"/>
              <w:spacing w:before="0"/>
              <w:ind w:left="0" w:right="135"/>
              <w:rPr>
                <w:color w:val="000000" w:themeColor="text1"/>
                <w:sz w:val="26"/>
                <w:szCs w:val="26"/>
              </w:rPr>
            </w:pPr>
            <w:r w:rsidRPr="00203DC6">
              <w:rPr>
                <w:color w:val="000000" w:themeColor="text1"/>
                <w:sz w:val="26"/>
                <w:szCs w:val="26"/>
              </w:rPr>
              <w:t xml:space="preserve">Chen S.C. et al., 2007; Arffman A. </w:t>
            </w:r>
            <w:r w:rsidRPr="00203DC6">
              <w:rPr>
                <w:color w:val="000000" w:themeColor="text1"/>
                <w:sz w:val="26"/>
                <w:szCs w:val="26"/>
              </w:rPr>
              <w:lastRenderedPageBreak/>
              <w:t>et al., 2011</w:t>
            </w:r>
          </w:p>
        </w:tc>
      </w:tr>
      <w:tr w:rsidR="00203DC6" w:rsidRPr="00203DC6" w14:paraId="1E0CFDEF" w14:textId="77777777" w:rsidTr="0002773A">
        <w:trPr>
          <w:jc w:val="center"/>
        </w:trPr>
        <w:tc>
          <w:tcPr>
            <w:tcW w:w="2370" w:type="dxa"/>
            <w:tcBorders>
              <w:bottom w:val="nil"/>
            </w:tcBorders>
          </w:tcPr>
          <w:p w14:paraId="393EF70E"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lastRenderedPageBreak/>
              <w:t>Để tăng độ sắc nét của đường cong hiệu quả thu thập bằng cách</w:t>
            </w:r>
          </w:p>
        </w:tc>
        <w:tc>
          <w:tcPr>
            <w:tcW w:w="2130" w:type="dxa"/>
          </w:tcPr>
          <w:p w14:paraId="3F98B5CB"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giảm chiều dài họng vòi</w:t>
            </w:r>
          </w:p>
        </w:tc>
        <w:tc>
          <w:tcPr>
            <w:tcW w:w="2131" w:type="dxa"/>
          </w:tcPr>
          <w:p w14:paraId="60830130"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T / W ≤ 1,0. Nó chỉ áp dụng cho mức thấp</w:t>
            </w:r>
          </w:p>
          <w:p w14:paraId="1CD1837A"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tác động áp lực</w:t>
            </w:r>
          </w:p>
        </w:tc>
        <w:tc>
          <w:tcPr>
            <w:tcW w:w="2429" w:type="dxa"/>
          </w:tcPr>
          <w:p w14:paraId="2CADAE85" w14:textId="77777777" w:rsidR="00713F12" w:rsidRPr="00203DC6" w:rsidRDefault="00831FAA" w:rsidP="008E3713">
            <w:pPr>
              <w:pStyle w:val="TableParagraph"/>
              <w:spacing w:before="0"/>
              <w:ind w:left="0"/>
              <w:rPr>
                <w:color w:val="000000" w:themeColor="text1"/>
                <w:sz w:val="26"/>
                <w:szCs w:val="26"/>
              </w:rPr>
            </w:pPr>
            <w:r w:rsidRPr="00203DC6">
              <w:rPr>
                <w:color w:val="000000" w:themeColor="text1"/>
                <w:sz w:val="26"/>
                <w:szCs w:val="26"/>
              </w:rPr>
              <w:t>Arffman A. et al., 2011</w:t>
            </w:r>
          </w:p>
        </w:tc>
      </w:tr>
      <w:tr w:rsidR="00203DC6" w:rsidRPr="00203DC6" w14:paraId="2492AB1A" w14:textId="77777777" w:rsidTr="0002773A">
        <w:trPr>
          <w:jc w:val="center"/>
        </w:trPr>
        <w:tc>
          <w:tcPr>
            <w:tcW w:w="2370" w:type="dxa"/>
            <w:tcBorders>
              <w:top w:val="nil"/>
              <w:bottom w:val="nil"/>
            </w:tcBorders>
          </w:tcPr>
          <w:p w14:paraId="73767697"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22B0649C"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sử dụng một tấm ép lỗ bổ sung</w:t>
            </w:r>
          </w:p>
        </w:tc>
        <w:tc>
          <w:tcPr>
            <w:tcW w:w="2131" w:type="dxa"/>
          </w:tcPr>
          <w:p w14:paraId="641081EC"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Nó là một cấu hình phức tạp</w:t>
            </w:r>
          </w:p>
        </w:tc>
        <w:tc>
          <w:tcPr>
            <w:tcW w:w="2429" w:type="dxa"/>
          </w:tcPr>
          <w:p w14:paraId="68551EFC" w14:textId="77777777" w:rsidR="00713F12" w:rsidRPr="00203DC6" w:rsidRDefault="00831FAA" w:rsidP="008E3713">
            <w:pPr>
              <w:pStyle w:val="TableParagraph"/>
              <w:spacing w:before="0"/>
              <w:ind w:left="0"/>
              <w:rPr>
                <w:color w:val="000000" w:themeColor="text1"/>
                <w:sz w:val="26"/>
                <w:szCs w:val="26"/>
              </w:rPr>
            </w:pPr>
            <w:r w:rsidRPr="00203DC6">
              <w:rPr>
                <w:color w:val="000000" w:themeColor="text1"/>
                <w:sz w:val="26"/>
                <w:szCs w:val="26"/>
              </w:rPr>
              <w:t>Cheon T.W. et al., 2017</w:t>
            </w:r>
          </w:p>
        </w:tc>
      </w:tr>
      <w:tr w:rsidR="00203DC6" w:rsidRPr="00203DC6" w14:paraId="25828FD0" w14:textId="77777777" w:rsidTr="0002773A">
        <w:trPr>
          <w:jc w:val="center"/>
        </w:trPr>
        <w:tc>
          <w:tcPr>
            <w:tcW w:w="2370" w:type="dxa"/>
            <w:tcBorders>
              <w:top w:val="nil"/>
            </w:tcBorders>
          </w:tcPr>
          <w:p w14:paraId="29BABA18"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7B8206A7"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sử dụng đầu vào ngang với đầu phun hình chữ nhật có khe</w:t>
            </w:r>
          </w:p>
        </w:tc>
        <w:tc>
          <w:tcPr>
            <w:tcW w:w="2131" w:type="dxa"/>
          </w:tcPr>
          <w:p w14:paraId="46463000"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Nó là một cấu hình phức tạp</w:t>
            </w:r>
          </w:p>
        </w:tc>
        <w:tc>
          <w:tcPr>
            <w:tcW w:w="2429" w:type="dxa"/>
          </w:tcPr>
          <w:p w14:paraId="0DAC493E" w14:textId="77777777" w:rsidR="00713F12" w:rsidRPr="00203DC6" w:rsidRDefault="00831FAA" w:rsidP="008E3713">
            <w:pPr>
              <w:pStyle w:val="TableParagraph"/>
              <w:spacing w:before="0"/>
              <w:ind w:left="0"/>
              <w:rPr>
                <w:color w:val="000000" w:themeColor="text1"/>
                <w:sz w:val="26"/>
                <w:szCs w:val="26"/>
              </w:rPr>
            </w:pPr>
            <w:r w:rsidRPr="00203DC6">
              <w:rPr>
                <w:color w:val="000000" w:themeColor="text1"/>
                <w:sz w:val="26"/>
                <w:szCs w:val="26"/>
              </w:rPr>
              <w:t>Kim M.K. et al., 2014</w:t>
            </w:r>
          </w:p>
        </w:tc>
      </w:tr>
      <w:tr w:rsidR="00203DC6" w:rsidRPr="00203DC6" w14:paraId="55B1ED01" w14:textId="77777777" w:rsidTr="0002773A">
        <w:trPr>
          <w:jc w:val="center"/>
        </w:trPr>
        <w:tc>
          <w:tcPr>
            <w:tcW w:w="2370" w:type="dxa"/>
          </w:tcPr>
          <w:p w14:paraId="1CD3F28F"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Để tăng tốc độ dòng chảy bằng</w:t>
            </w:r>
          </w:p>
        </w:tc>
        <w:tc>
          <w:tcPr>
            <w:tcW w:w="2130" w:type="dxa"/>
          </w:tcPr>
          <w:p w14:paraId="0A0D232E"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tăng số lượng vòi phun</w:t>
            </w:r>
          </w:p>
        </w:tc>
        <w:tc>
          <w:tcPr>
            <w:tcW w:w="2131" w:type="dxa"/>
          </w:tcPr>
          <w:p w14:paraId="350B5D46"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W phải ≥ 0,04 cm để giảm chi phí chế tạo</w:t>
            </w:r>
          </w:p>
        </w:tc>
        <w:tc>
          <w:tcPr>
            <w:tcW w:w="2429" w:type="dxa"/>
          </w:tcPr>
          <w:p w14:paraId="10061DCD" w14:textId="77777777" w:rsidR="00713F12" w:rsidRPr="00203DC6" w:rsidRDefault="00831FAA" w:rsidP="008E3713">
            <w:pPr>
              <w:pStyle w:val="TableParagraph"/>
              <w:spacing w:before="0"/>
              <w:ind w:left="0"/>
              <w:rPr>
                <w:color w:val="000000" w:themeColor="text1"/>
                <w:sz w:val="26"/>
                <w:szCs w:val="26"/>
              </w:rPr>
            </w:pPr>
            <w:r w:rsidRPr="00203DC6">
              <w:rPr>
                <w:color w:val="000000" w:themeColor="text1"/>
                <w:sz w:val="26"/>
                <w:szCs w:val="26"/>
              </w:rPr>
              <w:t>Chien C.L. et al., 2015</w:t>
            </w:r>
          </w:p>
        </w:tc>
      </w:tr>
      <w:tr w:rsidR="008E3713" w:rsidRPr="00203DC6" w14:paraId="18D079F7" w14:textId="77777777" w:rsidTr="0002773A">
        <w:trPr>
          <w:jc w:val="center"/>
        </w:trPr>
        <w:tc>
          <w:tcPr>
            <w:tcW w:w="2370" w:type="dxa"/>
          </w:tcPr>
          <w:p w14:paraId="25DE2DA9" w14:textId="77777777" w:rsidR="00713F12" w:rsidRPr="00203DC6" w:rsidRDefault="00713F12" w:rsidP="008E3713">
            <w:pPr>
              <w:rPr>
                <w:rFonts w:ascii="Times New Roman" w:hAnsi="Times New Roman" w:cs="Times New Roman"/>
                <w:color w:val="000000" w:themeColor="text1"/>
                <w:sz w:val="26"/>
                <w:szCs w:val="26"/>
              </w:rPr>
            </w:pPr>
          </w:p>
        </w:tc>
        <w:tc>
          <w:tcPr>
            <w:tcW w:w="2130" w:type="dxa"/>
          </w:tcPr>
          <w:p w14:paraId="578A6E41"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sử dụng vòi phun hình chữ nhật</w:t>
            </w:r>
          </w:p>
        </w:tc>
        <w:tc>
          <w:tcPr>
            <w:tcW w:w="2131" w:type="dxa"/>
          </w:tcPr>
          <w:p w14:paraId="74B4A6DA" w14:textId="77777777" w:rsidR="00713F12" w:rsidRPr="00203DC6" w:rsidRDefault="00831FAA" w:rsidP="008E3713">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Đường cong hiệu quả thu gom kém sắc nét hơn đã được tìm thấy</w:t>
            </w:r>
          </w:p>
        </w:tc>
        <w:tc>
          <w:tcPr>
            <w:tcW w:w="2429" w:type="dxa"/>
          </w:tcPr>
          <w:p w14:paraId="5171E0F8" w14:textId="77777777" w:rsidR="00713F12" w:rsidRPr="00203DC6" w:rsidRDefault="00831FAA" w:rsidP="008E3713">
            <w:pPr>
              <w:pStyle w:val="TableParagraph"/>
              <w:spacing w:before="0"/>
              <w:ind w:left="0"/>
              <w:rPr>
                <w:color w:val="000000" w:themeColor="text1"/>
                <w:sz w:val="26"/>
                <w:szCs w:val="26"/>
              </w:rPr>
            </w:pPr>
            <w:r w:rsidRPr="00203DC6">
              <w:rPr>
                <w:color w:val="000000" w:themeColor="text1"/>
                <w:sz w:val="26"/>
                <w:szCs w:val="26"/>
              </w:rPr>
              <w:t>Kim M.K. et al., 2014</w:t>
            </w:r>
          </w:p>
        </w:tc>
      </w:tr>
    </w:tbl>
    <w:p w14:paraId="0A691262" w14:textId="6D8270D5" w:rsidR="00713F12" w:rsidRPr="00D52E2B" w:rsidRDefault="00831FAA" w:rsidP="00D52E2B">
      <w:pPr>
        <w:pStyle w:val="ListParagraph"/>
        <w:numPr>
          <w:ilvl w:val="1"/>
          <w:numId w:val="3"/>
        </w:numPr>
        <w:spacing w:before="120"/>
        <w:jc w:val="both"/>
        <w:rPr>
          <w:rFonts w:ascii="Times New Roman" w:hAnsi="Times New Roman" w:cs="Times New Roman"/>
          <w:b/>
          <w:bCs/>
          <w:i/>
          <w:iCs/>
          <w:color w:val="000000" w:themeColor="text1"/>
          <w:sz w:val="26"/>
          <w:szCs w:val="26"/>
        </w:rPr>
      </w:pPr>
      <w:r w:rsidRPr="00D52E2B">
        <w:rPr>
          <w:rFonts w:ascii="Times New Roman" w:hAnsi="Times New Roman" w:cs="Times New Roman"/>
          <w:b/>
          <w:bCs/>
          <w:i/>
          <w:iCs/>
          <w:color w:val="000000" w:themeColor="text1"/>
          <w:sz w:val="26"/>
          <w:szCs w:val="26"/>
        </w:rPr>
        <w:t>Hiệu ứng tải hạt</w:t>
      </w:r>
    </w:p>
    <w:p w14:paraId="7BF302E1" w14:textId="77777777" w:rsidR="00713F12" w:rsidRPr="008E3713" w:rsidRDefault="00831FAA" w:rsidP="008E3713">
      <w:pPr>
        <w:spacing w:before="120"/>
        <w:ind w:left="-2" w:firstLine="711"/>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Mặc dù vật liệu phủ giúp giảm độ nảy của hạt một cách hiệu quả, hiệu ứng tải hạt xảy ra khi quá nhiều hạt được thu thập trên bề mặt tác động sau một thời gian lấy mẫu dài (Hình 1c). Khi tấm ép phủ dầu mỡ được tải nhiều hạt, các hạt tới sẽ tấn công các hạt rắn lắng đọng trước đó chứ không phải tấm tráng, dẫn đến khả năng tung</w:t>
      </w:r>
      <w:r w:rsidRPr="008E3713">
        <w:rPr>
          <w:rFonts w:ascii="Times New Roman" w:hAnsi="Times New Roman" w:cs="Times New Roman"/>
          <w:color w:val="000000" w:themeColor="text1"/>
          <w:sz w:val="26"/>
          <w:szCs w:val="26"/>
          <w:lang w:val="vi-VN"/>
        </w:rPr>
        <w:t xml:space="preserve"> hạt lên</w:t>
      </w:r>
      <w:r w:rsidRPr="008E3713">
        <w:rPr>
          <w:rFonts w:ascii="Times New Roman" w:hAnsi="Times New Roman" w:cs="Times New Roman"/>
          <w:color w:val="000000" w:themeColor="text1"/>
          <w:sz w:val="26"/>
          <w:szCs w:val="26"/>
        </w:rPr>
        <w:t xml:space="preserve"> (Tsai C.J. và Cheng Y.H., 1995). Hơn nữa, vấn đề thổi bay hạt có thể xảy ra khi các hạt tải nặng bị dòng phản lực tốc độ cao cuốn ra khỏi chất nền.</w:t>
      </w:r>
    </w:p>
    <w:p w14:paraId="34C2644E" w14:textId="77777777" w:rsidR="00713F12" w:rsidRPr="008E3713" w:rsidRDefault="00831FAA" w:rsidP="008E3713">
      <w:pPr>
        <w:spacing w:before="120"/>
        <w:ind w:left="-2" w:firstLine="711"/>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Do đó, ảnh hưởng thực của quá tải chất nền tương tự như sự tung</w:t>
      </w:r>
      <w:r w:rsidRPr="008E3713">
        <w:rPr>
          <w:rFonts w:ascii="Times New Roman" w:hAnsi="Times New Roman" w:cs="Times New Roman"/>
          <w:color w:val="000000" w:themeColor="text1"/>
          <w:sz w:val="26"/>
          <w:szCs w:val="26"/>
          <w:lang w:val="vi-VN"/>
        </w:rPr>
        <w:t xml:space="preserve"> hạt lên</w:t>
      </w:r>
      <w:r w:rsidRPr="008E3713">
        <w:rPr>
          <w:rFonts w:ascii="Times New Roman" w:hAnsi="Times New Roman" w:cs="Times New Roman"/>
          <w:color w:val="000000" w:themeColor="text1"/>
          <w:sz w:val="26"/>
          <w:szCs w:val="26"/>
        </w:rPr>
        <w:t xml:space="preserve"> hạt: hiệu suất thu gom thấp hơn đối với các hạt lớn hơn kích thước cắt và sự dịch chuyển của phân bố kích thước đo được sang các kích thước hạt nhỏ hơn (Tsai C.J. et al., 2012b). Vấn đề quá tải hạt có thể được khắc phục bằng cách giảm thời gian lấy mẫu vì nó ảnh hưởng đến số lượng hạt được thu thập. Nhiều phương pháp đã được đề xuất để tăng khả năng tải hạt trên bề mặt đầm nén để kéo dài thời gian lấy mẫu, bao gồm các thiết kế đặc biệt của đĩa ép (Tsai CJ và Cheng YH, 1995), bộ lọc ngâm dầu (Peters TM và cộng sự, 2001 ), chất nền ép phủ dầu (Tsai CJ và cộng sự, 2012b), bộ tác động nhiều lỗ với chất nền Trypticase Soy Agar (TSA) (Lai CY và cộng sự, 2010) hoặc chất nền quay (Marple VA và cộng sự, 1991; Tsai CJ và cộng sự, 2012b).</w:t>
      </w:r>
    </w:p>
    <w:p w14:paraId="226187DE" w14:textId="37890B9A" w:rsidR="00713F12" w:rsidRPr="008E3713" w:rsidRDefault="00831FAA" w:rsidP="008E3713">
      <w:pPr>
        <w:spacing w:before="120"/>
        <w:ind w:left="-2" w:firstLine="711"/>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Tuy nhiên, khi lớp nền lọc phủ dầu được sử dụng để loại bỏ sự nảy của hạt, hiệu ứng tải hạt vẫn có thể xảy ra vì dầu có độ nhớt thấp hơn dầu mỡ, xuyên qua lớp hạt đã lắng trước đó bằng hoạt động của mao quản, và cuối cùng dẫn đến sự tích tụ của các hạt lắng đọng trên bề mặt. Điều này gây ra sự thay đổi của đường kính ngưỡng và đường cong hiệu quả thu gom sang các kích thước nhỏ hơn dẫn đến các phép đo PM không chính xác (Kenny L.C. và cộng sự, 2000; Vanderpool R.W. và cộng sự, 2001). Ngay cả với thiết kế giai đoạn quay trong MOUDI (Marple VA và cộng sự 1991), dự kiến rằng vài chục lớp hạt lắng đọng sẽ xuất hiện trên giai đoạn phủ mỡ để hạt nảy và hiệu ứng tải xảy ra khi giai đoạn điển hình Nồng độ khối lượng sol khí đầu vào là 10–20 μg</w:t>
      </w:r>
      <w:r w:rsidR="001F189F">
        <w:rPr>
          <w:rFonts w:ascii="Times New Roman" w:hAnsi="Times New Roman" w:cs="Times New Roman"/>
          <w:color w:val="000000" w:themeColor="text1"/>
          <w:sz w:val="26"/>
          <w:szCs w:val="26"/>
        </w:rPr>
        <w:t>/</w:t>
      </w:r>
      <w:r w:rsidRPr="008E3713">
        <w:rPr>
          <w:rFonts w:ascii="Times New Roman" w:hAnsi="Times New Roman" w:cs="Times New Roman"/>
          <w:color w:val="000000" w:themeColor="text1"/>
          <w:sz w:val="26"/>
          <w:szCs w:val="26"/>
        </w:rPr>
        <w:t>m</w:t>
      </w:r>
      <w:r w:rsidRPr="001F189F">
        <w:rPr>
          <w:rFonts w:ascii="Times New Roman" w:hAnsi="Times New Roman" w:cs="Times New Roman"/>
          <w:color w:val="000000" w:themeColor="text1"/>
          <w:sz w:val="26"/>
          <w:szCs w:val="26"/>
          <w:vertAlign w:val="superscript"/>
        </w:rPr>
        <w:t>3</w:t>
      </w:r>
      <w:r w:rsidRPr="008E3713">
        <w:rPr>
          <w:rFonts w:ascii="Times New Roman" w:hAnsi="Times New Roman" w:cs="Times New Roman"/>
          <w:color w:val="000000" w:themeColor="text1"/>
          <w:sz w:val="26"/>
          <w:szCs w:val="26"/>
        </w:rPr>
        <w:t xml:space="preserve"> trong quá trình lấy mẫu 24 giờ (Tsai CJ và </w:t>
      </w:r>
      <w:r w:rsidRPr="008E3713">
        <w:rPr>
          <w:rFonts w:ascii="Times New Roman" w:hAnsi="Times New Roman" w:cs="Times New Roman"/>
          <w:color w:val="000000" w:themeColor="text1"/>
          <w:sz w:val="26"/>
          <w:szCs w:val="26"/>
        </w:rPr>
        <w:lastRenderedPageBreak/>
        <w:t>Cheng YH, 1995). Các thiết kế đặc biệt của các hốc và giếng tác động lực có hiệu suất tốt hơn so với thiết kế của các bề mặt tác động phẳng vì các hạt dội lại có thể được giữ lại (Tsai C.J. và Cheng Y.H., 1995; Peters T.M. và cộng sự, 2001).</w:t>
      </w:r>
    </w:p>
    <w:p w14:paraId="0A7E7E80" w14:textId="17E7EBEC" w:rsidR="00713F12" w:rsidRDefault="00831FAA" w:rsidP="00531029">
      <w:pPr>
        <w:spacing w:before="120"/>
        <w:ind w:left="-2" w:firstLine="711"/>
        <w:jc w:val="both"/>
        <w:rPr>
          <w:rFonts w:ascii="Times New Roman" w:hAnsi="Times New Roman" w:cs="Times New Roman"/>
          <w:color w:val="000000" w:themeColor="text1"/>
          <w:sz w:val="26"/>
          <w:szCs w:val="26"/>
        </w:rPr>
      </w:pPr>
      <w:r w:rsidRPr="008E3713">
        <w:rPr>
          <w:rFonts w:ascii="Times New Roman" w:hAnsi="Times New Roman" w:cs="Times New Roman"/>
          <w:color w:val="000000" w:themeColor="text1"/>
          <w:sz w:val="26"/>
          <w:szCs w:val="26"/>
        </w:rPr>
        <w:t xml:space="preserve">Một bộ tác động M-PM10 với đế GFF ngâm dầu được hỗ trợ bởi một đĩa kim loại xốp như trong Hình 2 được thiết kế để tránh phản ứng nảy và quá tải của hạt (Le T.C. và cộng sự, 2019). Trong bộ tác động M-PM10, có một lớp dầu 1 mm còn lại trên đầu của chiến lược phụ và các lỗ của đĩa kim loại xốp được đổ đầy dầu chân không để tăng cường khả năng chịu tải. Với những cải tiến này, bộ tác động PM10 được sửa đổi đã cho thấy hiệu suất lấy mẫu tốt với độ chệch nhỏ hơn ± 10% trong 30 ngày lấy mẫu. Dựa trên khái niệm về chất nền GFF bão hòa nước của Dunbar C. et al. (2005) và giếng ép (Peters T.M. và cộng sự, 2001), một thiết bị phản ứng PM2.5 với chất nền GFF được làm ướt bằng nước được sửa đổi từ WINS được nhóm chúng tôi phát triển như thể hiện trong Hình 3. Thiết kế bộ tác động này không chỉ có thể loại bỏ sự nảy của hạt bằng cách sử dụng chất nền ép GFF được làm ướt bằng nước mà còn tránh hiệu ứng quá tải hạt bằng cách bơm một lượng nhỏ nước lên trên để rửa các hạt lắng đọng ra khỏi bề mặt tác động liên tục (Le TC và Tsai CJ, 2017). Thay vì sử dụng nước, M-WINS có thể bơm dầu chân không định kỳ để rửa sạch các hạt nhằm tiết kiệm lượng dầu tiêu thụ. Rửa bề mặt tác động để loại bỏ sự nảy của hạt và các hiệu ứng quá tải của hạt cũng có thể được áp dụng cho các loại bộ tác động khác nhau. </w:t>
      </w:r>
    </w:p>
    <w:tbl>
      <w:tblPr>
        <w:tblStyle w:val="TableGrid"/>
        <w:tblW w:w="0" w:type="auto"/>
        <w:tblInd w:w="-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566"/>
      </w:tblGrid>
      <w:tr w:rsidR="002E0D26" w14:paraId="3039FB11" w14:textId="77777777" w:rsidTr="002E0D26">
        <w:tc>
          <w:tcPr>
            <w:tcW w:w="4501" w:type="dxa"/>
          </w:tcPr>
          <w:p w14:paraId="673A68C2" w14:textId="77777777" w:rsidR="002E0D26" w:rsidRDefault="002E0D26" w:rsidP="002E0D26">
            <w:pPr>
              <w:spacing w:before="120"/>
              <w:jc w:val="center"/>
              <w:rPr>
                <w:rFonts w:ascii="Times New Roman" w:hAnsi="Times New Roman" w:cs="Times New Roman"/>
                <w:color w:val="000000" w:themeColor="text1"/>
                <w:sz w:val="26"/>
                <w:szCs w:val="26"/>
              </w:rPr>
            </w:pPr>
            <w:r w:rsidRPr="00203DC6">
              <w:rPr>
                <w:rFonts w:ascii="Times New Roman" w:hAnsi="Times New Roman" w:cs="Times New Roman"/>
                <w:noProof/>
                <w:color w:val="000000" w:themeColor="text1"/>
                <w:sz w:val="26"/>
                <w:szCs w:val="26"/>
                <w:lang w:eastAsia="en-US"/>
              </w:rPr>
              <w:drawing>
                <wp:inline distT="0" distB="0" distL="114300" distR="114300" wp14:anchorId="2DD82D31" wp14:editId="594A6A58">
                  <wp:extent cx="1936115" cy="173037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1936115" cy="1730375"/>
                          </a:xfrm>
                          <a:prstGeom prst="rect">
                            <a:avLst/>
                          </a:prstGeom>
                          <a:noFill/>
                          <a:ln>
                            <a:noFill/>
                          </a:ln>
                        </pic:spPr>
                      </pic:pic>
                    </a:graphicData>
                  </a:graphic>
                </wp:inline>
              </w:drawing>
            </w:r>
          </w:p>
          <w:p w14:paraId="3347BBE4" w14:textId="18FFD156" w:rsidR="002E0D26" w:rsidRDefault="002E0D26" w:rsidP="002E0D26">
            <w:pPr>
              <w:spacing w:before="120"/>
              <w:jc w:val="center"/>
              <w:rPr>
                <w:rFonts w:ascii="Times New Roman" w:hAnsi="Times New Roman" w:cs="Times New Roman"/>
                <w:color w:val="000000" w:themeColor="text1"/>
                <w:sz w:val="26"/>
                <w:szCs w:val="26"/>
              </w:rPr>
            </w:pPr>
            <w:r w:rsidRPr="00203DC6">
              <w:rPr>
                <w:rFonts w:ascii="Times New Roman" w:hAnsi="Times New Roman" w:cs="Times New Roman"/>
                <w:noProof/>
                <w:color w:val="000000" w:themeColor="text1"/>
                <w:sz w:val="26"/>
                <w:szCs w:val="26"/>
                <w:lang w:eastAsia="en-US"/>
              </w:rPr>
              <w:drawing>
                <wp:inline distT="0" distB="0" distL="114300" distR="114300" wp14:anchorId="290E8BF6" wp14:editId="604D67E4">
                  <wp:extent cx="2484755" cy="214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2533395" cy="218376"/>
                          </a:xfrm>
                          <a:prstGeom prst="rect">
                            <a:avLst/>
                          </a:prstGeom>
                          <a:noFill/>
                          <a:ln>
                            <a:noFill/>
                          </a:ln>
                        </pic:spPr>
                      </pic:pic>
                    </a:graphicData>
                  </a:graphic>
                </wp:inline>
              </w:drawing>
            </w:r>
          </w:p>
        </w:tc>
        <w:tc>
          <w:tcPr>
            <w:tcW w:w="4502" w:type="dxa"/>
          </w:tcPr>
          <w:p w14:paraId="0A31990F" w14:textId="7CED2046" w:rsidR="002E0D26" w:rsidRPr="002E0D26" w:rsidRDefault="002E0D26" w:rsidP="002E0D26">
            <w:pPr>
              <w:spacing w:before="120"/>
              <w:jc w:val="center"/>
              <w:rPr>
                <w:rFonts w:ascii="Times New Roman" w:hAnsi="Times New Roman" w:cs="Times New Roman"/>
                <w:color w:val="000000" w:themeColor="text1"/>
                <w:sz w:val="26"/>
                <w:szCs w:val="26"/>
              </w:rPr>
            </w:pPr>
            <w:r w:rsidRPr="00203DC6">
              <w:rPr>
                <w:rFonts w:ascii="Times New Roman" w:hAnsi="Times New Roman" w:cs="Times New Roman"/>
                <w:noProof/>
                <w:color w:val="000000" w:themeColor="text1"/>
                <w:sz w:val="26"/>
                <w:szCs w:val="26"/>
                <w:lang w:eastAsia="en-US"/>
              </w:rPr>
              <w:drawing>
                <wp:inline distT="0" distB="0" distL="114300" distR="114300" wp14:anchorId="67BE5734" wp14:editId="0C244A13">
                  <wp:extent cx="2750820" cy="1781810"/>
                  <wp:effectExtent l="0" t="0" r="1143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stretch>
                            <a:fillRect/>
                          </a:stretch>
                        </pic:blipFill>
                        <pic:spPr>
                          <a:xfrm>
                            <a:off x="0" y="0"/>
                            <a:ext cx="2750820" cy="1781810"/>
                          </a:xfrm>
                          <a:prstGeom prst="rect">
                            <a:avLst/>
                          </a:prstGeom>
                          <a:noFill/>
                          <a:ln>
                            <a:noFill/>
                          </a:ln>
                        </pic:spPr>
                      </pic:pic>
                    </a:graphicData>
                  </a:graphic>
                </wp:inline>
              </w:drawing>
            </w:r>
          </w:p>
          <w:p w14:paraId="6E451FE5" w14:textId="6CE5803C" w:rsidR="002E0D26" w:rsidRPr="002E0D26" w:rsidRDefault="002E0D26" w:rsidP="002E0D26">
            <w:pPr>
              <w:ind w:firstLine="720"/>
              <w:rPr>
                <w:rFonts w:ascii="Times New Roman" w:hAnsi="Times New Roman" w:cs="Times New Roman"/>
                <w:sz w:val="26"/>
                <w:szCs w:val="26"/>
              </w:rPr>
            </w:pPr>
            <w:r w:rsidRPr="00203DC6">
              <w:rPr>
                <w:rFonts w:ascii="Times New Roman" w:hAnsi="Times New Roman" w:cs="Times New Roman"/>
                <w:noProof/>
                <w:color w:val="000000" w:themeColor="text1"/>
                <w:sz w:val="26"/>
                <w:szCs w:val="26"/>
                <w:lang w:eastAsia="en-US"/>
              </w:rPr>
              <w:drawing>
                <wp:inline distT="0" distB="0" distL="114300" distR="114300" wp14:anchorId="3B757B4D" wp14:editId="4AF82086">
                  <wp:extent cx="1696720" cy="24713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1710259" cy="249107"/>
                          </a:xfrm>
                          <a:prstGeom prst="rect">
                            <a:avLst/>
                          </a:prstGeom>
                          <a:noFill/>
                          <a:ln>
                            <a:noFill/>
                          </a:ln>
                        </pic:spPr>
                      </pic:pic>
                    </a:graphicData>
                  </a:graphic>
                </wp:inline>
              </w:drawing>
            </w:r>
          </w:p>
        </w:tc>
      </w:tr>
    </w:tbl>
    <w:p w14:paraId="482E0752" w14:textId="7A7FDD6D" w:rsidR="00713F12" w:rsidRPr="00D52E2B" w:rsidRDefault="00831FAA" w:rsidP="00D52E2B">
      <w:pPr>
        <w:pStyle w:val="ListParagraph"/>
        <w:numPr>
          <w:ilvl w:val="1"/>
          <w:numId w:val="3"/>
        </w:numPr>
        <w:spacing w:before="120"/>
        <w:jc w:val="both"/>
        <w:rPr>
          <w:rFonts w:ascii="Times New Roman" w:hAnsi="Times New Roman" w:cs="Times New Roman"/>
          <w:b/>
          <w:bCs/>
          <w:i/>
          <w:iCs/>
          <w:color w:val="000000" w:themeColor="text1"/>
          <w:sz w:val="26"/>
          <w:szCs w:val="26"/>
        </w:rPr>
      </w:pPr>
      <w:r w:rsidRPr="00D52E2B">
        <w:rPr>
          <w:rFonts w:ascii="Times New Roman" w:hAnsi="Times New Roman" w:cs="Times New Roman"/>
          <w:b/>
          <w:bCs/>
          <w:i/>
          <w:iCs/>
          <w:color w:val="000000" w:themeColor="text1"/>
          <w:sz w:val="26"/>
          <w:szCs w:val="26"/>
        </w:rPr>
        <w:t>Hiệu ứng mất hạt</w:t>
      </w:r>
    </w:p>
    <w:p w14:paraId="28DBA1F8" w14:textId="092248F9"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Mất hạt là một hạn chế khác của tác động quán tính (Hình 1d). Thay vì được thu thập trên chất nền tác động, các hạt cũng có thể lắng đọng trên các thành bên trong của bộ tác động, bao gồm vòi phun và vỏ, dẫn đến đánh giá thấp hiệu quả thu gom và làm sai lệch phân bố khối lượng đo được. Các hạt lớn có thể bị mất do tác động trong khi các hạt nano có thể bị mất do khuếch tán quy ước. Các tổn thất có thể thay đổi theo các đặc tính của hạt. Nếu các hạt ở dạng lỏng hoặc dính, chúng sẽ bám vào bất kỳ bề mặt nào khi tiếp xúc với nó. Tuy nhiên, một số hạt khô có thể bật lại khi chúng chạm vào bề mặt và vẫn còn trong không khí. Các nghiên cứu thực nghiệm và lý thuyết đã được thực hiện để xác định tổn thất hạt bằng cách tác động và khuếch tán (Chen S.C. và cộng sự, 2007). Sự mất mát quán tính của các phần tử lớn thường xảy ra trên các co thắt nối ống đầu vào lớn với vòi nhỏ hoặc trên bề mặt của tấm vòi (Durand T. và cộng sự, 2014; Kumar A. và Gupta T, 2015a, 2015b ).</w:t>
      </w:r>
    </w:p>
    <w:p w14:paraId="0CE15E05" w14:textId="03563DB2"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 xml:space="preserve">Một sự mất mát hạt khác trong bộ tác động theo tầng là sự mất hạt giữa các giai đoạn, xảy ra trong không gian giữa các giai đoạn phía trên giai đoạn dự định </w:t>
      </w:r>
      <w:r w:rsidRPr="00831FAA">
        <w:rPr>
          <w:rFonts w:ascii="Times New Roman" w:hAnsi="Times New Roman" w:cs="Times New Roman"/>
          <w:color w:val="000000" w:themeColor="text1"/>
          <w:sz w:val="26"/>
          <w:szCs w:val="26"/>
        </w:rPr>
        <w:lastRenderedPageBreak/>
        <w:t>thu thập các hạt. Sự mất mát giữa các giai đoạn là do sự lắng đọng của các hạt hỗn loạn khi chúng đi qua các góc nhọn hoặc vật cản giữa hai giai đoạn liền kề (Marple V.A. và cộng sự, 1991). Thông thường, sự mất mát hạt đáng kể xảy ra ở các giai đoạn dưới của bộ tác động tầng do quy ước khuếch tán (Demokritou P. và cộng sự, 2002b; Watson J.G. và Chow J.C, 2011). NMCI với vòi phun trơn có thể giảm thiểu sự lắng đọng hạt đối lưu-khuếch tán trong vòi phun (Liu C.N. et al., 2013b). Trong một nghiên cứu khác, 80% lượng hạt thất thoát tập trung xung quanh đầu phun và 20% trên tấm ép trong một giai đoạn của DLPI (Dekati® Low-Pressure Impactor) (Durand T. et al., 2014). Một số bộ tác động thông thường được thiết kế bằng cách thay đổi hình dạng của bộ tác động để nâng cao hiệu quả thu gom để có được kích thước cắt thấp hơn, bao gồm việc sử dụng đầu vào ngang để tập trung các hạt ở trục trung tâm của vòi phun (Kim MK và cộng sự, 2014; Kim WG và cộng sự, 2014; Heo JE và cộng sự, 2018), sử dụng một tấm ép đột lỗ bổ sung được lắp đặt giữa đầu ra vòi phun và tấm ép (Cheon TW và cộng sự, 2017), và sự kết hợp của bộ tác động và bộ lọc ban đầu để đạt được đường cong hiệu quả thu gom sắc nét (Zhang T. và cộng sự, 2017; Zhang X. và cộng sự, 2018). Bảng 3 liệt kê các giải pháp thiết kế để giải quyết các vấn đề của bộ tác động thông thường.</w:t>
      </w:r>
    </w:p>
    <w:p w14:paraId="3CE09EC3" w14:textId="1C6D869E"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Nhiều nghiên cứu đã được thực hiện để xem xét các đặc điểm cắt và các tham số ảnh hưởng của tác động ảo của thiết kế cơ sở (McFarland A.R. và cộng sự, 1978; Marple V.A. và Chien C.M., 1980; Lim K.S. và Lee K.W., 2006). Họ kết luận rằng các đặc tính cắt lý thuyết của các tác động ảo tương tự như các đặc tính tác động thông thường, chủ yếu được điều chỉnh bởi Stk và Re (Marple V.A. và Chien C.M., 1980). Các thông số khác như tỷ lệ đầu dò thu gom/đường kính miệng phun, chiều dài miệng phun, góc hình nón lối vào, và khoảng cách đầu dò thu gom từ đầu phun đến đầu dò thu gom không ảnh hưởng quan trọng đến hiệu quả thu gom. Mặc dù giá trị của D/W không ảnh hưởng đến đặc tính cắt, nhưng nó phải nhỏ hơn 1,49 để loại bỏ hiệu ứng trường dòng. Đường kính ngưỡng tăng khi tỷ lệ dòng chảy chính và nhỏ (Q</w:t>
      </w:r>
      <w:r w:rsidRPr="00831FAA">
        <w:rPr>
          <w:rFonts w:ascii="Times New Roman" w:hAnsi="Times New Roman" w:cs="Times New Roman"/>
          <w:color w:val="000000" w:themeColor="text1"/>
          <w:sz w:val="26"/>
          <w:szCs w:val="26"/>
          <w:vertAlign w:val="subscript"/>
        </w:rPr>
        <w:t>1</w:t>
      </w:r>
      <w:r w:rsidRPr="00831FAA">
        <w:rPr>
          <w:rFonts w:ascii="Times New Roman" w:hAnsi="Times New Roman" w:cs="Times New Roman"/>
          <w:color w:val="000000" w:themeColor="text1"/>
          <w:sz w:val="26"/>
          <w:szCs w:val="26"/>
        </w:rPr>
        <w:t>/Q</w:t>
      </w:r>
      <w:r>
        <w:rPr>
          <w:rFonts w:ascii="Times New Roman" w:hAnsi="Times New Roman" w:cs="Times New Roman"/>
          <w:color w:val="000000" w:themeColor="text1"/>
          <w:sz w:val="26"/>
          <w:szCs w:val="26"/>
          <w:vertAlign w:val="subscript"/>
        </w:rPr>
        <w:t>0</w:t>
      </w:r>
      <w:r w:rsidRPr="00831FAA">
        <w:rPr>
          <w:rFonts w:ascii="Times New Roman" w:hAnsi="Times New Roman" w:cs="Times New Roman"/>
          <w:color w:val="000000" w:themeColor="text1"/>
          <w:sz w:val="26"/>
          <w:szCs w:val="26"/>
        </w:rPr>
        <w:t>) giảm (McFarland A.R. và cộng sự, 1978; Marple V.A. và Chien C.M., 1980). Bộ tác động ảo tránh được hiệu ứng dội lại của hạt mà không cần sử dụng tấm tác động, nhưng một nhược điểm nội tại của bộ tác động ảo là sự nhiễm bẩn của các hạt thô trong dòng chảy chính bởi các hạt mịn. Có nghĩa là, một phần của các hạt nhỏ hơn đường kính ngưỡng sẽ vẫn ở trong dòng chảy nhỏ hoặc được gọi là ô nhiễm dòng chảy nhỏ. Một máy tác động ảo với giảm ô nhiễm hạt mịn được thiết kế bằng cách giới hạn dòng khí dung trong lõi trung tâm được bao bọc bởi một lớp không khí sạch (Chein H. và Lundgren D.A., 1993). Thiết kế máy bay phản lực đối lập và sự ra đời của lõi không khí sạch làm lớp bao quanh dòng chứa đầy hạt cũng được sử dụng để loại bỏ nhiễm bẩn hạt mịn.</w:t>
      </w:r>
    </w:p>
    <w:p w14:paraId="10377A7B" w14:textId="3C506731"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Một nhược điểm lớn khác của tác động ảo là tổn thất bên trong hạt ảnh hưởng đáng kể đến đường kính ngưỡng (Xu Z., 1991). Các hạt thường bị mất ở mép trên của đầu dò thu hoặc ở mặt sau của đĩa đầu dò. Sự thất thoát hạt bị ảnh hưởng bởi D/W, Re, Q</w:t>
      </w:r>
      <w:r w:rsidRPr="00831FAA">
        <w:rPr>
          <w:rFonts w:ascii="Times New Roman" w:hAnsi="Times New Roman" w:cs="Times New Roman"/>
          <w:color w:val="000000" w:themeColor="text1"/>
          <w:sz w:val="26"/>
          <w:szCs w:val="26"/>
          <w:vertAlign w:val="subscript"/>
        </w:rPr>
        <w:t>1</w:t>
      </w:r>
      <w:r w:rsidRPr="00831FAA">
        <w:rPr>
          <w:rFonts w:ascii="Times New Roman" w:hAnsi="Times New Roman" w:cs="Times New Roman"/>
          <w:color w:val="000000" w:themeColor="text1"/>
          <w:sz w:val="26"/>
          <w:szCs w:val="26"/>
        </w:rPr>
        <w:t>/Q, vòi phun nhô ra qua tấm vòi phun, hình dạng của đầu vào của đầu dò thu gom và sự căn chỉnh của các trục của vòi phun và đầu dò thu gom. Sự thất thoát hạt cao xảy ra đối với các hạt có đường kính gần với điểm cắt (Marple V.A. và Chien C.M., 1980). Sự mất mát hạt có thể được giảm bớt bằng cách tạo đường nét thích hợp của lối vào đầu dò, giảm Re, và tỷ lệ Q</w:t>
      </w:r>
      <w:r w:rsidRPr="00831FAA">
        <w:rPr>
          <w:rFonts w:ascii="Times New Roman" w:hAnsi="Times New Roman" w:cs="Times New Roman"/>
          <w:color w:val="000000" w:themeColor="text1"/>
          <w:sz w:val="26"/>
          <w:szCs w:val="26"/>
          <w:vertAlign w:val="subscript"/>
        </w:rPr>
        <w:t>1</w:t>
      </w:r>
      <w:r w:rsidRPr="00831FAA">
        <w:rPr>
          <w:rFonts w:ascii="Times New Roman" w:hAnsi="Times New Roman" w:cs="Times New Roman"/>
          <w:color w:val="000000" w:themeColor="text1"/>
          <w:sz w:val="26"/>
          <w:szCs w:val="26"/>
        </w:rPr>
        <w:t>/Q</w:t>
      </w:r>
      <w:r>
        <w:rPr>
          <w:rFonts w:ascii="Times New Roman" w:hAnsi="Times New Roman" w:cs="Times New Roman"/>
          <w:color w:val="000000" w:themeColor="text1"/>
          <w:sz w:val="26"/>
          <w:szCs w:val="26"/>
          <w:vertAlign w:val="subscript"/>
        </w:rPr>
        <w:t>0</w:t>
      </w:r>
      <w:r w:rsidRPr="00831FAA">
        <w:rPr>
          <w:rFonts w:ascii="Times New Roman" w:hAnsi="Times New Roman" w:cs="Times New Roman"/>
          <w:color w:val="000000" w:themeColor="text1"/>
          <w:sz w:val="26"/>
          <w:szCs w:val="26"/>
        </w:rPr>
        <w:t xml:space="preserve"> và S/W trong nếp gấp (Marple V.A. và Chien C.M., 1980). Sự thất thoát hạt có thể được giảm bằng cách tăng D/W nhưng nó có thể làm giảm độ sắc nét của đường cong hiệu quả thu </w:t>
      </w:r>
      <w:r w:rsidRPr="00831FAA">
        <w:rPr>
          <w:rFonts w:ascii="Times New Roman" w:hAnsi="Times New Roman" w:cs="Times New Roman"/>
          <w:color w:val="000000" w:themeColor="text1"/>
          <w:sz w:val="26"/>
          <w:szCs w:val="26"/>
        </w:rPr>
        <w:lastRenderedPageBreak/>
        <w:t xml:space="preserve">hạt. Các giá trị nhất định của chiều dài họng của lỗ đầu dò, bán kính của vai tròn của lỗ đầu dò, và đường kính của bề mặt dưới của vòi phun cần thiết để giảm sự thất thoát hạt đã được đề xuất (Marple V.A. và Chien C.M., 1980). </w:t>
      </w:r>
      <w:r w:rsidRPr="008C2B66">
        <w:rPr>
          <w:rFonts w:ascii="Times New Roman" w:hAnsi="Times New Roman" w:cs="Times New Roman"/>
          <w:color w:val="000000" w:themeColor="text1"/>
          <w:sz w:val="26"/>
          <w:szCs w:val="26"/>
          <w:highlight w:val="yellow"/>
        </w:rPr>
        <w:t>Tóm lại, D phải lớn hơn W khoảng 30–50%, bán kính bên trong của đầu dò thu gom là khoảng 30% W, đầu phun phải nhô ra hai đến ba lần W qua tấm đầu phun, S phải có giá trị khoảng 1–1,8 lần W, và các trục của vòi phun phải được căn chỉnh chặt chẽ với trục của đầu dò thu gom</w:t>
      </w:r>
      <w:r w:rsidRPr="00831FAA">
        <w:rPr>
          <w:rFonts w:ascii="Times New Roman" w:hAnsi="Times New Roman" w:cs="Times New Roman"/>
          <w:color w:val="000000" w:themeColor="text1"/>
          <w:sz w:val="26"/>
          <w:szCs w:val="26"/>
        </w:rPr>
        <w:t xml:space="preserve"> (Hinds WC, 1999).</w:t>
      </w:r>
    </w:p>
    <w:p w14:paraId="3B6279C8" w14:textId="77777777"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Một số thiết kế đặc biệt của bộ tác động ảo để loại bỏ sự thất thoát hạt và nâng cao hiệu quả thu thập đã được phát triển. Điều này bao gồm bộ tác động ảo khe đi kèm với một lỗ được lắp đặt ở phía trên của vòi tăng tốc để tập trung dòng chảy nhỏ ở trung tâm của đầu dò thu gom (Lim KS và Lee KW, 2006; Lee H. và cộng sự, 2014) hoặc bộ tác động với đầu vào ngang ba phân vùng (Zahir MZ và cộng sự, 2018). Bộ tác động ảo với đường kính cắt siêu mịn ở mức giảm áp suất vừa phải được phát triển bằng cách sử dụng một vòi tròn rất nhỏ và ở tốc độ dòng chảy thấp (Sioutas C. và cộng sự, 1994b) hoặc vòi có khe để hoạt động ở tốc độ dòng chảy cao (Sioutas C. và cộng sự, 1994a).</w:t>
      </w:r>
    </w:p>
    <w:p w14:paraId="4BE6B0DE" w14:textId="42032F1E"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Vì khó có thể kiểm soát được cả dòng chảy nhỏ và dòng chính, bộ tác động ảo thường được thiết kế như bộ tác động ảo một giai đoạn. Máy tác động ảo nhiều giai đoạn để thu thập đồng thời các hạt ở các phạm vi kích thước khác nhau (Marple V.A. và cộng sự, 2013, 2014a; Wada M. và cộng sự, 2017). Để tăng tốc độ dòng chảy lên 1000 L/</w:t>
      </w:r>
      <w:r>
        <w:rPr>
          <w:rFonts w:ascii="Times New Roman" w:hAnsi="Times New Roman" w:cs="Times New Roman"/>
          <w:color w:val="000000" w:themeColor="text1"/>
          <w:sz w:val="26"/>
          <w:szCs w:val="26"/>
        </w:rPr>
        <w:t>min</w:t>
      </w:r>
      <w:r w:rsidRPr="00831FAA">
        <w:rPr>
          <w:rFonts w:ascii="Times New Roman" w:hAnsi="Times New Roman" w:cs="Times New Roman"/>
          <w:color w:val="000000" w:themeColor="text1"/>
          <w:sz w:val="26"/>
          <w:szCs w:val="26"/>
        </w:rPr>
        <w:t>, việc sử dụng bộ tác động ảo nhiều vòi phun cũng được thiết kế để giảm áp suất (Szymanski W.W. và Liu B.Y., 1989). Người ta nhận thấy rằng bộ tác động ảo nhiều vòi phun có thể có nhiều vấn đề về tương tác phản lực dẫn đến sự suy giảm hiệu suất của bộ tác động (Fang C. và cộng sự, 1991). Bộ tác động ảo với vòi phun hình chữ nhật có thể tăng tốc độ dòng chảy mà không thay đổi kích thước cắt so với bộ tác động ảo vòi tròn đơn (Masuda H. và Nakasita S., 1988). Một bộ tác động ảo vòi phun hình khe trong đó chiều rộng của khe bằng với đường kính của vòi tròn đã được phát triển để khắc phục các vấn đề tương tác dòng chảy của nhiều tia ở tốc độ dòng chảy cao (Ding Y. và Koutrakis P., 2000).</w:t>
      </w:r>
    </w:p>
    <w:p w14:paraId="14BC46A4" w14:textId="3361A4DE" w:rsidR="00207321" w:rsidRPr="00067D3B" w:rsidRDefault="00207321" w:rsidP="00207321">
      <w:pPr>
        <w:pStyle w:val="Caption"/>
        <w:keepNext/>
        <w:rPr>
          <w:rFonts w:ascii="Times New Roman" w:hAnsi="Times New Roman" w:cs="Times New Roman"/>
          <w:sz w:val="26"/>
          <w:szCs w:val="26"/>
        </w:rPr>
      </w:pPr>
      <w:r w:rsidRPr="00067D3B">
        <w:rPr>
          <w:rFonts w:ascii="Times New Roman" w:hAnsi="Times New Roman" w:cs="Times New Roman"/>
          <w:sz w:val="26"/>
          <w:szCs w:val="26"/>
        </w:rPr>
        <w:t xml:space="preserve">Bảng </w:t>
      </w:r>
      <w:r w:rsidRPr="00067D3B">
        <w:rPr>
          <w:rFonts w:ascii="Times New Roman" w:hAnsi="Times New Roman" w:cs="Times New Roman"/>
          <w:sz w:val="26"/>
          <w:szCs w:val="26"/>
        </w:rPr>
        <w:fldChar w:fldCharType="begin"/>
      </w:r>
      <w:r w:rsidRPr="00067D3B">
        <w:rPr>
          <w:rFonts w:ascii="Times New Roman" w:hAnsi="Times New Roman" w:cs="Times New Roman"/>
          <w:sz w:val="26"/>
          <w:szCs w:val="26"/>
        </w:rPr>
        <w:instrText xml:space="preserve"> SEQ Bảng \* ARABIC </w:instrText>
      </w:r>
      <w:r w:rsidRPr="00067D3B">
        <w:rPr>
          <w:rFonts w:ascii="Times New Roman" w:hAnsi="Times New Roman" w:cs="Times New Roman"/>
          <w:sz w:val="26"/>
          <w:szCs w:val="26"/>
        </w:rPr>
        <w:fldChar w:fldCharType="separate"/>
      </w:r>
      <w:r w:rsidRPr="00067D3B">
        <w:rPr>
          <w:rFonts w:ascii="Times New Roman" w:hAnsi="Times New Roman" w:cs="Times New Roman"/>
          <w:noProof/>
          <w:sz w:val="26"/>
          <w:szCs w:val="26"/>
        </w:rPr>
        <w:t>3</w:t>
      </w:r>
      <w:r w:rsidRPr="00067D3B">
        <w:rPr>
          <w:rFonts w:ascii="Times New Roman" w:hAnsi="Times New Roman" w:cs="Times New Roman"/>
          <w:sz w:val="26"/>
          <w:szCs w:val="26"/>
        </w:rPr>
        <w:fldChar w:fldCharType="end"/>
      </w:r>
      <w:r w:rsidRPr="00067D3B">
        <w:rPr>
          <w:rFonts w:ascii="Times New Roman" w:hAnsi="Times New Roman" w:cs="Times New Roman"/>
          <w:sz w:val="26"/>
          <w:szCs w:val="26"/>
        </w:rPr>
        <w:t xml:space="preserve"> </w:t>
      </w:r>
      <w:r w:rsidR="00067D3B" w:rsidRPr="00067D3B">
        <w:rPr>
          <w:rFonts w:ascii="Times New Roman" w:hAnsi="Times New Roman" w:cs="Times New Roman"/>
          <w:sz w:val="26"/>
          <w:szCs w:val="26"/>
        </w:rPr>
        <w:t xml:space="preserve"> Giải pháp cho các vấn đề thiết bị quán tính</w:t>
      </w:r>
    </w:p>
    <w:tbl>
      <w:tblPr>
        <w:tblStyle w:val="TableGrid"/>
        <w:tblW w:w="0" w:type="auto"/>
        <w:jc w:val="center"/>
        <w:tblLook w:val="04A0" w:firstRow="1" w:lastRow="0" w:firstColumn="1" w:lastColumn="0" w:noHBand="0" w:noVBand="1"/>
      </w:tblPr>
      <w:tblGrid>
        <w:gridCol w:w="2130"/>
        <w:gridCol w:w="2130"/>
        <w:gridCol w:w="2131"/>
        <w:gridCol w:w="2131"/>
      </w:tblGrid>
      <w:tr w:rsidR="00203DC6" w:rsidRPr="00203DC6" w14:paraId="41405534" w14:textId="77777777" w:rsidTr="00441BB8">
        <w:trPr>
          <w:tblHeader/>
          <w:jc w:val="center"/>
        </w:trPr>
        <w:tc>
          <w:tcPr>
            <w:tcW w:w="2130" w:type="dxa"/>
            <w:vAlign w:val="center"/>
          </w:tcPr>
          <w:p w14:paraId="0B00079D" w14:textId="02BCBA33" w:rsidR="00713F12" w:rsidRPr="00203DC6" w:rsidRDefault="00831FAA" w:rsidP="00831FAA">
            <w:pPr>
              <w:jc w:val="center"/>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Vấn đề</w:t>
            </w:r>
          </w:p>
        </w:tc>
        <w:tc>
          <w:tcPr>
            <w:tcW w:w="2130" w:type="dxa"/>
            <w:vAlign w:val="center"/>
          </w:tcPr>
          <w:p w14:paraId="1B30BBEC" w14:textId="1D3FE50F" w:rsidR="00713F12" w:rsidRPr="00203DC6" w:rsidRDefault="00831FAA" w:rsidP="00831FAA">
            <w:pPr>
              <w:jc w:val="center"/>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Giải pháp</w:t>
            </w:r>
          </w:p>
        </w:tc>
        <w:tc>
          <w:tcPr>
            <w:tcW w:w="2131" w:type="dxa"/>
            <w:vAlign w:val="center"/>
          </w:tcPr>
          <w:p w14:paraId="37A614D1" w14:textId="37434293" w:rsidR="00713F12" w:rsidRPr="00203DC6" w:rsidRDefault="00831FAA" w:rsidP="00831FAA">
            <w:pPr>
              <w:jc w:val="center"/>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Ưu và nhược</w:t>
            </w:r>
          </w:p>
        </w:tc>
        <w:tc>
          <w:tcPr>
            <w:tcW w:w="2131" w:type="dxa"/>
            <w:vAlign w:val="center"/>
          </w:tcPr>
          <w:p w14:paraId="797965B9" w14:textId="2A5DCEE1" w:rsidR="00713F12" w:rsidRPr="00203DC6" w:rsidRDefault="00831FAA" w:rsidP="00831FAA">
            <w:pPr>
              <w:jc w:val="center"/>
              <w:rPr>
                <w:rFonts w:ascii="Times New Roman" w:hAnsi="Times New Roman" w:cs="Times New Roman"/>
                <w:b/>
                <w:bCs/>
                <w:color w:val="000000" w:themeColor="text1"/>
                <w:sz w:val="26"/>
                <w:szCs w:val="26"/>
              </w:rPr>
            </w:pPr>
            <w:r w:rsidRPr="00203DC6">
              <w:rPr>
                <w:rFonts w:ascii="Times New Roman" w:hAnsi="Times New Roman" w:cs="Times New Roman"/>
                <w:b/>
                <w:bCs/>
                <w:color w:val="000000" w:themeColor="text1"/>
                <w:sz w:val="26"/>
                <w:szCs w:val="26"/>
              </w:rPr>
              <w:t>References</w:t>
            </w:r>
          </w:p>
        </w:tc>
      </w:tr>
      <w:tr w:rsidR="00067D3B" w:rsidRPr="00203DC6" w14:paraId="462F50CA" w14:textId="77777777" w:rsidTr="00067D3B">
        <w:trPr>
          <w:jc w:val="center"/>
        </w:trPr>
        <w:tc>
          <w:tcPr>
            <w:tcW w:w="2130" w:type="dxa"/>
            <w:vMerge w:val="restart"/>
            <w:vAlign w:val="center"/>
          </w:tcPr>
          <w:p w14:paraId="5C11946A" w14:textId="77777777" w:rsidR="00067D3B" w:rsidRPr="00203DC6" w:rsidRDefault="00067D3B" w:rsidP="00067D3B">
            <w:pPr>
              <w:jc w:val="cente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Hạt nảy</w:t>
            </w:r>
          </w:p>
        </w:tc>
        <w:tc>
          <w:tcPr>
            <w:tcW w:w="2130" w:type="dxa"/>
          </w:tcPr>
          <w:p w14:paraId="29778F42"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Sử dụng bộ lọc sợi thủy tinh hoặc bộ lọc Teflon làm chất nền ép</w:t>
            </w:r>
          </w:p>
        </w:tc>
        <w:tc>
          <w:tcPr>
            <w:tcW w:w="2131" w:type="dxa"/>
          </w:tcPr>
          <w:p w14:paraId="6ABFAE44"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Đơn giản và không có sự can thiệp của hóa chất</w:t>
            </w:r>
          </w:p>
          <w:p w14:paraId="568D57FE"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Đắt</w:t>
            </w:r>
          </w:p>
        </w:tc>
        <w:tc>
          <w:tcPr>
            <w:tcW w:w="2131" w:type="dxa"/>
          </w:tcPr>
          <w:p w14:paraId="07759DB1"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Marple V.A. et al., 1991</w:t>
            </w:r>
          </w:p>
        </w:tc>
      </w:tr>
      <w:tr w:rsidR="00067D3B" w:rsidRPr="00203DC6" w14:paraId="1A3D9A91" w14:textId="77777777" w:rsidTr="00831FAA">
        <w:trPr>
          <w:jc w:val="center"/>
        </w:trPr>
        <w:tc>
          <w:tcPr>
            <w:tcW w:w="2130" w:type="dxa"/>
            <w:vMerge/>
          </w:tcPr>
          <w:p w14:paraId="203B25C8"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18253FAD"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Chất nền dầu mỡ</w:t>
            </w:r>
          </w:p>
        </w:tc>
        <w:tc>
          <w:tcPr>
            <w:tcW w:w="2131" w:type="dxa"/>
          </w:tcPr>
          <w:p w14:paraId="68089767"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Người thực hiện dễ dàng</w:t>
            </w:r>
          </w:p>
          <w:p w14:paraId="2CA5362B"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Không thể thích hợp cho phân tích hóa học; Hiệu ứng quá tải hạt</w:t>
            </w:r>
          </w:p>
        </w:tc>
        <w:tc>
          <w:tcPr>
            <w:tcW w:w="2131" w:type="dxa"/>
          </w:tcPr>
          <w:p w14:paraId="591BCABD"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Turner J.R. and Hering S.V., 1987; John W. et al., 1991</w:t>
            </w:r>
          </w:p>
        </w:tc>
      </w:tr>
      <w:tr w:rsidR="00067D3B" w:rsidRPr="00203DC6" w14:paraId="302ACB9D" w14:textId="77777777" w:rsidTr="00831FAA">
        <w:trPr>
          <w:jc w:val="center"/>
        </w:trPr>
        <w:tc>
          <w:tcPr>
            <w:tcW w:w="2130" w:type="dxa"/>
            <w:vMerge/>
          </w:tcPr>
          <w:p w14:paraId="485F615A"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0E2687C6"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Chất nền dầu</w:t>
            </w:r>
          </w:p>
        </w:tc>
        <w:tc>
          <w:tcPr>
            <w:tcW w:w="2131" w:type="dxa"/>
          </w:tcPr>
          <w:p w14:paraId="773374BE"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Ưu điểm: Giá rẻ, khối lượng tải cao, độ nhớt thấp và lớp phủ đồng </w:t>
            </w:r>
            <w:r w:rsidRPr="00203DC6">
              <w:rPr>
                <w:rFonts w:ascii="Times New Roman" w:hAnsi="Times New Roman" w:cs="Times New Roman"/>
                <w:color w:val="000000" w:themeColor="text1"/>
                <w:sz w:val="26"/>
                <w:szCs w:val="26"/>
              </w:rPr>
              <w:lastRenderedPageBreak/>
              <w:t>nhất</w:t>
            </w:r>
          </w:p>
          <w:p w14:paraId="0C12979C"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Hiệu ứng tải hạt và bay hơi dầu</w:t>
            </w:r>
          </w:p>
        </w:tc>
        <w:tc>
          <w:tcPr>
            <w:tcW w:w="2131" w:type="dxa"/>
          </w:tcPr>
          <w:p w14:paraId="404EF571"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lastRenderedPageBreak/>
              <w:t xml:space="preserve">Turner J.R. and Hering S.V., 1987; Peters T.M. et al., 2001; Le </w:t>
            </w:r>
            <w:r w:rsidRPr="00203DC6">
              <w:rPr>
                <w:color w:val="000000" w:themeColor="text1"/>
                <w:sz w:val="26"/>
                <w:szCs w:val="26"/>
              </w:rPr>
              <w:lastRenderedPageBreak/>
              <w:t>T.C. et al., 2019</w:t>
            </w:r>
          </w:p>
        </w:tc>
      </w:tr>
      <w:tr w:rsidR="00067D3B" w:rsidRPr="00203DC6" w14:paraId="3628A257" w14:textId="77777777" w:rsidTr="00831FAA">
        <w:trPr>
          <w:jc w:val="center"/>
        </w:trPr>
        <w:tc>
          <w:tcPr>
            <w:tcW w:w="2130" w:type="dxa"/>
            <w:vMerge/>
          </w:tcPr>
          <w:p w14:paraId="74D21E86"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3BE9E860"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Nền kim loại xốp</w:t>
            </w:r>
          </w:p>
        </w:tc>
        <w:tc>
          <w:tcPr>
            <w:tcW w:w="2131" w:type="dxa"/>
          </w:tcPr>
          <w:p w14:paraId="178481B8"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Không có sự can thiệp của hóa chất</w:t>
            </w:r>
          </w:p>
          <w:p w14:paraId="51713753"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Sự dịch chuyển của đường cong hiệu quả thu gom và đường kính ngưỡng; Đường cong kém sắc nét</w:t>
            </w:r>
          </w:p>
        </w:tc>
        <w:tc>
          <w:tcPr>
            <w:tcW w:w="2131" w:type="dxa"/>
          </w:tcPr>
          <w:p w14:paraId="7F644FED"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 xml:space="preserve">Huang C.H. et al., </w:t>
            </w:r>
            <w:r w:rsidRPr="00203DC6">
              <w:rPr>
                <w:color w:val="000000" w:themeColor="text1"/>
                <w:spacing w:val="-3"/>
                <w:sz w:val="26"/>
                <w:szCs w:val="26"/>
              </w:rPr>
              <w:t>2001;</w:t>
            </w:r>
            <w:r w:rsidRPr="00203DC6">
              <w:rPr>
                <w:color w:val="000000" w:themeColor="text1"/>
                <w:spacing w:val="12"/>
                <w:sz w:val="26"/>
                <w:szCs w:val="26"/>
              </w:rPr>
              <w:t xml:space="preserve"> </w:t>
            </w:r>
            <w:r w:rsidRPr="00203DC6">
              <w:rPr>
                <w:color w:val="000000" w:themeColor="text1"/>
                <w:sz w:val="26"/>
                <w:szCs w:val="26"/>
              </w:rPr>
              <w:t>Huang</w:t>
            </w:r>
          </w:p>
          <w:p w14:paraId="465B4310"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C.H. and Tsai C.J., 2002b;</w:t>
            </w:r>
            <w:r w:rsidRPr="00203DC6">
              <w:rPr>
                <w:color w:val="000000" w:themeColor="text1"/>
                <w:spacing w:val="-11"/>
                <w:sz w:val="26"/>
                <w:szCs w:val="26"/>
              </w:rPr>
              <w:t xml:space="preserve"> </w:t>
            </w:r>
            <w:r w:rsidRPr="00203DC6">
              <w:rPr>
                <w:color w:val="000000" w:themeColor="text1"/>
                <w:sz w:val="26"/>
                <w:szCs w:val="26"/>
              </w:rPr>
              <w:t>2003</w:t>
            </w:r>
          </w:p>
        </w:tc>
      </w:tr>
      <w:tr w:rsidR="00067D3B" w:rsidRPr="00203DC6" w14:paraId="499986A6" w14:textId="77777777" w:rsidTr="00831FAA">
        <w:trPr>
          <w:jc w:val="center"/>
        </w:trPr>
        <w:tc>
          <w:tcPr>
            <w:tcW w:w="2130" w:type="dxa"/>
            <w:vMerge/>
          </w:tcPr>
          <w:p w14:paraId="4FE8C22A"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2F6DA7F1"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Chất nền bọt</w:t>
            </w:r>
          </w:p>
        </w:tc>
        <w:tc>
          <w:tcPr>
            <w:tcW w:w="2131" w:type="dxa"/>
          </w:tcPr>
          <w:p w14:paraId="1CD0847F"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Không có sự can thiệp của hóa chất</w:t>
            </w:r>
          </w:p>
          <w:p w14:paraId="0677BB9B"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Sự dịch chuyển của đường cong hiệu quả thu gom và đường kính ngưỡng; Đường cong kém sắc nét</w:t>
            </w:r>
          </w:p>
        </w:tc>
        <w:tc>
          <w:tcPr>
            <w:tcW w:w="2131" w:type="dxa"/>
          </w:tcPr>
          <w:p w14:paraId="3A64D704"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Huang C.H. et al., 2005</w:t>
            </w:r>
          </w:p>
        </w:tc>
      </w:tr>
      <w:tr w:rsidR="00067D3B" w:rsidRPr="00203DC6" w14:paraId="46214DD1" w14:textId="77777777" w:rsidTr="00831FAA">
        <w:trPr>
          <w:jc w:val="center"/>
        </w:trPr>
        <w:tc>
          <w:tcPr>
            <w:tcW w:w="2130" w:type="dxa"/>
            <w:vMerge/>
          </w:tcPr>
          <w:p w14:paraId="21CF721D"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2E5973EA"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Nền nước và rửa nước</w:t>
            </w:r>
          </w:p>
        </w:tc>
        <w:tc>
          <w:tcPr>
            <w:tcW w:w="2131" w:type="dxa"/>
          </w:tcPr>
          <w:p w14:paraId="38C0A662"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Không có sự can thiệp của hóa chất; Có thể được sử dụng để thu thập mẫu để phân tích hóa học; Sử dụng lâu dài</w:t>
            </w:r>
          </w:p>
          <w:p w14:paraId="51BBD74A"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Cần có máy bơm để bơm và thoát nước</w:t>
            </w:r>
          </w:p>
        </w:tc>
        <w:tc>
          <w:tcPr>
            <w:tcW w:w="2131" w:type="dxa"/>
          </w:tcPr>
          <w:p w14:paraId="2E3F1BFC"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Dunbar C. et al., 2005; Le T.C. and Tsai C.J., 2017</w:t>
            </w:r>
          </w:p>
        </w:tc>
      </w:tr>
      <w:tr w:rsidR="00067D3B" w:rsidRPr="00203DC6" w14:paraId="3783CEE5" w14:textId="77777777" w:rsidTr="00831FAA">
        <w:trPr>
          <w:jc w:val="center"/>
        </w:trPr>
        <w:tc>
          <w:tcPr>
            <w:tcW w:w="2130" w:type="dxa"/>
            <w:vMerge/>
          </w:tcPr>
          <w:p w14:paraId="06B31868"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1FBBFA37"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Chất nền ép kiểu khoang</w:t>
            </w:r>
          </w:p>
        </w:tc>
        <w:tc>
          <w:tcPr>
            <w:tcW w:w="2131" w:type="dxa"/>
          </w:tcPr>
          <w:p w14:paraId="097ADECF"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Không cần năng lượng, giải pháp hoặc vật liệu</w:t>
            </w:r>
          </w:p>
          <w:p w14:paraId="49C261F9"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Đường cong không sắc nét</w:t>
            </w:r>
          </w:p>
        </w:tc>
        <w:tc>
          <w:tcPr>
            <w:tcW w:w="2131" w:type="dxa"/>
          </w:tcPr>
          <w:p w14:paraId="41355ED4"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Tsai C.J. and Cheng Y.H., 1995</w:t>
            </w:r>
          </w:p>
        </w:tc>
      </w:tr>
      <w:tr w:rsidR="00067D3B" w:rsidRPr="00203DC6" w14:paraId="5E46C654" w14:textId="77777777" w:rsidTr="00831FAA">
        <w:trPr>
          <w:jc w:val="center"/>
        </w:trPr>
        <w:tc>
          <w:tcPr>
            <w:tcW w:w="2130" w:type="dxa"/>
            <w:vMerge/>
          </w:tcPr>
          <w:p w14:paraId="56A505E6"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13E0392D"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Tấm ép lõm hình elip</w:t>
            </w:r>
          </w:p>
        </w:tc>
        <w:tc>
          <w:tcPr>
            <w:tcW w:w="2131" w:type="dxa"/>
          </w:tcPr>
          <w:p w14:paraId="1BFE270D"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Không có sự can thiệp của hóa chất</w:t>
            </w:r>
          </w:p>
          <w:p w14:paraId="002CDDF1"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Nhược điểm: Cần </w:t>
            </w:r>
            <w:r w:rsidRPr="00203DC6">
              <w:rPr>
                <w:rFonts w:ascii="Times New Roman" w:hAnsi="Times New Roman" w:cs="Times New Roman"/>
                <w:color w:val="000000" w:themeColor="text1"/>
                <w:sz w:val="26"/>
                <w:szCs w:val="26"/>
              </w:rPr>
              <w:lastRenderedPageBreak/>
              <w:t>xác định kích thước; Nó chỉ giúp bẫy một số hạt liên kết lại</w:t>
            </w:r>
          </w:p>
        </w:tc>
        <w:tc>
          <w:tcPr>
            <w:tcW w:w="2131" w:type="dxa"/>
          </w:tcPr>
          <w:p w14:paraId="544B0D36"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lastRenderedPageBreak/>
              <w:t>Kim W.G. et al., 2013</w:t>
            </w:r>
          </w:p>
        </w:tc>
      </w:tr>
      <w:tr w:rsidR="00067D3B" w:rsidRPr="00203DC6" w14:paraId="3CDB252B" w14:textId="77777777" w:rsidTr="00831FAA">
        <w:trPr>
          <w:jc w:val="center"/>
        </w:trPr>
        <w:tc>
          <w:tcPr>
            <w:tcW w:w="2130" w:type="dxa"/>
            <w:vMerge/>
          </w:tcPr>
          <w:p w14:paraId="5C337A74"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3DED8A3C"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Tác động cốc</w:t>
            </w:r>
          </w:p>
        </w:tc>
        <w:tc>
          <w:tcPr>
            <w:tcW w:w="2131" w:type="dxa"/>
          </w:tcPr>
          <w:p w14:paraId="5CDCEE52"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Không có sự can thiệp của hóa chất</w:t>
            </w:r>
          </w:p>
          <w:p w14:paraId="22AFA76B"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Thiết kế đặc biệt; Kích thước cắt không thể dự đoán được</w:t>
            </w:r>
          </w:p>
        </w:tc>
        <w:tc>
          <w:tcPr>
            <w:tcW w:w="2131" w:type="dxa"/>
          </w:tcPr>
          <w:p w14:paraId="47B66F5D"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Kim D.S. et al., 2006</w:t>
            </w:r>
          </w:p>
        </w:tc>
      </w:tr>
      <w:tr w:rsidR="00067D3B" w:rsidRPr="00203DC6" w14:paraId="2F653943" w14:textId="77777777" w:rsidTr="00067D3B">
        <w:trPr>
          <w:jc w:val="center"/>
        </w:trPr>
        <w:tc>
          <w:tcPr>
            <w:tcW w:w="2130" w:type="dxa"/>
            <w:vMerge w:val="restart"/>
            <w:vAlign w:val="center"/>
          </w:tcPr>
          <w:p w14:paraId="3E2DA90E" w14:textId="31742D32" w:rsidR="00067D3B" w:rsidRPr="00203DC6" w:rsidRDefault="00067D3B" w:rsidP="00067D3B">
            <w:pPr>
              <w:jc w:val="cente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Hạt quá tải</w:t>
            </w:r>
          </w:p>
        </w:tc>
        <w:tc>
          <w:tcPr>
            <w:tcW w:w="2130" w:type="dxa"/>
          </w:tcPr>
          <w:p w14:paraId="78BB4E08"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Chất nền dầu</w:t>
            </w:r>
          </w:p>
        </w:tc>
        <w:tc>
          <w:tcPr>
            <w:tcW w:w="2131" w:type="dxa"/>
          </w:tcPr>
          <w:p w14:paraId="44AD81D7"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Giá rẻ và khối lượng tải cao</w:t>
            </w:r>
          </w:p>
          <w:p w14:paraId="4F5AF58A"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Sử dụng trong thời gian ngắn và bay hơi dầu</w:t>
            </w:r>
          </w:p>
        </w:tc>
        <w:tc>
          <w:tcPr>
            <w:tcW w:w="2131" w:type="dxa"/>
          </w:tcPr>
          <w:p w14:paraId="6F8A8034"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McFarland A.R. et al., 1978; Marple V.A. and Chien C.M., 1980</w:t>
            </w:r>
          </w:p>
        </w:tc>
      </w:tr>
      <w:tr w:rsidR="00067D3B" w:rsidRPr="00203DC6" w14:paraId="184E7BBD" w14:textId="77777777" w:rsidTr="00831FAA">
        <w:trPr>
          <w:jc w:val="center"/>
        </w:trPr>
        <w:tc>
          <w:tcPr>
            <w:tcW w:w="2130" w:type="dxa"/>
            <w:vMerge/>
          </w:tcPr>
          <w:p w14:paraId="5952883E"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4E41A89C"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Nền kim loại xốp</w:t>
            </w:r>
          </w:p>
        </w:tc>
        <w:tc>
          <w:tcPr>
            <w:tcW w:w="2131" w:type="dxa"/>
          </w:tcPr>
          <w:p w14:paraId="47EE4CB3"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Khối lượng tải cao</w:t>
            </w:r>
          </w:p>
          <w:p w14:paraId="1C015BAD"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Sự dịch chuyển của đường cong hiệu quả thu gom và đường kính ngưỡng; Đường cong kém sắc nét</w:t>
            </w:r>
          </w:p>
        </w:tc>
        <w:tc>
          <w:tcPr>
            <w:tcW w:w="2131" w:type="dxa"/>
          </w:tcPr>
          <w:p w14:paraId="7B26BDDB"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Turner J.R. and Hering S.V., 1987</w:t>
            </w:r>
          </w:p>
        </w:tc>
      </w:tr>
      <w:tr w:rsidR="00067D3B" w:rsidRPr="00203DC6" w14:paraId="3A98374C" w14:textId="77777777" w:rsidTr="00831FAA">
        <w:trPr>
          <w:trHeight w:val="1641"/>
          <w:jc w:val="center"/>
        </w:trPr>
        <w:tc>
          <w:tcPr>
            <w:tcW w:w="2130" w:type="dxa"/>
            <w:vMerge/>
          </w:tcPr>
          <w:p w14:paraId="15EDBAD5"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5C25478E"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Rửa nước liên tục</w:t>
            </w:r>
          </w:p>
        </w:tc>
        <w:tc>
          <w:tcPr>
            <w:tcW w:w="2131" w:type="dxa"/>
          </w:tcPr>
          <w:p w14:paraId="1D370C0C"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Sử dụng lâu dài mà không cần bảo trì thường xuyên</w:t>
            </w:r>
          </w:p>
          <w:p w14:paraId="63D5ECB1"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Cần có máy bơm để bơm và thoát nước</w:t>
            </w:r>
          </w:p>
        </w:tc>
        <w:tc>
          <w:tcPr>
            <w:tcW w:w="2131" w:type="dxa"/>
          </w:tcPr>
          <w:p w14:paraId="20E63551"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Huang C.H. et al., 2001</w:t>
            </w:r>
          </w:p>
        </w:tc>
      </w:tr>
      <w:tr w:rsidR="00067D3B" w:rsidRPr="00203DC6" w14:paraId="5858F869" w14:textId="77777777" w:rsidTr="00831FAA">
        <w:trPr>
          <w:trHeight w:val="235"/>
          <w:jc w:val="center"/>
        </w:trPr>
        <w:tc>
          <w:tcPr>
            <w:tcW w:w="2130" w:type="dxa"/>
            <w:vMerge/>
          </w:tcPr>
          <w:p w14:paraId="7C8E3466"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767D2C6E"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Tấm ép xoay</w:t>
            </w:r>
          </w:p>
        </w:tc>
        <w:tc>
          <w:tcPr>
            <w:tcW w:w="2131" w:type="dxa"/>
          </w:tcPr>
          <w:p w14:paraId="3B1E7012"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Sử dụng lâu dài</w:t>
            </w:r>
          </w:p>
          <w:p w14:paraId="19BE42F9"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Cần có động cơ; Lớp nền phủ; Cấu hình phức tạp</w:t>
            </w:r>
          </w:p>
        </w:tc>
        <w:tc>
          <w:tcPr>
            <w:tcW w:w="2131" w:type="dxa"/>
          </w:tcPr>
          <w:p w14:paraId="331C1B88"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Le T.C. and Tsai C.J., 2017</w:t>
            </w:r>
          </w:p>
        </w:tc>
      </w:tr>
      <w:tr w:rsidR="00067D3B" w:rsidRPr="00203DC6" w14:paraId="6F9B1BC3" w14:textId="77777777" w:rsidTr="00067D3B">
        <w:trPr>
          <w:trHeight w:val="235"/>
          <w:jc w:val="center"/>
        </w:trPr>
        <w:tc>
          <w:tcPr>
            <w:tcW w:w="2130" w:type="dxa"/>
            <w:vMerge w:val="restart"/>
            <w:vAlign w:val="center"/>
          </w:tcPr>
          <w:p w14:paraId="683EC356" w14:textId="77777777" w:rsidR="00067D3B" w:rsidRPr="00203DC6" w:rsidRDefault="00067D3B" w:rsidP="00067D3B">
            <w:pPr>
              <w:jc w:val="cente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Mất hạt</w:t>
            </w:r>
          </w:p>
        </w:tc>
        <w:tc>
          <w:tcPr>
            <w:tcW w:w="2130" w:type="dxa"/>
          </w:tcPr>
          <w:p w14:paraId="4AD8A95C"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Đầu vào ngang trong bộ tác động ảo</w:t>
            </w:r>
          </w:p>
        </w:tc>
        <w:tc>
          <w:tcPr>
            <w:tcW w:w="2131" w:type="dxa"/>
          </w:tcPr>
          <w:p w14:paraId="74E61692"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Hiệu quả thu gom cao</w:t>
            </w:r>
          </w:p>
          <w:p w14:paraId="39FCCB50"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Cấu hình phức tạp</w:t>
            </w:r>
          </w:p>
        </w:tc>
        <w:tc>
          <w:tcPr>
            <w:tcW w:w="2131" w:type="dxa"/>
          </w:tcPr>
          <w:p w14:paraId="321081AC"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Marple V.A. et al., 1991; Tsai</w:t>
            </w:r>
          </w:p>
          <w:p w14:paraId="3E4B7382"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C.J. et al., 2012b</w:t>
            </w:r>
          </w:p>
        </w:tc>
      </w:tr>
      <w:tr w:rsidR="00067D3B" w:rsidRPr="00203DC6" w14:paraId="5A8A4406" w14:textId="77777777" w:rsidTr="00831FAA">
        <w:trPr>
          <w:trHeight w:val="235"/>
          <w:jc w:val="center"/>
        </w:trPr>
        <w:tc>
          <w:tcPr>
            <w:tcW w:w="2130" w:type="dxa"/>
            <w:vMerge/>
          </w:tcPr>
          <w:p w14:paraId="2C850A5E"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06EB7BD0"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Đầu phun mịn</w:t>
            </w:r>
          </w:p>
        </w:tc>
        <w:tc>
          <w:tcPr>
            <w:tcW w:w="2131" w:type="dxa"/>
          </w:tcPr>
          <w:p w14:paraId="12F98EDE"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Ưu điểm: Không </w:t>
            </w:r>
            <w:r w:rsidRPr="00203DC6">
              <w:rPr>
                <w:rFonts w:ascii="Times New Roman" w:hAnsi="Times New Roman" w:cs="Times New Roman"/>
                <w:color w:val="000000" w:themeColor="text1"/>
                <w:sz w:val="26"/>
                <w:szCs w:val="26"/>
              </w:rPr>
              <w:lastRenderedPageBreak/>
              <w:t>bị tắc nghẽn hạt</w:t>
            </w:r>
          </w:p>
          <w:p w14:paraId="0AEA85E3"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Cần kỹ thuật đặc biệt để chế tạo đầu phun kích thước siêu nhỏ</w:t>
            </w:r>
          </w:p>
        </w:tc>
        <w:tc>
          <w:tcPr>
            <w:tcW w:w="2131" w:type="dxa"/>
          </w:tcPr>
          <w:p w14:paraId="621F0185"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lastRenderedPageBreak/>
              <w:t xml:space="preserve">Heo J.E. et al., </w:t>
            </w:r>
            <w:r w:rsidRPr="00203DC6">
              <w:rPr>
                <w:color w:val="000000" w:themeColor="text1"/>
                <w:sz w:val="26"/>
                <w:szCs w:val="26"/>
              </w:rPr>
              <w:lastRenderedPageBreak/>
              <w:t>2018</w:t>
            </w:r>
          </w:p>
        </w:tc>
      </w:tr>
      <w:tr w:rsidR="00067D3B" w:rsidRPr="00203DC6" w14:paraId="04AE68CB" w14:textId="77777777" w:rsidTr="00067D3B">
        <w:trPr>
          <w:trHeight w:val="235"/>
          <w:jc w:val="center"/>
        </w:trPr>
        <w:tc>
          <w:tcPr>
            <w:tcW w:w="2130" w:type="dxa"/>
            <w:vMerge w:val="restart"/>
            <w:vAlign w:val="center"/>
          </w:tcPr>
          <w:p w14:paraId="05608BED" w14:textId="77777777" w:rsidR="00067D3B" w:rsidRPr="00203DC6" w:rsidRDefault="00067D3B" w:rsidP="00067D3B">
            <w:pPr>
              <w:jc w:val="cente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lastRenderedPageBreak/>
              <w:t>Tương tác nhiều tia</w:t>
            </w:r>
          </w:p>
        </w:tc>
        <w:tc>
          <w:tcPr>
            <w:tcW w:w="2130" w:type="dxa"/>
          </w:tcPr>
          <w:p w14:paraId="63E4AC3B"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Sự sắp xếp đối xứng của các vòi phun</w:t>
            </w:r>
          </w:p>
        </w:tc>
        <w:tc>
          <w:tcPr>
            <w:tcW w:w="2131" w:type="dxa"/>
          </w:tcPr>
          <w:p w14:paraId="56B048EC"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Ưu điểm: Độ lắng đọng đồng nhất</w:t>
            </w:r>
          </w:p>
          <w:p w14:paraId="43EA5861" w14:textId="77777777" w:rsidR="00067D3B" w:rsidRPr="00203DC6" w:rsidRDefault="00067D3B" w:rsidP="00831FAA">
            <w:pPr>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Nhược điểm: Không nghiên cứu đủ</w:t>
            </w:r>
          </w:p>
        </w:tc>
        <w:tc>
          <w:tcPr>
            <w:tcW w:w="2131" w:type="dxa"/>
          </w:tcPr>
          <w:p w14:paraId="104D687E"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Fang C. et al., 1991; Liu C.N. et al., 2013b; Chien C.L. et al., 2015</w:t>
            </w:r>
          </w:p>
        </w:tc>
      </w:tr>
      <w:tr w:rsidR="00067D3B" w:rsidRPr="00203DC6" w14:paraId="6E4788EB" w14:textId="77777777" w:rsidTr="00831FAA">
        <w:trPr>
          <w:trHeight w:val="235"/>
          <w:jc w:val="center"/>
        </w:trPr>
        <w:tc>
          <w:tcPr>
            <w:tcW w:w="2130" w:type="dxa"/>
            <w:vMerge/>
          </w:tcPr>
          <w:p w14:paraId="31F6DE02" w14:textId="77777777" w:rsidR="00067D3B" w:rsidRPr="00203DC6" w:rsidRDefault="00067D3B" w:rsidP="00831FAA">
            <w:pPr>
              <w:rPr>
                <w:rFonts w:ascii="Times New Roman" w:hAnsi="Times New Roman" w:cs="Times New Roman"/>
                <w:color w:val="000000" w:themeColor="text1"/>
                <w:sz w:val="26"/>
                <w:szCs w:val="26"/>
              </w:rPr>
            </w:pPr>
          </w:p>
        </w:tc>
        <w:tc>
          <w:tcPr>
            <w:tcW w:w="2130" w:type="dxa"/>
          </w:tcPr>
          <w:p w14:paraId="66AFB749" w14:textId="77777777" w:rsidR="00067D3B" w:rsidRPr="00203DC6" w:rsidRDefault="00067D3B" w:rsidP="00831FAA">
            <w:pPr>
              <w:rPr>
                <w:rFonts w:ascii="Times New Roman" w:hAnsi="Times New Roman" w:cs="Times New Roman"/>
                <w:color w:val="000000" w:themeColor="text1"/>
                <w:sz w:val="26"/>
                <w:szCs w:val="26"/>
              </w:rPr>
            </w:pPr>
          </w:p>
        </w:tc>
        <w:tc>
          <w:tcPr>
            <w:tcW w:w="2131" w:type="dxa"/>
          </w:tcPr>
          <w:p w14:paraId="7E174D13" w14:textId="77777777" w:rsidR="00067D3B" w:rsidRPr="00203DC6" w:rsidRDefault="00067D3B" w:rsidP="00831FAA">
            <w:pPr>
              <w:rPr>
                <w:rFonts w:ascii="Times New Roman" w:hAnsi="Times New Roman" w:cs="Times New Roman"/>
                <w:color w:val="000000" w:themeColor="text1"/>
                <w:sz w:val="26"/>
                <w:szCs w:val="26"/>
              </w:rPr>
            </w:pPr>
          </w:p>
        </w:tc>
        <w:tc>
          <w:tcPr>
            <w:tcW w:w="2131" w:type="dxa"/>
          </w:tcPr>
          <w:p w14:paraId="5EF4BEC6" w14:textId="77777777" w:rsidR="00067D3B" w:rsidRPr="00203DC6" w:rsidRDefault="00067D3B" w:rsidP="00831FAA">
            <w:pPr>
              <w:pStyle w:val="TableParagraph"/>
              <w:spacing w:before="0"/>
              <w:ind w:left="0"/>
              <w:rPr>
                <w:color w:val="000000" w:themeColor="text1"/>
                <w:sz w:val="26"/>
                <w:szCs w:val="26"/>
              </w:rPr>
            </w:pPr>
            <w:r w:rsidRPr="00203DC6">
              <w:rPr>
                <w:color w:val="000000" w:themeColor="text1"/>
                <w:sz w:val="26"/>
                <w:szCs w:val="26"/>
              </w:rPr>
              <w:t>Kwon H.B. et al., 2018</w:t>
            </w:r>
          </w:p>
        </w:tc>
      </w:tr>
    </w:tbl>
    <w:p w14:paraId="00B903B5" w14:textId="51547A2E" w:rsidR="00713F12" w:rsidRPr="00831FAA" w:rsidRDefault="00831FAA" w:rsidP="00831FAA">
      <w:pPr>
        <w:pStyle w:val="ListParagraph"/>
        <w:numPr>
          <w:ilvl w:val="0"/>
          <w:numId w:val="3"/>
        </w:numPr>
        <w:spacing w:before="120"/>
        <w:jc w:val="both"/>
        <w:rPr>
          <w:rFonts w:ascii="Times New Roman" w:hAnsi="Times New Roman" w:cs="Times New Roman"/>
          <w:b/>
          <w:bCs/>
          <w:color w:val="000000" w:themeColor="text1"/>
          <w:sz w:val="26"/>
          <w:szCs w:val="26"/>
        </w:rPr>
      </w:pPr>
      <w:r w:rsidRPr="00831FAA">
        <w:rPr>
          <w:rFonts w:ascii="Times New Roman" w:hAnsi="Times New Roman" w:cs="Times New Roman"/>
          <w:b/>
          <w:bCs/>
          <w:color w:val="000000" w:themeColor="text1"/>
          <w:sz w:val="26"/>
          <w:szCs w:val="26"/>
        </w:rPr>
        <w:t>Ứng dụng của bộ tác động quán tính</w:t>
      </w:r>
    </w:p>
    <w:p w14:paraId="4939B582" w14:textId="0F336406"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Sự phát triển của bộ tác động quán tính phù hợp với nhu cầu phát triển các thiết bị đo PM. Phép đo PM phục vụ nhiều mục đích khác nhau như (i) xác định nồng độ PM10 hoặc PM2.5 để xác định sự tuân thủ với tiêu chuẩn chất lượng không khí xung quanh quốc gia (NAAQS), (ii) xác định sự phân bố khối lượng hạt, (iii) xác định các đặc tính vật lý và hóa học của các hạt và (iv) đánh giá mức độ phơi nhiễm của các PM. Nhiều nghiên cứu đã được nhóm của chúng tôi thực hiện để đo khối lượng xung quanh của PM2.5 và các hạt siêu mịn bằng cách sử dụng tác động quán tính thương mại để đo nồng độ khối lượng PM2.5 và đánh giá hiệu suất trên mỗi màn hình PM2.5 (Liu CN và cộng sự, 2013a ), phép đo nồng độ khối lượng và thành phần hóa học của PM2.5 (Liu CN và cộng sự, 2014; Liu CN và cộng sự, 2015) và các hạt siêu mịn (Chen SC và cộng sự, 2010a; Chen SC và cộng sự, 2010b ), phép đo dài hạn cho nồng độ khối lượng PM2.5 và hạt siêu mịn (Lin GY và cộng sự, 2015), và phép đo PM10, PM2.5 và PM0.1 để xác định đặc tính và tỷ lệ nguồn (Gugamsetty B . và cộng sự, 2012).</w:t>
      </w:r>
    </w:p>
    <w:p w14:paraId="685C04D3" w14:textId="000F8274" w:rsidR="00713F12" w:rsidRPr="00D52E2B" w:rsidRDefault="00831FAA" w:rsidP="00D52E2B">
      <w:pPr>
        <w:pStyle w:val="ListParagraph"/>
        <w:numPr>
          <w:ilvl w:val="1"/>
          <w:numId w:val="3"/>
        </w:numPr>
        <w:spacing w:before="120"/>
        <w:jc w:val="both"/>
        <w:rPr>
          <w:rFonts w:ascii="Times New Roman" w:hAnsi="Times New Roman" w:cs="Times New Roman"/>
          <w:b/>
          <w:bCs/>
          <w:i/>
          <w:iCs/>
          <w:color w:val="000000" w:themeColor="text1"/>
          <w:sz w:val="26"/>
          <w:szCs w:val="26"/>
        </w:rPr>
      </w:pPr>
      <w:r w:rsidRPr="00D52E2B">
        <w:rPr>
          <w:rFonts w:ascii="Times New Roman" w:hAnsi="Times New Roman" w:cs="Times New Roman"/>
          <w:b/>
          <w:bCs/>
          <w:i/>
          <w:iCs/>
          <w:color w:val="000000" w:themeColor="text1"/>
          <w:sz w:val="26"/>
          <w:szCs w:val="26"/>
        </w:rPr>
        <w:t>Đo khối lượng PM</w:t>
      </w:r>
    </w:p>
    <w:p w14:paraId="2D320DC3" w14:textId="10A6E2AA"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 xml:space="preserve">Để đo nồng độ khối lượng PM xung quanh để xác định sự tuân thủ NAAQS đối với PM10 và PM2.5, tương ứng, các bộ lấy mẫu PM FRM (Phương pháp Tham chiếu Liên bang) và Bộ </w:t>
      </w:r>
      <w:r w:rsidR="002E2920">
        <w:rPr>
          <w:rFonts w:ascii="Times New Roman" w:hAnsi="Times New Roman" w:cs="Times New Roman"/>
          <w:color w:val="000000" w:themeColor="text1"/>
          <w:sz w:val="26"/>
          <w:szCs w:val="26"/>
        </w:rPr>
        <w:t>quan trắc</w:t>
      </w:r>
      <w:r w:rsidRPr="00831FAA">
        <w:rPr>
          <w:rFonts w:ascii="Times New Roman" w:hAnsi="Times New Roman" w:cs="Times New Roman"/>
          <w:color w:val="000000" w:themeColor="text1"/>
          <w:sz w:val="26"/>
          <w:szCs w:val="26"/>
        </w:rPr>
        <w:t xml:space="preserve"> FEM (Phương pháp Tương đương Liên bang) được sử dụng (USEPA, 2017a; Le TC và cộng sự, 2020). Máy lấy mẫu FRM và máy theo dõi FEM sử dụng đầu vào chọn lọc kích thước để phân loại các kích thước hạt mong muốn thu thập trên bộ lọc để phân tích thêm. Do các đặc tính cắt bén của các tác động quán tính, chúng được triển khai rộng rãi cho các đầu vào có kích thước lựa chọn. Các đầu vào chọn lọc kích thước PM10 và PM2.5 được thiết kế dựa trên các yêu cầu của EPA Hoa Kỳ về đường kính ngưỡng, độ sắc nét của đường cong hiệu quả thu thập, tốc độ dòng chảy và độ chính xác để lấy mẫu trong thời gian dài. Danh sách các đầu vào chọn lọc kích thước PM10 và PM2.5 bao gồm bộ tác động thông thường và bộ tác động ảo được thể hiện trong Bảng 26.1 trong Watson J.G. và Chow J.C. (2011) và không được lặp lại ở đây. US EPA chỉ định rằng các đầu vào chọn lọc kích thước PM10 phải có kích thước cắt 10 ± 0,5 μm và độ sắc nét của đường cong hiệu quả lấy mẫu là 1,5 ± 0,1 (USEPA, 2017a) và các đầu vào chọn lọc kích thước PM2.5 phải kích thước cắt 2,5 ± 0,2 μm nhưng độ sắc </w:t>
      </w:r>
      <w:r w:rsidRPr="00831FAA">
        <w:rPr>
          <w:rFonts w:ascii="Times New Roman" w:hAnsi="Times New Roman" w:cs="Times New Roman"/>
          <w:color w:val="000000" w:themeColor="text1"/>
          <w:sz w:val="26"/>
          <w:szCs w:val="26"/>
        </w:rPr>
        <w:lastRenderedPageBreak/>
        <w:t xml:space="preserve">nét của đường cong không được chỉ định. Đường cong sắc nét của đầu vào PM2.5 cần phải phù hợp với đường cong </w:t>
      </w:r>
      <w:r w:rsidR="00E3249C">
        <w:rPr>
          <w:rFonts w:ascii="Times New Roman" w:hAnsi="Times New Roman" w:cs="Times New Roman"/>
          <w:color w:val="000000" w:themeColor="text1"/>
          <w:sz w:val="26"/>
          <w:szCs w:val="26"/>
        </w:rPr>
        <w:t>WIN</w:t>
      </w:r>
      <w:r w:rsidRPr="00831FAA">
        <w:rPr>
          <w:rFonts w:ascii="Times New Roman" w:hAnsi="Times New Roman" w:cs="Times New Roman"/>
          <w:color w:val="000000" w:themeColor="text1"/>
          <w:sz w:val="26"/>
          <w:szCs w:val="26"/>
        </w:rPr>
        <w:t xml:space="preserve"> (GSD = 1.18) (Peters TM và cộng sự, 2001) và xoáy thuận cắt rất sắc (VSCC, GSD = 1.16) (Kenny LC và cộng sự. , 2004), là các đầu vào tiêu chuẩn được quy định trong USEPA (2017a). Các quốc gia khác quy định độ sắc nét của đường cong là 1,2 ± 0,1 (MEPC, 2013; ECS, 2014).</w:t>
      </w:r>
    </w:p>
    <w:p w14:paraId="7446B606" w14:textId="35D46616"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 xml:space="preserve">Ngày nay, nhiều máy lấy mẫu FRM và máy </w:t>
      </w:r>
      <w:r w:rsidR="002E2920">
        <w:rPr>
          <w:rFonts w:ascii="Times New Roman" w:hAnsi="Times New Roman" w:cs="Times New Roman"/>
          <w:color w:val="000000" w:themeColor="text1"/>
          <w:sz w:val="26"/>
          <w:szCs w:val="26"/>
        </w:rPr>
        <w:t>quan trắc</w:t>
      </w:r>
      <w:r w:rsidRPr="00831FAA">
        <w:rPr>
          <w:rFonts w:ascii="Times New Roman" w:hAnsi="Times New Roman" w:cs="Times New Roman"/>
          <w:color w:val="000000" w:themeColor="text1"/>
          <w:sz w:val="26"/>
          <w:szCs w:val="26"/>
        </w:rPr>
        <w:t xml:space="preserve"> FEM sử dụng đầu vào phẳng có khối lượng thấp (McFarland AR và cộng sự, 1984) và đầu vào PM10 lớn (Tolocka MP và cộng sự, 2001) để phân loại các hạt nhỏ hơn 10 μm ở tốc độ dòng chảy thấp của 16,7 </w:t>
      </w:r>
      <w:r w:rsidR="00E26B5D">
        <w:rPr>
          <w:rFonts w:ascii="Times New Roman" w:hAnsi="Times New Roman" w:cs="Times New Roman"/>
          <w:color w:val="000000" w:themeColor="text1"/>
          <w:sz w:val="26"/>
          <w:szCs w:val="26"/>
        </w:rPr>
        <w:t>L/min</w:t>
      </w:r>
      <w:r w:rsidRPr="00831FAA">
        <w:rPr>
          <w:rFonts w:ascii="Times New Roman" w:hAnsi="Times New Roman" w:cs="Times New Roman"/>
          <w:color w:val="000000" w:themeColor="text1"/>
          <w:sz w:val="26"/>
          <w:szCs w:val="26"/>
        </w:rPr>
        <w:t xml:space="preserve"> (USEPA, 2017b). Tuy nhiên, một số nghiên cứu phát hiện ra rằng đầu vào PM10 khối lượng thấp có độ không đảm bảo trong hiệu quả lấy mẫu đo được. Các nghiên cứu này phát hiện ra rằng hiệu suất lấy mẫu của đầu vào PM10 rất nhạy cảm với sự thay đổi của các nguồn hạt (Wang L. và cộng sự, 2005), sự phân bố kích thước hạt (Buser MD và cộng sự, 2008) và tỷ lệ TSP / PM10 (Tổng số lơ lửng hạt) (Watson JG và cộng sự, 2011</w:t>
      </w:r>
      <w:r w:rsidRPr="00E3249C">
        <w:rPr>
          <w:rFonts w:ascii="Times New Roman" w:hAnsi="Times New Roman" w:cs="Times New Roman"/>
          <w:color w:val="000000" w:themeColor="text1"/>
          <w:sz w:val="26"/>
          <w:szCs w:val="26"/>
        </w:rPr>
        <w:t xml:space="preserve">). Bộ lấy mẫu PM10 khối lượng thấp đã đánh giá quá cao PM10 khi nó được sử dụng để đo các hạt tro bay so với máy tác động tầng Andersen </w:t>
      </w:r>
      <w:r w:rsidRPr="00831FAA">
        <w:rPr>
          <w:rFonts w:ascii="Times New Roman" w:hAnsi="Times New Roman" w:cs="Times New Roman"/>
          <w:color w:val="000000" w:themeColor="text1"/>
          <w:sz w:val="26"/>
          <w:szCs w:val="26"/>
        </w:rPr>
        <w:t xml:space="preserve">(Park J.M. và cộng sự, 2009). Khi nguồn hạt bị chi phối bởi các hạt lớn hơn kích thước cắt, một phần nhỏ các hạt lớn hơn kích thước cắt có thể gây ra ước tính quá mức (Faulkner W.B. et al., 2014). Trong nghiên cứu trước, chúng tôi đã phát hiện ra rằng sự biến dạng của hiệu suất lấy mẫu của bộ lấy mẫu PM10 khối lượng thấp có thể là do hạt nảy và cuốn lại từ bề mặt không được phủ của đầu vào PM10 và quá tải hạt của bộ tác động PM10 sau một thời gian dài. khoảng thời gian lấy mẫu, dẫn đến đo lường quá mức và đo lường thấp hơn, tương ứng. Do đó, đầu vào PM10 được yêu cầu phải được làm sạch hàng ngày để loại bỏ những ảnh hưởng này. Tương tự như vậy, hầu hết các máy lấy mẫu FRM và máy theo dõi FEM (16,7 </w:t>
      </w:r>
      <w:r w:rsidR="00E26B5D">
        <w:rPr>
          <w:rFonts w:ascii="Times New Roman" w:hAnsi="Times New Roman" w:cs="Times New Roman"/>
          <w:color w:val="000000" w:themeColor="text1"/>
          <w:sz w:val="26"/>
          <w:szCs w:val="26"/>
        </w:rPr>
        <w:t>L/min</w:t>
      </w:r>
      <w:r w:rsidRPr="00831FAA">
        <w:rPr>
          <w:rFonts w:ascii="Times New Roman" w:hAnsi="Times New Roman" w:cs="Times New Roman"/>
          <w:color w:val="000000" w:themeColor="text1"/>
          <w:sz w:val="26"/>
          <w:szCs w:val="26"/>
        </w:rPr>
        <w:t>) sử dụng PM2.5 WINS làm đầu vào PM2.5 (USEPA, 2017b), có giếng tác động phải được thay thế sau 3-5 ngày lấy mẫu để loại bỏ hạt vấn đề quá tải (Le TC và Tsai CJ, 2017). Đầu vào M-PM10 và đầu vào PM2.5 M-WINS do nhóm chúng tôi phát triển đã được thử nghiệm trong một tháng mà không cần vệ sinh và bảo trì thường xuyên. Chúng có thể được sử dụng để thay thế đầu vào PM10 truyền thống và đầu vào PM2.5 WINS để lấy mẫu PM.</w:t>
      </w:r>
    </w:p>
    <w:p w14:paraId="451E642A" w14:textId="4B798747"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Máy tác động MiniVol với tốc độ dòng chảy 5 L/phút cũng được sử dụng để xác định khối lượng và thành phần hóa học của các hạt mịn (Du W. et al., 2017; Fan ZL et al., 2017; Thuy NTT et al., 2018 ) hoặc được sử dụng làm tài liệu tham khảo để hiệu chuẩn (Begum BA và Hopke PK, 2019). Tuy nhiên, các nghiên cứu trước đây cho thấy dữ liệu MiniVol không đồng nhất với các máy lấy mẫu và màn hình sắp xếp khác (Kingham S. et al., 2006). Điều này có thể là do độ nảy của hạt và hiệu ứng tải của hạt. Tấm ép của bộ tác động MiniVol cần được làm sạch và tráng lại dầu mỡ sau 5 ngày lấy mẫu hoặc thường xuyên hơn nếu quan sát thấy quá tải để phục hồi hoạt động tốt (AMI, 2020). Máy tác động cắt sắc bén Harvard khối lượng nhỏ (4 L/phút) hoặc khối lượng thấp (10–20 L/</w:t>
      </w:r>
      <w:r>
        <w:rPr>
          <w:rFonts w:ascii="Times New Roman" w:hAnsi="Times New Roman" w:cs="Times New Roman"/>
          <w:color w:val="000000" w:themeColor="text1"/>
          <w:sz w:val="26"/>
          <w:szCs w:val="26"/>
        </w:rPr>
        <w:t>min</w:t>
      </w:r>
      <w:r w:rsidRPr="00831FAA">
        <w:rPr>
          <w:rFonts w:ascii="Times New Roman" w:hAnsi="Times New Roman" w:cs="Times New Roman"/>
          <w:color w:val="000000" w:themeColor="text1"/>
          <w:sz w:val="26"/>
          <w:szCs w:val="26"/>
        </w:rPr>
        <w:t>) với các kích thước cắt khác nhau là 10, 2,5 và 1,0 μm, sử dụng chất nền ép phủ dầu để loại bỏ hiệu ứng phản xạ hạt, chủ yếu được sử dụng để đo trong nhà và thử nghiệm hiện trường ngoài cửa (Rovelli S. et al., 2017).</w:t>
      </w:r>
    </w:p>
    <w:p w14:paraId="1986E202" w14:textId="092716A7" w:rsidR="00713F12" w:rsidRPr="00D52E2B" w:rsidRDefault="00831FAA" w:rsidP="00D52E2B">
      <w:pPr>
        <w:pStyle w:val="ListParagraph"/>
        <w:numPr>
          <w:ilvl w:val="1"/>
          <w:numId w:val="3"/>
        </w:numPr>
        <w:spacing w:before="120"/>
        <w:jc w:val="both"/>
        <w:rPr>
          <w:rFonts w:ascii="Times New Roman" w:hAnsi="Times New Roman" w:cs="Times New Roman"/>
          <w:b/>
          <w:bCs/>
          <w:i/>
          <w:iCs/>
          <w:color w:val="000000" w:themeColor="text1"/>
          <w:sz w:val="26"/>
          <w:szCs w:val="26"/>
        </w:rPr>
      </w:pPr>
      <w:r w:rsidRPr="00D52E2B">
        <w:rPr>
          <w:rFonts w:ascii="Times New Roman" w:hAnsi="Times New Roman" w:cs="Times New Roman"/>
          <w:b/>
          <w:bCs/>
          <w:i/>
          <w:iCs/>
          <w:color w:val="000000" w:themeColor="text1"/>
          <w:sz w:val="26"/>
          <w:szCs w:val="26"/>
        </w:rPr>
        <w:t>Đầu vào cho hai phân số kích thước</w:t>
      </w:r>
    </w:p>
    <w:p w14:paraId="19D436F9" w14:textId="4106AFA0"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Để xác định sự tuân thủ NAAQS, người ta thường muốn phân đoạn các hạt thành hai phần kích thước đồng thời, một phần tương ứng với chế độ hạt thô (&gt; 2,5 μm) và một phần tương ứng với chế độ hạt mịn (≤ 2,5 μm). Tác động ảo rất thích </w:t>
      </w:r>
      <w:r w:rsidRPr="00203DC6">
        <w:rPr>
          <w:rFonts w:ascii="Times New Roman" w:hAnsi="Times New Roman" w:cs="Times New Roman"/>
          <w:color w:val="000000" w:themeColor="text1"/>
          <w:sz w:val="26"/>
          <w:szCs w:val="26"/>
        </w:rPr>
        <w:lastRenderedPageBreak/>
        <w:t xml:space="preserve">hợp cho ứng dụng này (Lin G.Y. và cộng sự, 2015; Landis M.S. và cộng sự, 2017). Máy tác động ảo Andersen Dichotomous (McFarland A.R. và cộng sự, 1978) được sử dụng rộng rãi nhất để thu thập các hạt thô và mịn ở tốc độ dòng chảy thấp. 16,7 </w:t>
      </w:r>
      <w:r w:rsidR="00E26B5D">
        <w:rPr>
          <w:rFonts w:ascii="Times New Roman" w:hAnsi="Times New Roman" w:cs="Times New Roman"/>
          <w:color w:val="000000" w:themeColor="text1"/>
          <w:sz w:val="26"/>
          <w:szCs w:val="26"/>
        </w:rPr>
        <w:t>L/min</w:t>
      </w:r>
      <w:r w:rsidRPr="00203DC6">
        <w:rPr>
          <w:rFonts w:ascii="Times New Roman" w:hAnsi="Times New Roman" w:cs="Times New Roman"/>
          <w:color w:val="000000" w:themeColor="text1"/>
          <w:sz w:val="26"/>
          <w:szCs w:val="26"/>
        </w:rPr>
        <w:t xml:space="preserve"> (Gugamsetty B. và cộng sự, 2012). Các loại tác động ảo khác đã được phát triển và triển khai cho các mục đích đo lường cụ thể. Ví dụ, bộ lấy mẫu trichotomous PM1.0 / 2.5 / 10 (bộ tác động ảo theo tầng) với tốc độ dòng lấy mẫu cao 1133 </w:t>
      </w:r>
      <w:r w:rsidR="00E26B5D">
        <w:rPr>
          <w:rFonts w:ascii="Times New Roman" w:hAnsi="Times New Roman" w:cs="Times New Roman"/>
          <w:color w:val="000000" w:themeColor="text1"/>
          <w:sz w:val="26"/>
          <w:szCs w:val="26"/>
        </w:rPr>
        <w:t>L/min</w:t>
      </w:r>
      <w:r w:rsidRPr="00203DC6">
        <w:rPr>
          <w:rFonts w:ascii="Times New Roman" w:hAnsi="Times New Roman" w:cs="Times New Roman"/>
          <w:color w:val="000000" w:themeColor="text1"/>
          <w:sz w:val="26"/>
          <w:szCs w:val="26"/>
        </w:rPr>
        <w:t xml:space="preserve"> đã được phát triển để đo khối lượng và nồng độ ion của PM tại Phoenix, Arizona, Hoa Kỳ (Marple VA và cộng sự, 2013, 2014a).</w:t>
      </w:r>
    </w:p>
    <w:p w14:paraId="7D4DA0CE" w14:textId="2B15EBD7" w:rsidR="00713F12" w:rsidRPr="00D52E2B" w:rsidRDefault="00831FAA" w:rsidP="00D52E2B">
      <w:pPr>
        <w:pStyle w:val="ListParagraph"/>
        <w:numPr>
          <w:ilvl w:val="1"/>
          <w:numId w:val="3"/>
        </w:numPr>
        <w:spacing w:before="120"/>
        <w:jc w:val="both"/>
        <w:rPr>
          <w:rFonts w:ascii="Times New Roman" w:hAnsi="Times New Roman" w:cs="Times New Roman"/>
          <w:i/>
          <w:iCs/>
          <w:color w:val="000000" w:themeColor="text1"/>
          <w:sz w:val="26"/>
          <w:szCs w:val="26"/>
        </w:rPr>
      </w:pPr>
      <w:r w:rsidRPr="00D52E2B">
        <w:rPr>
          <w:rFonts w:ascii="Times New Roman" w:hAnsi="Times New Roman" w:cs="Times New Roman"/>
          <w:b/>
          <w:bCs/>
          <w:i/>
          <w:iCs/>
          <w:color w:val="000000" w:themeColor="text1"/>
          <w:sz w:val="26"/>
          <w:szCs w:val="26"/>
        </w:rPr>
        <w:t>Phép đo phân bố khối lượng hạt</w:t>
      </w:r>
    </w:p>
    <w:p w14:paraId="261F0170" w14:textId="0594BD07"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Việc xác định nồng độ khối lượng của các hạt nhỏ hơn một kích thước nhất định là có giá trị nhưng cần xác định sự phân bố khối lượng của toàn bộ hạt aerosol. Trong trường hợp này, bộ tác động tầng có thể được triển khai để bao phủ một phạm vi kích thước hạt rất rộng từ vài nanomet đến hàng chục micromet (Marple VA và cộng sự, 1991; Fernandez de la Mora J. và Schmidt-Ott A., 1993; Arffman A. và cộng sự, 2015). Mong muốn có một bộ tác động tầng để đo phân bố khối lượng hạt với nhiều tốc độ dòng chảy, phạm vi kích thước hạt lớn, độ phân giải kích thước tốt (hoặc một số kênh), giảm áp suất thấp, thu thập hạt đồng đều, ít tổn thất giữa các giai đoạn, không có hạt nảy, khối lượng chịu tải cao và dễ dàng lắp ráp và tháo rời các giai đoạn (Marple VA, 2004). Danh sách các bộ tác động tầng có sẵn trên thị trường được trình bày trong Bảng 8-1 trong Marple V.A. và Olson BA. (2011). Một số bộ tác động tầng thường được sử dụng là bộ tác động tầng Andersen (Andersen AA, 1966), bộ tác động tầng Mercer (Mercer TT và cộng sự, 1970), bộ tác động xếp tầng Quartz Crystal Microbalance (QCM) (Hering SV, 1987), bộ tác động tầng Pilat (Pilat MJ et al., 1970), Berner low-pressure cascadeor (Berner A., ​​1972), Low-Pressure Impactor (Berner A., ​​1972), Dekati® Low-Pressure Impactor (DLPI) (Durand T. et al., 2014), MOUDI (Marple VA et al., 1991; Marple VA et al., 2014b) và NMCI (Liu CN et al., 2013b; Chien CL et al., 2015) Máy tác động tầng được sử dụng rộng rãi nhất để xác định khối lượng hạt phân phối là MOUDI, đo nồng độ khối lượng theo mười phân số kích thước xuống đến các hạt kích thước nano với độ giảm áp suất vừa phải (D</w:t>
      </w:r>
      <w:r w:rsidRPr="00A93550">
        <w:rPr>
          <w:rFonts w:ascii="Times New Roman" w:hAnsi="Times New Roman" w:cs="Times New Roman"/>
          <w:color w:val="000000" w:themeColor="text1"/>
          <w:sz w:val="26"/>
          <w:szCs w:val="26"/>
          <w:vertAlign w:val="subscript"/>
        </w:rPr>
        <w:t>pa50</w:t>
      </w:r>
      <w:r w:rsidRPr="00831FAA">
        <w:rPr>
          <w:rFonts w:ascii="Times New Roman" w:hAnsi="Times New Roman" w:cs="Times New Roman"/>
          <w:color w:val="000000" w:themeColor="text1"/>
          <w:sz w:val="26"/>
          <w:szCs w:val="26"/>
        </w:rPr>
        <w:t xml:space="preserve"> = 10, 5.6, 3.2, 1.8, 1.0, 0.56, 0.32, 0.18, 0.10, và 0,056 μm) ở tốc độ dòng chảy trung bình 30 </w:t>
      </w:r>
      <w:r w:rsidR="00E26B5D">
        <w:rPr>
          <w:rFonts w:ascii="Times New Roman" w:hAnsi="Times New Roman" w:cs="Times New Roman"/>
          <w:color w:val="000000" w:themeColor="text1"/>
          <w:sz w:val="26"/>
          <w:szCs w:val="26"/>
        </w:rPr>
        <w:t>L/min</w:t>
      </w:r>
      <w:r w:rsidRPr="00831FAA">
        <w:rPr>
          <w:rFonts w:ascii="Times New Roman" w:hAnsi="Times New Roman" w:cs="Times New Roman"/>
          <w:color w:val="000000" w:themeColor="text1"/>
          <w:sz w:val="26"/>
          <w:szCs w:val="26"/>
        </w:rPr>
        <w:t xml:space="preserve"> (Marple V.A. và cộng sự, 2014b). Trong MOUDI, các hạt với các phạm vi kích thước khác nhau được thu thập trên các chất nền đã được chuẩn bị kỹ lưỡng như lá nhôm phủ dầu hoặc bộ lọc Teflon để xác định sự phân bố nồng độ khối lượng. Một ưu điểm của MOUDI là nó có thể thu thập các hạt một cách đồng nhất trên bề mặt bằng cách sử dụng nhiều vòi phun và các tấm ép quay và / hoặc các tấm vòi phun. Các chất nền ép có thể là bộ lọc Teflon để xác định khối lượng và thành phần hóa học hoặc lá nhôm phủ dầu mỡ chỉ để tập trung khối lượng mà không có hiệu ứng nảy hạt đáng kể. MOUDI kết hợp với MOUDI nano hoặc MOUDI-II 10 </w:t>
      </w:r>
      <w:r w:rsidR="00E26B5D">
        <w:rPr>
          <w:rFonts w:ascii="Times New Roman" w:hAnsi="Times New Roman" w:cs="Times New Roman"/>
          <w:color w:val="000000" w:themeColor="text1"/>
          <w:sz w:val="26"/>
          <w:szCs w:val="26"/>
        </w:rPr>
        <w:t>L/min</w:t>
      </w:r>
      <w:r w:rsidRPr="00831FAA">
        <w:rPr>
          <w:rFonts w:ascii="Times New Roman" w:hAnsi="Times New Roman" w:cs="Times New Roman"/>
          <w:color w:val="000000" w:themeColor="text1"/>
          <w:sz w:val="26"/>
          <w:szCs w:val="26"/>
        </w:rPr>
        <w:t xml:space="preserve"> đã được phát triển thêm để có độ phân giải cao hơn cho các hạt nano với ba giai đoạn bổ sung (Dpa50 = 0,010, 0,018 và 0,032 μm) sau giai đoạn thứ 10 (Dpa50 = 0,56 μm) ( Marple VA và Olson BA, 1999). MOUDI-II được sử dụng để đảm bảo phân đoạn theo kích thước về nồng độ khối lượng, thành phần hóa học và hình thái của các hạt siêu mịn xung quanh. MOUDI-II cần thời gian lấy mẫu dài để thu thập đủ khối lượng NP để đo chính xác nồng độ khối lượng và thành phần hóa học của chúng. Nhóm của chúng tôi đã nghiên cứu hiệu suất của MOUDI và nhận thấy rằng các vòi phun của các giai đoạn từ thứ 7 đến thứ 10 của MOUDI dễ bị tắc do cấu trúc theo từng bước với sự co thắt đột ngột. </w:t>
      </w:r>
      <w:r w:rsidRPr="00831FAA">
        <w:rPr>
          <w:rFonts w:ascii="Times New Roman" w:hAnsi="Times New Roman" w:cs="Times New Roman"/>
          <w:color w:val="000000" w:themeColor="text1"/>
          <w:sz w:val="26"/>
          <w:szCs w:val="26"/>
        </w:rPr>
        <w:lastRenderedPageBreak/>
        <w:t>Các tấm nozzle không thích hợp để làm sạch bằng sóng siêu âm để di chuyển lại các cặn hạt do cấu trúc mỏng và dễ vỡ của chúng (Liu C.N. và cộng sự, 2013b). Do đó, NMCI với hình dạng vòi trơn đã được phát triển để loại bỏ các vấn đề tắc nghẽn (Liu C.N. et al., 2013b).</w:t>
      </w:r>
    </w:p>
    <w:p w14:paraId="0E86F03F" w14:textId="77777777"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Do nhu cầu đo tự động phân bố khối lượng hạt, một số máy tác động theo tầng đã được phát triển và thương mại hóa. Yêu cầu của phép đo thời gian thực là độ nhạy để phát hiện nồng độ phần nhỏ và thời gian phản hồi ngắn. Bộ tác động tầng QCM mười giai đoạn, trong đó các cảm biến tinh thể thạch anh điện áp được gắn phẳng trên các tấm xung kích, đã được phát triển trước đó (Chuan R.L., 1970). Trong bộ tác động tầng QCM, nồng độ khối lượng được tính toán dựa trên sự khác biệt về tần số của các QCM trước và sau khi tác động của hạt lên tinh thể áp điện (Chen M. và cộng sự, 2016). Các nghiên cứu trước đây cho thấy rằng bộ tác động tầng QCM có hiệu ứng phản xạ hạt (Hering SV, 1987), mất hạt cao lên đến 50%, độ nhạy lệch tâm thấp và độ nhạy thấp của nồng độ hạt nano (Keskinen J. et al. ., 1992). Một bộ tác động tầng QCM mới đã được phát triển để khắc phục những vấn đề này, trong đó bộ điều khiển RH được sử dụng để kiểm soát RH của sol khí đi vào từ 40% đến 65% để loại bỏ hiệu ứng dội lại của hạt và đảm bảo kết hợp hạt với QCM và trở kháng - phép đo ace được sử dụng để đạt được độ phân giải khối lượng nanogram (Chen M. và cộng sự, 2016).</w:t>
      </w:r>
    </w:p>
    <w:p w14:paraId="5116772D" w14:textId="5BED2E02"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Bộ tác động điện áp thấp (ELPI) được phát triển bởi Keskinen J. et al. (1992) có thể được sử dụng để phát hiện sự phân bố nồng độ số trong thời gian thực. ELPI bao gồm một bộ sạc đơn cực, theo sau là một bộ tác động tầng kết hợp với điện kế đa kênh. Các hạt đầu tiên được tích điện đơn cực khi chúng đi qua bộ sạc và sau đó được thu thập trên các tấm tác động cách ly về điện trong bộ tác động tầng. Dòng điện của mỗi giai đoạn được đọc bởi một kênh điện kế tương ứng và được chuyển đổi thành nồng độ số hạt. Nhiều nghiên cứu đã được thực hiện để hiệu chỉnh và cải thiện hiệu suất của ELPI. ELPI mới nhất (Dekati® ELPI® +) được phát triển để đo sự phân bố số lượng hạt với độ phân giải kích thước rất cao (13 kênh), phạm vi kích thước hạt rộng (từ 6 nm đến 10 μm) và phản ứng nhanh (giây) (Järvinen A. và cộng sự, 2014). Cần lưu ý rằng hiệu suất của ELPI có thể bị ảnh hưởng bởi hiệu suất sạc phụ thuộc vào kích thước và nồng độ hạt và bị ảnh hưởng bởi sự lão hóa của bộ sạc (Järvinen A. et al., 2014). Bộ tác động tầng áp suất thấp điện được phát triển thêm để đạt được độ phân giải cao hơn với 100 hoặc 500 phân số kích thước (tức là HR-ELPI +) (Saari S. và cộng sự, 2018) hoặc đo nồng độ khối lượng hạt nano bằng cách sử dụng bộ sạc corona wire-to-rode để loại bỏ sự hình thành hạt mới có thể xảy ra trong bộ sạc corona pin-to-plate (Han J. và cộng sự, 2018).</w:t>
      </w:r>
    </w:p>
    <w:p w14:paraId="618E9DA3" w14:textId="2B1C4E67" w:rsidR="00713F12" w:rsidRPr="00D52E2B" w:rsidRDefault="00831FAA" w:rsidP="00D52E2B">
      <w:pPr>
        <w:pStyle w:val="ListParagraph"/>
        <w:numPr>
          <w:ilvl w:val="1"/>
          <w:numId w:val="3"/>
        </w:numPr>
        <w:spacing w:before="120"/>
        <w:jc w:val="both"/>
        <w:rPr>
          <w:rFonts w:ascii="Times New Roman" w:hAnsi="Times New Roman" w:cs="Times New Roman"/>
          <w:b/>
          <w:bCs/>
          <w:i/>
          <w:iCs/>
          <w:color w:val="000000" w:themeColor="text1"/>
          <w:sz w:val="26"/>
          <w:szCs w:val="26"/>
        </w:rPr>
      </w:pPr>
      <w:r w:rsidRPr="00D52E2B">
        <w:rPr>
          <w:rFonts w:ascii="Times New Roman" w:hAnsi="Times New Roman" w:cs="Times New Roman"/>
          <w:b/>
          <w:bCs/>
          <w:i/>
          <w:iCs/>
          <w:color w:val="000000" w:themeColor="text1"/>
          <w:sz w:val="26"/>
          <w:szCs w:val="26"/>
        </w:rPr>
        <w:t>Đo mức độ phơi nhiễm cá nhân</w:t>
      </w:r>
    </w:p>
    <w:p w14:paraId="37425812" w14:textId="77777777"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Đo lường mức độ phơi nhiễm PM của cá nhân là để đánh giá mức độ tiếp xúc với PM của từng người lao động tại nơi làm việc hoặc môi trường vi mô nơi họ dành phần lớn thời gian hàng ngày (Marple V.A. và Olson B.A., 2011). Phép đo mức độ phơi nhiễm cá nhân phụ thuộc vào nồng độ chất ô nhiễm và thời gian tiếp xúc. So với các tác động quán tính được sử dụng để lấy mẫu PM, các tác động quán tính được sử dụng để đo mức độ phơi nhiễm cá nhân có các yêu cầu cụ thể. Các thiết bị phải nhẹ, nhỏ, di động, khép kín và chạy bằng pin để dễ dàng di chuyển từ vị trí này sang vị trí khác và được đặt gần</w:t>
      </w:r>
    </w:p>
    <w:p w14:paraId="07398CEC" w14:textId="77777777"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lastRenderedPageBreak/>
        <w:t>vùng thở cá nhân, khoảng 30 cm bán cầu quanh miệng và mũi (Asbach C. et al., 2017). Các thiết bị này cần phải thu thập một lượng thích hợp khối lượng hạt với sự lắng đọng đồng nhất trên chất nền để phân tích nồng độ khối lượng PM, thành phần hóa học, hình thái học và tinh thể học tiếp theo theo cách thủ công. Các thiết bị phơi nhiễm cá nhân được liệt kê trong Volkwein J.C. et al. (2011) cho nơi làm việc và trong Rodes C.E. (2011) cho môi trường vi mô không nghề nghiệp. Các tác động tiếp xúc cá nhân đo PM10, PM2.5 và PM1.0, có thể hít vào (Dpa50 = 100 μm, lồng ngực (Dpa50 = 10 μm) và các hạt có thể hô hấp (Dpa50 = 4 μm) được quy định bởi Viện Quốc gia về An toàn và Sức khỏe Nghề nghiệp ( NIOSH), Tổ chức Tiêu chuẩn hóa Quốc tế (ISO), và Comite 'European de Normalization (CEN) (Volkwein JC et al., 2011).</w:t>
      </w:r>
    </w:p>
    <w:p w14:paraId="45E0002B" w14:textId="17FE076E"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Để đáp ứng các tiêu chí lấy mẫu khí dung có thể thở được, các tác động quán tính được thiết kế để có đường cong hiệu quả kém sắc nét hơn (Volkwein J.C. et al., 2011). Bộ tác động cá nhân một giai đoạn (Tsai CJ và cộng sự, 2012b), bộ tác động hai giai đoạn (Demokritou P. và cộng sự, 2001), bộ tác động cá nhân ba giai đoạn (Tsai CJ và cộng sự, 2008), và bộ tác động tầng (Chen M. et al., 2018) và máy lấy mẫu đa chất được phát triển để đo mức độ phơi nhiễm cá nhân từ những năm 1970 và một số đã được sử dụng rộng rãi. Chúng bao gồm bộ tác động cá nhân Marple, bộ giám sát môi trường cá nhân (PEM), mini-MOUDI, bộ tác động hạt song song, bộ tác động mô-đun cá nhân, bộ tác động tầng Sioutas, bộ lấy mẫu thuốc trừ sâu PUF cá nhân và gói bộ lọc tác động cá nhân (Marple V.A. và Olson B.A., 2011). Bộ tác động cá nhân Marple với 8 tầng ở tốc độ dòng chảy 2 </w:t>
      </w:r>
      <w:r w:rsidR="00E26B5D">
        <w:rPr>
          <w:rFonts w:ascii="Times New Roman" w:hAnsi="Times New Roman" w:cs="Times New Roman"/>
          <w:color w:val="000000" w:themeColor="text1"/>
          <w:sz w:val="26"/>
          <w:szCs w:val="26"/>
        </w:rPr>
        <w:t>L/min</w:t>
      </w:r>
      <w:r w:rsidRPr="00203DC6">
        <w:rPr>
          <w:rFonts w:ascii="Times New Roman" w:hAnsi="Times New Roman" w:cs="Times New Roman"/>
          <w:color w:val="000000" w:themeColor="text1"/>
          <w:sz w:val="26"/>
          <w:szCs w:val="26"/>
        </w:rPr>
        <w:t xml:space="preserve"> và bộ tác động tầng Sioutas ở tốc độ dòng chảy 9 </w:t>
      </w:r>
      <w:r w:rsidR="00E26B5D">
        <w:rPr>
          <w:rFonts w:ascii="Times New Roman" w:hAnsi="Times New Roman" w:cs="Times New Roman"/>
          <w:color w:val="000000" w:themeColor="text1"/>
          <w:sz w:val="26"/>
          <w:szCs w:val="26"/>
        </w:rPr>
        <w:t>L/min</w:t>
      </w:r>
      <w:r w:rsidRPr="00203DC6">
        <w:rPr>
          <w:rFonts w:ascii="Times New Roman" w:hAnsi="Times New Roman" w:cs="Times New Roman"/>
          <w:color w:val="000000" w:themeColor="text1"/>
          <w:sz w:val="26"/>
          <w:szCs w:val="26"/>
        </w:rPr>
        <w:t xml:space="preserve"> là những bộ lấy mẫu được sử dụng thường xuyên nhất để đo phân bố khối lượng (Tsai CJ và cộng sự, 1997b; Sharma R . và Balasubramanian R., 2018).</w:t>
      </w:r>
    </w:p>
    <w:p w14:paraId="3D734192" w14:textId="77777777"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Việc đo mức độ phơi nhiễm cá nhân đối với các hạt nano đã thu hút mối quan tâm nghiêm trọng do tác động xấu đến sức khỏe của các hạt nano được giải phóng từ bột nano và quy trình sản xuất vật liệu nano. Các loại bột nano như TiO2, SiO2 và ZnO được thải ra nơi làm việc tùy thuộc vào độ bẩn của chúng hoặc đặc tính của một vật liệu nhất định để tạo ra bụi (Tsai C.J. và cộng sự, 2009; Tsai C.J. và cộng sự, 2011). Một số nghiên cứu được thực hiện bởi nhóm của chúng tôi (Tsai C.J. và cộng sự, 2011; Tsai C.J. và cộng sự, 2012a) để xác định đặc điểm tạo và phân tán của các hạt nano.</w:t>
      </w:r>
    </w:p>
    <w:p w14:paraId="09A7509D" w14:textId="5AD3AA55"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Một số bộ tác động tầng cá nhân được thương mại hóa có thể được sử dụng để đo độ phơi nhiễm của hạt nano như mini-MOUDI (13 tầng với kích thước hạt khác nhau từ 10 nm đến 10 μm) hoạt động ở tốc độ dòng chảy 2 </w:t>
      </w:r>
      <w:r w:rsidR="00E26B5D">
        <w:rPr>
          <w:rFonts w:ascii="Times New Roman" w:hAnsi="Times New Roman" w:cs="Times New Roman"/>
          <w:color w:val="000000" w:themeColor="text1"/>
          <w:sz w:val="26"/>
          <w:szCs w:val="26"/>
        </w:rPr>
        <w:t>L/min</w:t>
      </w:r>
      <w:r w:rsidRPr="00203DC6">
        <w:rPr>
          <w:rFonts w:ascii="Times New Roman" w:hAnsi="Times New Roman" w:cs="Times New Roman"/>
          <w:color w:val="000000" w:themeColor="text1"/>
          <w:sz w:val="26"/>
          <w:szCs w:val="26"/>
        </w:rPr>
        <w:t xml:space="preserve"> và bộ tác động tầng Sioutas (4 tầng với kích thước hạt từ 0,25 đến 2,5 μm) hoạt động ở tốc độ dòng chảy 9 </w:t>
      </w:r>
      <w:r w:rsidR="00E26B5D">
        <w:rPr>
          <w:rFonts w:ascii="Times New Roman" w:hAnsi="Times New Roman" w:cs="Times New Roman"/>
          <w:color w:val="000000" w:themeColor="text1"/>
          <w:sz w:val="26"/>
          <w:szCs w:val="26"/>
        </w:rPr>
        <w:t>L/min</w:t>
      </w:r>
      <w:r w:rsidRPr="00203DC6">
        <w:rPr>
          <w:rFonts w:ascii="Times New Roman" w:hAnsi="Times New Roman" w:cs="Times New Roman"/>
          <w:color w:val="000000" w:themeColor="text1"/>
          <w:sz w:val="26"/>
          <w:szCs w:val="26"/>
        </w:rPr>
        <w:t xml:space="preserve"> (Asbach C. et al., 2017). Do sự giảm áp suất cao cần thiết để phân loại các hạt nano, chỉ có một số thiết bị lấy mẫu phơi nhiễm cá nhân được phát triển để thu thập các hạt nano. Bên cạnh đó, máy lấy mẫu hạt nano cần phải hoạt động trong một khoảng thời gian lấy mẫu dài để thu thập đủ khối lượng cho phân tích trọng trường tiếp theo vì khối lượng hạt nano rất nhỏ. Các bộ tác động tầng cá nhân sử dụng bộ lọc quán tính để thu thập hạt nano được phát triển với mức giảm áp suất vừa phải (&lt;5–10 kPa) (Kumsanlas N. và cộng sự, 2019) dựa trên thiết kế của bộ lọc quán tính (Zhang T. và cộng sự. , 2017).</w:t>
      </w:r>
    </w:p>
    <w:p w14:paraId="72CC50F4" w14:textId="77777777"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Nhóm của chúng tôi đã phát triển PENS, có thể được sử dụng để thu thập đồng thời các hạt có thể hô hấp và hạt nano bằng cách sử dụng lốc xoáy làm bộ tách </w:t>
      </w:r>
      <w:r w:rsidRPr="00203DC6">
        <w:rPr>
          <w:rFonts w:ascii="Times New Roman" w:hAnsi="Times New Roman" w:cs="Times New Roman"/>
          <w:color w:val="000000" w:themeColor="text1"/>
          <w:sz w:val="26"/>
          <w:szCs w:val="26"/>
        </w:rPr>
        <w:lastRenderedPageBreak/>
        <w:t>sơ bộ để loại bỏ các hạt lớn hơn 4 μm và một bộ tác động lỗ siêu nhỏ với Dpa50 101,4 nm tiếp theo là băng lọc (Tsai</w:t>
      </w:r>
    </w:p>
    <w:p w14:paraId="234A8A24" w14:textId="299B65D4"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C.J. và cộng sự, 2012b). PENS đã loại bỏ hiệu ứng dội lại và quá tải của hạt bằng cách sử dụng bộ lọc Teflon phủ dầu silicone xoay làm chất nền. PENS hoạt động ở tốc độ dòng chảy thấp 2 </w:t>
      </w:r>
      <w:r w:rsidR="00E26B5D">
        <w:rPr>
          <w:rFonts w:ascii="Times New Roman" w:hAnsi="Times New Roman" w:cs="Times New Roman"/>
          <w:color w:val="000000" w:themeColor="text1"/>
          <w:sz w:val="26"/>
          <w:szCs w:val="26"/>
        </w:rPr>
        <w:t>L/min</w:t>
      </w:r>
      <w:r w:rsidRPr="00203DC6">
        <w:rPr>
          <w:rFonts w:ascii="Times New Roman" w:hAnsi="Times New Roman" w:cs="Times New Roman"/>
          <w:color w:val="000000" w:themeColor="text1"/>
          <w:sz w:val="26"/>
          <w:szCs w:val="26"/>
        </w:rPr>
        <w:t xml:space="preserve"> và giảm áp suất hơi cao (&lt;14–15 kPa), vẫn được chấp nhận đối với máy bơm lấy mẫu cá nhân 21 kPa (AirChek XR5000, Hoa Kỳ). PENS được sử dụng để đo lường hòa nhạc hàng loạt NP tại nơi làm việc (Young L.H. et al., 2013; Asbach C. và cộng sự, 2017) và cả không khí xung quanh (Zhu C.S. và cộng sự, 2016; Zhu C.S. và cộng sự, 2017). Thử nghiệm so sánh hiện trường của PENS với lốc xoáy nhôm có khả năng hô hấp SKC được bố trí (SKC Inc., PA, Hoa Kỳ) và bộ phân loại hạt lưu động tuần tự (SMPS; GRIMM Aerosol Technik, Gmbh, Đức, Model 5.500) ở những nơi làm việc kim loại cho thấy PENS tương quan tốt với lốc xoáy đối với PM4 và SMPS đối với PN0.1 (Young LH và cộng sự, 2013). Hiệu quả hút của PENS là tốt và đồng ý với hiệu quả của máy lấy mẫu bioaerosol cá nhân hai giai đoạn NIOSH (Zhou Y. và cộng sự, 2014).</w:t>
      </w:r>
    </w:p>
    <w:p w14:paraId="57FCF998" w14:textId="57D22898"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 xml:space="preserve">PENS hiện đang được nghiên cứu thêm để nâng cao hiệu suất của nó ở tốc độ dòng chảy cao hơn 3–5 </w:t>
      </w:r>
      <w:r w:rsidR="00E26B5D">
        <w:rPr>
          <w:rFonts w:ascii="Times New Roman" w:hAnsi="Times New Roman" w:cs="Times New Roman"/>
          <w:color w:val="000000" w:themeColor="text1"/>
          <w:sz w:val="26"/>
          <w:szCs w:val="26"/>
        </w:rPr>
        <w:t>L/min</w:t>
      </w:r>
      <w:r w:rsidRPr="00203DC6">
        <w:rPr>
          <w:rFonts w:ascii="Times New Roman" w:hAnsi="Times New Roman" w:cs="Times New Roman"/>
          <w:color w:val="000000" w:themeColor="text1"/>
          <w:sz w:val="26"/>
          <w:szCs w:val="26"/>
        </w:rPr>
        <w:t xml:space="preserve"> và giảm áp suất thấp hơn &lt;15 kPa. Để đạt được cùng một kích thước cắt nhỏ hơn 100 nm ở tốc độ dòng chảy cao hơn và giảm áp suất thấp hơn, PENS có thể được thiết kế lại với nhiều đầu phun hơn với đường kính lớn hơn và S / W nhỏ hơn. Chất nền GFF được làm ướt có thể được sử dụng trong PENS để rửa sạch các hạt lắng đọng liên tục nhằm đạt được khoảng thời gian lấy mẫu dài mà không có tác động nảy và quá tải hạt (Le T.C. và Tsai C.J., 2017).</w:t>
      </w:r>
    </w:p>
    <w:p w14:paraId="1F003288" w14:textId="0D486F53" w:rsidR="00713F12" w:rsidRPr="00D52E2B" w:rsidRDefault="00831FAA" w:rsidP="00D52E2B">
      <w:pPr>
        <w:pStyle w:val="ListParagraph"/>
        <w:numPr>
          <w:ilvl w:val="1"/>
          <w:numId w:val="3"/>
        </w:numPr>
        <w:spacing w:before="120"/>
        <w:jc w:val="both"/>
        <w:rPr>
          <w:rFonts w:ascii="Times New Roman" w:hAnsi="Times New Roman" w:cs="Times New Roman"/>
          <w:b/>
          <w:bCs/>
          <w:i/>
          <w:iCs/>
          <w:color w:val="000000" w:themeColor="text1"/>
          <w:sz w:val="26"/>
          <w:szCs w:val="26"/>
        </w:rPr>
      </w:pPr>
      <w:r w:rsidRPr="00D52E2B">
        <w:rPr>
          <w:rFonts w:ascii="Times New Roman" w:hAnsi="Times New Roman" w:cs="Times New Roman"/>
          <w:b/>
          <w:bCs/>
          <w:i/>
          <w:iCs/>
          <w:color w:val="000000" w:themeColor="text1"/>
          <w:sz w:val="26"/>
          <w:szCs w:val="26"/>
        </w:rPr>
        <w:t>Kiểm soát PM</w:t>
      </w:r>
    </w:p>
    <w:p w14:paraId="659F5DFA" w14:textId="77777777"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 xml:space="preserve">Kiểm soát phát thải PM là rất quan trọng để giảm nồng độ PM trong không khí và các nguy cơ sức khỏe. Các thiết bị kiểm soát hạt chính bao gồm máy chà sàn ướt, thiết bị lọc bụi tĩnh điện (ESP), xyclon và nhà bao, mỗi thiết bị đều có ưu và nhược điểm trong ứng dụng. Máy chà ướt loại bỏ các hạt bằng cách sử dụng vòi phun nước hoặc màng nước, điều này gây ra giảm áp suất vận hành rất cao, ăn mòn kim loại và ô nhiễm nước (Huang C.H. et al., 2007; Pui D.Y.H. et al., 2014). Các ESP sử dụng lực tĩnh điện để loại bỏ các hạt có hiệu suất phản hồi tối thiểu đối với các hạt nằm trong khoảng từ 0,1 đến 1,0 μm do độ linh động điện tối thiểu trong phạm vi micromet này (Hinds W.C., 1999; Pui D.Y.H. et al., 2014). Các xyclon được sử dụng rộng rãi để điều khiển PM do cấu trúc đơn giản, giảm áp suất thấp và chi phí thấp nhưng hiệu quả thu gom các hạt mịn thấp (Pui D.Y.H. et al., 2014). Các nhà túi sử dụng bộ lọc vải để loại bỏ các hạt dựa trên quá trình lọc bánh bụi với áp suất giảm cao (Hinds W.C., 1999; Pui D.Y.H. et al., 2014). Do đó, các nhà trồng bao bắt buộc phải được làm sạch và tái tạo thường xuyên. Các vật liệu đặc biệt như bộ lọc electret có thể được sử dụng để nâng cao hiệu quả của quá trình lọc sâu với sự giảm áp suất thấp (Tien C.Y. et al., 2020). Nhóm của chúng tôi đã phát triển thành công một số thiết bị điều khiển khắc phục một số nhược điểm để đạt được hiệu quả loại bỏ cao đối với các hạt mịn và siêu mịn bao gồm ESP dây trên tấm (Li Z. et al., 2015), ESP ướt một tầng hiệu quả (Lin GY và cộng sự, 2010), một hệ thống lọc bụi venturi hiệu quả (Tsai CJ và cộng sự, 2005; Huang CH và cộng sự, 2007), và một máy điện ướt (Lin GY và cộng sự, 2013). Hệ thống máy chà sàn venturi hiệu quả sử dụng một thiết bị ngưng tụ để phát triển các hạt có kích thước siêu nhỏ đến kích thước siêu micromet trước khi chúng được loại bỏ bởi một máy chà sàn venturi truyền thống hoạt động ở mức giảm áp suất vừa phải là 4,3 kPa </w:t>
      </w:r>
      <w:r w:rsidRPr="00831FAA">
        <w:rPr>
          <w:rFonts w:ascii="Times New Roman" w:hAnsi="Times New Roman" w:cs="Times New Roman"/>
          <w:color w:val="000000" w:themeColor="text1"/>
          <w:sz w:val="26"/>
          <w:szCs w:val="26"/>
        </w:rPr>
        <w:lastRenderedPageBreak/>
        <w:t>(Huang C.H. và cộng sự, 2007). Điện cơ ướt kết hợp xyclon với bộ lọc bụi tĩnh điện với làm sạch tường bằng màng nước đã được phát triển để nâng cao hiệu quả thu gom các hạt siêu mịn trong thời gian sử dụng lâu dài (Lin G.Y. và cộng sự, 2013). Kỹ thuật kết hợp này đã được các nhà nghiên cứu khác tham khảo (Titov A., 2015; Zhang X. et al., 2018).</w:t>
      </w:r>
    </w:p>
    <w:p w14:paraId="4A0D6EF2" w14:textId="678C2A7C"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Các thiết bị điều khiển được thiết kế tốt có thể được sử dụng để điều khiển PM và NP trong các ngành công nghiệp nhưng chúng không phù hợp với một số trường hợp như ngành công nghiệp bán dẫn với các khí dư và các hạt siêu mịn cùng tồn tại (Tsai C.J. et al., 1997a). Ví dụ, các ESP có thể gây ra các nguy cơ cháy nổ hoặc cháy nổ. Bộ tác động quán tính là một thiết bị tiềm năng để thay thế các thiết bị điều khiển thông thường để loại bỏ NP có kích thước nhỏ hơn so với máy chà sàn ướt, hiệu quả cao hơn lốc xoáy, ít tốn kém hơn so với ESP và thời gian phục vụ lâu hơn máy đóng gói vì nó có thể được thiết kế để có kích thước đường cắt siêu mịn và có thể sử dụng chất nền đầm thấm nước / dầu để loại bỏ hiệu ứng quá tải mà không cần bảo dưỡng thường xuyên. Tuy nhiên, bộ tác động yêu cầu giảm áp suất hoạt động cao để điều khiển NP. Điều này có thể được giải quyết bằng cách phát triển các hạt bằng phương pháp ngưng tụ. Gần đây, bằng cách kết hợp với phương pháp tăng trưởng ngưng tụ hạt, các tác động quán tính đã được triển khai để kiểm soát các hạt siêu mịn như một phương pháp điều khiển không lọc để tiết kiệm chi phí (Pyo J. và cộng sự, 2017). Kỹ thuật ngưng tụ này đã được sử dụng trong quá khứ để phóng to các hạt siêu mịn thành các hạt submicron nhằm tăng hiệu quả thu gom của tác động (Demokritou P. et al., 2002a). Sự kết hợp của bộ tác động quán tính với thiết bị tăng trưởng hạt có khả năng loại bỏ hạt siêu mịn với hiệu quả loại bỏ cao, dấu chân nhỏ, giảm áp suất vừa phải và sử dụ</w:t>
      </w:r>
      <w:r w:rsidRPr="00203DC6">
        <w:rPr>
          <w:rFonts w:ascii="Times New Roman" w:hAnsi="Times New Roman" w:cs="Times New Roman"/>
          <w:color w:val="000000" w:themeColor="text1"/>
          <w:sz w:val="26"/>
          <w:szCs w:val="26"/>
        </w:rPr>
        <w:t>ng lâu dài mà không cần bảo dưỡng thường xuyên.</w:t>
      </w:r>
    </w:p>
    <w:p w14:paraId="00660A2B" w14:textId="2BF6CA10" w:rsidR="00713F12" w:rsidRPr="00D52E2B" w:rsidRDefault="00831FAA" w:rsidP="00D52E2B">
      <w:pPr>
        <w:pStyle w:val="ListParagraph"/>
        <w:numPr>
          <w:ilvl w:val="1"/>
          <w:numId w:val="3"/>
        </w:numPr>
        <w:spacing w:before="120"/>
        <w:jc w:val="both"/>
        <w:rPr>
          <w:rFonts w:ascii="Times New Roman" w:hAnsi="Times New Roman" w:cs="Times New Roman"/>
          <w:b/>
          <w:bCs/>
          <w:i/>
          <w:iCs/>
          <w:color w:val="000000" w:themeColor="text1"/>
          <w:sz w:val="26"/>
          <w:szCs w:val="26"/>
        </w:rPr>
      </w:pPr>
      <w:r w:rsidRPr="00D52E2B">
        <w:rPr>
          <w:rFonts w:ascii="Times New Roman" w:hAnsi="Times New Roman" w:cs="Times New Roman"/>
          <w:b/>
          <w:bCs/>
          <w:i/>
          <w:iCs/>
          <w:color w:val="000000" w:themeColor="text1"/>
          <w:sz w:val="26"/>
          <w:szCs w:val="26"/>
        </w:rPr>
        <w:t>Phân loại bột bằng thiết bị quán tính</w:t>
      </w:r>
    </w:p>
    <w:p w14:paraId="61599A67" w14:textId="77777777" w:rsidR="00713F12" w:rsidRPr="00831FAA" w:rsidRDefault="00831FAA" w:rsidP="00831FAA">
      <w:pPr>
        <w:spacing w:before="120"/>
        <w:ind w:left="-2" w:firstLine="711"/>
        <w:jc w:val="both"/>
        <w:rPr>
          <w:rFonts w:ascii="Times New Roman" w:hAnsi="Times New Roman" w:cs="Times New Roman"/>
          <w:color w:val="000000" w:themeColor="text1"/>
          <w:sz w:val="26"/>
          <w:szCs w:val="26"/>
        </w:rPr>
      </w:pPr>
      <w:r w:rsidRPr="00831FAA">
        <w:rPr>
          <w:rFonts w:ascii="Times New Roman" w:hAnsi="Times New Roman" w:cs="Times New Roman"/>
          <w:color w:val="000000" w:themeColor="text1"/>
          <w:sz w:val="26"/>
          <w:szCs w:val="26"/>
        </w:rPr>
        <w:t>Phân loại bột khác với lấy mẫu PM vì các nguồn bột tạo ra nồng độ khối lượng cao và phạm vi kích thước rộng (0,01 đến 1000 μm) (Lai W.H. và cộng sự, 2005). Phân loại bột là tách bột có kích thước nhỏ hơn một kích thước nhất định từ bột nguồn để thu được các phân bố bột hẹp mong muốn với độ chính xác cao để sử dụng trong y học sinh học, thông tin điện tử, gốm sứ tốt, công nghiệp thực phẩm và công nghiệp sơn phủ (Guo L. et al. , 2007; Wang D. và cộng sự, 2014). Máy phân loại bột cũng có thể được thiết kế để phân loại các hạt thô, mịn và có kích thước nano đồng thời với kích thước đường cắt chính xác và các đặc điểm cắt sắc nét để đạt được tỷ lệ sản xuất cao (Liang S., 2010). Phân loại theo lực quán tính / ly tâm như xyclon là một trong những phương pháp phổ biến vì xyclon có cấu tạo đơn giản và chế tạo rẻ hơn (Yoshida H. et al., 1991; Yoshida H. et al., 2008). Người ta thấy rằng các hạt lớn bị đẩy hoặc cuốn lại nếu thành bên trong của lốc xoáy không được phủ dầu (Yoshida H. và cộng sự, 1991), và các hạt nhỏ hơn kích thước cắt sẽ được thu thập do các dòng xoáy hỗn loạn. trong hydro cyclone dẫn đến cái gọi là hiệu ứng lưỡi câu của đường cong hiệu quả phân loại bột (tức là, đường cong tăng lên trong phạm vi kích thước hạt nhỏ) (Roldanvillasana E. và cộng sự, 1993; Lai WH và cộng sự, 2005). Cần lưu ý rằng độ sắc nét được đề cập ở đây đề cập đến tỷ lệ Dpa75 / Dpa25 (Morimoto H. và Shakouchi T., 2003; Lai W.H. và cộng sự, 2005).</w:t>
      </w:r>
    </w:p>
    <w:p w14:paraId="45855ACD" w14:textId="77777777" w:rsidR="00713F12" w:rsidRPr="00203DC6" w:rsidRDefault="00831FAA" w:rsidP="00831FAA">
      <w:pPr>
        <w:spacing w:before="120"/>
        <w:ind w:left="-2" w:firstLine="711"/>
        <w:jc w:val="both"/>
        <w:rPr>
          <w:rFonts w:ascii="Times New Roman" w:hAnsi="Times New Roman" w:cs="Times New Roman"/>
          <w:i/>
          <w:iCs/>
          <w:color w:val="000000" w:themeColor="text1"/>
          <w:sz w:val="26"/>
          <w:szCs w:val="26"/>
          <w:u w:val="thick"/>
        </w:rPr>
      </w:pPr>
      <w:r w:rsidRPr="00831FAA">
        <w:rPr>
          <w:rFonts w:ascii="Times New Roman" w:hAnsi="Times New Roman" w:cs="Times New Roman"/>
          <w:color w:val="000000" w:themeColor="text1"/>
          <w:sz w:val="26"/>
          <w:szCs w:val="26"/>
        </w:rPr>
        <w:t xml:space="preserve">Ngày nay, máy phân loại bột được phát triển để tách bột nano với hiệu quả phân loại sắc nét (tức là không bị nhiễm bẩn bột thô và hiệu ứng lưỡi câu) để có bột đồng nhất để sử dụng trong các lĩnh vực siêu dẫn, quang học, nhiệt, điện từ và y </w:t>
      </w:r>
      <w:r w:rsidRPr="00831FAA">
        <w:rPr>
          <w:rFonts w:ascii="Times New Roman" w:hAnsi="Times New Roman" w:cs="Times New Roman"/>
          <w:color w:val="000000" w:themeColor="text1"/>
          <w:sz w:val="26"/>
          <w:szCs w:val="26"/>
        </w:rPr>
        <w:lastRenderedPageBreak/>
        <w:t>sinh (Morimoto H và Shakouchi T., 2003; Wang D. và cộng sự, 2014). So với lốc xoáy, bộ tác động quán tính, có đặc điểm cắt sắc bén và kích thước cắt chính xác, có tiềm năng tốt được sử dụng để phân loại bột với phạm vi kích thước hẹp. Bộ tác động quán tính được làm ướt bằng nước / dầu trong đó bề mặt tác động được rửa sạch bằng cách sử dụng nước hoặc dầu có thể được sử dụng để phân loại bột ở tốc độ tải hạt cao mà không có hiệu ứng tải hạt. Việc điều tra thêm để sử dụng các bộ tác động để phân loại công suất</w:t>
      </w:r>
      <w:r w:rsidRPr="00831FAA">
        <w:rPr>
          <w:rFonts w:ascii="Times New Roman" w:hAnsi="Times New Roman" w:cs="Times New Roman"/>
          <w:i/>
          <w:iCs/>
          <w:color w:val="000000" w:themeColor="text1"/>
          <w:sz w:val="26"/>
          <w:szCs w:val="26"/>
        </w:rPr>
        <w:t xml:space="preserve"> là đáng giá.</w:t>
      </w:r>
    </w:p>
    <w:p w14:paraId="2239F1AA" w14:textId="32C1FBCA" w:rsidR="00713F12" w:rsidRPr="00D52E2B" w:rsidRDefault="00831FAA" w:rsidP="00D52E2B">
      <w:pPr>
        <w:pStyle w:val="ListParagraph"/>
        <w:numPr>
          <w:ilvl w:val="0"/>
          <w:numId w:val="3"/>
        </w:numPr>
        <w:spacing w:before="120"/>
        <w:jc w:val="both"/>
        <w:rPr>
          <w:rFonts w:ascii="Times New Roman" w:hAnsi="Times New Roman" w:cs="Times New Roman"/>
          <w:b/>
          <w:bCs/>
          <w:color w:val="000000" w:themeColor="text1"/>
          <w:sz w:val="26"/>
          <w:szCs w:val="26"/>
        </w:rPr>
      </w:pPr>
      <w:r w:rsidRPr="00D52E2B">
        <w:rPr>
          <w:rFonts w:ascii="Times New Roman" w:hAnsi="Times New Roman" w:cs="Times New Roman"/>
          <w:b/>
          <w:bCs/>
          <w:color w:val="000000" w:themeColor="text1"/>
          <w:sz w:val="26"/>
          <w:szCs w:val="26"/>
        </w:rPr>
        <w:t xml:space="preserve">Kết luận và mong muốn tương lai </w:t>
      </w:r>
    </w:p>
    <w:p w14:paraId="23F8D942" w14:textId="77777777"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Việc nghiên cứu các thiết bị quán tính đã là một chủ đề thú vị kể từ những năm 1860 khi bộ tác động đầu tiên được phát triển để quan sát mối quan hệ giữa các hạt và ảnh hưởng đến sức khỏe do nguyên lý và cấu trúc đơn giản, dễ vận hành và chi phí thấp. Lý thuyết thiết kế cũng được phát triển về mặt số học dựa trên các thử nghiệm thực nghiệm và thử nghiệm hiện trường quan trọng của Marple và các đồng nghiệp của ông. Do đó, nhiều tác động quán tính đã được thương mại hóa để phục vụ như thiết bị đo phân đoạn kích thước và thiết bị lấy mẫu để tập trung khối lượng đo lường, đo lường phân bố khối lượng và số lượng, thu thập hạt để phân tích hóa học và đo mức độ phơi nhiễm với sức khỏe. Nhiều nghiên cứu đã được thực hiện để giải quyết các hiệu ứng nảy hạt, tải hạt và mất hạt để cải thiện hiệu suất của các tác động quán tính. Do đó, các tác động quán tính được triển khai rộng rãi để đo một loạt các hạt có kích thước rộng với nhiều nồng độ và các loại hạt khác nhau. Kỹ thuật tác động quán tính vẫn thu hút các nhà nghiên cứu nghiên cứu vì ứng dụng của các thiết bị quán tính rất đa dạng. Các tác nhân tác động có thể được nghiên cứu thêm để mở rộng kích thước cắt thành kích thước rất nhỏ như kích thước nano, cung cấp nồng độ khối lượng và số theo thời gian thực với độ nhạy rất cao, phản hồi nhanh và độ phân giải cao, và áp dụng cho các ứng dụng cụ thể trong y tế và các lĩnh vực dược phẩm (Marple VA, 2004). Bên cạnh việc lấy mẫu và đo lường, các bộ tác động quán tính có thể được sử dụng để điều khiển PM với kích thước cắt nhỏ hơn lốc xoáy, giảm áp suất thấp hơn nhà đóng gói và ít tốn kém hơn bộ lọc bụi tĩnh điện nếu chúng được kết hợp với các thiết bị tăng trưởng hạt ngưng tụ. Thách thức lớn nhất của các tác động quán tính đối với việc điều khiển và phân loại bột là làm thế nào để mở rộng quy mô và kéo dài tuổi thọ.</w:t>
      </w:r>
    </w:p>
    <w:p w14:paraId="1CB36BEE" w14:textId="77777777" w:rsidR="00713F12" w:rsidRPr="00203DC6" w:rsidRDefault="00831FAA" w:rsidP="00831FAA">
      <w:pPr>
        <w:spacing w:before="120"/>
        <w:ind w:firstLine="709"/>
        <w:jc w:val="both"/>
        <w:rPr>
          <w:rFonts w:ascii="Times New Roman" w:hAnsi="Times New Roman" w:cs="Times New Roman"/>
          <w:color w:val="000000" w:themeColor="text1"/>
          <w:sz w:val="26"/>
          <w:szCs w:val="26"/>
        </w:rPr>
      </w:pPr>
      <w:r w:rsidRPr="00203DC6">
        <w:rPr>
          <w:rFonts w:ascii="Times New Roman" w:hAnsi="Times New Roman" w:cs="Times New Roman"/>
          <w:color w:val="000000" w:themeColor="text1"/>
          <w:sz w:val="26"/>
          <w:szCs w:val="26"/>
        </w:rPr>
        <w:t>Để đáp ứng những thách thức này, bài viết này đã xem xét và cung cấp các cân nhắc thiết kế và ứng dụng của tác động quán tính vì lợi ích của bình xịt và bột cộng đồng.</w:t>
      </w:r>
    </w:p>
    <w:p w14:paraId="2A4050B8"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006572B9"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4EEEC872"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398CA1D2"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6328C66F"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2E5185AA"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08818F79"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6D69B7B9"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0BBA18D7"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7D57A17B"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25DAE06C"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58E06912"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342BCF93"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0FC713CC"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634F20F8"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6DB0BC35"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p w14:paraId="5328439F" w14:textId="77777777" w:rsidR="00713F12" w:rsidRPr="00203DC6" w:rsidRDefault="00713F12" w:rsidP="00831FAA">
      <w:pPr>
        <w:spacing w:before="120"/>
        <w:jc w:val="both"/>
        <w:rPr>
          <w:rFonts w:ascii="Times New Roman" w:hAnsi="Times New Roman" w:cs="Times New Roman"/>
          <w:color w:val="000000" w:themeColor="text1"/>
          <w:sz w:val="26"/>
          <w:szCs w:val="26"/>
        </w:rPr>
      </w:pPr>
    </w:p>
    <w:p w14:paraId="4AB7195B" w14:textId="77777777" w:rsidR="00713F12" w:rsidRPr="00203DC6" w:rsidRDefault="00713F12" w:rsidP="00203DC6">
      <w:pPr>
        <w:spacing w:before="120"/>
        <w:ind w:left="-2"/>
        <w:jc w:val="both"/>
        <w:rPr>
          <w:rFonts w:ascii="Times New Roman" w:hAnsi="Times New Roman" w:cs="Times New Roman"/>
          <w:color w:val="000000" w:themeColor="text1"/>
          <w:sz w:val="26"/>
          <w:szCs w:val="26"/>
        </w:rPr>
      </w:pPr>
    </w:p>
    <w:sectPr w:rsidR="00713F12" w:rsidRPr="00203DC6" w:rsidSect="008E3713">
      <w:pgSz w:w="11906" w:h="16838"/>
      <w:pgMar w:top="1134" w:right="1134"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CA0475C"/>
    <w:multiLevelType w:val="singleLevel"/>
    <w:tmpl w:val="ACA0475C"/>
    <w:lvl w:ilvl="0">
      <w:start w:val="1"/>
      <w:numFmt w:val="decimal"/>
      <w:suff w:val="space"/>
      <w:lvlText w:val="%1."/>
      <w:lvlJc w:val="left"/>
    </w:lvl>
  </w:abstractNum>
  <w:abstractNum w:abstractNumId="1" w15:restartNumberingAfterBreak="0">
    <w:nsid w:val="056A703D"/>
    <w:multiLevelType w:val="hybridMultilevel"/>
    <w:tmpl w:val="6B2A9CF8"/>
    <w:lvl w:ilvl="0" w:tplc="A84631F2">
      <w:start w:val="1"/>
      <w:numFmt w:val="lowerRoman"/>
      <w:lvlText w:val="(%1)"/>
      <w:lvlJc w:val="left"/>
      <w:pPr>
        <w:ind w:left="1427" w:hanging="720"/>
      </w:pPr>
      <w:rPr>
        <w:rFonts w:hint="default"/>
      </w:r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2" w15:restartNumberingAfterBreak="0">
    <w:nsid w:val="0CDA3642"/>
    <w:multiLevelType w:val="hybridMultilevel"/>
    <w:tmpl w:val="CD98F7C0"/>
    <w:lvl w:ilvl="0" w:tplc="2FFAEEC2">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2D985BA6"/>
    <w:multiLevelType w:val="multilevel"/>
    <w:tmpl w:val="58AC27AE"/>
    <w:lvl w:ilvl="0">
      <w:start w:val="2"/>
      <w:numFmt w:val="decimal"/>
      <w:lvlText w:val="%1."/>
      <w:lvlJc w:val="left"/>
      <w:pPr>
        <w:ind w:left="358" w:hanging="360"/>
      </w:pPr>
      <w:rPr>
        <w:rFonts w:hint="default"/>
      </w:rPr>
    </w:lvl>
    <w:lvl w:ilvl="1">
      <w:start w:val="1"/>
      <w:numFmt w:val="decimal"/>
      <w:isLgl/>
      <w:lvlText w:val="%1.%2."/>
      <w:lvlJc w:val="left"/>
      <w:pPr>
        <w:ind w:left="718" w:hanging="720"/>
      </w:pPr>
      <w:rPr>
        <w:rFonts w:hint="default"/>
      </w:rPr>
    </w:lvl>
    <w:lvl w:ilvl="2">
      <w:start w:val="1"/>
      <w:numFmt w:val="decimal"/>
      <w:isLgl/>
      <w:lvlText w:val="%1.%2.%3."/>
      <w:lvlJc w:val="left"/>
      <w:pPr>
        <w:ind w:left="718" w:hanging="720"/>
      </w:pPr>
      <w:rPr>
        <w:rFonts w:hint="default"/>
      </w:rPr>
    </w:lvl>
    <w:lvl w:ilvl="3">
      <w:start w:val="1"/>
      <w:numFmt w:val="decimal"/>
      <w:isLgl/>
      <w:lvlText w:val="%1.%2.%3.%4."/>
      <w:lvlJc w:val="left"/>
      <w:pPr>
        <w:ind w:left="1078" w:hanging="1080"/>
      </w:pPr>
      <w:rPr>
        <w:rFonts w:hint="default"/>
      </w:rPr>
    </w:lvl>
    <w:lvl w:ilvl="4">
      <w:start w:val="1"/>
      <w:numFmt w:val="decimal"/>
      <w:isLgl/>
      <w:lvlText w:val="%1.%2.%3.%4.%5."/>
      <w:lvlJc w:val="left"/>
      <w:pPr>
        <w:ind w:left="1078" w:hanging="1080"/>
      </w:pPr>
      <w:rPr>
        <w:rFonts w:hint="default"/>
      </w:rPr>
    </w:lvl>
    <w:lvl w:ilvl="5">
      <w:start w:val="1"/>
      <w:numFmt w:val="decimal"/>
      <w:isLgl/>
      <w:lvlText w:val="%1.%2.%3.%4.%5.%6."/>
      <w:lvlJc w:val="left"/>
      <w:pPr>
        <w:ind w:left="1438" w:hanging="1440"/>
      </w:pPr>
      <w:rPr>
        <w:rFonts w:hint="default"/>
      </w:rPr>
    </w:lvl>
    <w:lvl w:ilvl="6">
      <w:start w:val="1"/>
      <w:numFmt w:val="decimal"/>
      <w:isLgl/>
      <w:lvlText w:val="%1.%2.%3.%4.%5.%6.%7."/>
      <w:lvlJc w:val="left"/>
      <w:pPr>
        <w:ind w:left="1438" w:hanging="1440"/>
      </w:pPr>
      <w:rPr>
        <w:rFonts w:hint="default"/>
      </w:rPr>
    </w:lvl>
    <w:lvl w:ilvl="7">
      <w:start w:val="1"/>
      <w:numFmt w:val="decimal"/>
      <w:isLgl/>
      <w:lvlText w:val="%1.%2.%3.%4.%5.%6.%7.%8."/>
      <w:lvlJc w:val="left"/>
      <w:pPr>
        <w:ind w:left="1798" w:hanging="1800"/>
      </w:pPr>
      <w:rPr>
        <w:rFonts w:hint="default"/>
      </w:rPr>
    </w:lvl>
    <w:lvl w:ilvl="8">
      <w:start w:val="1"/>
      <w:numFmt w:val="decimal"/>
      <w:isLgl/>
      <w:lvlText w:val="%1.%2.%3.%4.%5.%6.%7.%8.%9."/>
      <w:lvlJc w:val="left"/>
      <w:pPr>
        <w:ind w:left="1798" w:hanging="1800"/>
      </w:pPr>
      <w:rPr>
        <w:rFonts w:hint="default"/>
      </w:rPr>
    </w:lvl>
  </w:abstractNum>
  <w:abstractNum w:abstractNumId="4" w15:restartNumberingAfterBreak="0">
    <w:nsid w:val="4E100CB2"/>
    <w:multiLevelType w:val="hybridMultilevel"/>
    <w:tmpl w:val="661EE9C2"/>
    <w:lvl w:ilvl="0" w:tplc="7654F2B4">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5" w15:restartNumberingAfterBreak="0">
    <w:nsid w:val="51556274"/>
    <w:multiLevelType w:val="hybridMultilevel"/>
    <w:tmpl w:val="84BA3E80"/>
    <w:lvl w:ilvl="0" w:tplc="A84631F2">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5DC3483D"/>
    <w:multiLevelType w:val="hybridMultilevel"/>
    <w:tmpl w:val="EFB0B194"/>
    <w:lvl w:ilvl="0" w:tplc="3D3A4E72">
      <w:start w:val="2"/>
      <w:numFmt w:val="bullet"/>
      <w:lvlText w:val="-"/>
      <w:lvlJc w:val="left"/>
      <w:pPr>
        <w:ind w:left="718" w:hanging="360"/>
      </w:pPr>
      <w:rPr>
        <w:rFonts w:ascii="Times New Roman" w:eastAsiaTheme="minorEastAsia" w:hAnsi="Times New Roman" w:cs="Times New Roman"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746A693E"/>
    <w:multiLevelType w:val="hybridMultilevel"/>
    <w:tmpl w:val="A15E4242"/>
    <w:lvl w:ilvl="0" w:tplc="86167616">
      <w:start w:val="2"/>
      <w:numFmt w:val="bullet"/>
      <w:lvlText w:val="-"/>
      <w:lvlJc w:val="left"/>
      <w:pPr>
        <w:ind w:left="358" w:hanging="360"/>
      </w:pPr>
      <w:rPr>
        <w:rFonts w:ascii="Times New Roman" w:eastAsiaTheme="minorEastAsia"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num w:numId="1">
    <w:abstractNumId w:val="0"/>
  </w:num>
  <w:num w:numId="2">
    <w:abstractNumId w:val="4"/>
  </w:num>
  <w:num w:numId="3">
    <w:abstractNumId w:val="3"/>
  </w:num>
  <w:num w:numId="4">
    <w:abstractNumId w:val="7"/>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9"/>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BEF6D4E"/>
    <w:rsid w:val="0002773A"/>
    <w:rsid w:val="00033124"/>
    <w:rsid w:val="00067D3B"/>
    <w:rsid w:val="000E58AA"/>
    <w:rsid w:val="00185064"/>
    <w:rsid w:val="001B20F8"/>
    <w:rsid w:val="001D5282"/>
    <w:rsid w:val="001F189F"/>
    <w:rsid w:val="00203DC6"/>
    <w:rsid w:val="002052A8"/>
    <w:rsid w:val="00207321"/>
    <w:rsid w:val="00211250"/>
    <w:rsid w:val="0023055D"/>
    <w:rsid w:val="002E0D26"/>
    <w:rsid w:val="002E2920"/>
    <w:rsid w:val="00427CD6"/>
    <w:rsid w:val="00441BB8"/>
    <w:rsid w:val="004E627F"/>
    <w:rsid w:val="00531029"/>
    <w:rsid w:val="005D56AD"/>
    <w:rsid w:val="00627EA7"/>
    <w:rsid w:val="006E1C5F"/>
    <w:rsid w:val="00700E2F"/>
    <w:rsid w:val="00713F12"/>
    <w:rsid w:val="007143AB"/>
    <w:rsid w:val="00805158"/>
    <w:rsid w:val="00831FAA"/>
    <w:rsid w:val="00865123"/>
    <w:rsid w:val="008C2B66"/>
    <w:rsid w:val="008C74A5"/>
    <w:rsid w:val="008D62DB"/>
    <w:rsid w:val="008E3713"/>
    <w:rsid w:val="00916E21"/>
    <w:rsid w:val="00A93550"/>
    <w:rsid w:val="00B11F63"/>
    <w:rsid w:val="00D52E2B"/>
    <w:rsid w:val="00DD00FB"/>
    <w:rsid w:val="00E054CB"/>
    <w:rsid w:val="00E26B5D"/>
    <w:rsid w:val="00E3249C"/>
    <w:rsid w:val="00EB2288"/>
    <w:rsid w:val="00EF5C90"/>
    <w:rsid w:val="00F11D21"/>
    <w:rsid w:val="00FA5B8C"/>
    <w:rsid w:val="02660B49"/>
    <w:rsid w:val="02767AFA"/>
    <w:rsid w:val="073C6A7F"/>
    <w:rsid w:val="0AEE47EC"/>
    <w:rsid w:val="0D1B6290"/>
    <w:rsid w:val="10F01CAE"/>
    <w:rsid w:val="1BEF6D4E"/>
    <w:rsid w:val="1FEF51B7"/>
    <w:rsid w:val="35012D20"/>
    <w:rsid w:val="3BE20E9F"/>
    <w:rsid w:val="57143EF2"/>
    <w:rsid w:val="5E825F60"/>
    <w:rsid w:val="5E917986"/>
    <w:rsid w:val="6D736D03"/>
    <w:rsid w:val="74385E00"/>
    <w:rsid w:val="7F7D50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1091FF5"/>
  <w15:docId w15:val="{74B1493F-5EBE-4F7A-A490-9F3173C95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rPr>
  </w:style>
  <w:style w:type="paragraph" w:styleId="Heading1">
    <w:name w:val="heading 1"/>
    <w:basedOn w:val="Normal"/>
    <w:next w:val="Normal"/>
    <w:uiPriority w:val="1"/>
    <w:qFormat/>
    <w:pPr>
      <w:ind w:left="356"/>
      <w:outlineLvl w:val="0"/>
    </w:pPr>
    <w:rPr>
      <w:rFonts w:ascii="Times New Roman" w:eastAsia="Times New Roman" w:hAnsi="Times New Roman" w:cs="Times New Roman"/>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lang w:eastAsia="en-U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line="407" w:lineRule="exact"/>
      <w:ind w:left="1645" w:right="1645"/>
      <w:jc w:val="center"/>
    </w:pPr>
    <w:rPr>
      <w:rFonts w:ascii="Times New Roman" w:eastAsia="Times New Roman" w:hAnsi="Times New Roman" w:cs="Times New Roman"/>
      <w:b/>
      <w:bCs/>
      <w:sz w:val="36"/>
      <w:szCs w:val="36"/>
      <w:lang w:eastAsia="en-US"/>
    </w:rPr>
  </w:style>
  <w:style w:type="paragraph" w:customStyle="1" w:styleId="TableParagraph">
    <w:name w:val="Table Paragraph"/>
    <w:basedOn w:val="Normal"/>
    <w:uiPriority w:val="1"/>
    <w:qFormat/>
    <w:pPr>
      <w:spacing w:before="86"/>
      <w:ind w:left="80"/>
    </w:pPr>
    <w:rPr>
      <w:rFonts w:ascii="Times New Roman" w:eastAsia="Times New Roman" w:hAnsi="Times New Roman" w:cs="Times New Roman"/>
      <w:lang w:eastAsia="en-US"/>
    </w:rPr>
  </w:style>
  <w:style w:type="character" w:customStyle="1" w:styleId="fontstyle01">
    <w:name w:val="fontstyle01"/>
    <w:qFormat/>
    <w:rPr>
      <w:rFonts w:ascii="TimesNewRomanPSMT" w:eastAsia="TimesNewRomanPSMT" w:hAnsi="TimesNewRomanPSMT" w:cs="TimesNewRomanPSMT"/>
      <w:color w:val="242021"/>
      <w:sz w:val="18"/>
      <w:szCs w:val="18"/>
    </w:rPr>
  </w:style>
  <w:style w:type="paragraph" w:styleId="ListParagraph">
    <w:name w:val="List Paragraph"/>
    <w:basedOn w:val="Normal"/>
    <w:uiPriority w:val="99"/>
    <w:rsid w:val="00203DC6"/>
    <w:pPr>
      <w:ind w:left="720"/>
      <w:contextualSpacing/>
    </w:pPr>
  </w:style>
  <w:style w:type="paragraph" w:styleId="Caption">
    <w:name w:val="caption"/>
    <w:basedOn w:val="Normal"/>
    <w:next w:val="Normal"/>
    <w:unhideWhenUsed/>
    <w:qFormat/>
    <w:rsid w:val="007143AB"/>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24</Pages>
  <Words>9448</Words>
  <Characters>53859</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Viện Hàn lâm Khoa học và Công nghệ Việt Nam</Company>
  <LinksUpToDate>false</LinksUpToDate>
  <CharactersWithSpaces>63181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Dương Thành Nam</cp:lastModifiedBy>
  <cp:revision>12</cp:revision>
  <dcterms:created xsi:type="dcterms:W3CDTF">2021-06-01T03:14:00Z</dcterms:created>
  <dcterms:modified xsi:type="dcterms:W3CDTF">2021-06-01T22:22:00Z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ies>
</file>