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705" w:type="dxa"/>
        <w:tblInd w:w="-545" w:type="dxa"/>
        <w:tblLayout w:type="fixed"/>
        <w:tblLook w:val="04A0" w:firstRow="1" w:lastRow="0" w:firstColumn="1" w:lastColumn="0" w:noHBand="0" w:noVBand="1"/>
      </w:tblPr>
      <w:tblGrid>
        <w:gridCol w:w="5305"/>
        <w:gridCol w:w="5400"/>
      </w:tblGrid>
      <w:tr w:rsidR="00074427">
        <w:tc>
          <w:tcPr>
            <w:tcW w:w="5305" w:type="dxa"/>
          </w:tcPr>
          <w:p w:rsidR="00074427" w:rsidRDefault="006919F7">
            <w:pPr>
              <w:spacing w:after="0" w:line="240" w:lineRule="auto"/>
              <w:ind w:firstLine="247"/>
              <w:jc w:val="both"/>
              <w:rPr>
                <w:rFonts w:ascii="Times New Roman" w:hAnsi="Times New Roman" w:cs="Times New Roman"/>
                <w:b/>
                <w:sz w:val="26"/>
                <w:szCs w:val="26"/>
              </w:rPr>
            </w:pPr>
            <w:r>
              <w:rPr>
                <w:rFonts w:ascii="Times New Roman" w:hAnsi="Times New Roman" w:cs="Times New Roman"/>
                <w:b/>
                <w:sz w:val="26"/>
                <w:szCs w:val="26"/>
              </w:rPr>
              <w:t>Facility for calibration of optical and condensation particle counters based on a turbulent sol khí mixing tube and a reference optical particle counter</w:t>
            </w:r>
          </w:p>
        </w:tc>
        <w:tc>
          <w:tcPr>
            <w:tcW w:w="5400" w:type="dxa"/>
          </w:tcPr>
          <w:p w:rsidR="00074427" w:rsidRDefault="006919F7">
            <w:pPr>
              <w:spacing w:after="0" w:line="240" w:lineRule="auto"/>
              <w:ind w:firstLine="252"/>
              <w:jc w:val="both"/>
              <w:rPr>
                <w:rFonts w:ascii="Times New Roman" w:hAnsi="Times New Roman" w:cs="Times New Roman"/>
                <w:b/>
                <w:sz w:val="26"/>
                <w:szCs w:val="26"/>
              </w:rPr>
            </w:pPr>
            <w:r>
              <w:rPr>
                <w:rFonts w:ascii="Times New Roman" w:hAnsi="Times New Roman" w:cs="Times New Roman"/>
                <w:b/>
                <w:sz w:val="26"/>
                <w:szCs w:val="26"/>
              </w:rPr>
              <w:t>Cơ sở để hiệu chuẩn máy đếm hạt quang học và ngưng tụ dựa trên một ống trộn sol khí hỗn loạn và một máy đếm hạt quang học tham chiếu</w:t>
            </w:r>
          </w:p>
        </w:tc>
      </w:tr>
      <w:tr w:rsidR="00074427">
        <w:tc>
          <w:tcPr>
            <w:tcW w:w="5305" w:type="dxa"/>
          </w:tcPr>
          <w:p w:rsidR="00074427" w:rsidRDefault="006919F7">
            <w:pPr>
              <w:spacing w:after="0" w:line="240" w:lineRule="auto"/>
              <w:ind w:firstLine="247"/>
              <w:jc w:val="both"/>
              <w:rPr>
                <w:rFonts w:ascii="Times New Roman" w:hAnsi="Times New Roman" w:cs="Times New Roman"/>
                <w:b/>
                <w:sz w:val="26"/>
                <w:szCs w:val="26"/>
              </w:rPr>
            </w:pPr>
            <w:r>
              <w:rPr>
                <w:rFonts w:ascii="Times New Roman" w:hAnsi="Times New Roman" w:cs="Times New Roman"/>
                <w:b/>
                <w:sz w:val="26"/>
                <w:szCs w:val="26"/>
              </w:rPr>
              <w:t>ABSTRACT</w:t>
            </w: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In this study, we present a custom-made facility developed for evaluating the measurement efficiency of optical particle counters and other common sol khí instrumentation. The facility consists of an sol khí generation setup, a turbulent flow tube for particle homogenization, isoki-netic sampling ports, and a home-built particle counter that serves as a reference instrument. Stable and reproducible sol khís of polystyrene latex particles can be produced in the size range 100 nm–10 μm and at concentrations between 0.5 cm−3 and a few thousand submicron particles per cm3 or a few tens of 10 μm particles per cm3. The flow characteristics in the homogenizer were investigated with laser Doppler velocimetry measurements and computational fluid dynamics simulations indicating a plug (turbulent) flow at the sol khí sampling location. The particle mixing characteristics were determined experimentally at various heights of the flow tube by parallel measurements with two condensation particle counters. A spatial homogeneity within 1.1% was found across the sampling area. The measurement uncertainties in the determination of the particle number concentration have been evaluated in detail and amount typically to 5.4% at 1 cm−3 and 2.1% at 100 cm−3 (95% confidence level).</w:t>
            </w:r>
          </w:p>
        </w:tc>
        <w:tc>
          <w:tcPr>
            <w:tcW w:w="5400" w:type="dxa"/>
          </w:tcPr>
          <w:p w:rsidR="00074427" w:rsidRDefault="006919F7">
            <w:pPr>
              <w:spacing w:after="0" w:line="240" w:lineRule="auto"/>
              <w:ind w:firstLine="252"/>
              <w:jc w:val="both"/>
              <w:rPr>
                <w:rFonts w:ascii="Times New Roman" w:hAnsi="Times New Roman" w:cs="Times New Roman"/>
                <w:b/>
                <w:sz w:val="26"/>
                <w:szCs w:val="26"/>
                <w:lang w:val="vi-VN"/>
              </w:rPr>
            </w:pPr>
            <w:r>
              <w:rPr>
                <w:rFonts w:ascii="Times New Roman" w:hAnsi="Times New Roman" w:cs="Times New Roman"/>
                <w:b/>
                <w:sz w:val="26"/>
                <w:szCs w:val="26"/>
                <w:lang w:val="vi-VN"/>
              </w:rPr>
              <w:t>Tóm tắt</w:t>
            </w:r>
          </w:p>
          <w:p w:rsidR="00074427" w:rsidRDefault="006919F7">
            <w:pPr>
              <w:spacing w:after="0" w:line="240" w:lineRule="auto"/>
              <w:ind w:firstLine="252"/>
              <w:jc w:val="both"/>
              <w:rPr>
                <w:rFonts w:ascii="Times New Roman" w:hAnsi="Times New Roman" w:cs="Times New Roman"/>
                <w:sz w:val="26"/>
                <w:szCs w:val="26"/>
              </w:rPr>
            </w:pPr>
            <w:r>
              <w:rPr>
                <w:rFonts w:ascii="Times New Roman" w:hAnsi="Times New Roman" w:cs="Times New Roman"/>
                <w:sz w:val="26"/>
                <w:szCs w:val="26"/>
              </w:rPr>
              <w:t xml:space="preserve">Trong nghiên cứu này, chúng tôi trình bày một cơ sở tùy chỉnh được phát triển để đánh giá hiệu quả đo lường của máy đếm hạt quang học và các thiết bị đo sol khí thông thường khác. Cơ sở này </w:t>
            </w:r>
            <w:r>
              <w:rPr>
                <w:rFonts w:ascii="Times New Roman" w:hAnsi="Times New Roman" w:cs="Times New Roman"/>
                <w:b/>
                <w:i/>
                <w:sz w:val="26"/>
                <w:szCs w:val="26"/>
              </w:rPr>
              <w:t xml:space="preserve">bao gồm một thiết lập tạo sol khí, </w:t>
            </w:r>
            <w:r>
              <w:rPr>
                <w:rFonts w:ascii="Times New Roman" w:hAnsi="Times New Roman" w:cs="Times New Roman"/>
                <w:b/>
                <w:i/>
                <w:sz w:val="26"/>
                <w:szCs w:val="26"/>
                <w:highlight w:val="yellow"/>
              </w:rPr>
              <w:t>một ống dòng chảy hỗn loạn để đồng nhất hạt</w:t>
            </w:r>
            <w:r>
              <w:rPr>
                <w:rFonts w:ascii="Times New Roman" w:hAnsi="Times New Roman" w:cs="Times New Roman"/>
                <w:b/>
                <w:i/>
                <w:sz w:val="26"/>
                <w:szCs w:val="26"/>
              </w:rPr>
              <w:t>, các đầu lấy mẫu isokinetic và một máy đếm hạt đóng vai trò như một thiết</w:t>
            </w:r>
            <w:r>
              <w:rPr>
                <w:rFonts w:ascii="Times New Roman" w:hAnsi="Times New Roman" w:cs="Times New Roman"/>
                <w:b/>
                <w:i/>
                <w:sz w:val="26"/>
                <w:szCs w:val="26"/>
                <w:lang w:val="vi-VN"/>
              </w:rPr>
              <w:t xml:space="preserve"> bị</w:t>
            </w:r>
            <w:r>
              <w:rPr>
                <w:rFonts w:ascii="Times New Roman" w:hAnsi="Times New Roman" w:cs="Times New Roman"/>
                <w:b/>
                <w:i/>
                <w:sz w:val="26"/>
                <w:szCs w:val="26"/>
              </w:rPr>
              <w:t xml:space="preserve"> tham chiếu</w:t>
            </w:r>
            <w:r>
              <w:rPr>
                <w:rFonts w:ascii="Times New Roman" w:hAnsi="Times New Roman" w:cs="Times New Roman"/>
                <w:sz w:val="26"/>
                <w:szCs w:val="26"/>
              </w:rPr>
              <w:t xml:space="preserve">. Các sol khí ổn định và có thể tái tạo của các hạt latex polystyrene có thể được tạo ra trong </w:t>
            </w:r>
            <w:r>
              <w:rPr>
                <w:rFonts w:ascii="Times New Roman" w:hAnsi="Times New Roman" w:cs="Times New Roman"/>
                <w:b/>
                <w:i/>
                <w:sz w:val="26"/>
                <w:szCs w:val="26"/>
              </w:rPr>
              <w:t xml:space="preserve">phạm vi kích thước </w:t>
            </w:r>
            <w:r>
              <w:rPr>
                <w:rFonts w:ascii="Times New Roman" w:hAnsi="Times New Roman" w:cs="Times New Roman"/>
                <w:b/>
                <w:i/>
                <w:sz w:val="26"/>
                <w:szCs w:val="26"/>
                <w:highlight w:val="yellow"/>
              </w:rPr>
              <w:t>100 nm – 10 μm</w:t>
            </w:r>
            <w:r>
              <w:rPr>
                <w:rFonts w:ascii="Times New Roman" w:hAnsi="Times New Roman" w:cs="Times New Roman"/>
                <w:b/>
                <w:i/>
                <w:sz w:val="26"/>
                <w:szCs w:val="26"/>
              </w:rPr>
              <w:t xml:space="preserve"> và ở nồng độ từ 0,5 cm</w:t>
            </w:r>
            <w:r>
              <w:rPr>
                <w:rFonts w:ascii="Times New Roman" w:hAnsi="Times New Roman" w:cs="Times New Roman"/>
                <w:b/>
                <w:i/>
                <w:sz w:val="26"/>
                <w:szCs w:val="26"/>
                <w:vertAlign w:val="superscript"/>
              </w:rPr>
              <w:t>-3</w:t>
            </w:r>
            <w:r>
              <w:rPr>
                <w:rFonts w:ascii="Times New Roman" w:hAnsi="Times New Roman" w:cs="Times New Roman"/>
                <w:b/>
                <w:i/>
                <w:sz w:val="26"/>
                <w:szCs w:val="26"/>
              </w:rPr>
              <w:t xml:space="preserve"> đến vài nghìn hạt</w:t>
            </w:r>
            <w:r>
              <w:rPr>
                <w:rFonts w:ascii="Times New Roman" w:hAnsi="Times New Roman" w:cs="Times New Roman"/>
                <w:sz w:val="26"/>
                <w:szCs w:val="26"/>
              </w:rPr>
              <w:t xml:space="preserve"> trên 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hoặc vài chục hạt 10 μm trên 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w:t>
            </w:r>
            <w:r>
              <w:rPr>
                <w:rFonts w:ascii="Times New Roman" w:hAnsi="Times New Roman" w:cs="Times New Roman"/>
                <w:b/>
                <w:i/>
                <w:sz w:val="26"/>
                <w:szCs w:val="26"/>
                <w:lang w:val="vi-VN"/>
              </w:rPr>
              <w:t>Đ</w:t>
            </w:r>
            <w:r>
              <w:rPr>
                <w:rFonts w:ascii="Times New Roman" w:hAnsi="Times New Roman" w:cs="Times New Roman"/>
                <w:b/>
                <w:i/>
                <w:sz w:val="26"/>
                <w:szCs w:val="26"/>
              </w:rPr>
              <w:t>ặc tính dòng chảy hỗ</w:t>
            </w:r>
            <w:r>
              <w:rPr>
                <w:rFonts w:ascii="Times New Roman" w:hAnsi="Times New Roman" w:cs="Times New Roman"/>
                <w:b/>
                <w:i/>
                <w:sz w:val="26"/>
                <w:szCs w:val="26"/>
                <w:lang w:val="vi-VN"/>
              </w:rPr>
              <w:t>n loạn</w:t>
            </w:r>
            <w:r>
              <w:rPr>
                <w:rFonts w:ascii="Times New Roman" w:hAnsi="Times New Roman" w:cs="Times New Roman"/>
                <w:b/>
                <w:i/>
                <w:sz w:val="26"/>
                <w:szCs w:val="26"/>
              </w:rPr>
              <w:t xml:space="preserve"> được khảo sát bằng các phép đo vận tốc Doppler laser và</w:t>
            </w:r>
            <w:r>
              <w:rPr>
                <w:rFonts w:ascii="Times New Roman" w:hAnsi="Times New Roman" w:cs="Times New Roman"/>
                <w:b/>
                <w:i/>
                <w:sz w:val="26"/>
                <w:szCs w:val="26"/>
                <w:highlight w:val="cyan"/>
              </w:rPr>
              <w:t xml:space="preserve"> mô phỏng động lực học chất lỏng tính toán chỉ ra dòng chảy hỗn loạn (hỗn loạn) tại vị trí lấy mẫu sol khí</w:t>
            </w:r>
            <w:r>
              <w:rPr>
                <w:rFonts w:ascii="Times New Roman" w:hAnsi="Times New Roman" w:cs="Times New Roman"/>
                <w:sz w:val="26"/>
                <w:szCs w:val="26"/>
                <w:highlight w:val="cyan"/>
              </w:rPr>
              <w:t>.</w:t>
            </w:r>
            <w:r>
              <w:rPr>
                <w:rFonts w:ascii="Times New Roman" w:hAnsi="Times New Roman" w:cs="Times New Roman"/>
                <w:sz w:val="26"/>
                <w:szCs w:val="26"/>
              </w:rPr>
              <w:t xml:space="preserve"> Các đặc tính trộn hạt được xác định bằng thực nghiệm ở các độ cao khác nhau của ống dòng bằng các phép đo song song với hai máy đếm hạt ngưng tụ. Sự đồng nhất về không gian trong vòng 1,1% được tìm thấy trên toàn bộ khu vực lấy mẫu. </w:t>
            </w:r>
            <w:r>
              <w:rPr>
                <w:rFonts w:ascii="Times New Roman" w:hAnsi="Times New Roman" w:cs="Times New Roman"/>
                <w:color w:val="0000FF"/>
                <w:sz w:val="26"/>
                <w:szCs w:val="26"/>
                <w:highlight w:val="lightGray"/>
              </w:rPr>
              <w:t>Độ không đảm bảo đo trong việc xác định nồng độ số hạt đã được đánh giá chi tiết và thông thường là 5,4% ở 1 cm-3 và 2,1% ở 100 cm-3 (độ tin cậy 95%).</w:t>
            </w:r>
          </w:p>
        </w:tc>
      </w:tr>
      <w:tr w:rsidR="00074427">
        <w:tc>
          <w:tcPr>
            <w:tcW w:w="5305" w:type="dxa"/>
          </w:tcPr>
          <w:p w:rsidR="00074427" w:rsidRDefault="006919F7">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I. INTRODUCTION</w:t>
            </w:r>
          </w:p>
          <w:p w:rsidR="00074427" w:rsidRDefault="00074427">
            <w:pPr>
              <w:spacing w:after="0" w:line="240" w:lineRule="auto"/>
              <w:jc w:val="both"/>
              <w:rPr>
                <w:rFonts w:ascii="Times New Roman" w:hAnsi="Times New Roman" w:cs="Times New Roman"/>
                <w:sz w:val="26"/>
                <w:szCs w:val="26"/>
              </w:rPr>
            </w:pP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Optical particle counters (OPCs) are increasingly used in cleanrooms (e.g., in semiconductor industries and medical and pharmaceutical environments) for monitoring the number concentration of airborne particles. A cleanroom is an enclosed and highly controlled space in which airborne particles, contaminants, and pollutants are kept within strict limits. In industry, cleanrooms are used in manufacturing </w:t>
            </w:r>
            <w:r>
              <w:rPr>
                <w:rFonts w:ascii="Times New Roman" w:hAnsi="Times New Roman" w:cs="Times New Roman"/>
                <w:sz w:val="26"/>
                <w:szCs w:val="26"/>
              </w:rPr>
              <w:lastRenderedPageBreak/>
              <w:t>and servicing of hardware, such as integrated circuits and hard drives. In biotechnology and pharmaceutical sciences, cleanrooms are used to minimize the presence of bacteria, viruses, and other pathogens. Without strict control, contamination can compromise severely the quality of the (manufactured) products or processes, lead to disease spreading in hospital environments, or aggravate the health of industry workers. Hence, the development of accurate calibration procedures for OPCs is highly important.</w:t>
            </w:r>
          </w:p>
        </w:tc>
        <w:tc>
          <w:tcPr>
            <w:tcW w:w="5400" w:type="dxa"/>
          </w:tcPr>
          <w:p w:rsidR="00074427" w:rsidRDefault="006919F7">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lastRenderedPageBreak/>
              <w:t>I. GIỚI THIỆU</w:t>
            </w:r>
          </w:p>
          <w:p w:rsidR="00074427" w:rsidRDefault="00074427">
            <w:pPr>
              <w:spacing w:after="0" w:line="240" w:lineRule="auto"/>
              <w:jc w:val="both"/>
              <w:rPr>
                <w:rFonts w:ascii="Times New Roman" w:hAnsi="Times New Roman" w:cs="Times New Roman"/>
                <w:sz w:val="26"/>
                <w:szCs w:val="26"/>
              </w:rPr>
            </w:pP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b/>
                <w:i/>
                <w:sz w:val="26"/>
                <w:szCs w:val="26"/>
              </w:rPr>
              <w:t>Máy đếm hạt quang học</w:t>
            </w:r>
            <w:r>
              <w:rPr>
                <w:rFonts w:ascii="Times New Roman" w:hAnsi="Times New Roman" w:cs="Times New Roman"/>
                <w:sz w:val="26"/>
                <w:szCs w:val="26"/>
              </w:rPr>
              <w:t xml:space="preserve"> (OPC) ngày càng được sử dụng nhiều hơn trong các phòng sạch (ví dụ: trong các ngành công nghiệp bán dẫn và môi trường y tế và dược phẩm) </w:t>
            </w:r>
            <w:r>
              <w:rPr>
                <w:rFonts w:ascii="Times New Roman" w:hAnsi="Times New Roman" w:cs="Times New Roman"/>
                <w:b/>
                <w:i/>
                <w:sz w:val="26"/>
                <w:szCs w:val="26"/>
              </w:rPr>
              <w:t>để theo dõi nồng độ số lượng của các hạt trong không khí</w:t>
            </w:r>
            <w:r>
              <w:rPr>
                <w:rFonts w:ascii="Times New Roman" w:hAnsi="Times New Roman" w:cs="Times New Roman"/>
                <w:sz w:val="26"/>
                <w:szCs w:val="26"/>
              </w:rPr>
              <w:t xml:space="preserve">. Phòng sạch là một không gian kín và được kiểm soát cao, trong đó các hạt, chất gây ô nhiễm và chất ô nhiễm trong không khí được giữ trong giới hạn nghiêm ngặt. Trong công nghiệp, phòng sạch được sử </w:t>
            </w:r>
            <w:r>
              <w:rPr>
                <w:rFonts w:ascii="Times New Roman" w:hAnsi="Times New Roman" w:cs="Times New Roman"/>
                <w:sz w:val="26"/>
                <w:szCs w:val="26"/>
              </w:rPr>
              <w:lastRenderedPageBreak/>
              <w:t>dụng để sản xuất và bảo dưỡng phần cứng, chẳng hạn như mạch tích hợp và ổ cứng. Trong công nghệ sinh học và khoa học dược phẩm, phòng sạch được sử dụng để giảm thiểu sự hiện diện của vi khuẩn, vi rút và các mầm bệnh khác. Nếu không có sự kiểm soát chặt chẽ, sự nhiễm bẩn có thể ảnh hưởng nghiêm trọng đến chất lượng của các sản phẩm hoặc quy trình (được sản xuất), dẫn đến lây lan dịch bệnh trong môi trường bệnh viện, hoặc làm trầm trọng thêm sức khỏe của công nhân trong ngành. OPC rất quan trọng.</w:t>
            </w:r>
          </w:p>
        </w:tc>
      </w:tr>
      <w:tr w:rsidR="00074427">
        <w:tc>
          <w:tcPr>
            <w:tcW w:w="5305"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In the past, the OPC measurement efficiency was evaluated by collecting and counting particles on filters or a silicon wafer. In recent years, the requirements for OPCs used in cleanrooms (also known as laser scattering airborne particle counters) have been defined in the ISO 21501-4 international standard. According to this standard, the counting efficiency of the devices under test (hereafter referred to as DUT-OPCs) must be evaluated with polystyrene latex (PSL) spheres of known size. In practice, the DUT-OPC samples during calibration a well-homogenized sol khí of PSL spheres at low concentrations, typically a few particles per cm3. Parallel measurements with a reference instrument, either a calibrated condensation particle counter (CPC) or a reference OPC, are carried out in order to determine the counting efficiency of the DUT-CPC. In industry, the use of a CPC as a reference instrument for OPC calibration is very common even though the method suffers from several disadvantages. Traceability for CPCs has been established through comparison with electrometers only for number concentrations above 1000 cm−3. Below this limit, a proportionality assessment over the range of the CPC must be carried out. Moreover, CPCs must be combined with a Differential Mobility Analyzer (DMA) for upstream particle size classification and are therefore only suited for particle sizes up to 1 μm, with the exception of large custom-made DMA columns as reported by Järvinen et al. As a result, commercial DMA-</w:t>
            </w:r>
            <w:r>
              <w:rPr>
                <w:rFonts w:ascii="Times New Roman" w:hAnsi="Times New Roman" w:cs="Times New Roman"/>
                <w:sz w:val="26"/>
                <w:szCs w:val="26"/>
              </w:rPr>
              <w:lastRenderedPageBreak/>
              <w:t>CPC setups cannot respond to the needs of the medical/pharmaceutical industries, for which monitoring of large particles (up to 10 μm or larger) is essential.</w:t>
            </w:r>
          </w:p>
        </w:tc>
        <w:tc>
          <w:tcPr>
            <w:tcW w:w="5400"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b/>
                <w:i/>
                <w:sz w:val="26"/>
                <w:szCs w:val="26"/>
              </w:rPr>
              <w:lastRenderedPageBreak/>
              <w:t>Trước đây</w:t>
            </w:r>
            <w:r>
              <w:rPr>
                <w:rFonts w:ascii="Times New Roman" w:hAnsi="Times New Roman" w:cs="Times New Roman"/>
                <w:sz w:val="26"/>
                <w:szCs w:val="26"/>
              </w:rPr>
              <w:t xml:space="preserve">, </w:t>
            </w:r>
            <w:r>
              <w:rPr>
                <w:rFonts w:ascii="Times New Roman" w:hAnsi="Times New Roman" w:cs="Times New Roman"/>
                <w:b/>
                <w:i/>
                <w:sz w:val="26"/>
                <w:szCs w:val="26"/>
              </w:rPr>
              <w:t>hiệu quả đo OPC được đánh giá bằng cách thu thập và đếm các hạt trên bộ lọc hoặc một tấm silicon</w:t>
            </w:r>
            <w:r>
              <w:rPr>
                <w:rFonts w:ascii="Times New Roman" w:hAnsi="Times New Roman" w:cs="Times New Roman"/>
                <w:sz w:val="26"/>
                <w:szCs w:val="26"/>
              </w:rPr>
              <w:t>.</w:t>
            </w:r>
            <w:r>
              <w:rPr>
                <w:rFonts w:ascii="Times New Roman" w:hAnsi="Times New Roman" w:cs="Times New Roman"/>
                <w:b/>
                <w:sz w:val="26"/>
                <w:szCs w:val="26"/>
              </w:rPr>
              <w:t>Trong những năm gần đây</w:t>
            </w:r>
            <w:r>
              <w:rPr>
                <w:rFonts w:ascii="Times New Roman" w:hAnsi="Times New Roman" w:cs="Times New Roman"/>
                <w:sz w:val="26"/>
                <w:szCs w:val="26"/>
              </w:rPr>
              <w:t xml:space="preserve">, các yêu cầu đối với </w:t>
            </w:r>
            <w:r>
              <w:rPr>
                <w:rFonts w:ascii="Times New Roman" w:hAnsi="Times New Roman" w:cs="Times New Roman"/>
                <w:b/>
                <w:i/>
                <w:sz w:val="26"/>
                <w:szCs w:val="26"/>
              </w:rPr>
              <w:t>OPC được sử dụng trong phòng sạch</w:t>
            </w:r>
            <w:r>
              <w:rPr>
                <w:rFonts w:ascii="Times New Roman" w:hAnsi="Times New Roman" w:cs="Times New Roman"/>
                <w:sz w:val="26"/>
                <w:szCs w:val="26"/>
              </w:rPr>
              <w:t xml:space="preserve"> (còn được gọi là </w:t>
            </w:r>
            <w:r>
              <w:rPr>
                <w:rFonts w:ascii="Times New Roman" w:hAnsi="Times New Roman" w:cs="Times New Roman"/>
                <w:b/>
                <w:i/>
                <w:sz w:val="26"/>
                <w:szCs w:val="26"/>
              </w:rPr>
              <w:t>máy đếm hạt tán xạ laser trong không khí</w:t>
            </w:r>
            <w:r>
              <w:rPr>
                <w:rFonts w:ascii="Times New Roman" w:hAnsi="Times New Roman" w:cs="Times New Roman"/>
                <w:sz w:val="26"/>
                <w:szCs w:val="26"/>
              </w:rPr>
              <w:t xml:space="preserve">) đã được xác định trong Tiêu chuẩn quốc tế ISO 21501-4. Theo tiêu chuẩn này, hiệu quả đếm của các </w:t>
            </w:r>
            <w:r>
              <w:rPr>
                <w:rFonts w:ascii="Times New Roman" w:hAnsi="Times New Roman" w:cs="Times New Roman"/>
                <w:i/>
                <w:sz w:val="26"/>
                <w:szCs w:val="26"/>
              </w:rPr>
              <w:t>thiết bị được thử nghiệm (sau đây gọi là DUT</w:t>
            </w:r>
            <w:r>
              <w:rPr>
                <w:rFonts w:ascii="Times New Roman" w:hAnsi="Times New Roman" w:cs="Times New Roman"/>
                <w:sz w:val="26"/>
                <w:szCs w:val="26"/>
              </w:rPr>
              <w:t xml:space="preserve">-OPC) phải được đánh giá với các khối cầu </w:t>
            </w:r>
            <w:r>
              <w:rPr>
                <w:rFonts w:ascii="Times New Roman" w:hAnsi="Times New Roman" w:cs="Times New Roman"/>
                <w:i/>
                <w:sz w:val="26"/>
                <w:szCs w:val="26"/>
              </w:rPr>
              <w:t>polystyrene latex</w:t>
            </w:r>
            <w:r>
              <w:rPr>
                <w:rFonts w:ascii="Times New Roman" w:hAnsi="Times New Roman" w:cs="Times New Roman"/>
                <w:sz w:val="26"/>
                <w:szCs w:val="26"/>
              </w:rPr>
              <w:t xml:space="preserve"> (PSL) có kích thước đã biết. Trong thực tế, các mẫu DUT-OPC trong quá trình hiệu chuẩn một sol khí được đồng nhất tốt của các quả cầu PSL ở nồng độ thấp, thường là một vài hạt trên mỗi 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w:t>
            </w:r>
            <w:r>
              <w:rPr>
                <w:rFonts w:ascii="Times New Roman" w:hAnsi="Times New Roman" w:cs="Times New Roman"/>
                <w:b/>
                <w:i/>
                <w:sz w:val="26"/>
                <w:szCs w:val="26"/>
              </w:rPr>
              <w:t>Các phép đo song song với dụng cụ chuẩn, máy đếm hạt ngưng tụ đã hiệu chuẩn (CPC)  hoặc OPC chuẩn,  được thực hiện để xác định hiệu quả đếm của DUT-CPC</w:t>
            </w:r>
            <w:r>
              <w:rPr>
                <w:rFonts w:ascii="Times New Roman" w:hAnsi="Times New Roman" w:cs="Times New Roman"/>
                <w:sz w:val="26"/>
                <w:szCs w:val="26"/>
              </w:rPr>
              <w:t xml:space="preserve">. Trong công nghiệp, việc sử dụng </w:t>
            </w:r>
            <w:r>
              <w:rPr>
                <w:rFonts w:ascii="Times New Roman" w:hAnsi="Times New Roman" w:cs="Times New Roman"/>
                <w:i/>
                <w:sz w:val="26"/>
                <w:szCs w:val="26"/>
              </w:rPr>
              <w:t>CPC làm công cụ tham chiếu để hiệu chuẩn OPC</w:t>
            </w:r>
            <w:r>
              <w:rPr>
                <w:rFonts w:ascii="Times New Roman" w:hAnsi="Times New Roman" w:cs="Times New Roman"/>
                <w:sz w:val="26"/>
                <w:szCs w:val="26"/>
              </w:rPr>
              <w:t xml:space="preserve"> là rất phổ biến mặc dù phương pháp này có một số nhược điểm. Khả năng truy xuất nguồn gốc của CPC đã được thiết lập thông qua việc so sánh với điện kế chỉ cho </w:t>
            </w:r>
            <w:r>
              <w:rPr>
                <w:rFonts w:ascii="Times New Roman" w:hAnsi="Times New Roman" w:cs="Times New Roman"/>
                <w:i/>
                <w:sz w:val="26"/>
                <w:szCs w:val="26"/>
              </w:rPr>
              <w:t>các nồng độ số trên 1000 cm-3</w:t>
            </w:r>
            <w:r>
              <w:rPr>
                <w:rFonts w:ascii="Times New Roman" w:hAnsi="Times New Roman" w:cs="Times New Roman"/>
                <w:sz w:val="26"/>
                <w:szCs w:val="26"/>
              </w:rPr>
              <w:t xml:space="preserve">. Dưới giới hạn này, phải thực hiện đánh giá tỷ lệ tương xứng trong phạm vi CPC. Hơn nữa, </w:t>
            </w:r>
            <w:r>
              <w:rPr>
                <w:rFonts w:ascii="Times New Roman" w:hAnsi="Times New Roman" w:cs="Times New Roman"/>
                <w:b/>
                <w:i/>
                <w:sz w:val="26"/>
                <w:szCs w:val="26"/>
                <w:highlight w:val="yellow"/>
              </w:rPr>
              <w:t>CPC phải được kết hợp với Máy phân tích di động v</w:t>
            </w:r>
            <w:r>
              <w:rPr>
                <w:rFonts w:ascii="Times New Roman" w:hAnsi="Times New Roman" w:cs="Times New Roman"/>
                <w:b/>
                <w:i/>
                <w:sz w:val="26"/>
                <w:szCs w:val="26"/>
                <w:highlight w:val="yellow"/>
                <w:lang w:val="vi-VN"/>
              </w:rPr>
              <w:t>i sai</w:t>
            </w:r>
            <w:r>
              <w:rPr>
                <w:rFonts w:ascii="Times New Roman" w:hAnsi="Times New Roman" w:cs="Times New Roman"/>
                <w:b/>
                <w:i/>
                <w:sz w:val="26"/>
                <w:szCs w:val="26"/>
                <w:highlight w:val="yellow"/>
              </w:rPr>
              <w:t xml:space="preserve"> (DMA) để phân loại kích thước hạt đầu nguồn </w:t>
            </w:r>
            <w:r>
              <w:rPr>
                <w:rFonts w:ascii="Times New Roman" w:hAnsi="Times New Roman" w:cs="Times New Roman"/>
                <w:sz w:val="26"/>
                <w:szCs w:val="26"/>
              </w:rPr>
              <w:t>và do đó chỉ phù hợp với các kích thước hạt lên đến 1 μm, ngoại trừ các cột DMA lớn tùy chỉnh theo báo cáo của Järvinen et al. Do đó, các thiết lập DMA-CPC thương mại không thể đáp ứng nhu cầu của ngành y tế / dược phẩm, trong đó việc giám sát các hạt lớn (lên đến 10 μm hoặc lớn hơn) là điều cần thiết.</w:t>
            </w:r>
          </w:p>
        </w:tc>
      </w:tr>
      <w:tr w:rsidR="00074427">
        <w:tc>
          <w:tcPr>
            <w:tcW w:w="5305"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Recently, Iida and Sakurai demonstrated a new method for evaluating the counting efficiencies of optical particle counters based on an inkjet sol khí generator (IAG). IAG generates particles at a constant rate, eliminating thus the need for a reference optical particle counter, a remarkable feature of the method. The method is well suited for generating NaCl (sodium chloride) and lactose monohydrate particles with aerodynamic and volume equivalent diameters up to several micrometers. However, the smallest particle size that can be generated is limited by the size of the residue particles arising from solvent (water) impurities. In practice, generating particles with dPSL (i.e., diameter of PSL spheres with light-scattering intensity equal to that of a given test particle) below 500 nm can be challenging. Typically, the sol khí flow rate in the IAG is set to 0.3 l/min and the particle generation rate is set to 30 s−1.</w:t>
            </w:r>
            <w:r>
              <w:rPr>
                <w:rFonts w:ascii="Times New Roman" w:hAnsi="Times New Roman" w:cs="Times New Roman"/>
                <w:sz w:val="26"/>
                <w:szCs w:val="26"/>
                <w:vertAlign w:val="superscript"/>
              </w:rPr>
              <w:t>17</w:t>
            </w:r>
            <w:r>
              <w:rPr>
                <w:rFonts w:ascii="Times New Roman" w:hAnsi="Times New Roman" w:cs="Times New Roman"/>
                <w:sz w:val="26"/>
                <w:szCs w:val="26"/>
              </w:rPr>
              <w:t xml:space="preserve"> Since the sampling flow rate of most commercially available DUT-OPCs is larger, the mismatch of the flowrates is compensated by adding particle-free air into the flow chamber of the experimental setup. This implies that the higher the flow rate of the DUT-OPC, the lower the sampled particle concentration will be, with number concentrations typically well below 1 cm−3. Measurement uncertainties remain, however, small even at such low concentrations, thanks to the regular injection pattern, which ensures that uncertainties due to random particle distribution remain negligible.</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In this study, we present a custom-made facility, which was developed primarily for determining the measurement efficiency of OPCs for cleanroom monitoring according to ISO 21501-4. Additional applications include calibration of CPCs (especially in the range &lt;1000 cm−3), Light-Scattering Sol khí Spectrometers (LSASs, also known as Optical Particle Size </w:t>
            </w:r>
            <w:r>
              <w:rPr>
                <w:rFonts w:ascii="Times New Roman" w:hAnsi="Times New Roman" w:cs="Times New Roman"/>
                <w:sz w:val="26"/>
                <w:szCs w:val="26"/>
              </w:rPr>
              <w:lastRenderedPageBreak/>
              <w:t>Spectrometers OPSSs) according to ISO 21501-1 as well as Aerodynamic Particle Sizers (APSs).</w:t>
            </w:r>
          </w:p>
        </w:tc>
        <w:tc>
          <w:tcPr>
            <w:tcW w:w="5400"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Gần đây, Iida và Sakurai đã trình diễn một phương pháp mới </w:t>
            </w:r>
            <w:r>
              <w:rPr>
                <w:rFonts w:ascii="Times New Roman" w:hAnsi="Times New Roman" w:cs="Times New Roman"/>
                <w:b/>
                <w:i/>
                <w:sz w:val="26"/>
                <w:szCs w:val="26"/>
              </w:rPr>
              <w:t>để đánh giá hiệu quả đếm của máy đếm hạt quang học dựa trên máy tạo sol khí in phun (IAG)</w:t>
            </w:r>
            <w:r>
              <w:rPr>
                <w:rFonts w:ascii="Times New Roman" w:hAnsi="Times New Roman" w:cs="Times New Roman"/>
                <w:sz w:val="26"/>
                <w:szCs w:val="26"/>
              </w:rPr>
              <w:t>.</w:t>
            </w:r>
            <w:r>
              <w:rPr>
                <w:rFonts w:ascii="Times New Roman" w:hAnsi="Times New Roman" w:cs="Times New Roman"/>
                <w:sz w:val="26"/>
                <w:szCs w:val="26"/>
                <w:lang w:val="vi-VN"/>
              </w:rPr>
              <w:t xml:space="preserve"> </w:t>
            </w:r>
            <w:r>
              <w:rPr>
                <w:rFonts w:ascii="Times New Roman" w:hAnsi="Times New Roman" w:cs="Times New Roman"/>
                <w:b/>
                <w:i/>
                <w:sz w:val="26"/>
                <w:szCs w:val="26"/>
              </w:rPr>
              <w:t>IAG tạo ra các hạt với tốc độ không đổi, do đó loại bỏ sự cần thiết của máy đếm hạt quang học tham chiếu, một đặc điểm đáng chú ý của phương pháp.</w:t>
            </w:r>
            <w:r>
              <w:rPr>
                <w:rFonts w:ascii="Times New Roman" w:hAnsi="Times New Roman" w:cs="Times New Roman"/>
                <w:sz w:val="26"/>
                <w:szCs w:val="26"/>
              </w:rPr>
              <w:t xml:space="preserve"> </w:t>
            </w:r>
            <w:r>
              <w:rPr>
                <w:rFonts w:ascii="Times New Roman" w:hAnsi="Times New Roman" w:cs="Times New Roman"/>
                <w:i/>
                <w:sz w:val="26"/>
                <w:szCs w:val="26"/>
              </w:rPr>
              <w:t>Phương pháp này rất phù hợp để tạo ra các hạt NaCl (natri clorua) và lactose monohydrat với đường kính khí động học và thể tích tương đương lên đến vài micromet.</w:t>
            </w:r>
            <w:r>
              <w:rPr>
                <w:rFonts w:ascii="Times New Roman" w:hAnsi="Times New Roman" w:cs="Times New Roman"/>
                <w:sz w:val="26"/>
                <w:szCs w:val="26"/>
              </w:rPr>
              <w:t xml:space="preserve"> Tuy nhiên, kích thước hạt nhỏ nhất có thể được tạo ra bị giới hạn bởi kích thước của các hạt cặn phát sinh từ các tạp chất dung môi (nước). Trong thực tế, tạo ra các hạt có d</w:t>
            </w:r>
            <w:r>
              <w:rPr>
                <w:rFonts w:ascii="Times New Roman" w:hAnsi="Times New Roman" w:cs="Times New Roman"/>
                <w:sz w:val="26"/>
                <w:szCs w:val="26"/>
                <w:vertAlign w:val="subscript"/>
              </w:rPr>
              <w:t>PSL</w:t>
            </w:r>
            <w:r>
              <w:rPr>
                <w:rFonts w:ascii="Times New Roman" w:hAnsi="Times New Roman" w:cs="Times New Roman"/>
                <w:sz w:val="26"/>
                <w:szCs w:val="26"/>
              </w:rPr>
              <w:t xml:space="preserve"> (tức là đường kính của hình cầu PSL với cường độ tán xạ ánh sáng bằng nhau đối với hạt thử nghiệm đã cho) dưới 500 nm có thể là một thách thức. Thông thường, </w:t>
            </w:r>
            <w:r>
              <w:rPr>
                <w:rFonts w:ascii="Times New Roman" w:hAnsi="Times New Roman" w:cs="Times New Roman"/>
                <w:i/>
                <w:sz w:val="26"/>
                <w:szCs w:val="26"/>
              </w:rPr>
              <w:t>tốc độ dòng sol khí trong IAG được đặt thành 0,3 L/min và tốc độ tạo hạt được đặt thành 30 s-1</w:t>
            </w:r>
            <w:r>
              <w:rPr>
                <w:rFonts w:ascii="Times New Roman" w:hAnsi="Times New Roman" w:cs="Times New Roman"/>
                <w:sz w:val="26"/>
                <w:szCs w:val="26"/>
                <w:lang w:val="vi-VN"/>
              </w:rPr>
              <w:t>.</w:t>
            </w:r>
            <w:r>
              <w:rPr>
                <w:rFonts w:ascii="Times New Roman" w:hAnsi="Times New Roman" w:cs="Times New Roman"/>
                <w:sz w:val="26"/>
                <w:szCs w:val="26"/>
              </w:rPr>
              <w:t xml:space="preserve"> Vì tốc độ dòng lấy mẫu của hầu hết các DUT-OPC có sẵn trên thị trường lớn hơn, sự không phù hợp của các dòng chảy được bù đắp bằng cách thêm không khí không có hạt vào buồng dòng của thiết lập thí nghiệm. Điều này ngụ ý rằng tốc độ dòng chảy của DUT-OPC càng cao, nồng độ hạt được lấy mẫu càng thấp, với nồng độ số lượng thường dưới 1 cm-3. Tuy nhiên, độ không đảm bảo đo vẫn còn nhỏ ngay cả ở nồng độ thấp như vậy, nhờ mô hình phun đều đặn, đảm bảo rằng độ không đảm bảo do phân bố hạt ngẫu nhiên vẫn không đáng kể.</w:t>
            </w:r>
          </w:p>
          <w:p w:rsidR="00074427" w:rsidRDefault="00074427">
            <w:pPr>
              <w:spacing w:after="0" w:line="240" w:lineRule="auto"/>
              <w:jc w:val="both"/>
              <w:rPr>
                <w:rFonts w:ascii="Times New Roman" w:hAnsi="Times New Roman" w:cs="Times New Roman"/>
                <w:sz w:val="26"/>
                <w:szCs w:val="26"/>
              </w:rPr>
            </w:pPr>
          </w:p>
          <w:p w:rsidR="00074427" w:rsidRDefault="00074427">
            <w:pPr>
              <w:spacing w:after="0" w:line="240" w:lineRule="auto"/>
              <w:jc w:val="both"/>
              <w:rPr>
                <w:rFonts w:ascii="Times New Roman" w:hAnsi="Times New Roman" w:cs="Times New Roman"/>
                <w:sz w:val="26"/>
                <w:szCs w:val="26"/>
              </w:rPr>
            </w:pP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Trong nghiên cứu này, chúng tôi trình bày một phương tiện được thiết kế riêng, được phát triển chủ yếu để xác định hiệu quả đo lường của OPC để giám sát phòng sạch theo </w:t>
            </w:r>
            <w:r>
              <w:rPr>
                <w:rFonts w:ascii="Times New Roman" w:hAnsi="Times New Roman" w:cs="Times New Roman"/>
                <w:color w:val="FF0000"/>
                <w:sz w:val="26"/>
                <w:szCs w:val="26"/>
              </w:rPr>
              <w:t>ISO 21501-4</w:t>
            </w:r>
            <w:r>
              <w:rPr>
                <w:rFonts w:ascii="Times New Roman" w:hAnsi="Times New Roman" w:cs="Times New Roman"/>
                <w:sz w:val="26"/>
                <w:szCs w:val="26"/>
              </w:rPr>
              <w:t xml:space="preserve">. Các ứng dụng bổ sung bao gồm hiệu chuẩn CPC (đặc biệt trong phạm vi &lt;1000 cm-3), Quang phổ kế sol khí tán xạ ánh sáng (LSAS, còn được gọi là Quang phổ kế kích thước hạt quang học OPSS) theo ISO </w:t>
            </w:r>
            <w:r>
              <w:rPr>
                <w:rFonts w:ascii="Times New Roman" w:hAnsi="Times New Roman" w:cs="Times New Roman"/>
                <w:sz w:val="26"/>
                <w:szCs w:val="26"/>
              </w:rPr>
              <w:lastRenderedPageBreak/>
              <w:t>21501-1cũng như Máy đo kích</w:t>
            </w:r>
            <w:r>
              <w:rPr>
                <w:rFonts w:ascii="Times New Roman" w:hAnsi="Times New Roman" w:cs="Times New Roman"/>
                <w:sz w:val="26"/>
                <w:szCs w:val="26"/>
                <w:lang w:val="vi-VN"/>
              </w:rPr>
              <w:t xml:space="preserve"> cỡ </w:t>
            </w:r>
            <w:r>
              <w:rPr>
                <w:rFonts w:ascii="Times New Roman" w:hAnsi="Times New Roman" w:cs="Times New Roman"/>
                <w:sz w:val="26"/>
                <w:szCs w:val="26"/>
              </w:rPr>
              <w:t>hạt khí động học (APS) .</w:t>
            </w:r>
          </w:p>
        </w:tc>
      </w:tr>
      <w:tr w:rsidR="00074427">
        <w:tc>
          <w:tcPr>
            <w:tcW w:w="5305"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lastRenderedPageBreak/>
              <w:t>The design of the facility is based on an early study by Schlatter in 2009 but has been considerably improved to extend the measurement capabilities. It comprises an sol khí generation setup, a vertical flow tube for particle homogenization and a reference particle counter. The method described here is complementary to the IAG method and extends the measurement capabilities to both higher number concentrations and smaller particle sizes. More specifically, our method relies on the use of PSL particles of certified size in the range 100 nm–10 </w:t>
            </w:r>
            <w:r>
              <w:rPr>
                <w:rFonts w:ascii="Times New Roman" w:hAnsi="Times New Roman" w:cs="Times New Roman"/>
                <w:i/>
                <w:iCs/>
                <w:sz w:val="26"/>
                <w:szCs w:val="26"/>
              </w:rPr>
              <w:t>µ</w:t>
            </w:r>
            <w:r>
              <w:rPr>
                <w:rFonts w:ascii="Times New Roman" w:hAnsi="Times New Roman" w:cs="Times New Roman"/>
                <w:sz w:val="26"/>
                <w:szCs w:val="26"/>
              </w:rPr>
              <w:t>m and is capable of generating particle number concentrations between 0.5 cm</w:t>
            </w:r>
            <w:r>
              <w:rPr>
                <w:rFonts w:ascii="Times New Roman" w:hAnsi="Times New Roman" w:cs="Times New Roman"/>
                <w:sz w:val="26"/>
                <w:szCs w:val="26"/>
                <w:vertAlign w:val="superscript"/>
              </w:rPr>
              <w:t>−3</w:t>
            </w:r>
            <w:r>
              <w:rPr>
                <w:rFonts w:ascii="Times New Roman" w:hAnsi="Times New Roman" w:cs="Times New Roman"/>
                <w:sz w:val="26"/>
                <w:szCs w:val="26"/>
              </w:rPr>
              <w:t> and several hundred/thousand particles cm</w:t>
            </w:r>
            <w:r>
              <w:rPr>
                <w:rFonts w:ascii="Times New Roman" w:hAnsi="Times New Roman" w:cs="Times New Roman"/>
                <w:sz w:val="26"/>
                <w:szCs w:val="26"/>
                <w:vertAlign w:val="superscript"/>
              </w:rPr>
              <w:t>−3</w:t>
            </w:r>
            <w:r>
              <w:rPr>
                <w:rFonts w:ascii="Times New Roman" w:hAnsi="Times New Roman" w:cs="Times New Roman"/>
                <w:sz w:val="26"/>
                <w:szCs w:val="26"/>
              </w:rPr>
              <w:t>.</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The first section of this article provides a detailed description of the sol khí generation and homogenization setup, the isokinetic sampling ports, and the reference particle counter. Section </w:t>
            </w:r>
            <w:hyperlink r:id="rId7" w:anchor="s3" w:history="1">
              <w:r>
                <w:rPr>
                  <w:rStyle w:val="Hyperlink"/>
                  <w:rFonts w:ascii="Times New Roman" w:hAnsi="Times New Roman" w:cs="Times New Roman"/>
                  <w:sz w:val="26"/>
                  <w:szCs w:val="26"/>
                </w:rPr>
                <w:t>III</w:t>
              </w:r>
            </w:hyperlink>
            <w:r>
              <w:rPr>
                <w:rFonts w:ascii="Times New Roman" w:hAnsi="Times New Roman" w:cs="Times New Roman"/>
                <w:sz w:val="26"/>
                <w:szCs w:val="26"/>
              </w:rPr>
              <w:t> focuses on the study of the flow characteristics performed with Laser Doppler Velocimetry (LDV) measurements and Computational Fluid Dynamics (CFD) simulations. Finally, the particle homogenization characteristics as measured with two CPCs, a thorough uncertainty budget, and an example of an OPC calibration are presented</w:t>
            </w:r>
          </w:p>
        </w:tc>
        <w:tc>
          <w:tcPr>
            <w:tcW w:w="5400" w:type="dxa"/>
          </w:tcPr>
          <w:p w:rsidR="00074427" w:rsidRDefault="006919F7">
            <w:pPr>
              <w:spacing w:after="0" w:line="240" w:lineRule="auto"/>
              <w:jc w:val="both"/>
              <w:rPr>
                <w:rFonts w:ascii="Times New Roman" w:hAnsi="Times New Roman" w:cs="Times New Roman"/>
                <w:b/>
                <w:i/>
                <w:sz w:val="26"/>
                <w:szCs w:val="26"/>
              </w:rPr>
            </w:pPr>
            <w:r>
              <w:rPr>
                <w:rFonts w:ascii="Times New Roman" w:hAnsi="Times New Roman" w:cs="Times New Roman"/>
                <w:sz w:val="26"/>
                <w:szCs w:val="26"/>
              </w:rPr>
              <w:t>Thiết kế của cơ sở này dựa trên một nghiên cứu ban đầu của Schlatter vào năm 2009 nhưng đã được cải tiến đáng kể để mở rộng khả năng đo lường. Nó bao gồm một thiết lập tạo sol khí, một ống dòng thẳng đứng để đồng nhất hạt và một máy đếm hạt tham chiếu. Phương pháp được mô tả ở đây bổ sung cho phương pháp IAG và mở rộng khả năng đo ở cả nồng độ số lượng cao hơn và kích thước hạt nhỏ hơn. Cụ thể hơn</w:t>
            </w:r>
            <w:r>
              <w:rPr>
                <w:rFonts w:ascii="Times New Roman" w:hAnsi="Times New Roman" w:cs="Times New Roman"/>
                <w:i/>
                <w:sz w:val="26"/>
                <w:szCs w:val="26"/>
              </w:rPr>
              <w:t xml:space="preserve">, </w:t>
            </w:r>
            <w:r>
              <w:rPr>
                <w:rFonts w:ascii="Times New Roman" w:hAnsi="Times New Roman" w:cs="Times New Roman"/>
                <w:b/>
                <w:i/>
                <w:sz w:val="26"/>
                <w:szCs w:val="26"/>
              </w:rPr>
              <w:t>phương pháp của chúng tôi dựa vào việc sử dụng các hạt PSL có kích thước được chứng nhận trong phạm vi 100 nm – 10 µm và có khả năng tạo ra nồng độ số hạt trong khoảng từ</w:t>
            </w:r>
            <w:r>
              <w:rPr>
                <w:rFonts w:ascii="Times New Roman" w:hAnsi="Times New Roman" w:cs="Times New Roman"/>
                <w:b/>
                <w:i/>
                <w:sz w:val="26"/>
                <w:szCs w:val="26"/>
                <w:highlight w:val="yellow"/>
              </w:rPr>
              <w:t xml:space="preserve"> 0,5 cm-3 đến vài trăm / nghìn hạt cm-3.</w:t>
            </w:r>
          </w:p>
          <w:p w:rsidR="00074427" w:rsidRDefault="00074427">
            <w:pPr>
              <w:spacing w:after="0" w:line="240" w:lineRule="auto"/>
              <w:jc w:val="both"/>
              <w:rPr>
                <w:rFonts w:ascii="Times New Roman" w:hAnsi="Times New Roman" w:cs="Times New Roman"/>
                <w:b/>
                <w:i/>
                <w:sz w:val="26"/>
                <w:szCs w:val="26"/>
              </w:rPr>
            </w:pPr>
          </w:p>
          <w:p w:rsidR="00074427" w:rsidRDefault="006919F7">
            <w:pPr>
              <w:spacing w:after="0" w:line="240" w:lineRule="auto"/>
              <w:jc w:val="both"/>
              <w:rPr>
                <w:rFonts w:ascii="Times New Roman" w:hAnsi="Times New Roman" w:cs="Times New Roman"/>
                <w:sz w:val="26"/>
                <w:szCs w:val="26"/>
                <w:lang w:val="vi-VN"/>
              </w:rPr>
            </w:pPr>
            <w:r>
              <w:rPr>
                <w:rFonts w:ascii="Times New Roman" w:hAnsi="Times New Roman" w:cs="Times New Roman"/>
                <w:sz w:val="26"/>
                <w:szCs w:val="26"/>
              </w:rPr>
              <w:t>Phần đầu tiên của bài viết này cung cấp mô tả chi tiết về thiết lập tạo sol khí và đồng nhất, các đầu lấy mẫu đẳng động học và bộ đếm hạt tham chiếu. Phần III tập trung vào việc nghiên cứu các đặc tính dòng chảy được thực hiện với các phép đo Laser Doppler Velocimetry (LDV) và mô phỏng Động lực học chất lỏng tính toán (CFD). Cuối cùng, các đặc điểm đồng nhất của hạt như được đo bằng hai CPC, nguồn</w:t>
            </w:r>
            <w:r>
              <w:rPr>
                <w:rFonts w:ascii="Times New Roman" w:hAnsi="Times New Roman" w:cs="Times New Roman"/>
                <w:sz w:val="26"/>
                <w:szCs w:val="26"/>
                <w:lang w:val="vi-VN"/>
              </w:rPr>
              <w:t xml:space="preserve"> độ không đảm bảo đo</w:t>
            </w:r>
            <w:r>
              <w:rPr>
                <w:rFonts w:ascii="Times New Roman" w:hAnsi="Times New Roman" w:cs="Times New Roman"/>
                <w:sz w:val="26"/>
                <w:szCs w:val="26"/>
              </w:rPr>
              <w:t xml:space="preserve"> và một ví dụ cụ</w:t>
            </w:r>
            <w:r>
              <w:rPr>
                <w:rFonts w:ascii="Times New Roman" w:hAnsi="Times New Roman" w:cs="Times New Roman"/>
                <w:sz w:val="26"/>
                <w:szCs w:val="26"/>
                <w:lang w:val="vi-VN"/>
              </w:rPr>
              <w:t xml:space="preserve"> thể </w:t>
            </w:r>
            <w:r>
              <w:rPr>
                <w:rFonts w:ascii="Times New Roman" w:hAnsi="Times New Roman" w:cs="Times New Roman"/>
                <w:sz w:val="26"/>
                <w:szCs w:val="26"/>
              </w:rPr>
              <w:t>về hiệu chuẩn máy</w:t>
            </w:r>
            <w:r>
              <w:rPr>
                <w:rFonts w:ascii="Times New Roman" w:hAnsi="Times New Roman" w:cs="Times New Roman"/>
                <w:sz w:val="26"/>
                <w:szCs w:val="26"/>
                <w:lang w:val="vi-VN"/>
              </w:rPr>
              <w:t xml:space="preserve"> </w:t>
            </w:r>
            <w:r>
              <w:rPr>
                <w:rFonts w:ascii="Times New Roman" w:hAnsi="Times New Roman" w:cs="Times New Roman"/>
                <w:sz w:val="26"/>
                <w:szCs w:val="26"/>
              </w:rPr>
              <w:t>OPC</w:t>
            </w:r>
            <w:r>
              <w:rPr>
                <w:rFonts w:ascii="Times New Roman" w:hAnsi="Times New Roman" w:cs="Times New Roman"/>
                <w:sz w:val="26"/>
                <w:szCs w:val="26"/>
                <w:lang w:val="vi-VN"/>
              </w:rPr>
              <w:t>.</w:t>
            </w:r>
          </w:p>
        </w:tc>
      </w:tr>
      <w:tr w:rsidR="00074427">
        <w:tc>
          <w:tcPr>
            <w:tcW w:w="5305" w:type="dxa"/>
          </w:tcPr>
          <w:p w:rsidR="00074427" w:rsidRDefault="006919F7">
            <w:pPr>
              <w:spacing w:after="0" w:line="240" w:lineRule="auto"/>
              <w:jc w:val="both"/>
              <w:rPr>
                <w:rFonts w:ascii="Times New Roman" w:hAnsi="Times New Roman" w:cs="Times New Roman"/>
                <w:b/>
                <w:sz w:val="26"/>
                <w:szCs w:val="26"/>
              </w:rPr>
            </w:pPr>
            <w:r>
              <w:rPr>
                <w:rFonts w:ascii="Times New Roman" w:hAnsi="Times New Roman" w:cs="Times New Roman"/>
                <w:b/>
                <w:sz w:val="26"/>
                <w:szCs w:val="26"/>
              </w:rPr>
              <w:t>II. EXPERIMENTAL SETUP</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As depicted in Fig. 1, the experimental setup consists of three distinct sections: (a) the sol khí generation system, (b) a 4-m-long turbulent flow tube (homogenizer), and (c) the particle detection system, which are described in detail below.</w:t>
            </w:r>
          </w:p>
        </w:tc>
        <w:tc>
          <w:tcPr>
            <w:tcW w:w="5400" w:type="dxa"/>
          </w:tcPr>
          <w:p w:rsidR="00074427" w:rsidRDefault="006919F7">
            <w:pPr>
              <w:spacing w:after="0" w:line="240" w:lineRule="auto"/>
              <w:jc w:val="both"/>
              <w:rPr>
                <w:rFonts w:ascii="Times New Roman" w:hAnsi="Times New Roman" w:cs="Times New Roman"/>
                <w:b/>
                <w:sz w:val="26"/>
                <w:szCs w:val="26"/>
                <w:lang w:val="vi-VN"/>
              </w:rPr>
            </w:pPr>
            <w:r>
              <w:rPr>
                <w:rFonts w:ascii="Times New Roman" w:hAnsi="Times New Roman" w:cs="Times New Roman"/>
                <w:b/>
                <w:sz w:val="26"/>
                <w:szCs w:val="26"/>
              </w:rPr>
              <w:t>II. THIẾT KẾ</w:t>
            </w:r>
            <w:r>
              <w:rPr>
                <w:rFonts w:ascii="Times New Roman" w:hAnsi="Times New Roman" w:cs="Times New Roman"/>
                <w:b/>
                <w:sz w:val="26"/>
                <w:szCs w:val="26"/>
                <w:lang w:val="vi-VN"/>
              </w:rPr>
              <w:t xml:space="preserve"> THÍ NGHIỆM</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Như được mô tả trong Hình 1, thiết kế thí nghiệm bao gồm ba phần riêng biệt: (a) hệ thống tạo sol khí, (b) ống dòng chảy rối dài 4 m (thiết bị đồng nhất) và (c) hệ thống phát hiện hạt, được mô tả chi tiết dưới đây.</w:t>
            </w:r>
          </w:p>
        </w:tc>
      </w:tr>
      <w:tr w:rsidR="00074427">
        <w:tc>
          <w:tcPr>
            <w:tcW w:w="5305" w:type="dxa"/>
          </w:tcPr>
          <w:p w:rsidR="00074427" w:rsidRDefault="006919F7">
            <w:pPr>
              <w:spacing w:after="0" w:line="24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3105150" cy="4756785"/>
                  <wp:effectExtent l="0" t="0" r="0" b="5715"/>
                  <wp:docPr id="2" name="Picture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igur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113968" cy="4770425"/>
                          </a:xfrm>
                          <a:prstGeom prst="rect">
                            <a:avLst/>
                          </a:prstGeom>
                          <a:noFill/>
                          <a:ln>
                            <a:noFill/>
                          </a:ln>
                        </pic:spPr>
                      </pic:pic>
                    </a:graphicData>
                  </a:graphic>
                </wp:inline>
              </w:drawing>
            </w:r>
          </w:p>
        </w:tc>
        <w:tc>
          <w:tcPr>
            <w:tcW w:w="5400"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1. Biểu diễn sơ đồ của thiết kế thí nghiệm bao gồm</w:t>
            </w:r>
            <w:r>
              <w:rPr>
                <w:rFonts w:ascii="Times New Roman" w:hAnsi="Times New Roman" w:cs="Times New Roman"/>
                <w:sz w:val="26"/>
                <w:szCs w:val="26"/>
                <w:lang w:val="vi-VN"/>
              </w:rPr>
              <w:t>:</w:t>
            </w:r>
            <w:r>
              <w:rPr>
                <w:rFonts w:ascii="Times New Roman" w:hAnsi="Times New Roman" w:cs="Times New Roman"/>
                <w:sz w:val="26"/>
                <w:szCs w:val="26"/>
              </w:rPr>
              <w:t xml:space="preserve"> </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(a) hệ thống tạo sol khí, </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(b) ống dòng dài 4 m (thiết bị đồng nhất)</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(c) hệ thống phát hiện hạt</w:t>
            </w:r>
            <w:r>
              <w:rPr>
                <w:rFonts w:ascii="Times New Roman" w:hAnsi="Times New Roman" w:cs="Times New Roman"/>
                <w:sz w:val="26"/>
                <w:szCs w:val="26"/>
                <w:lang w:val="vi-VN"/>
              </w:rPr>
              <w:t xml:space="preserve"> bụi</w:t>
            </w:r>
            <w:r>
              <w:rPr>
                <w:rFonts w:ascii="Times New Roman" w:hAnsi="Times New Roman" w:cs="Times New Roman"/>
                <w:sz w:val="26"/>
                <w:szCs w:val="26"/>
              </w:rPr>
              <w:t xml:space="preserve">. </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FC và MFC lần lượt là viết tắt của bộ điều khiển lưu lượng và bộ điều khiển lưu lượng khối lượng.</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Các phép đo vận tốc của hạt được thực hiện tại các vị trí A, B và C tương ứng với khoảng cách </w:t>
            </w:r>
            <w:r>
              <w:rPr>
                <w:rFonts w:ascii="Times New Roman" w:hAnsi="Times New Roman" w:cs="Times New Roman"/>
                <w:sz w:val="26"/>
                <w:szCs w:val="26"/>
                <w:lang w:val="vi-VN"/>
              </w:rPr>
              <w:t>(</w:t>
            </w:r>
            <w:r>
              <w:rPr>
                <w:rFonts w:ascii="Times New Roman" w:hAnsi="Times New Roman" w:cs="Times New Roman"/>
                <w:sz w:val="26"/>
                <w:szCs w:val="26"/>
              </w:rPr>
              <w:t>0,75, 1,4 và 2,4</w:t>
            </w:r>
            <w:r>
              <w:rPr>
                <w:rFonts w:ascii="Times New Roman" w:hAnsi="Times New Roman" w:cs="Times New Roman"/>
                <w:sz w:val="26"/>
                <w:szCs w:val="26"/>
                <w:lang w:val="vi-VN"/>
              </w:rPr>
              <w:t>)</w:t>
            </w:r>
            <w:r>
              <w:rPr>
                <w:rFonts w:ascii="Times New Roman" w:hAnsi="Times New Roman" w:cs="Times New Roman"/>
                <w:sz w:val="26"/>
                <w:szCs w:val="26"/>
              </w:rPr>
              <w:t xml:space="preserve"> m từ điểm phun sol khí, tương ứng. </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 xml:space="preserve">Các phép đo nồng độ được thực hiện tại các vị trí A′, B′ và C′, tương ứng với </w:t>
            </w:r>
            <w:r>
              <w:rPr>
                <w:rFonts w:ascii="Times New Roman" w:hAnsi="Times New Roman" w:cs="Times New Roman"/>
                <w:sz w:val="26"/>
                <w:szCs w:val="26"/>
                <w:lang w:val="vi-VN"/>
              </w:rPr>
              <w:t>(</w:t>
            </w:r>
            <w:r>
              <w:rPr>
                <w:rFonts w:ascii="Times New Roman" w:hAnsi="Times New Roman" w:cs="Times New Roman"/>
                <w:sz w:val="26"/>
                <w:szCs w:val="26"/>
              </w:rPr>
              <w:t>1,7, 2,4 và 3,0</w:t>
            </w:r>
            <w:r>
              <w:rPr>
                <w:rFonts w:ascii="Times New Roman" w:hAnsi="Times New Roman" w:cs="Times New Roman"/>
                <w:sz w:val="26"/>
                <w:szCs w:val="26"/>
                <w:lang w:val="vi-VN"/>
              </w:rPr>
              <w:t>)</w:t>
            </w:r>
            <w:r>
              <w:rPr>
                <w:rFonts w:ascii="Times New Roman" w:hAnsi="Times New Roman" w:cs="Times New Roman"/>
                <w:sz w:val="26"/>
                <w:szCs w:val="26"/>
              </w:rPr>
              <w:t xml:space="preserve"> m về phía hạ lưu của điểm phun sol khí.</w:t>
            </w:r>
          </w:p>
        </w:tc>
      </w:tr>
      <w:tr w:rsidR="00074427">
        <w:tc>
          <w:tcPr>
            <w:tcW w:w="5305"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t>A. Sol khí generation setup</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Wet or dry dispersion processes transfer the PSL particles (supplied by Thermo Scientific, Duke Scientific Corp., JSR Corp., Sigma-Aldrich, or Microbeads AS) in the sol khí phase. Depending on the desired particle size, three ranges (100 nm–250 nm, 300 nm–1000 nm, and &gt;1000 nm) can be distinguished, each one requiring a different sol khíization procedure as described below.</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w:t>
            </w:r>
            <w:r>
              <w:rPr>
                <w:rFonts w:ascii="Times New Roman" w:hAnsi="Times New Roman" w:cs="Times New Roman"/>
                <w:sz w:val="26"/>
                <w:szCs w:val="26"/>
              </w:rPr>
              <w:tab/>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 xml:space="preserve">Aqueous suspensions of PSL particles with a geometric diameter between 100 nm and 250 nm are sol khíized using a pneumatic Meinhard nebulizer equipped with a cyclone to remove large size droplets, which might contain more than one PSL particles. The sol khí is then guided through a dryer, i.e., a glass column filled with silica gel particles, and a DMA (Model 3071 A, TSI, Inc.) operated under a constant voltage. The </w:t>
            </w:r>
            <w:r>
              <w:rPr>
                <w:rFonts w:ascii="Times New Roman" w:hAnsi="Times New Roman" w:cs="Times New Roman"/>
                <w:sz w:val="26"/>
                <w:szCs w:val="26"/>
              </w:rPr>
              <w:lastRenderedPageBreak/>
              <w:t>latter has been preselected in a way that only PSL particles of the desired size enter the homogenizer, while residue particles (typically &lt;90 nm diameter) are removed. The sol khí is then delivered into the flow tube homogenizer in the downward direction. The concentration of the airborne PSL particles can be tuned by adjusting the concentration of the aqueous PSL suspensions accordingly. In general, high dilution factors are needed to avoid generating droplets containing multiple PSL particles and for minimizing the coating around the PSL particles that results from additives after droplet evaporation. It must be noted here that with the Meinhard nebulizer, particles with diameter up to 1 μm can be sol khíized, but for particles larger than 300 nm, the more straightforward nebulization procedure described below [case (ii)] is often preferred.</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(ii)</w:t>
            </w:r>
            <w:r>
              <w:rPr>
                <w:rFonts w:ascii="Times New Roman" w:hAnsi="Times New Roman" w:cs="Times New Roman"/>
                <w:sz w:val="26"/>
                <w:szCs w:val="26"/>
              </w:rPr>
              <w:tab/>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PSL particles in the range 300 nm –1 μm are generated from an aqueous suspension using an air-assisted nebulizer (model T1H ARIDUS, Teledyne CETAC Technologies) installed inside the homogenizer. The air flow is typically set to 1 l/min. The nebulizer is equipped with a custom-made impinger in order to break up the large water droplets. As a result, the size of the residue particles becomes much smaller and well separated from the peak of the PSL particles so that no size selection with a DMA is necessary for calibration of OPCs. Additionally, the probability of two particles being present in one droplet is considerably reduced.</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(iii)</w:t>
            </w:r>
            <w:r>
              <w:rPr>
                <w:rFonts w:ascii="Times New Roman" w:hAnsi="Times New Roman" w:cs="Times New Roman"/>
                <w:sz w:val="26"/>
                <w:szCs w:val="26"/>
              </w:rPr>
              <w:tab/>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PSL particles larger than 1 μm are generated with a dry process using a fluidized bed generator (Model 3400, TSI, Inc.). These enter the homogenizer right after a dilution step (Model HDS 561 dilution unit, Topas) through an injection pipe (20 l/min total flow) pointing downward.</w:t>
            </w:r>
          </w:p>
        </w:tc>
        <w:tc>
          <w:tcPr>
            <w:tcW w:w="5400"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lastRenderedPageBreak/>
              <w:t>A. Thiết lập tạo sol khí</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b/>
                <w:i/>
                <w:sz w:val="26"/>
                <w:szCs w:val="26"/>
              </w:rPr>
              <w:t>Qúa trình phân tán ướt hoặc khô đ</w:t>
            </w:r>
            <w:r>
              <w:rPr>
                <w:rFonts w:ascii="Times New Roman" w:hAnsi="Times New Roman" w:cs="Times New Roman"/>
                <w:b/>
                <w:i/>
                <w:sz w:val="26"/>
                <w:szCs w:val="26"/>
                <w:lang w:val="vi-VN"/>
              </w:rPr>
              <w:t xml:space="preserve">ể </w:t>
            </w:r>
            <w:r>
              <w:rPr>
                <w:rFonts w:ascii="Times New Roman" w:hAnsi="Times New Roman" w:cs="Times New Roman"/>
                <w:b/>
                <w:i/>
                <w:sz w:val="26"/>
                <w:szCs w:val="26"/>
              </w:rPr>
              <w:t>chuyển thành</w:t>
            </w:r>
            <w:r>
              <w:rPr>
                <w:rFonts w:ascii="Times New Roman" w:hAnsi="Times New Roman" w:cs="Times New Roman"/>
                <w:b/>
                <w:i/>
                <w:sz w:val="26"/>
                <w:szCs w:val="26"/>
                <w:lang w:val="vi-VN"/>
              </w:rPr>
              <w:t xml:space="preserve"> </w:t>
            </w:r>
            <w:r>
              <w:rPr>
                <w:rFonts w:ascii="Times New Roman" w:hAnsi="Times New Roman" w:cs="Times New Roman"/>
                <w:b/>
                <w:i/>
                <w:sz w:val="26"/>
                <w:szCs w:val="26"/>
              </w:rPr>
              <w:t>các hạt PSL</w:t>
            </w:r>
            <w:r>
              <w:rPr>
                <w:rFonts w:ascii="Times New Roman" w:hAnsi="Times New Roman" w:cs="Times New Roman"/>
                <w:sz w:val="26"/>
                <w:szCs w:val="26"/>
              </w:rPr>
              <w:t xml:space="preserve"> (cung cấp bởi Thermo Scientific, Duke Scientific Corp., JSR Corp., Sigma-Aldrich, hoặc Microbeads AS) trong pha sol khí. Tùy thuộc vào kích thước hạt mong muốn, </w:t>
            </w:r>
            <w:r>
              <w:rPr>
                <w:rFonts w:ascii="Times New Roman" w:hAnsi="Times New Roman" w:cs="Times New Roman"/>
                <w:b/>
                <w:i/>
                <w:sz w:val="26"/>
                <w:szCs w:val="26"/>
              </w:rPr>
              <w:t xml:space="preserve">có thể phân biệt ba dải (100 </w:t>
            </w:r>
            <w:r>
              <w:rPr>
                <w:rFonts w:ascii="Times New Roman" w:hAnsi="Times New Roman" w:cs="Times New Roman"/>
                <w:b/>
                <w:i/>
                <w:sz w:val="26"/>
                <w:szCs w:val="26"/>
                <w:lang w:val="vi-VN"/>
              </w:rPr>
              <w:t>-</w:t>
            </w:r>
            <w:r>
              <w:rPr>
                <w:rFonts w:ascii="Times New Roman" w:hAnsi="Times New Roman" w:cs="Times New Roman"/>
                <w:b/>
                <w:i/>
                <w:sz w:val="26"/>
                <w:szCs w:val="26"/>
              </w:rPr>
              <w:t xml:space="preserve"> 250</w:t>
            </w:r>
            <w:r>
              <w:rPr>
                <w:rFonts w:ascii="Times New Roman" w:hAnsi="Times New Roman" w:cs="Times New Roman"/>
                <w:b/>
                <w:i/>
                <w:sz w:val="26"/>
                <w:szCs w:val="26"/>
                <w:lang w:val="vi-VN"/>
              </w:rPr>
              <w:t>)</w:t>
            </w:r>
            <w:r>
              <w:rPr>
                <w:rFonts w:ascii="Times New Roman" w:hAnsi="Times New Roman" w:cs="Times New Roman"/>
                <w:b/>
                <w:i/>
                <w:sz w:val="26"/>
                <w:szCs w:val="26"/>
              </w:rPr>
              <w:t xml:space="preserve"> nm, </w:t>
            </w:r>
            <w:r>
              <w:rPr>
                <w:rFonts w:ascii="Times New Roman" w:hAnsi="Times New Roman" w:cs="Times New Roman"/>
                <w:b/>
                <w:i/>
                <w:sz w:val="26"/>
                <w:szCs w:val="26"/>
                <w:lang w:val="vi-VN"/>
              </w:rPr>
              <w:t>(</w:t>
            </w:r>
            <w:r>
              <w:rPr>
                <w:rFonts w:ascii="Times New Roman" w:hAnsi="Times New Roman" w:cs="Times New Roman"/>
                <w:b/>
                <w:i/>
                <w:sz w:val="26"/>
                <w:szCs w:val="26"/>
              </w:rPr>
              <w:t xml:space="preserve">300 </w:t>
            </w:r>
            <w:r>
              <w:rPr>
                <w:rFonts w:ascii="Times New Roman" w:hAnsi="Times New Roman" w:cs="Times New Roman"/>
                <w:b/>
                <w:i/>
                <w:sz w:val="26"/>
                <w:szCs w:val="26"/>
                <w:lang w:val="vi-VN"/>
              </w:rPr>
              <w:t>–</w:t>
            </w:r>
            <w:r>
              <w:rPr>
                <w:rFonts w:ascii="Times New Roman" w:hAnsi="Times New Roman" w:cs="Times New Roman"/>
                <w:b/>
                <w:i/>
                <w:sz w:val="26"/>
                <w:szCs w:val="26"/>
              </w:rPr>
              <w:t xml:space="preserve"> 1000</w:t>
            </w:r>
            <w:r>
              <w:rPr>
                <w:rFonts w:ascii="Times New Roman" w:hAnsi="Times New Roman" w:cs="Times New Roman"/>
                <w:b/>
                <w:i/>
                <w:sz w:val="26"/>
                <w:szCs w:val="26"/>
                <w:lang w:val="vi-VN"/>
              </w:rPr>
              <w:t>)</w:t>
            </w:r>
            <w:r>
              <w:rPr>
                <w:rFonts w:ascii="Times New Roman" w:hAnsi="Times New Roman" w:cs="Times New Roman"/>
                <w:b/>
                <w:i/>
                <w:sz w:val="26"/>
                <w:szCs w:val="26"/>
              </w:rPr>
              <w:t xml:space="preserve"> nm và</w:t>
            </w:r>
            <w:r>
              <w:rPr>
                <w:rFonts w:ascii="Times New Roman" w:hAnsi="Times New Roman" w:cs="Times New Roman"/>
                <w:b/>
                <w:i/>
                <w:sz w:val="26"/>
                <w:szCs w:val="26"/>
                <w:lang w:val="vi-VN"/>
              </w:rPr>
              <w:t xml:space="preserve"> </w:t>
            </w:r>
            <w:r>
              <w:rPr>
                <w:rFonts w:ascii="Times New Roman" w:hAnsi="Times New Roman" w:cs="Times New Roman"/>
                <w:b/>
                <w:i/>
                <w:sz w:val="26"/>
                <w:szCs w:val="26"/>
              </w:rPr>
              <w:t>&gt; 1000 nm</w:t>
            </w:r>
            <w:r>
              <w:rPr>
                <w:rFonts w:ascii="Times New Roman" w:hAnsi="Times New Roman" w:cs="Times New Roman"/>
                <w:sz w:val="26"/>
                <w:szCs w:val="26"/>
              </w:rPr>
              <w:t>, mỗi dải yêu cầu một quy trình sol khí hóa khác nhau như được mô tả dưới đây.</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b/>
                <w:i/>
                <w:sz w:val="26"/>
                <w:szCs w:val="26"/>
              </w:rPr>
              <w:t xml:space="preserve">Huyền phù nước của các hạt PSL có đường kính hình học từ </w:t>
            </w:r>
            <w:r>
              <w:rPr>
                <w:rFonts w:ascii="Times New Roman" w:hAnsi="Times New Roman" w:cs="Times New Roman"/>
                <w:b/>
                <w:i/>
                <w:sz w:val="26"/>
                <w:szCs w:val="26"/>
                <w:highlight w:val="yellow"/>
              </w:rPr>
              <w:t>100 nm đến 250 nm</w:t>
            </w:r>
            <w:r>
              <w:rPr>
                <w:rFonts w:ascii="Times New Roman" w:hAnsi="Times New Roman" w:cs="Times New Roman"/>
                <w:b/>
                <w:i/>
                <w:sz w:val="26"/>
                <w:szCs w:val="26"/>
              </w:rPr>
              <w:t xml:space="preserve"> được làm sol khí bằng cách sử dụng máy phun sương Meinhard khí nén được trang bị lốc xoáy để loại bỏ các g</w:t>
            </w:r>
            <w:r>
              <w:rPr>
                <w:rFonts w:ascii="Times New Roman" w:hAnsi="Times New Roman" w:cs="Times New Roman"/>
                <w:sz w:val="26"/>
                <w:szCs w:val="26"/>
              </w:rPr>
              <w:t xml:space="preserve">iọt kích thước lớn, có thể chứa nhiều hơn một hạt PSL. </w:t>
            </w:r>
            <w:r>
              <w:rPr>
                <w:rFonts w:ascii="Times New Roman" w:hAnsi="Times New Roman" w:cs="Times New Roman"/>
                <w:i/>
                <w:sz w:val="26"/>
                <w:szCs w:val="26"/>
              </w:rPr>
              <w:t>Sau đó, sol khí được dẫn qua máy sấy, t</w:t>
            </w:r>
            <w:r>
              <w:rPr>
                <w:rFonts w:ascii="Times New Roman" w:hAnsi="Times New Roman" w:cs="Times New Roman"/>
                <w:sz w:val="26"/>
                <w:szCs w:val="26"/>
              </w:rPr>
              <w:t xml:space="preserve">ức </w:t>
            </w:r>
            <w:r>
              <w:rPr>
                <w:rFonts w:ascii="Times New Roman" w:hAnsi="Times New Roman" w:cs="Times New Roman"/>
                <w:i/>
                <w:sz w:val="26"/>
                <w:szCs w:val="26"/>
              </w:rPr>
              <w:t>là cột thủy tinh chứa đầy các hạt silica gel và DMA</w:t>
            </w:r>
            <w:r>
              <w:rPr>
                <w:rFonts w:ascii="Times New Roman" w:hAnsi="Times New Roman" w:cs="Times New Roman"/>
                <w:sz w:val="26"/>
                <w:szCs w:val="26"/>
              </w:rPr>
              <w:t xml:space="preserve"> (Model 3071 A, TSI, Inc.) hoạt động dưới điện áp không đổi. Loại thứ hai đã được chọn </w:t>
            </w:r>
            <w:r>
              <w:rPr>
                <w:rFonts w:ascii="Times New Roman" w:hAnsi="Times New Roman" w:cs="Times New Roman"/>
                <w:sz w:val="26"/>
                <w:szCs w:val="26"/>
              </w:rPr>
              <w:lastRenderedPageBreak/>
              <w:t>trước theo cách mà chỉ các hạt PSL có kích thước mong muốn đi vào thiết bị đồng hóa, trong khi các hạt cặn (đường kính thường &lt;</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90 nm) được loại bỏ. Sau đó, </w:t>
            </w:r>
            <w:r>
              <w:rPr>
                <w:rFonts w:ascii="Times New Roman" w:hAnsi="Times New Roman" w:cs="Times New Roman"/>
                <w:i/>
                <w:sz w:val="26"/>
                <w:szCs w:val="26"/>
              </w:rPr>
              <w:t>sol khí được đưa vào thiết bị đồng hóa ống dòng chảy theo hướng đi xuống</w:t>
            </w:r>
            <w:r>
              <w:rPr>
                <w:rFonts w:ascii="Times New Roman" w:hAnsi="Times New Roman" w:cs="Times New Roman"/>
                <w:sz w:val="26"/>
                <w:szCs w:val="26"/>
              </w:rPr>
              <w:t>. Nồng độ của các hạt PSL trong không khí có thể được điều chỉnh bằng cách điều chỉnh nồng độ của huyền phù PSL trong nước cho phù hợp. Nói chung, hệ số pha loãng cao là cần thiết để tránh tạo ra các giọt chứa nhiều hạt PSL và để giảm thiểu lớp phủ xung quanh các hạt PSL là kết quả của các chất phụ gia sau khi các giọt bay hơi. Ở đây cần lưu ý rằng với máy phun sương Meinhard, các hạt có đường kính lên đến 1 μm có thể được sol khí, nhưng đối với các hạt lớn hơn 300 nm, quy trình phun sương đơn giản hơn được mô tả dưới đây [trường hợp (ii)] thường được ưu tiên hơn.</w:t>
            </w: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(ii)</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i/>
                <w:sz w:val="26"/>
                <w:szCs w:val="26"/>
              </w:rPr>
              <w:t xml:space="preserve">Các hạt PSL trong phạm vi </w:t>
            </w:r>
            <w:r>
              <w:rPr>
                <w:rFonts w:ascii="Times New Roman" w:hAnsi="Times New Roman" w:cs="Times New Roman"/>
                <w:i/>
                <w:sz w:val="26"/>
                <w:szCs w:val="26"/>
                <w:highlight w:val="yellow"/>
              </w:rPr>
              <w:t>300 nm – 1 μm</w:t>
            </w:r>
            <w:r>
              <w:rPr>
                <w:rFonts w:ascii="Times New Roman" w:hAnsi="Times New Roman" w:cs="Times New Roman"/>
                <w:i/>
                <w:sz w:val="26"/>
                <w:szCs w:val="26"/>
              </w:rPr>
              <w:t xml:space="preserve"> được tạo ra từ huyền phù nước bằng cách sử dụng máy phun sương có hỗ trợ không khí</w:t>
            </w:r>
            <w:r>
              <w:rPr>
                <w:rFonts w:ascii="Times New Roman" w:hAnsi="Times New Roman" w:cs="Times New Roman"/>
                <w:sz w:val="26"/>
                <w:szCs w:val="26"/>
              </w:rPr>
              <w:t xml:space="preserve"> (kiểu T1H ARIDUS, Teledyne CETAC Technologies) được lắp đặt bên trong bộ đồng hóa</w:t>
            </w:r>
            <w:r>
              <w:rPr>
                <w:rFonts w:ascii="Times New Roman" w:hAnsi="Times New Roman" w:cs="Times New Roman"/>
                <w:bCs/>
                <w:sz w:val="26"/>
                <w:szCs w:val="26"/>
              </w:rPr>
              <w:t>.</w:t>
            </w:r>
            <w:r>
              <w:rPr>
                <w:rFonts w:ascii="Times New Roman" w:hAnsi="Times New Roman" w:cs="Times New Roman"/>
                <w:b/>
                <w:sz w:val="26"/>
                <w:szCs w:val="26"/>
              </w:rPr>
              <w:t xml:space="preserve"> Lưu lượng không khí thường được đặt thành 1 L/min</w:t>
            </w:r>
            <w:r>
              <w:rPr>
                <w:rFonts w:ascii="Times New Roman" w:hAnsi="Times New Roman" w:cs="Times New Roman"/>
                <w:sz w:val="26"/>
                <w:szCs w:val="26"/>
              </w:rPr>
              <w:t>. Máy phun sương được trang bị một ống phun tùy chỉnh để làm vỡ các giọt nước lớn. Kết quả là kích thước của các hạt cặn trở nên nhỏ hơn nhiều và tách biệt tốt khỏi đỉnh của các hạt PSL để không cần lựa chọn kích thước với DMA để hiệu chuẩn OPC. Ngoài ra, xác suất có hai hạt trong một giọt giảm đáng kể.</w:t>
            </w: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(iii)</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i/>
                <w:sz w:val="26"/>
                <w:szCs w:val="26"/>
                <w:highlight w:val="yellow"/>
              </w:rPr>
              <w:t>Các hạt PSL lớn hơn 1 μm được tạo ra bằng quy trình khô sử dụng máy phát tầng sôi</w:t>
            </w:r>
            <w:r>
              <w:rPr>
                <w:rFonts w:ascii="Times New Roman" w:hAnsi="Times New Roman" w:cs="Times New Roman"/>
                <w:sz w:val="26"/>
                <w:szCs w:val="26"/>
                <w:highlight w:val="yellow"/>
              </w:rPr>
              <w:t xml:space="preserve"> (Model 3400, TSI, Inc.). Các chất này đi vào thiết bị đồng hóa ngay sau bước pha loãng (</w:t>
            </w:r>
            <w:r>
              <w:rPr>
                <w:rFonts w:ascii="Times New Roman" w:hAnsi="Times New Roman" w:cs="Times New Roman"/>
                <w:color w:val="FF0000"/>
                <w:sz w:val="26"/>
                <w:szCs w:val="26"/>
                <w:highlight w:val="yellow"/>
              </w:rPr>
              <w:t>Bộ pha loãng Model HDS 561, Topas</w:t>
            </w:r>
            <w:r>
              <w:rPr>
                <w:rFonts w:ascii="Times New Roman" w:hAnsi="Times New Roman" w:cs="Times New Roman"/>
                <w:sz w:val="26"/>
                <w:szCs w:val="26"/>
                <w:highlight w:val="yellow"/>
              </w:rPr>
              <w:t>) thông qua một đường ống phun (tổng lưu lượng 20 L/min) hướng xuống dưới.</w:t>
            </w:r>
          </w:p>
        </w:tc>
      </w:tr>
      <w:tr w:rsidR="00074427">
        <w:tc>
          <w:tcPr>
            <w:tcW w:w="5305"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 xml:space="preserve">For calibration of instruments such as CPCs, which do not classify particles according to their size, a DMA or Aerodynamic Sol khí Classifier </w:t>
            </w:r>
            <w:r>
              <w:rPr>
                <w:rFonts w:ascii="Times New Roman" w:hAnsi="Times New Roman" w:cs="Times New Roman"/>
                <w:sz w:val="26"/>
                <w:szCs w:val="26"/>
              </w:rPr>
              <w:lastRenderedPageBreak/>
              <w:t>(AAC, Cambustion)</w:t>
            </w:r>
            <w:hyperlink r:id="rId9" w:history="1">
              <w:r>
                <w:rPr>
                  <w:rStyle w:val="Hyperlink"/>
                  <w:rFonts w:ascii="Times New Roman" w:hAnsi="Times New Roman" w:cs="Times New Roman"/>
                  <w:sz w:val="26"/>
                  <w:szCs w:val="26"/>
                  <w:vertAlign w:val="superscript"/>
                </w:rPr>
                <w:t>22,23</w:t>
              </w:r>
            </w:hyperlink>
            <w:r>
              <w:rPr>
                <w:rFonts w:ascii="Times New Roman" w:hAnsi="Times New Roman" w:cs="Times New Roman"/>
                <w:sz w:val="26"/>
                <w:szCs w:val="26"/>
              </w:rPr>
              <w:t> is needed to select the peak of the PSL particles and filter out the undesired residue particles before injecting the sol khí into the homogenizer. In this case, particles in the size range 100 nm–1 </w:t>
            </w:r>
            <w:r>
              <w:rPr>
                <w:rFonts w:ascii="Times New Roman" w:hAnsi="Times New Roman" w:cs="Times New Roman"/>
                <w:i/>
                <w:iCs/>
                <w:sz w:val="26"/>
                <w:szCs w:val="26"/>
              </w:rPr>
              <w:t>μ</w:t>
            </w:r>
            <w:r>
              <w:rPr>
                <w:rFonts w:ascii="Times New Roman" w:hAnsi="Times New Roman" w:cs="Times New Roman"/>
                <w:sz w:val="26"/>
                <w:szCs w:val="26"/>
              </w:rPr>
              <w:t>m are generated with the Meinhard nebulizer as described in case (i). Due to the low particle transmission efficiency of the DMA (only 30% of the 100 nm particles and 10% of the 1 </w:t>
            </w:r>
            <w:r>
              <w:rPr>
                <w:rFonts w:ascii="Times New Roman" w:hAnsi="Times New Roman" w:cs="Times New Roman"/>
                <w:i/>
                <w:iCs/>
                <w:sz w:val="26"/>
                <w:szCs w:val="26"/>
              </w:rPr>
              <w:t>μ</w:t>
            </w:r>
            <w:r>
              <w:rPr>
                <w:rFonts w:ascii="Times New Roman" w:hAnsi="Times New Roman" w:cs="Times New Roman"/>
                <w:sz w:val="26"/>
                <w:szCs w:val="26"/>
              </w:rPr>
              <w:t>m particles get a single charge in the bipolar charger</w:t>
            </w:r>
            <w:hyperlink r:id="rId10" w:history="1">
              <w:r>
                <w:rPr>
                  <w:rStyle w:val="Hyperlink"/>
                  <w:rFonts w:ascii="Times New Roman" w:hAnsi="Times New Roman" w:cs="Times New Roman"/>
                  <w:sz w:val="26"/>
                  <w:szCs w:val="26"/>
                  <w:vertAlign w:val="superscript"/>
                </w:rPr>
                <w:t>24</w:t>
              </w:r>
            </w:hyperlink>
            <w:r>
              <w:rPr>
                <w:rFonts w:ascii="Times New Roman" w:hAnsi="Times New Roman" w:cs="Times New Roman"/>
                <w:sz w:val="26"/>
                <w:szCs w:val="26"/>
              </w:rPr>
              <w:t>), the concentration of PSL particles after dilution in the homogenizer is relatively low. Instead, if an AAC is used (transmission efficiency of about 80% in this size range), higher number concentrations by about a factor of 4 can be achieved.</w:t>
            </w:r>
            <w:hyperlink r:id="rId11" w:history="1">
              <w:r>
                <w:rPr>
                  <w:rStyle w:val="Hyperlink"/>
                  <w:rFonts w:ascii="Times New Roman" w:hAnsi="Times New Roman" w:cs="Times New Roman"/>
                  <w:sz w:val="26"/>
                  <w:szCs w:val="26"/>
                  <w:vertAlign w:val="superscript"/>
                </w:rPr>
                <w:t>23</w:t>
              </w:r>
            </w:hyperlink>
            <w:r>
              <w:rPr>
                <w:rFonts w:ascii="Times New Roman" w:hAnsi="Times New Roman" w:cs="Times New Roman"/>
                <w:sz w:val="26"/>
                <w:szCs w:val="26"/>
              </w:rPr>
              <w:t> The AAC is also suitable for classifying particles larger than 1 </w:t>
            </w:r>
            <w:r>
              <w:rPr>
                <w:rFonts w:ascii="Times New Roman" w:hAnsi="Times New Roman" w:cs="Times New Roman"/>
                <w:i/>
                <w:iCs/>
                <w:sz w:val="26"/>
                <w:szCs w:val="26"/>
              </w:rPr>
              <w:t>μ</w:t>
            </w:r>
            <w:r>
              <w:rPr>
                <w:rFonts w:ascii="Times New Roman" w:hAnsi="Times New Roman" w:cs="Times New Roman"/>
                <w:sz w:val="26"/>
                <w:szCs w:val="26"/>
              </w:rPr>
              <w:t>m and can be combined with the dry sol khíization process [case (iii)]. For OPCs and other instruments that can measure particle size, particle size selection is usually not necessary.</w:t>
            </w:r>
          </w:p>
          <w:p w:rsidR="00074427" w:rsidRDefault="00BB518E">
            <w:pPr>
              <w:spacing w:after="0" w:line="240" w:lineRule="auto"/>
              <w:ind w:firstLine="157"/>
              <w:jc w:val="both"/>
              <w:rPr>
                <w:rFonts w:ascii="Times New Roman" w:hAnsi="Times New Roman" w:cs="Times New Roman"/>
                <w:sz w:val="26"/>
                <w:szCs w:val="26"/>
              </w:rPr>
            </w:pPr>
            <w:hyperlink r:id="rId12" w:anchor="t1" w:history="1">
              <w:r w:rsidR="006919F7">
                <w:rPr>
                  <w:rStyle w:val="Hyperlink"/>
                  <w:rFonts w:ascii="Times New Roman" w:hAnsi="Times New Roman" w:cs="Times New Roman"/>
                  <w:sz w:val="26"/>
                  <w:szCs w:val="26"/>
                </w:rPr>
                <w:t>Table I</w:t>
              </w:r>
            </w:hyperlink>
            <w:r w:rsidR="006919F7">
              <w:rPr>
                <w:rFonts w:ascii="Times New Roman" w:hAnsi="Times New Roman" w:cs="Times New Roman"/>
                <w:sz w:val="26"/>
                <w:szCs w:val="26"/>
              </w:rPr>
              <w:t> summarizes the particle number concentration ranges which can be attained with the three sol khí generation systems described above with and without particle size selection.</w:t>
            </w:r>
          </w:p>
        </w:tc>
        <w:tc>
          <w:tcPr>
            <w:tcW w:w="5400"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i/>
                <w:sz w:val="26"/>
                <w:szCs w:val="26"/>
              </w:rPr>
              <w:lastRenderedPageBreak/>
              <w:t>Để hiệu chuẩn các thiết</w:t>
            </w:r>
            <w:r>
              <w:rPr>
                <w:rFonts w:ascii="Times New Roman" w:hAnsi="Times New Roman" w:cs="Times New Roman"/>
                <w:i/>
                <w:sz w:val="26"/>
                <w:szCs w:val="26"/>
                <w:lang w:val="vi-VN"/>
              </w:rPr>
              <w:t xml:space="preserve"> bị</w:t>
            </w:r>
            <w:r>
              <w:rPr>
                <w:rFonts w:ascii="Times New Roman" w:hAnsi="Times New Roman" w:cs="Times New Roman"/>
                <w:i/>
                <w:sz w:val="26"/>
                <w:szCs w:val="26"/>
              </w:rPr>
              <w:t xml:space="preserve"> như CPC, không phân loại các hạt theo kích thước của chúng, cần có Máy phân loại sol khí DMA hoặc Khí động học </w:t>
            </w:r>
            <w:r>
              <w:rPr>
                <w:rFonts w:ascii="Times New Roman" w:hAnsi="Times New Roman" w:cs="Times New Roman"/>
                <w:i/>
                <w:sz w:val="26"/>
                <w:szCs w:val="26"/>
              </w:rPr>
              <w:lastRenderedPageBreak/>
              <w:t>(AAC, Cambcharge)  để chọn đỉnh của các hạt PSL và lọc ra các hạt cặn không mong muốn trước đó bơm sol khí vào thiết bị đồng hóa</w:t>
            </w:r>
            <w:r>
              <w:rPr>
                <w:rFonts w:ascii="Times New Roman" w:hAnsi="Times New Roman" w:cs="Times New Roman"/>
                <w:sz w:val="26"/>
                <w:szCs w:val="26"/>
              </w:rPr>
              <w:t xml:space="preserve">. Trong trường hợp này, các hạt trong phạm vi kích thước 100 nm – 1 μm được tạo ra bằng máy phun sương Meinhard như mô tả trong trường hợp (i). Do hiệu suất truyền hạt thấp của DMA (chỉ 30% hạt 100 nm và 10% hạt 1 μm nhận được một điện tích trong bộ sạc lưỡng cực), nồng độ của các hạt PSL sau khi pha loãng trong bộ đồng nhất là tương đối thấp. Thay vào đó, </w:t>
            </w:r>
            <w:r>
              <w:rPr>
                <w:rFonts w:ascii="Times New Roman" w:hAnsi="Times New Roman" w:cs="Times New Roman"/>
                <w:i/>
                <w:sz w:val="26"/>
                <w:szCs w:val="26"/>
              </w:rPr>
              <w:t>nếu sử dụng AAC (hiệu suất truyền khoảng 80% trong phạm vi kích thước này), có thể đạt được nồng độ số cao hơn khoảng hệ số 4. AAC cũng thích hợp để phân loại các hạt lớn hơn 1 μm và có thể được kết hợp với quá trình sol khí hóa khô</w:t>
            </w:r>
            <w:r>
              <w:rPr>
                <w:rFonts w:ascii="Times New Roman" w:hAnsi="Times New Roman" w:cs="Times New Roman"/>
                <w:sz w:val="26"/>
                <w:szCs w:val="26"/>
              </w:rPr>
              <w:t xml:space="preserve"> [trường hợp (iii)]. </w:t>
            </w:r>
            <w:r>
              <w:rPr>
                <w:rFonts w:ascii="Times New Roman" w:hAnsi="Times New Roman" w:cs="Times New Roman"/>
                <w:sz w:val="26"/>
                <w:szCs w:val="26"/>
                <w:highlight w:val="yellow"/>
              </w:rPr>
              <w:t xml:space="preserve">Đối với OPC và các thiết bị khác có thể đo kích thước hạt, </w:t>
            </w:r>
            <w:r>
              <w:rPr>
                <w:rFonts w:ascii="Times New Roman" w:hAnsi="Times New Roman" w:cs="Times New Roman"/>
                <w:color w:val="FF0000"/>
                <w:sz w:val="26"/>
                <w:szCs w:val="26"/>
                <w:highlight w:val="yellow"/>
              </w:rPr>
              <w:t>việc lựa chọn kích thước hạt thường không cần thiết</w:t>
            </w:r>
            <w:r>
              <w:rPr>
                <w:rFonts w:ascii="Times New Roman" w:hAnsi="Times New Roman" w:cs="Times New Roman"/>
                <w:color w:val="FF0000"/>
                <w:sz w:val="26"/>
                <w:szCs w:val="26"/>
              </w:rPr>
              <w:t>.</w:t>
            </w:r>
            <w:r>
              <w:rPr>
                <w:rFonts w:ascii="Times New Roman" w:hAnsi="Times New Roman" w:cs="Times New Roman"/>
                <w:sz w:val="26"/>
                <w:szCs w:val="26"/>
              </w:rPr>
              <w:t xml:space="preserve"> </w:t>
            </w:r>
          </w:p>
          <w:p w:rsidR="00074427" w:rsidRDefault="00074427">
            <w:pPr>
              <w:spacing w:after="0" w:line="240" w:lineRule="auto"/>
              <w:ind w:firstLine="157"/>
              <w:jc w:val="both"/>
              <w:rPr>
                <w:rFonts w:ascii="Times New Roman" w:hAnsi="Times New Roman" w:cs="Times New Roman"/>
                <w:i/>
                <w:sz w:val="26"/>
                <w:szCs w:val="26"/>
              </w:rPr>
            </w:pPr>
          </w:p>
          <w:p w:rsidR="00074427" w:rsidRDefault="00074427">
            <w:pPr>
              <w:spacing w:after="0" w:line="240" w:lineRule="auto"/>
              <w:jc w:val="both"/>
              <w:rPr>
                <w:rFonts w:ascii="Times New Roman" w:hAnsi="Times New Roman" w:cs="Times New Roman"/>
                <w:i/>
                <w:sz w:val="26"/>
                <w:szCs w:val="26"/>
              </w:rPr>
            </w:pPr>
          </w:p>
          <w:p w:rsidR="00074427" w:rsidRDefault="00074427">
            <w:pPr>
              <w:spacing w:after="0" w:line="240" w:lineRule="auto"/>
              <w:ind w:firstLine="157"/>
              <w:jc w:val="both"/>
              <w:rPr>
                <w:rFonts w:ascii="Times New Roman" w:hAnsi="Times New Roman" w:cs="Times New Roman"/>
                <w:i/>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i/>
                <w:sz w:val="26"/>
                <w:szCs w:val="26"/>
              </w:rPr>
              <w:t>Bảng I tóm tắt các phạm vi nồng độ số lượng hạt có thể đạt được với ba hệ thống tạo sol khí được mô tả ở trên có và không có lựa chọn kích thước hạt.</w:t>
            </w:r>
          </w:p>
        </w:tc>
      </w:tr>
      <w:tr w:rsidR="00074427">
        <w:tc>
          <w:tcPr>
            <w:tcW w:w="10705" w:type="dxa"/>
            <w:gridSpan w:val="2"/>
          </w:tcPr>
          <w:p w:rsidR="00074427" w:rsidRDefault="006919F7">
            <w:pPr>
              <w:spacing w:after="0" w:line="24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6660515" cy="24612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3"/>
                          <a:stretch>
                            <a:fillRect/>
                          </a:stretch>
                        </pic:blipFill>
                        <pic:spPr>
                          <a:xfrm>
                            <a:off x="0" y="0"/>
                            <a:ext cx="6660515" cy="2461260"/>
                          </a:xfrm>
                          <a:prstGeom prst="rect">
                            <a:avLst/>
                          </a:prstGeom>
                        </pic:spPr>
                      </pic:pic>
                    </a:graphicData>
                  </a:graphic>
                </wp:inline>
              </w:drawing>
            </w:r>
          </w:p>
        </w:tc>
      </w:tr>
      <w:tr w:rsidR="00074427">
        <w:tc>
          <w:tcPr>
            <w:tcW w:w="5305" w:type="dxa"/>
          </w:tcPr>
          <w:p w:rsidR="00074427" w:rsidRDefault="006919F7">
            <w:pPr>
              <w:spacing w:after="0" w:line="240" w:lineRule="auto"/>
              <w:ind w:firstLine="337"/>
              <w:jc w:val="both"/>
              <w:rPr>
                <w:rFonts w:ascii="Times New Roman" w:hAnsi="Times New Roman" w:cs="Times New Roman"/>
                <w:b/>
                <w:bCs/>
                <w:sz w:val="26"/>
                <w:szCs w:val="26"/>
              </w:rPr>
            </w:pPr>
            <w:r>
              <w:rPr>
                <w:rFonts w:ascii="Times New Roman" w:hAnsi="Times New Roman" w:cs="Times New Roman"/>
                <w:b/>
                <w:bCs/>
                <w:sz w:val="26"/>
                <w:szCs w:val="26"/>
              </w:rPr>
              <w:t>B. Sol khí flow-tube homogenizer</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The homogenizer is a 4-m-long custom-made stainless steel tube with an inner diameter of 16.4 cm and is placed vertically, extending over two floors through an opening in the ceiling. As shown in </w:t>
            </w:r>
            <w:hyperlink r:id="rId14" w:tooltip="Open Figure Viewer" w:history="1">
              <w:r>
                <w:rPr>
                  <w:rStyle w:val="Hyperlink"/>
                  <w:rFonts w:ascii="Times New Roman" w:hAnsi="Times New Roman" w:cs="Times New Roman"/>
                  <w:sz w:val="26"/>
                  <w:szCs w:val="26"/>
                </w:rPr>
                <w:t>Fig. 1</w:t>
              </w:r>
            </w:hyperlink>
            <w:r>
              <w:rPr>
                <w:rFonts w:ascii="Times New Roman" w:hAnsi="Times New Roman" w:cs="Times New Roman"/>
                <w:sz w:val="26"/>
                <w:szCs w:val="26"/>
              </w:rPr>
              <w:t xml:space="preserve">, the sol khí generation system is located in the upper floor. Dry filtered air with a </w:t>
            </w:r>
            <w:r>
              <w:rPr>
                <w:rFonts w:ascii="Times New Roman" w:hAnsi="Times New Roman" w:cs="Times New Roman"/>
                <w:sz w:val="26"/>
                <w:szCs w:val="26"/>
              </w:rPr>
              <w:lastRenderedPageBreak/>
              <w:t>fixed flow rate of 120 l/min enters the homogenizer from the very top and sweeps the PSL particles down the tube, where they are further mixed by three turbulent jets of air. The air-jet injection tubes are placed symmetrically around the homogenizer tube pointing 60° downwards. The flow rate of the air-jets is adjusted so that the final (total) sol khí flow is equal to 180 l/min. As the sol khí travels down the flow tube, the water surrounding the PSL particles (in case of wet dispersion) is fully vaporized and the particles are completely dry when they reach the sampling zone. To reduce particle losses due to electrostatic forces, a </w:t>
            </w:r>
            <w:r>
              <w:rPr>
                <w:rFonts w:ascii="Times New Roman" w:hAnsi="Times New Roman" w:cs="Times New Roman"/>
                <w:sz w:val="26"/>
                <w:szCs w:val="26"/>
                <w:vertAlign w:val="superscript"/>
              </w:rPr>
              <w:t>85</w:t>
            </w:r>
            <w:r>
              <w:rPr>
                <w:rFonts w:ascii="Times New Roman" w:hAnsi="Times New Roman" w:cs="Times New Roman"/>
                <w:sz w:val="26"/>
                <w:szCs w:val="26"/>
              </w:rPr>
              <w:t>Kr-radioactive source of ≈1 MBq activity is used as a “neutralizer” (i.e., ionizes air molecules, which then attach to charged PSL particles so that the sol khí becomes overall neutral).</w:t>
            </w:r>
          </w:p>
        </w:tc>
        <w:tc>
          <w:tcPr>
            <w:tcW w:w="5400" w:type="dxa"/>
          </w:tcPr>
          <w:p w:rsidR="00074427" w:rsidRDefault="006919F7">
            <w:pPr>
              <w:spacing w:after="0" w:line="240" w:lineRule="auto"/>
              <w:ind w:firstLine="337"/>
              <w:jc w:val="both"/>
              <w:rPr>
                <w:rFonts w:ascii="Times New Roman" w:hAnsi="Times New Roman" w:cs="Times New Roman"/>
                <w:b/>
                <w:sz w:val="26"/>
                <w:szCs w:val="26"/>
              </w:rPr>
            </w:pPr>
            <w:r>
              <w:rPr>
                <w:rFonts w:ascii="Times New Roman" w:hAnsi="Times New Roman" w:cs="Times New Roman"/>
                <w:b/>
                <w:sz w:val="26"/>
                <w:szCs w:val="26"/>
              </w:rPr>
              <w:lastRenderedPageBreak/>
              <w:t>B. Bộ đồng nhất ống lưu</w:t>
            </w:r>
            <w:r>
              <w:rPr>
                <w:rFonts w:ascii="Times New Roman" w:hAnsi="Times New Roman" w:cs="Times New Roman"/>
                <w:b/>
                <w:sz w:val="26"/>
                <w:szCs w:val="26"/>
                <w:lang w:val="vi-VN"/>
              </w:rPr>
              <w:t xml:space="preserve"> lượng dòng</w:t>
            </w:r>
            <w:r>
              <w:rPr>
                <w:rFonts w:ascii="Times New Roman" w:hAnsi="Times New Roman" w:cs="Times New Roman"/>
                <w:b/>
                <w:sz w:val="26"/>
                <w:szCs w:val="26"/>
              </w:rPr>
              <w:t xml:space="preserve"> sol khí</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i/>
                <w:sz w:val="26"/>
                <w:szCs w:val="26"/>
              </w:rPr>
              <w:t>Thiết bị đồng nhất là một ống thép không gỉ tùy chỉnh dài 4 m với đường kính trong là 16,4 cm và được đặt thẳng đứng, kéo dài qua hai tầng thông qua một lỗ trên trần nhà</w:t>
            </w:r>
            <w:r>
              <w:rPr>
                <w:rFonts w:ascii="Times New Roman" w:hAnsi="Times New Roman" w:cs="Times New Roman"/>
                <w:sz w:val="26"/>
                <w:szCs w:val="26"/>
              </w:rPr>
              <w:t>. Như trong Hình 1, hệ thống tạo sol khí được đặt ở tầng trên</w:t>
            </w:r>
            <w:r>
              <w:rPr>
                <w:rFonts w:ascii="Times New Roman" w:hAnsi="Times New Roman" w:cs="Times New Roman"/>
                <w:i/>
                <w:sz w:val="26"/>
                <w:szCs w:val="26"/>
              </w:rPr>
              <w:t xml:space="preserve">. </w:t>
            </w:r>
            <w:r>
              <w:rPr>
                <w:rFonts w:ascii="Times New Roman" w:hAnsi="Times New Roman" w:cs="Times New Roman"/>
                <w:i/>
                <w:color w:val="FF0000"/>
                <w:sz w:val="26"/>
                <w:szCs w:val="26"/>
              </w:rPr>
              <w:t xml:space="preserve">Không khí khô được lọc với tốc độ dòng cố định 120 L/min đi </w:t>
            </w:r>
            <w:r>
              <w:rPr>
                <w:rFonts w:ascii="Times New Roman" w:hAnsi="Times New Roman" w:cs="Times New Roman"/>
                <w:i/>
                <w:color w:val="FF0000"/>
                <w:sz w:val="26"/>
                <w:szCs w:val="26"/>
              </w:rPr>
              <w:lastRenderedPageBreak/>
              <w:t>vào thiết bị đồng hóa</w:t>
            </w:r>
            <w:r>
              <w:rPr>
                <w:rFonts w:ascii="Times New Roman" w:hAnsi="Times New Roman" w:cs="Times New Roman"/>
                <w:i/>
                <w:sz w:val="26"/>
                <w:szCs w:val="26"/>
              </w:rPr>
              <w:t xml:space="preserve"> từ phía trên và quét các hạt PSL xuống ống, tại đây chúng được trộn thêm bởi ba luồng khí hỗn loạn. Các ống phun tia khí được đặt đối xứng xung quanh ống đồng hóa hướng xuống dưới 60 °.</w:t>
            </w:r>
            <w:r>
              <w:rPr>
                <w:rFonts w:ascii="Times New Roman" w:hAnsi="Times New Roman" w:cs="Times New Roman"/>
                <w:sz w:val="26"/>
                <w:szCs w:val="26"/>
              </w:rPr>
              <w:t xml:space="preserve"> Tốc độ dòng chảy của các tia khí được điều chỉnh để lưu lượng sol khí cuối cùng (tổng) bằng </w:t>
            </w:r>
            <w:r>
              <w:rPr>
                <w:rFonts w:ascii="Times New Roman" w:hAnsi="Times New Roman" w:cs="Times New Roman"/>
                <w:b/>
                <w:bCs/>
                <w:color w:val="FF0000"/>
                <w:sz w:val="26"/>
                <w:szCs w:val="26"/>
              </w:rPr>
              <w:t>180 L/min</w:t>
            </w:r>
            <w:r>
              <w:rPr>
                <w:rFonts w:ascii="Times New Roman" w:hAnsi="Times New Roman" w:cs="Times New Roman"/>
                <w:sz w:val="26"/>
                <w:szCs w:val="26"/>
              </w:rPr>
              <w:t xml:space="preserve">. </w:t>
            </w:r>
            <w:r>
              <w:rPr>
                <w:rFonts w:ascii="Times New Roman" w:hAnsi="Times New Roman" w:cs="Times New Roman"/>
                <w:i/>
                <w:sz w:val="26"/>
                <w:szCs w:val="26"/>
              </w:rPr>
              <w:t xml:space="preserve">Khi sol khí di chuyển xuống ống dòng, nước bao quanh các hạt PSL (trong trường hợp phân tán ướt) được hóa hơi hoàn toàn và các hạt khô hoàn toàn khi chúng đến vùng lấy mẫu. </w:t>
            </w:r>
            <w:r>
              <w:rPr>
                <w:rFonts w:ascii="Times New Roman" w:hAnsi="Times New Roman" w:cs="Times New Roman"/>
                <w:b/>
                <w:sz w:val="26"/>
                <w:szCs w:val="26"/>
              </w:rPr>
              <w:t xml:space="preserve">Để giảm tổn thất hạt do lực tĩnh điện, </w:t>
            </w:r>
            <w:r>
              <w:rPr>
                <w:rFonts w:ascii="Times New Roman" w:hAnsi="Times New Roman" w:cs="Times New Roman"/>
                <w:b/>
                <w:sz w:val="26"/>
                <w:szCs w:val="26"/>
                <w:highlight w:val="yellow"/>
              </w:rPr>
              <w:t>nguồn phóng xạ 85Kr có hoạt độ ≈1 MBq</w:t>
            </w:r>
            <w:r>
              <w:rPr>
                <w:rFonts w:ascii="Times New Roman" w:hAnsi="Times New Roman" w:cs="Times New Roman"/>
                <w:b/>
                <w:sz w:val="26"/>
                <w:szCs w:val="26"/>
              </w:rPr>
              <w:t xml:space="preserve"> được sử dụng làm “chất trung hòa” (tức là ion hóa các phân tử không khí, sau đó gắn vào các hạt PSL tích điện để sol khí trở nên trung hòa về tổng thể).</w:t>
            </w:r>
          </w:p>
        </w:tc>
      </w:tr>
      <w:tr w:rsidR="00074427">
        <w:tc>
          <w:tcPr>
            <w:tcW w:w="5305" w:type="dxa"/>
          </w:tcPr>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lastRenderedPageBreak/>
              <w:t>The sampling zone (marked C′ in </w:t>
            </w:r>
            <w:hyperlink r:id="rId15" w:tooltip="Open Figure Viewer" w:history="1">
              <w:r>
                <w:rPr>
                  <w:rStyle w:val="Hyperlink"/>
                  <w:rFonts w:ascii="Times New Roman" w:hAnsi="Times New Roman" w:cs="Times New Roman"/>
                  <w:sz w:val="26"/>
                  <w:szCs w:val="26"/>
                </w:rPr>
                <w:t>Fig. 1</w:t>
              </w:r>
            </w:hyperlink>
            <w:r>
              <w:rPr>
                <w:rFonts w:ascii="Times New Roman" w:hAnsi="Times New Roman" w:cs="Times New Roman"/>
                <w:sz w:val="26"/>
                <w:szCs w:val="26"/>
              </w:rPr>
              <w:t>) is located 3.0 m downstream of the injection position and accommodates two isokinetic sample probes placed at the bottom end of the homogenizer. Isokinetic conditions are necessary when sampling with two optical particle counters operating at different flow rates to ensure representative sampling and minimize sampling artifacts of larger particles. Several custom-made sampling probes with a narrowing angle of 34° but different cross sections have been therefore designed to match the flow rate of the various DUT-OPCs, which typically ranges between 0.3 l/min and 100 l/min.</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The sampling probe of the reference particle counter is also a probe funnel with size adjusted to the air velocity and a narrowing angle, again, of 34°. More specifically, this sampling probe is a pipe with an inner diameter of 3.0 mm, which narrows gradually down to a diameter of 0.2 mm just upstream of the optical detection unit. The “particle loss calculator”</w:t>
            </w:r>
            <w:hyperlink r:id="rId16" w:history="1">
              <w:r>
                <w:rPr>
                  <w:rStyle w:val="Hyperlink"/>
                  <w:rFonts w:ascii="Times New Roman" w:hAnsi="Times New Roman" w:cs="Times New Roman"/>
                  <w:sz w:val="26"/>
                  <w:szCs w:val="26"/>
                  <w:vertAlign w:val="superscript"/>
                </w:rPr>
                <w:t>25</w:t>
              </w:r>
            </w:hyperlink>
            <w:r>
              <w:rPr>
                <w:rFonts w:ascii="Times New Roman" w:hAnsi="Times New Roman" w:cs="Times New Roman"/>
                <w:sz w:val="26"/>
                <w:szCs w:val="26"/>
              </w:rPr>
              <w:t> was used to validate this configuration. According to the calculations, impaction losses in the probe are negligible, while diffusion losses are about 1% for 500 nm particles, 0.5% for 1 </w:t>
            </w:r>
            <w:r>
              <w:rPr>
                <w:rFonts w:ascii="Times New Roman" w:hAnsi="Times New Roman" w:cs="Times New Roman"/>
                <w:i/>
                <w:iCs/>
                <w:sz w:val="26"/>
                <w:szCs w:val="26"/>
              </w:rPr>
              <w:t>μ</w:t>
            </w:r>
            <w:r>
              <w:rPr>
                <w:rFonts w:ascii="Times New Roman" w:hAnsi="Times New Roman" w:cs="Times New Roman"/>
                <w:sz w:val="26"/>
                <w:szCs w:val="26"/>
              </w:rPr>
              <w:t>m particles, and 0.1% for 10 </w:t>
            </w:r>
            <w:r>
              <w:rPr>
                <w:rFonts w:ascii="Times New Roman" w:hAnsi="Times New Roman" w:cs="Times New Roman"/>
                <w:i/>
                <w:iCs/>
                <w:sz w:val="26"/>
                <w:szCs w:val="26"/>
              </w:rPr>
              <w:t>μ</w:t>
            </w:r>
            <w:r>
              <w:rPr>
                <w:rFonts w:ascii="Times New Roman" w:hAnsi="Times New Roman" w:cs="Times New Roman"/>
                <w:sz w:val="26"/>
                <w:szCs w:val="26"/>
              </w:rPr>
              <w:t xml:space="preserve">m particles. These losses are corrected for </w:t>
            </w:r>
            <w:r>
              <w:rPr>
                <w:rFonts w:ascii="Times New Roman" w:hAnsi="Times New Roman" w:cs="Times New Roman"/>
                <w:sz w:val="26"/>
                <w:szCs w:val="26"/>
              </w:rPr>
              <w:lastRenderedPageBreak/>
              <w:t>during data treatment (see </w:t>
            </w:r>
            <w:hyperlink r:id="rId17" w:anchor="t2" w:history="1">
              <w:r>
                <w:rPr>
                  <w:rStyle w:val="Hyperlink"/>
                  <w:rFonts w:ascii="Times New Roman" w:hAnsi="Times New Roman" w:cs="Times New Roman"/>
                  <w:sz w:val="26"/>
                  <w:szCs w:val="26"/>
                </w:rPr>
                <w:t>Table II</w:t>
              </w:r>
            </w:hyperlink>
            <w:r>
              <w:rPr>
                <w:rFonts w:ascii="Times New Roman" w:hAnsi="Times New Roman" w:cs="Times New Roman"/>
                <w:sz w:val="26"/>
                <w:szCs w:val="26"/>
              </w:rPr>
              <w:t>). It is worth mentioning that the sampling probe of the reference counter is placed within the sampling probe of the DUT slightly off axis. This design ensures that both instruments sample sol khí from the central cross section of the flow tube, where the sol khí is found to be homogeneous within 1.1% (see Subsection </w:t>
            </w:r>
            <w:hyperlink r:id="rId18" w:anchor="s4B" w:history="1">
              <w:r>
                <w:rPr>
                  <w:rStyle w:val="Hyperlink"/>
                  <w:rFonts w:ascii="Times New Roman" w:hAnsi="Times New Roman" w:cs="Times New Roman"/>
                  <w:sz w:val="26"/>
                  <w:szCs w:val="26"/>
                </w:rPr>
                <w:t>IV B</w:t>
              </w:r>
            </w:hyperlink>
            <w:r>
              <w:rPr>
                <w:rFonts w:ascii="Times New Roman" w:hAnsi="Times New Roman" w:cs="Times New Roman"/>
                <w:sz w:val="26"/>
                <w:szCs w:val="26"/>
              </w:rPr>
              <w:t>). The velocity profile at the sampling area, as will be presented in Sec. </w:t>
            </w:r>
            <w:hyperlink r:id="rId19" w:anchor="s4A" w:history="1">
              <w:r>
                <w:rPr>
                  <w:rStyle w:val="Hyperlink"/>
                  <w:rFonts w:ascii="Times New Roman" w:hAnsi="Times New Roman" w:cs="Times New Roman"/>
                  <w:sz w:val="26"/>
                  <w:szCs w:val="26"/>
                </w:rPr>
                <w:t>IV A</w:t>
              </w:r>
            </w:hyperlink>
            <w:r>
              <w:rPr>
                <w:rFonts w:ascii="Times New Roman" w:hAnsi="Times New Roman" w:cs="Times New Roman"/>
                <w:sz w:val="26"/>
                <w:szCs w:val="26"/>
              </w:rPr>
              <w:t>, is nearly uniform.</w:t>
            </w:r>
          </w:p>
        </w:tc>
        <w:tc>
          <w:tcPr>
            <w:tcW w:w="5400" w:type="dxa"/>
          </w:tcPr>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b/>
                <w:i/>
                <w:sz w:val="26"/>
                <w:szCs w:val="26"/>
              </w:rPr>
              <w:lastRenderedPageBreak/>
              <w:t xml:space="preserve">Vùng lấy mẫu (được đánh dấu C ′ trong Hình 1) nằm ở phía hạ lưu </w:t>
            </w:r>
            <w:r>
              <w:rPr>
                <w:rFonts w:ascii="Times New Roman" w:hAnsi="Times New Roman" w:cs="Times New Roman"/>
                <w:sz w:val="26"/>
                <w:szCs w:val="26"/>
              </w:rPr>
              <w:t xml:space="preserve">vị trí bơm 3,0 m và chứa hai đầu dò mẫu đẳng động học được đặt ở đầu dưới cùng của thiết bị đồng nhất. </w:t>
            </w:r>
            <w:r>
              <w:rPr>
                <w:rFonts w:ascii="Times New Roman" w:hAnsi="Times New Roman" w:cs="Times New Roman"/>
                <w:b/>
                <w:i/>
                <w:sz w:val="26"/>
                <w:szCs w:val="26"/>
              </w:rPr>
              <w:t>Điều kiện đẳng động học là cần thiết khi lấy mẫu với hai máy đếm hạt quang học hoạt động ở các tốc độ dòng chảy khác nhau để đảm bảo lấy mẫu đại diện và giảm thiểu hiện tượng lấy mẫu của các hạt lớn hơn</w:t>
            </w:r>
            <w:r>
              <w:rPr>
                <w:rFonts w:ascii="Times New Roman" w:hAnsi="Times New Roman" w:cs="Times New Roman"/>
                <w:sz w:val="26"/>
                <w:szCs w:val="26"/>
              </w:rPr>
              <w:t xml:space="preserve">. Do đó, một số đầu dò lấy mẫu được chế tạo tùy chỉnh với góc thu hẹp </w:t>
            </w:r>
            <w:r>
              <w:rPr>
                <w:rFonts w:ascii="Times New Roman" w:hAnsi="Times New Roman" w:cs="Times New Roman"/>
                <w:color w:val="FF0000"/>
                <w:sz w:val="26"/>
                <w:szCs w:val="26"/>
              </w:rPr>
              <w:t xml:space="preserve">34° nhưng </w:t>
            </w:r>
            <w:r>
              <w:rPr>
                <w:rFonts w:ascii="Times New Roman" w:hAnsi="Times New Roman" w:cs="Times New Roman"/>
                <w:sz w:val="26"/>
                <w:szCs w:val="26"/>
              </w:rPr>
              <w:t xml:space="preserve">tiết diện khác nhau đã được thiết kế để phù hợp với tốc độ dòng chảy của các DUT-OPC khác nhau, thường nằm trong khoảng từ </w:t>
            </w:r>
            <w:r>
              <w:rPr>
                <w:rFonts w:ascii="Times New Roman" w:hAnsi="Times New Roman" w:cs="Times New Roman"/>
                <w:color w:val="FF0000"/>
                <w:sz w:val="26"/>
                <w:szCs w:val="26"/>
              </w:rPr>
              <w:t>0,3 L/min đến 100 L/min</w:t>
            </w:r>
            <w:r>
              <w:rPr>
                <w:rFonts w:ascii="Times New Roman" w:hAnsi="Times New Roman" w:cs="Times New Roman"/>
                <w:sz w:val="26"/>
                <w:szCs w:val="26"/>
              </w:rPr>
              <w:t>.</w:t>
            </w:r>
          </w:p>
          <w:p w:rsidR="00074427" w:rsidRDefault="00074427">
            <w:pPr>
              <w:spacing w:after="0" w:line="240" w:lineRule="auto"/>
              <w:ind w:firstLine="337"/>
              <w:jc w:val="both"/>
              <w:rPr>
                <w:rFonts w:ascii="Times New Roman" w:hAnsi="Times New Roman" w:cs="Times New Roman"/>
                <w:i/>
                <w:sz w:val="26"/>
                <w:szCs w:val="26"/>
              </w:rPr>
            </w:pP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i/>
                <w:sz w:val="26"/>
                <w:szCs w:val="26"/>
              </w:rPr>
              <w:t>Đầu dò lấy mẫu của máy đếm hạt chuẩn cũng là một phễu thăm dò có kích thước được điều chỉnh theo tốc độ không khí và góc thu hẹp</w:t>
            </w:r>
            <w:r>
              <w:rPr>
                <w:rFonts w:ascii="Times New Roman" w:hAnsi="Times New Roman" w:cs="Times New Roman"/>
                <w:i/>
                <w:sz w:val="26"/>
                <w:szCs w:val="26"/>
                <w:lang w:val="vi-VN"/>
              </w:rPr>
              <w:t xml:space="preserve"> với</w:t>
            </w:r>
            <w:r>
              <w:rPr>
                <w:rFonts w:ascii="Times New Roman" w:hAnsi="Times New Roman" w:cs="Times New Roman"/>
                <w:i/>
                <w:sz w:val="26"/>
                <w:szCs w:val="26"/>
              </w:rPr>
              <w:t xml:space="preserve"> 34°</w:t>
            </w:r>
            <w:r>
              <w:rPr>
                <w:rFonts w:ascii="Times New Roman" w:hAnsi="Times New Roman" w:cs="Times New Roman"/>
                <w:sz w:val="26"/>
                <w:szCs w:val="26"/>
              </w:rPr>
              <w:t xml:space="preserve">. </w:t>
            </w:r>
            <w:r>
              <w:rPr>
                <w:rFonts w:ascii="Times New Roman" w:hAnsi="Times New Roman" w:cs="Times New Roman"/>
                <w:sz w:val="26"/>
                <w:szCs w:val="26"/>
                <w:highlight w:val="yellow"/>
              </w:rPr>
              <w:t>Cụ thể hơn, đầu dò lấy mẫu này là một ống có đường kính trong là 3,0 mm, ống này thu hẹp dần xuống đường kính 0,2 mm ngay phía trên của bộ phận phát hiện quang học</w:t>
            </w:r>
            <w:r>
              <w:rPr>
                <w:rFonts w:ascii="Times New Roman" w:hAnsi="Times New Roman" w:cs="Times New Roman"/>
                <w:sz w:val="26"/>
                <w:szCs w:val="26"/>
              </w:rPr>
              <w:t>. "Tính toán</w:t>
            </w:r>
            <w:r>
              <w:rPr>
                <w:rFonts w:ascii="Times New Roman" w:hAnsi="Times New Roman" w:cs="Times New Roman"/>
                <w:sz w:val="26"/>
                <w:szCs w:val="26"/>
                <w:lang w:val="vi-VN"/>
              </w:rPr>
              <w:t xml:space="preserve"> </w:t>
            </w:r>
            <w:r>
              <w:rPr>
                <w:rFonts w:ascii="Times New Roman" w:hAnsi="Times New Roman" w:cs="Times New Roman"/>
                <w:sz w:val="26"/>
                <w:szCs w:val="26"/>
              </w:rPr>
              <w:t xml:space="preserve">tổn thất hạt"  đã được sử dụng để xác nhận cấu hình này. Theo tính toán, tổn thất do va đập trong đầu dò là không đáng kể, trong </w:t>
            </w:r>
            <w:r w:rsidRPr="002428D3">
              <w:rPr>
                <w:rFonts w:ascii="Times New Roman" w:hAnsi="Times New Roman" w:cs="Times New Roman"/>
                <w:color w:val="0070C0"/>
                <w:sz w:val="26"/>
                <w:szCs w:val="26"/>
              </w:rPr>
              <w:t xml:space="preserve">khi tổn thất khuếch tán là khoảng 1% đối với hạt 500 nm, 0,5% đối với hạt 1 μm và 0,1% đối với hạt 10 μm. </w:t>
            </w:r>
            <w:r>
              <w:rPr>
                <w:rFonts w:ascii="Times New Roman" w:hAnsi="Times New Roman" w:cs="Times New Roman"/>
                <w:sz w:val="26"/>
                <w:szCs w:val="26"/>
              </w:rPr>
              <w:t>Những tổn thất này được hiệu</w:t>
            </w:r>
            <w:r>
              <w:rPr>
                <w:rFonts w:ascii="Times New Roman" w:hAnsi="Times New Roman" w:cs="Times New Roman"/>
                <w:sz w:val="26"/>
                <w:szCs w:val="26"/>
                <w:lang w:val="vi-VN"/>
              </w:rPr>
              <w:t xml:space="preserve"> chỉnh </w:t>
            </w:r>
            <w:r>
              <w:rPr>
                <w:rFonts w:ascii="Times New Roman" w:hAnsi="Times New Roman" w:cs="Times New Roman"/>
                <w:sz w:val="26"/>
                <w:szCs w:val="26"/>
              </w:rPr>
              <w:t xml:space="preserve">trong quá trình xử lý dữ liệu (xem Bảng </w:t>
            </w:r>
            <w:r>
              <w:rPr>
                <w:rFonts w:ascii="Times New Roman" w:hAnsi="Times New Roman" w:cs="Times New Roman"/>
                <w:sz w:val="26"/>
                <w:szCs w:val="26"/>
              </w:rPr>
              <w:lastRenderedPageBreak/>
              <w:t xml:space="preserve">II). </w:t>
            </w:r>
            <w:r>
              <w:rPr>
                <w:rFonts w:ascii="Times New Roman" w:hAnsi="Times New Roman" w:cs="Times New Roman"/>
                <w:sz w:val="26"/>
                <w:szCs w:val="26"/>
                <w:highlight w:val="cyan"/>
              </w:rPr>
              <w:t>Điều đáng nói là đầu dò lấy mẫu của bộ đếm tham chiếu được đặt trong đầu dò lấy mẫu của DUT hơi lệch trục</w:t>
            </w:r>
            <w:r>
              <w:rPr>
                <w:rFonts w:ascii="Times New Roman" w:hAnsi="Times New Roman" w:cs="Times New Roman"/>
                <w:sz w:val="26"/>
                <w:szCs w:val="26"/>
              </w:rPr>
              <w:t>. Thiết kế này đảm bảo rằng cả hai thiết bị đều lấy mẫu sol khí từ mặt cắt ngang trung tâm của ống dòng, nơi mà sol khí được tìm thấy là đồng nhất trong vòng 1,1% (xem Tiểu mục IV B). Sơ đồ vận tốc tại khu vực lấy mẫu, như sẽ được trình bày trong Phần. IV A, gần như đồng nhất.</w:t>
            </w:r>
          </w:p>
        </w:tc>
      </w:tr>
      <w:tr w:rsidR="00074427">
        <w:tc>
          <w:tcPr>
            <w:tcW w:w="5305" w:type="dxa"/>
          </w:tcPr>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lastRenderedPageBreak/>
              <w:t>Table summarizing the physical quantities and their measurement uncertainties required for the evaluation of the reference sol khí particle number concentration in the case of 500 nm PSL particles at number concentration 1.0 cm</w:t>
            </w:r>
            <w:r>
              <w:rPr>
                <w:rFonts w:ascii="Times New Roman" w:hAnsi="Times New Roman" w:cs="Times New Roman"/>
                <w:sz w:val="26"/>
                <w:szCs w:val="26"/>
                <w:vertAlign w:val="superscript"/>
              </w:rPr>
              <w:t>−3</w:t>
            </w:r>
            <w:r>
              <w:rPr>
                <w:rFonts w:ascii="Times New Roman" w:hAnsi="Times New Roman" w:cs="Times New Roman"/>
                <w:sz w:val="26"/>
                <w:szCs w:val="26"/>
              </w:rPr>
              <w:t>.</w:t>
            </w:r>
          </w:p>
        </w:tc>
        <w:tc>
          <w:tcPr>
            <w:tcW w:w="5400" w:type="dxa"/>
          </w:tcPr>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Bảng tóm tắt các đại lượng vật lý và độ không đảm bảo đo của chúng cần thiết để đánh giá nồng độ số hạt sol khí tham chiếu trong trường hợp hạt PSL 500 nm ở nồng độ số 1,0 cm-3.</w:t>
            </w:r>
          </w:p>
        </w:tc>
      </w:tr>
      <w:tr w:rsidR="00074427">
        <w:tc>
          <w:tcPr>
            <w:tcW w:w="10705" w:type="dxa"/>
            <w:gridSpan w:val="2"/>
          </w:tcPr>
          <w:p w:rsidR="00074427" w:rsidRDefault="006919F7">
            <w:pPr>
              <w:spacing w:after="0" w:line="240" w:lineRule="auto"/>
              <w:jc w:val="center"/>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4370070" cy="28276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4381474" cy="2835071"/>
                          </a:xfrm>
                          <a:prstGeom prst="rect">
                            <a:avLst/>
                          </a:prstGeom>
                        </pic:spPr>
                      </pic:pic>
                    </a:graphicData>
                  </a:graphic>
                </wp:inline>
              </w:drawing>
            </w:r>
          </w:p>
        </w:tc>
      </w:tr>
      <w:tr w:rsidR="00074427">
        <w:tc>
          <w:tcPr>
            <w:tcW w:w="5305" w:type="dxa"/>
          </w:tcPr>
          <w:p w:rsidR="00074427" w:rsidRDefault="006919F7">
            <w:pPr>
              <w:spacing w:after="0" w:line="240" w:lineRule="auto"/>
              <w:ind w:firstLine="337"/>
              <w:jc w:val="both"/>
              <w:rPr>
                <w:rFonts w:ascii="Times New Roman" w:hAnsi="Times New Roman" w:cs="Times New Roman"/>
                <w:b/>
                <w:bCs/>
                <w:sz w:val="26"/>
                <w:szCs w:val="26"/>
              </w:rPr>
            </w:pPr>
            <w:r>
              <w:rPr>
                <w:rFonts w:ascii="Times New Roman" w:hAnsi="Times New Roman" w:cs="Times New Roman"/>
                <w:b/>
                <w:bCs/>
                <w:sz w:val="26"/>
                <w:szCs w:val="26"/>
              </w:rPr>
              <w:t>C. Reference optical particle counter</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The detection system consists of a custom-built optical particle counter placed right at the outlet of the homogenizer to minimize particle losses due to tube bendings. The sampled sol khí enters the detection chamber through the 0.2 mm orifice of the sampling probe (sol khí direction is designated by a blue arrow in </w:t>
            </w:r>
            <w:hyperlink r:id="rId21" w:tooltip="Open Figure Viewer" w:history="1">
              <w:r>
                <w:rPr>
                  <w:rStyle w:val="Hyperlink"/>
                  <w:rFonts w:ascii="Times New Roman" w:hAnsi="Times New Roman" w:cs="Times New Roman"/>
                  <w:sz w:val="26"/>
                  <w:szCs w:val="26"/>
                </w:rPr>
                <w:t>Fig. 1</w:t>
              </w:r>
            </w:hyperlink>
            <w:r>
              <w:rPr>
                <w:rFonts w:ascii="Times New Roman" w:hAnsi="Times New Roman" w:cs="Times New Roman"/>
                <w:sz w:val="26"/>
                <w:szCs w:val="26"/>
              </w:rPr>
              <w:t xml:space="preserve">) and is surrounded by a sheath-air flow (3.5 l/min, brown arrows) which prevents the particle beam from diverging. The sheath air is recirculated and filtered; hence, the sampling flow can be determined by measuring the outflow only. A laser beam of 0.7 mm width is generated by a continuous-wave laser (Model Verdi V-5, Coherent) at a wavelength of 532 nm and focused </w:t>
            </w:r>
            <w:r>
              <w:rPr>
                <w:rFonts w:ascii="Times New Roman" w:hAnsi="Times New Roman" w:cs="Times New Roman"/>
                <w:sz w:val="26"/>
                <w:szCs w:val="26"/>
              </w:rPr>
              <w:lastRenderedPageBreak/>
              <w:t>at the point of intersection with the sol khí stream with the use of a cylindrical lens. Particles crossing the laser beam scatter light, which is detected by a photomultiplier tube placed at a 90° angle.</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Before the measurements start, the laser beam needs to be carefully aligned through the optical cell to ensure that the sol khí beam/jet exiting the 0.2 mm nozzle crosses the laser beam (0.7 mm width) approximately at the center and consequently, all sol khí particles are detected by light scattering. It should be noted that despite a possible jet divergence, its width remains much smaller than that of the laser beam. Imperfect alignment of the laser beam and the sol khí jet results in asymmetric intensity distributions of time integrated scattered light, exhibiting a tail toward low integrated intensity (appearing as smaller particle sizes). This occurs due to the Gaussian intensity distribution of the laser beam. The alignment is therefore repeated carefully until this intensity distribution becomes symmetric.</w:t>
            </w:r>
          </w:p>
        </w:tc>
        <w:tc>
          <w:tcPr>
            <w:tcW w:w="5400" w:type="dxa"/>
          </w:tcPr>
          <w:p w:rsidR="00074427" w:rsidRDefault="006919F7">
            <w:pPr>
              <w:spacing w:after="0" w:line="240" w:lineRule="auto"/>
              <w:ind w:firstLine="337"/>
              <w:jc w:val="both"/>
              <w:rPr>
                <w:rFonts w:ascii="Times New Roman" w:hAnsi="Times New Roman" w:cs="Times New Roman"/>
                <w:b/>
                <w:i/>
                <w:sz w:val="26"/>
                <w:szCs w:val="26"/>
              </w:rPr>
            </w:pPr>
            <w:r>
              <w:rPr>
                <w:rFonts w:ascii="Times New Roman" w:hAnsi="Times New Roman" w:cs="Times New Roman"/>
                <w:b/>
                <w:i/>
                <w:sz w:val="26"/>
                <w:szCs w:val="26"/>
              </w:rPr>
              <w:lastRenderedPageBreak/>
              <w:t>C. Máy đếm hạt quang học tham chiếu</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i/>
                <w:sz w:val="26"/>
                <w:szCs w:val="26"/>
              </w:rPr>
              <w:t>Hệ thống phát hiện bao gồm một máy đếm hạt quang học được chế tạo tùy chỉnh được đặt ngay tại đầu ra của thiết bị đồng hóa để giảm thiểu thất thoát hạt do uốn ốn</w:t>
            </w:r>
            <w:r>
              <w:rPr>
                <w:rFonts w:ascii="Times New Roman" w:hAnsi="Times New Roman" w:cs="Times New Roman"/>
                <w:sz w:val="26"/>
                <w:szCs w:val="26"/>
              </w:rPr>
              <w:t xml:space="preserve">g. </w:t>
            </w:r>
            <w:r>
              <w:rPr>
                <w:rFonts w:ascii="Times New Roman" w:hAnsi="Times New Roman" w:cs="Times New Roman"/>
                <w:sz w:val="26"/>
                <w:szCs w:val="26"/>
                <w:highlight w:val="cyan"/>
              </w:rPr>
              <w:t>Sol khí được lấy mẫu đi vào buồng phát hiện qua lỗ 0,2 mm của đầu dò lấy mẫu</w:t>
            </w:r>
            <w:r>
              <w:rPr>
                <w:rFonts w:ascii="Times New Roman" w:hAnsi="Times New Roman" w:cs="Times New Roman"/>
                <w:sz w:val="26"/>
                <w:szCs w:val="26"/>
              </w:rPr>
              <w:t xml:space="preserve"> (hướng của sol khí được chỉ định bằng mũi tên màu xanh lam trong Hình 1) và được bao quanh bởi dòng khí vỏ bọc (3,5 L/min, các mũi tên màu nâu) ngăn chùm hạt từ phân kỳ. Không khí trong vỏ bọc được tuần hoàn và lọc; do đó, lưu lượng lấy mẫu có thể được xác định chỉ bằng cách đo dòng ra. Chùm tia laze có chiều rộng 0,7 mm được tạo ra bởi tia laze sóng liên tục (Kiểu Verdi V-5, Coinity) ở bước sóng 532 nm và hội tụ tại điểm giao với dòng sol khí bằng cách sử dụng một thấu </w:t>
            </w:r>
            <w:r>
              <w:rPr>
                <w:rFonts w:ascii="Times New Roman" w:hAnsi="Times New Roman" w:cs="Times New Roman"/>
                <w:sz w:val="26"/>
                <w:szCs w:val="26"/>
              </w:rPr>
              <w:lastRenderedPageBreak/>
              <w:t>kính hình trụ. Các hạt đi qua tia laze tán xạ ánh sáng, được phát hiện bởi một ống nhân quang đặt ở góc 90 °.</w:t>
            </w:r>
          </w:p>
          <w:p w:rsidR="00074427" w:rsidRDefault="00074427">
            <w:pPr>
              <w:spacing w:after="0" w:line="240" w:lineRule="auto"/>
              <w:ind w:firstLine="337"/>
              <w:jc w:val="both"/>
              <w:rPr>
                <w:rFonts w:ascii="Times New Roman" w:hAnsi="Times New Roman" w:cs="Times New Roman"/>
                <w:sz w:val="26"/>
                <w:szCs w:val="26"/>
              </w:rPr>
            </w:pPr>
          </w:p>
          <w:p w:rsidR="00074427" w:rsidRDefault="00074427">
            <w:pPr>
              <w:spacing w:after="0" w:line="240" w:lineRule="auto"/>
              <w:ind w:firstLine="337"/>
              <w:jc w:val="both"/>
              <w:rPr>
                <w:rFonts w:ascii="Times New Roman" w:hAnsi="Times New Roman" w:cs="Times New Roman"/>
                <w:sz w:val="26"/>
                <w:szCs w:val="26"/>
              </w:rPr>
            </w:pP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Trước khi các phép đo bắt đầu, chùm tia laze cần được căn chỉnh cẩn thận qua tế bào quang học để đảm bảo rằng chùm tia / tia sol khí thoát ra khỏi vòi phun 0,2 mm đi qua chùm tia laze (chiều rộng 0,7 mm) xấp xỉ ở tâm và do đó, tất cả các hạt sol khí đều phát hiện bằng tán xạ ánh sáng. Cần lưu ý rằng mặc dù có thể có sự phân kỳ phản lực, nhưng chiều rộng của nó vẫn nhỏ hơn nhiều so với chiều rộng của chùm tia laze. Sự liên kết không hoàn hảo của chùm tia laze và tia sol khí dẫn đến sự phân bố cường độ không đối xứng của ánh sáng tán xạ tích hợp theo thời gian, thể hiện phần đuôi về phía cường độ tích hợp thấp (xuất hiện dưới dạng kích thước hạt nhỏ hơn). Điều này xảy ra do sự phân bố cường độ Gauss của chùm tia laze. Do đó, việc căn chỉnh được lặp lại cẩn thận cho đến khi sự phân bố cường độ này trở nên đối xứng.</w:t>
            </w:r>
          </w:p>
        </w:tc>
      </w:tr>
      <w:tr w:rsidR="00074427">
        <w:tc>
          <w:tcPr>
            <w:tcW w:w="5305" w:type="dxa"/>
          </w:tcPr>
          <w:p w:rsidR="00074427" w:rsidRDefault="006919F7">
            <w:pPr>
              <w:spacing w:after="0" w:line="240" w:lineRule="auto"/>
              <w:ind w:firstLine="337"/>
              <w:jc w:val="both"/>
              <w:rPr>
                <w:rFonts w:ascii="Times New Roman" w:hAnsi="Times New Roman" w:cs="Times New Roman"/>
                <w:b/>
                <w:bCs/>
                <w:sz w:val="26"/>
                <w:szCs w:val="26"/>
              </w:rPr>
            </w:pPr>
            <w:r>
              <w:rPr>
                <w:rFonts w:ascii="Times New Roman" w:hAnsi="Times New Roman" w:cs="Times New Roman"/>
                <w:b/>
                <w:bCs/>
                <w:sz w:val="26"/>
                <w:szCs w:val="26"/>
              </w:rPr>
              <w:lastRenderedPageBreak/>
              <w:t>III. EXPERIMENTAL AND NUMERIC TECHNIQUES FOR FLOW INVESTIGATION</w:t>
            </w:r>
          </w:p>
          <w:p w:rsidR="00074427" w:rsidRDefault="006919F7">
            <w:pPr>
              <w:spacing w:after="0" w:line="240" w:lineRule="auto"/>
              <w:ind w:firstLine="337"/>
              <w:jc w:val="both"/>
              <w:rPr>
                <w:rFonts w:ascii="Times New Roman Bold" w:hAnsi="Times New Roman Bold" w:cs="Times New Roman"/>
                <w:b/>
                <w:bCs/>
                <w:spacing w:val="-12"/>
                <w:sz w:val="26"/>
                <w:szCs w:val="26"/>
              </w:rPr>
            </w:pPr>
            <w:r>
              <w:rPr>
                <w:rFonts w:ascii="Times New Roman Bold" w:hAnsi="Times New Roman Bold" w:cs="Times New Roman"/>
                <w:b/>
                <w:bCs/>
                <w:spacing w:val="-12"/>
                <w:sz w:val="26"/>
                <w:szCs w:val="26"/>
              </w:rPr>
              <w:t>A.Laser Doppler velocimetry (LDV) technique</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To characterize the flow profile, a LDV system (Model fp50shift-532 nm, ILA) with a 160 mm lens was used. The principle of this instrument is based on two crossed laser beams, which give rise to a fringe pattern. If a particle crosses this volume (diameter and length of approx. 100 </w:t>
            </w:r>
            <w:r>
              <w:rPr>
                <w:rFonts w:ascii="Times New Roman" w:hAnsi="Times New Roman" w:cs="Times New Roman"/>
                <w:i/>
                <w:iCs/>
                <w:sz w:val="26"/>
                <w:szCs w:val="26"/>
              </w:rPr>
              <w:t>μ</w:t>
            </w:r>
            <w:r>
              <w:rPr>
                <w:rFonts w:ascii="Times New Roman" w:hAnsi="Times New Roman" w:cs="Times New Roman"/>
                <w:sz w:val="26"/>
                <w:szCs w:val="26"/>
              </w:rPr>
              <w:t>m and 0.5 mm, respectively), it scatters light modulated with a frequency due to that pattern and is detected by a photo multiplier. From this frequency, the particle velocity can be derived. According to the manufacturer’s data sheet, the instrument can measure velocities down to 0.01 m/s at an accuracy of 0.3%. For each measurement position, 1000 validated velocity signals were recorded.</w:t>
            </w:r>
          </w:p>
          <w:p w:rsidR="00074427" w:rsidRDefault="00074427">
            <w:pPr>
              <w:spacing w:after="0" w:line="240" w:lineRule="auto"/>
              <w:ind w:firstLine="337"/>
              <w:jc w:val="both"/>
              <w:rPr>
                <w:rFonts w:ascii="Times New Roman" w:hAnsi="Times New Roman" w:cs="Times New Roman"/>
                <w:sz w:val="26"/>
                <w:szCs w:val="26"/>
              </w:rPr>
            </w:pP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The Reynolds (Re) number of the flow, </w:t>
            </w:r>
            <w:r>
              <w:rPr>
                <w:rFonts w:ascii="Times New Roman" w:hAnsi="Times New Roman" w:cs="Times New Roman"/>
                <w:sz w:val="26"/>
                <w:szCs w:val="26"/>
                <w:highlight w:val="yellow"/>
              </w:rPr>
              <w:t>Re=ρuL/μ</w:t>
            </w:r>
            <w:r>
              <w:rPr>
                <w:rFonts w:ascii="Times New Roman" w:hAnsi="Times New Roman" w:cs="Times New Roman"/>
                <w:sz w:val="26"/>
                <w:szCs w:val="26"/>
              </w:rPr>
              <w:t>, where </w:t>
            </w:r>
            <w:r>
              <w:rPr>
                <w:rFonts w:ascii="Times New Roman" w:hAnsi="Times New Roman" w:cs="Times New Roman"/>
                <w:i/>
                <w:iCs/>
                <w:sz w:val="26"/>
                <w:szCs w:val="26"/>
              </w:rPr>
              <w:t>ρ</w:t>
            </w:r>
            <w:r>
              <w:rPr>
                <w:rFonts w:ascii="Times New Roman" w:hAnsi="Times New Roman" w:cs="Times New Roman"/>
                <w:sz w:val="26"/>
                <w:szCs w:val="26"/>
              </w:rPr>
              <w:t> and </w:t>
            </w:r>
            <w:r>
              <w:rPr>
                <w:rFonts w:ascii="Times New Roman" w:hAnsi="Times New Roman" w:cs="Times New Roman"/>
                <w:i/>
                <w:iCs/>
                <w:sz w:val="26"/>
                <w:szCs w:val="26"/>
              </w:rPr>
              <w:t>u</w:t>
            </w:r>
            <w:r>
              <w:rPr>
                <w:rFonts w:ascii="Times New Roman" w:hAnsi="Times New Roman" w:cs="Times New Roman"/>
                <w:sz w:val="26"/>
                <w:szCs w:val="26"/>
              </w:rPr>
              <w:t xml:space="preserve"> designate the </w:t>
            </w:r>
            <w:r>
              <w:rPr>
                <w:rFonts w:ascii="Times New Roman" w:hAnsi="Times New Roman" w:cs="Times New Roman"/>
                <w:sz w:val="26"/>
                <w:szCs w:val="26"/>
              </w:rPr>
              <w:lastRenderedPageBreak/>
              <w:t>density and velocity of the fluid, respectively, </w:t>
            </w:r>
            <w:r>
              <w:rPr>
                <w:rFonts w:ascii="Times New Roman" w:hAnsi="Times New Roman" w:cs="Times New Roman"/>
                <w:i/>
                <w:iCs/>
                <w:sz w:val="26"/>
                <w:szCs w:val="26"/>
              </w:rPr>
              <w:t>L</w:t>
            </w:r>
            <w:r>
              <w:rPr>
                <w:rFonts w:ascii="Times New Roman" w:hAnsi="Times New Roman" w:cs="Times New Roman"/>
                <w:sz w:val="26"/>
                <w:szCs w:val="26"/>
              </w:rPr>
              <w:t> is the diameter of the flow tube, and </w:t>
            </w:r>
            <w:r>
              <w:rPr>
                <w:rFonts w:ascii="Times New Roman" w:hAnsi="Times New Roman" w:cs="Times New Roman"/>
                <w:i/>
                <w:iCs/>
                <w:sz w:val="26"/>
                <w:szCs w:val="26"/>
              </w:rPr>
              <w:t>μ</w:t>
            </w:r>
            <w:r>
              <w:rPr>
                <w:rFonts w:ascii="Times New Roman" w:hAnsi="Times New Roman" w:cs="Times New Roman"/>
                <w:sz w:val="26"/>
                <w:szCs w:val="26"/>
              </w:rPr>
              <w:t> is the dynamic viscosity, is calculated to be 1800 assuming a plug flow profile. DEHS (di-ethyl-hexyl-sebacate) fog was injected (10 l/min) through a 10 mm inner diameter pipe at the position where the PSL particles are usually injected. This standard procedure created a sufficient amount of seed particles to achieve data rates of 10–100 Hz, with the lower value occurring toward the wall. For this purpose, the openings marked as A, B, and C in </w:t>
            </w:r>
            <w:hyperlink r:id="rId22" w:tooltip="Open Figure Viewer" w:history="1">
              <w:r>
                <w:rPr>
                  <w:rStyle w:val="Hyperlink"/>
                  <w:rFonts w:ascii="Times New Roman" w:hAnsi="Times New Roman" w:cs="Times New Roman"/>
                  <w:sz w:val="26"/>
                  <w:szCs w:val="26"/>
                </w:rPr>
                <w:t>Fig. 1</w:t>
              </w:r>
            </w:hyperlink>
            <w:r>
              <w:rPr>
                <w:rFonts w:ascii="Times New Roman" w:hAnsi="Times New Roman" w:cs="Times New Roman"/>
                <w:sz w:val="26"/>
                <w:szCs w:val="26"/>
              </w:rPr>
              <w:t> were used and covered by a 22 cm</w:t>
            </w:r>
            <w:r>
              <w:rPr>
                <w:rFonts w:ascii="Times New Roman" w:hAnsi="Times New Roman" w:cs="Times New Roman"/>
                <w:sz w:val="26"/>
                <w:szCs w:val="26"/>
                <w:vertAlign w:val="superscript"/>
              </w:rPr>
              <w:t>2</w:t>
            </w:r>
            <w:r>
              <w:rPr>
                <w:rFonts w:ascii="Times New Roman" w:hAnsi="Times New Roman" w:cs="Times New Roman"/>
                <w:sz w:val="26"/>
                <w:szCs w:val="26"/>
              </w:rPr>
              <w:t> glass window. Since the distance of the two laser beams was 45 mm when exiting the lens, it did not allow us to measure a full cross-stream profile in the flow tube.</w:t>
            </w:r>
          </w:p>
        </w:tc>
        <w:tc>
          <w:tcPr>
            <w:tcW w:w="5400" w:type="dxa"/>
          </w:tcPr>
          <w:p w:rsidR="00074427" w:rsidRDefault="006919F7">
            <w:pPr>
              <w:spacing w:after="0" w:line="240" w:lineRule="auto"/>
              <w:ind w:firstLine="337"/>
              <w:jc w:val="both"/>
              <w:rPr>
                <w:rFonts w:ascii="Times New Roman" w:hAnsi="Times New Roman" w:cs="Times New Roman"/>
                <w:b/>
                <w:iCs/>
                <w:sz w:val="26"/>
                <w:szCs w:val="26"/>
              </w:rPr>
            </w:pPr>
            <w:r>
              <w:rPr>
                <w:rFonts w:ascii="Times New Roman" w:hAnsi="Times New Roman" w:cs="Times New Roman"/>
                <w:b/>
                <w:iCs/>
                <w:sz w:val="26"/>
                <w:szCs w:val="26"/>
              </w:rPr>
              <w:lastRenderedPageBreak/>
              <w:t>III. KỸ THUẬT THỰC NGHIỆM VÀ KỸ THUẬT SỐ ĐỂ KHẢO</w:t>
            </w:r>
            <w:r>
              <w:rPr>
                <w:rFonts w:ascii="Times New Roman" w:hAnsi="Times New Roman" w:cs="Times New Roman"/>
                <w:b/>
                <w:iCs/>
                <w:sz w:val="26"/>
                <w:szCs w:val="26"/>
                <w:lang w:val="vi-VN"/>
              </w:rPr>
              <w:t xml:space="preserve"> SÁT </w:t>
            </w:r>
            <w:r>
              <w:rPr>
                <w:rFonts w:ascii="Times New Roman" w:hAnsi="Times New Roman" w:cs="Times New Roman"/>
                <w:b/>
                <w:iCs/>
                <w:sz w:val="26"/>
                <w:szCs w:val="26"/>
              </w:rPr>
              <w:t>LƯU LƯỢNG</w:t>
            </w:r>
          </w:p>
          <w:p w:rsidR="00074427" w:rsidRDefault="00074427">
            <w:pPr>
              <w:spacing w:after="0" w:line="240" w:lineRule="auto"/>
              <w:ind w:firstLine="337"/>
              <w:jc w:val="both"/>
              <w:rPr>
                <w:rFonts w:ascii="Times New Roman" w:hAnsi="Times New Roman" w:cs="Times New Roman"/>
                <w:b/>
                <w:sz w:val="26"/>
                <w:szCs w:val="26"/>
              </w:rPr>
            </w:pPr>
          </w:p>
          <w:p w:rsidR="00074427" w:rsidRDefault="006919F7">
            <w:pPr>
              <w:spacing w:after="0" w:line="240" w:lineRule="auto"/>
              <w:ind w:firstLine="337"/>
              <w:jc w:val="both"/>
              <w:rPr>
                <w:rFonts w:ascii="Times New Roman" w:hAnsi="Times New Roman" w:cs="Times New Roman"/>
                <w:b/>
                <w:sz w:val="26"/>
                <w:szCs w:val="26"/>
              </w:rPr>
            </w:pPr>
            <w:r>
              <w:rPr>
                <w:rFonts w:ascii="Times New Roman" w:hAnsi="Times New Roman" w:cs="Times New Roman"/>
                <w:b/>
                <w:sz w:val="26"/>
                <w:szCs w:val="26"/>
              </w:rPr>
              <w:t>A. Kỹ thuật đo vận tốc Doppler Laser (LDV)</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 xml:space="preserve">Để mô tả cấu hình dòng chảy, hệ thống LDV (Model fp50shift-532 nm, ILA) với thấu kính 160 mm đã được sử dụng. </w:t>
            </w:r>
            <w:r>
              <w:rPr>
                <w:rFonts w:ascii="Times New Roman" w:hAnsi="Times New Roman" w:cs="Times New Roman"/>
                <w:b/>
                <w:i/>
                <w:sz w:val="26"/>
                <w:szCs w:val="26"/>
              </w:rPr>
              <w:t>Nguyên tắc của thiết bị này dựa trên hai chùm tia laze bắt chéo nhau, tạo ra một mô hình rìa.</w:t>
            </w:r>
            <w:r>
              <w:rPr>
                <w:rFonts w:ascii="Times New Roman" w:hAnsi="Times New Roman" w:cs="Times New Roman"/>
                <w:sz w:val="26"/>
                <w:szCs w:val="26"/>
              </w:rPr>
              <w:t xml:space="preserve"> </w:t>
            </w:r>
            <w:r>
              <w:rPr>
                <w:rFonts w:ascii="Times New Roman" w:hAnsi="Times New Roman" w:cs="Times New Roman"/>
                <w:b/>
                <w:i/>
                <w:sz w:val="26"/>
                <w:szCs w:val="26"/>
              </w:rPr>
              <w:t>Nếu một hạt vượt qua thể tích này (đường kính và chiều dài tương ứng là khoảng 100 μm và 0,5 mm), thì nó sẽ tán xạ ánh sáng được điều chế với tần số do mẫu đó và được phát hiện bởi một bộ nhân quang.</w:t>
            </w:r>
            <w:r>
              <w:rPr>
                <w:rFonts w:ascii="Times New Roman" w:hAnsi="Times New Roman" w:cs="Times New Roman"/>
                <w:b/>
                <w:sz w:val="26"/>
                <w:szCs w:val="26"/>
              </w:rPr>
              <w:t xml:space="preserve"> Từ tần số này, vận tốc của hạt có thể được suy ra.</w:t>
            </w:r>
            <w:r>
              <w:rPr>
                <w:rFonts w:ascii="Times New Roman" w:hAnsi="Times New Roman" w:cs="Times New Roman"/>
                <w:sz w:val="26"/>
                <w:szCs w:val="26"/>
              </w:rPr>
              <w:t xml:space="preserve"> Theo bảng dữ liệu của nhà sản xuất, thiết bị này có thể đo vận tốc xuống tới 0,01 m/s với độ chính xác 0,3%. Đối với mỗi vị trí đo, 1000 tín hiệu vận tốc đã được xác nhận đã được ghi lại.</w:t>
            </w:r>
          </w:p>
          <w:p w:rsidR="00074427" w:rsidRDefault="00074427">
            <w:pPr>
              <w:spacing w:after="0" w:line="240" w:lineRule="auto"/>
              <w:ind w:firstLine="337"/>
              <w:jc w:val="both"/>
              <w:rPr>
                <w:rFonts w:ascii="Times New Roman" w:hAnsi="Times New Roman" w:cs="Times New Roman"/>
                <w:sz w:val="26"/>
                <w:szCs w:val="26"/>
              </w:rPr>
            </w:pP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highlight w:val="yellow"/>
              </w:rPr>
              <w:t>Trong </w:t>
            </w:r>
            <w:hyperlink r:id="rId23" w:tooltip="Cơ học chất lưu" w:history="1">
              <w:r>
                <w:rPr>
                  <w:rStyle w:val="Hyperlink"/>
                  <w:rFonts w:ascii="Times New Roman" w:hAnsi="Times New Roman" w:cs="Times New Roman"/>
                  <w:sz w:val="26"/>
                  <w:szCs w:val="26"/>
                  <w:highlight w:val="yellow"/>
                </w:rPr>
                <w:t>cơ học chất lưu</w:t>
              </w:r>
            </w:hyperlink>
            <w:r>
              <w:rPr>
                <w:rFonts w:ascii="Times New Roman" w:hAnsi="Times New Roman" w:cs="Times New Roman"/>
                <w:sz w:val="26"/>
                <w:szCs w:val="26"/>
                <w:highlight w:val="yellow"/>
              </w:rPr>
              <w:t>, </w:t>
            </w:r>
            <w:r>
              <w:rPr>
                <w:rFonts w:ascii="Times New Roman" w:hAnsi="Times New Roman" w:cs="Times New Roman"/>
                <w:b/>
                <w:bCs/>
                <w:sz w:val="26"/>
                <w:szCs w:val="26"/>
                <w:highlight w:val="yellow"/>
              </w:rPr>
              <w:t>số Reynolds</w:t>
            </w:r>
            <w:r>
              <w:rPr>
                <w:rFonts w:ascii="Times New Roman" w:hAnsi="Times New Roman" w:cs="Times New Roman"/>
                <w:sz w:val="26"/>
                <w:szCs w:val="26"/>
                <w:highlight w:val="yellow"/>
              </w:rPr>
              <w:t xml:space="preserve"> là một giá trị không thứ nguyên biểu thị độ lớn tương đối </w:t>
            </w:r>
            <w:r>
              <w:rPr>
                <w:rFonts w:ascii="Times New Roman" w:hAnsi="Times New Roman" w:cs="Times New Roman"/>
                <w:sz w:val="26"/>
                <w:szCs w:val="26"/>
                <w:highlight w:val="yellow"/>
              </w:rPr>
              <w:lastRenderedPageBreak/>
              <w:t>giữa ảnh hưởng gây bởi lực </w:t>
            </w:r>
            <w:hyperlink r:id="rId24" w:tooltip="Quán tính" w:history="1">
              <w:r>
                <w:rPr>
                  <w:rStyle w:val="Hyperlink"/>
                  <w:rFonts w:ascii="Times New Roman" w:hAnsi="Times New Roman" w:cs="Times New Roman"/>
                  <w:sz w:val="26"/>
                  <w:szCs w:val="26"/>
                  <w:highlight w:val="yellow"/>
                </w:rPr>
                <w:t>quán tính</w:t>
              </w:r>
            </w:hyperlink>
            <w:r>
              <w:rPr>
                <w:rFonts w:ascii="Times New Roman" w:hAnsi="Times New Roman" w:cs="Times New Roman"/>
                <w:sz w:val="26"/>
                <w:szCs w:val="26"/>
                <w:highlight w:val="yellow"/>
              </w:rPr>
              <w:t> và lực ma sát trong (</w:t>
            </w:r>
            <w:hyperlink r:id="rId25" w:tooltip="Độ nhớt" w:history="1">
              <w:r>
                <w:rPr>
                  <w:rStyle w:val="Hyperlink"/>
                  <w:rFonts w:ascii="Times New Roman" w:hAnsi="Times New Roman" w:cs="Times New Roman"/>
                  <w:sz w:val="26"/>
                  <w:szCs w:val="26"/>
                  <w:highlight w:val="yellow"/>
                </w:rPr>
                <w:t>tính nhớt</w:t>
              </w:r>
            </w:hyperlink>
            <w:r>
              <w:rPr>
                <w:rFonts w:ascii="Times New Roman" w:hAnsi="Times New Roman" w:cs="Times New Roman"/>
                <w:sz w:val="26"/>
                <w:szCs w:val="26"/>
                <w:highlight w:val="yellow"/>
              </w:rPr>
              <w:t>) lên </w:t>
            </w:r>
            <w:hyperlink r:id="rId26" w:tooltip="Dòng chảy" w:history="1">
              <w:r>
                <w:rPr>
                  <w:rStyle w:val="Hyperlink"/>
                  <w:rFonts w:ascii="Times New Roman" w:hAnsi="Times New Roman" w:cs="Times New Roman"/>
                  <w:sz w:val="26"/>
                  <w:szCs w:val="26"/>
                  <w:highlight w:val="yellow"/>
                </w:rPr>
                <w:t>dòng chảy</w:t>
              </w:r>
            </w:hyperlink>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highlight w:val="yellow"/>
              </w:rPr>
              <w:t>Số Reynolds (Re) của dòng chảy, Re = ρuL/μ, trong đó ρ và u tương ứng là mật độ và vận tốc của chất lỏng, L là đường kính của ống dòng và μ là độ nhớt động lực, được tính bằng 1800 giả sử một hồ sơ luồng cắm</w:t>
            </w:r>
            <w:r>
              <w:rPr>
                <w:rFonts w:ascii="Times New Roman" w:hAnsi="Times New Roman" w:cs="Times New Roman"/>
                <w:sz w:val="26"/>
                <w:szCs w:val="26"/>
              </w:rPr>
              <w:t xml:space="preserve">. Sương mù DEHS (di-ethyl-hexyl-sebacate) được bơm (10 L/min) qua một đường ống có đường kính trong 10 mm tại vị trí mà các hạt PSL thường được đưa vào. Quy trình tiêu chuẩn này tạo ra một lượng hạt giống đủ để đạt được tốc độ dữ liệu 10–100 Hz, với giá trị thấp hơn xảy ra đối với tường. Với mục đích này, các lỗ được đánh dấu là A, B và C trong Hình </w:t>
            </w:r>
            <w:r>
              <w:rPr>
                <w:rFonts w:ascii="Times New Roman" w:hAnsi="Times New Roman" w:cs="Times New Roman"/>
                <w:sz w:val="26"/>
                <w:szCs w:val="26"/>
                <w:highlight w:val="yellow"/>
              </w:rPr>
              <w:t>1 đã được sử dụng và che bởi một cửa sổ kính 22 cm</w:t>
            </w:r>
            <w:r>
              <w:rPr>
                <w:rFonts w:ascii="Times New Roman" w:hAnsi="Times New Roman" w:cs="Times New Roman"/>
                <w:sz w:val="26"/>
                <w:szCs w:val="26"/>
                <w:highlight w:val="yellow"/>
                <w:vertAlign w:val="superscript"/>
              </w:rPr>
              <w:t>2</w:t>
            </w:r>
            <w:r>
              <w:rPr>
                <w:rFonts w:ascii="Times New Roman" w:hAnsi="Times New Roman" w:cs="Times New Roman"/>
                <w:sz w:val="26"/>
                <w:szCs w:val="26"/>
                <w:highlight w:val="yellow"/>
              </w:rPr>
              <w:t>.</w:t>
            </w:r>
            <w:r>
              <w:rPr>
                <w:rFonts w:ascii="Times New Roman" w:hAnsi="Times New Roman" w:cs="Times New Roman"/>
                <w:sz w:val="26"/>
                <w:szCs w:val="26"/>
              </w:rPr>
              <w:t xml:space="preserve"> Vì khoảng cách của hai chùm tia laze là 45 mm khi thoát ra khỏi ống kính, nên nó không cho phép chúng tôi đo toàn bộ biên dạng dòng chéo trong ống dòng.</w:t>
            </w:r>
          </w:p>
        </w:tc>
      </w:tr>
      <w:tr w:rsidR="00074427">
        <w:tc>
          <w:tcPr>
            <w:tcW w:w="5305" w:type="dxa"/>
          </w:tcPr>
          <w:p w:rsidR="00074427" w:rsidRDefault="006919F7">
            <w:pPr>
              <w:spacing w:after="0" w:line="240" w:lineRule="auto"/>
              <w:ind w:firstLine="337"/>
              <w:jc w:val="both"/>
              <w:rPr>
                <w:rFonts w:ascii="Times New Roman" w:hAnsi="Times New Roman" w:cs="Times New Roman"/>
                <w:b/>
                <w:bCs/>
                <w:sz w:val="26"/>
                <w:szCs w:val="26"/>
              </w:rPr>
            </w:pPr>
            <w:r>
              <w:rPr>
                <w:rFonts w:ascii="Times New Roman" w:hAnsi="Times New Roman" w:cs="Times New Roman"/>
                <w:b/>
                <w:bCs/>
                <w:sz w:val="26"/>
                <w:szCs w:val="26"/>
              </w:rPr>
              <w:lastRenderedPageBreak/>
              <w:t>B. Computational fluid dynamics (CFD) simulations</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sz w:val="26"/>
                <w:szCs w:val="26"/>
              </w:rPr>
              <w:t>CFD calculations were performed using the COMSOL Multiphysics package. Different mesh types were tested. COMSOL automatically generates grids consisting of tetrahedrons, which can be refined iteratively based on the calculated solution. Due to the long flow tube used in the current geometry, however, the automatic grid generation led to an unnecessarily high number of computational cells. After the initial mixing of the jets, the gradients in the streamwise direction are very small. Therefore, a swept hexahedral grid was used, instead, starting from 0.3 m downstream of the sol khí injection position, as shown in </w:t>
            </w:r>
            <w:hyperlink r:id="rId27" w:tooltip="Open Figure Viewer" w:history="1">
              <w:r>
                <w:rPr>
                  <w:rStyle w:val="Hyperlink"/>
                  <w:rFonts w:ascii="Times New Roman" w:hAnsi="Times New Roman" w:cs="Times New Roman"/>
                  <w:sz w:val="26"/>
                  <w:szCs w:val="26"/>
                </w:rPr>
                <w:t>Fig. 2(a)</w:t>
              </w:r>
            </w:hyperlink>
            <w:r>
              <w:rPr>
                <w:rFonts w:ascii="Times New Roman" w:hAnsi="Times New Roman" w:cs="Times New Roman"/>
                <w:sz w:val="26"/>
                <w:szCs w:val="26"/>
              </w:rPr>
              <w:t>.</w:t>
            </w:r>
          </w:p>
          <w:p w:rsidR="00074427" w:rsidRDefault="00074427">
            <w:pPr>
              <w:spacing w:after="0" w:line="240" w:lineRule="auto"/>
              <w:ind w:firstLine="337"/>
              <w:jc w:val="both"/>
              <w:rPr>
                <w:rFonts w:ascii="Times New Roman" w:hAnsi="Times New Roman" w:cs="Times New Roman"/>
                <w:sz w:val="26"/>
                <w:szCs w:val="26"/>
              </w:rPr>
            </w:pPr>
          </w:p>
        </w:tc>
        <w:tc>
          <w:tcPr>
            <w:tcW w:w="5400" w:type="dxa"/>
          </w:tcPr>
          <w:p w:rsidR="00074427" w:rsidRDefault="006919F7">
            <w:pPr>
              <w:spacing w:after="0" w:line="240" w:lineRule="auto"/>
              <w:ind w:firstLine="337"/>
              <w:jc w:val="both"/>
              <w:rPr>
                <w:rFonts w:ascii="Times New Roman" w:hAnsi="Times New Roman" w:cs="Times New Roman"/>
                <w:b/>
                <w:sz w:val="26"/>
                <w:szCs w:val="26"/>
              </w:rPr>
            </w:pPr>
            <w:r>
              <w:rPr>
                <w:rFonts w:ascii="Times New Roman" w:hAnsi="Times New Roman" w:cs="Times New Roman"/>
                <w:b/>
                <w:sz w:val="26"/>
                <w:szCs w:val="26"/>
              </w:rPr>
              <w:t>B. Mô phỏng động lực học chất lỏng tính toán (CFD)</w:t>
            </w:r>
          </w:p>
          <w:p w:rsidR="00074427" w:rsidRDefault="006919F7">
            <w:pPr>
              <w:spacing w:after="0" w:line="240" w:lineRule="auto"/>
              <w:ind w:firstLine="337"/>
              <w:jc w:val="both"/>
              <w:rPr>
                <w:rFonts w:ascii="Times New Roman" w:hAnsi="Times New Roman" w:cs="Times New Roman"/>
                <w:sz w:val="26"/>
                <w:szCs w:val="26"/>
              </w:rPr>
            </w:pPr>
            <w:r>
              <w:rPr>
                <w:rFonts w:ascii="Times New Roman" w:hAnsi="Times New Roman" w:cs="Times New Roman"/>
                <w:b/>
                <w:i/>
                <w:sz w:val="26"/>
                <w:szCs w:val="26"/>
              </w:rPr>
              <w:t>Tính toán CFD được thực hiện bằng cách sử dụng gói COMSOL Multiphysics</w:t>
            </w:r>
            <w:r>
              <w:rPr>
                <w:rFonts w:ascii="Times New Roman" w:hAnsi="Times New Roman" w:cs="Times New Roman"/>
                <w:sz w:val="26"/>
                <w:szCs w:val="26"/>
              </w:rPr>
              <w:t xml:space="preserve">. Các loại lưới khác nhau đã được thử nghiệm. </w:t>
            </w:r>
            <w:r>
              <w:rPr>
                <w:rFonts w:ascii="Times New Roman" w:hAnsi="Times New Roman" w:cs="Times New Roman"/>
                <w:b/>
                <w:i/>
                <w:sz w:val="26"/>
                <w:szCs w:val="26"/>
              </w:rPr>
              <w:t>COMSOL tự động tạo lưới bao gồm các tứ diện, có thể được tinh chỉnh lặp đi lặp lại dựa trên giải pháp đã tính toán.</w:t>
            </w:r>
            <w:r>
              <w:rPr>
                <w:rFonts w:ascii="Times New Roman" w:hAnsi="Times New Roman" w:cs="Times New Roman"/>
                <w:sz w:val="26"/>
                <w:szCs w:val="26"/>
              </w:rPr>
              <w:t xml:space="preserve"> Tuy nhiên, do ống dòng dài được sử dụng trong hình học hiện tại, việc tạo lưới tự động dẫn đến số lượng ô tính toán cao một cách không cần thiết. Sau lần trộn ban đầu của các tia phản lực, các gradient theo hướng dòng chảy là rất nhỏ. Do đó, </w:t>
            </w:r>
            <w:r>
              <w:rPr>
                <w:rFonts w:ascii="Times New Roman" w:hAnsi="Times New Roman" w:cs="Times New Roman"/>
                <w:b/>
                <w:i/>
                <w:sz w:val="26"/>
                <w:szCs w:val="26"/>
              </w:rPr>
              <w:t>một lưới lục diện quét được sử dụng, thay vào đó, bắt đầu từ 0,3 m về phía hạ lưu của vị trí phun sol khí, như thể hiện trong Hình 2</w:t>
            </w:r>
            <w:r>
              <w:rPr>
                <w:rFonts w:ascii="Times New Roman" w:hAnsi="Times New Roman" w:cs="Times New Roman"/>
                <w:sz w:val="26"/>
                <w:szCs w:val="26"/>
              </w:rPr>
              <w:t xml:space="preserve"> (a).</w:t>
            </w:r>
          </w:p>
        </w:tc>
      </w:tr>
      <w:tr w:rsidR="00074427">
        <w:tc>
          <w:tcPr>
            <w:tcW w:w="5305" w:type="dxa"/>
          </w:tcPr>
          <w:p w:rsidR="00074427" w:rsidRDefault="006919F7">
            <w:pPr>
              <w:spacing w:after="0" w:line="24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2051050" cy="2581910"/>
                  <wp:effectExtent l="0" t="0" r="6350" b="8890"/>
                  <wp:docPr id="3" name="Picture 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Figur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062245" cy="2596522"/>
                          </a:xfrm>
                          <a:prstGeom prst="rect">
                            <a:avLst/>
                          </a:prstGeom>
                          <a:noFill/>
                          <a:ln>
                            <a:noFill/>
                          </a:ln>
                        </pic:spPr>
                      </pic:pic>
                    </a:graphicData>
                  </a:graphic>
                </wp:inline>
              </w:drawing>
            </w:r>
          </w:p>
        </w:tc>
        <w:tc>
          <w:tcPr>
            <w:tcW w:w="5400" w:type="dxa"/>
          </w:tcPr>
          <w:p w:rsidR="00074427" w:rsidRDefault="006919F7">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Hình. 2. </w:t>
            </w:r>
          </w:p>
          <w:p w:rsidR="00074427" w:rsidRDefault="006919F7">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(a) Lưới cho mô phỏng số và (b) kết quả sắp xếp hợp lý. </w:t>
            </w:r>
          </w:p>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Trong (a), đường kính ống tăng 10 mm ngay sau khi điểm phun sol khí có thể nhìn thấy. Điều này là do sự kết hợp của hai ống thép thẳng đứng tiêu chuẩn hơi khác nhau (DIN EN 10357 và EN ISO 1127) và có ảnh hưởng không đáng kể đến cấu hình dòng chảy.</w:t>
            </w:r>
          </w:p>
        </w:tc>
      </w:tr>
      <w:tr w:rsidR="00074427">
        <w:tc>
          <w:tcPr>
            <w:tcW w:w="5305" w:type="dxa"/>
          </w:tcPr>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Reynolds-averaged modeling of the Navier-Stokes equations was used. This method separates the velocity in a mean and fluctuating part [the latter is characterized by the root mean square (rms)]. The vector velocity, inserted in the Navier-Stokes equations, leads to higher-order correlations between velocity components, which need to be modeled. To this end, two k-epsilon models were tested: (i) the standard formulation including wall functions so that it is not necessary to resolve the flow with a fine grid close to the walls and (ii) a low-Reynolds number formulation, which resolves the boundary layer flow at the wall (for details, see Ref. </w:t>
            </w:r>
            <w:hyperlink r:id="rId29" w:history="1">
              <w:r>
                <w:rPr>
                  <w:rStyle w:val="Hyperlink"/>
                  <w:rFonts w:ascii="Times New Roman" w:hAnsi="Times New Roman" w:cs="Times New Roman"/>
                  <w:sz w:val="26"/>
                  <w:szCs w:val="26"/>
                </w:rPr>
                <w:t>26</w:t>
              </w:r>
            </w:hyperlink>
            <w:r>
              <w:rPr>
                <w:rFonts w:ascii="Times New Roman" w:hAnsi="Times New Roman" w:cs="Times New Roman"/>
                <w:sz w:val="26"/>
                <w:szCs w:val="26"/>
              </w:rPr>
              <w:t>). In the wall region, the model also used adjustments of the k- and epsilon-model equations to capture viscosity effects which become important close to the wall.</w:t>
            </w: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 xml:space="preserve">Initial tests with the standard k-epsilon model, including wall functions to describe the flow close to the wall, failed to reproduce the flow in the flow tube section. Instead, the low-Reynolds number k-epsilon turbulence model with a resolved (mesh-refined) boundary layer was used, which was capable of calculating the developing turbulent flow structure satisfactorily. However, in the jets/mixing region, this model requires a very detailed mesh, which was not compatible with the available computational resources. A rather coarse mesh was used in the jet region, which led to an overestimation of </w:t>
            </w:r>
            <w:r>
              <w:rPr>
                <w:rFonts w:ascii="Times New Roman" w:hAnsi="Times New Roman" w:cs="Times New Roman"/>
                <w:sz w:val="26"/>
                <w:szCs w:val="26"/>
              </w:rPr>
              <w:lastRenderedPageBreak/>
              <w:t>velocity gradients and turbulent kinetic energy as discussed in Subsections </w:t>
            </w:r>
            <w:hyperlink r:id="rId30" w:anchor="s4A" w:history="1">
              <w:r>
                <w:rPr>
                  <w:rStyle w:val="Hyperlink"/>
                  <w:rFonts w:ascii="Times New Roman" w:hAnsi="Times New Roman" w:cs="Times New Roman"/>
                  <w:sz w:val="26"/>
                  <w:szCs w:val="26"/>
                </w:rPr>
                <w:t>IV A</w:t>
              </w:r>
            </w:hyperlink>
            <w:r>
              <w:rPr>
                <w:rFonts w:ascii="Times New Roman" w:hAnsi="Times New Roman" w:cs="Times New Roman"/>
                <w:sz w:val="26"/>
                <w:szCs w:val="26"/>
              </w:rPr>
              <w:t> and </w:t>
            </w:r>
            <w:hyperlink r:id="rId31" w:anchor="s4B" w:history="1">
              <w:r>
                <w:rPr>
                  <w:rStyle w:val="Hyperlink"/>
                  <w:rFonts w:ascii="Times New Roman" w:hAnsi="Times New Roman" w:cs="Times New Roman"/>
                  <w:sz w:val="26"/>
                  <w:szCs w:val="26"/>
                </w:rPr>
                <w:t>IV B</w:t>
              </w:r>
            </w:hyperlink>
            <w:r>
              <w:rPr>
                <w:rFonts w:ascii="Times New Roman" w:hAnsi="Times New Roman" w:cs="Times New Roman"/>
                <w:sz w:val="26"/>
                <w:szCs w:val="26"/>
              </w:rPr>
              <w:t>.</w:t>
            </w: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The particles were modeled as a passive transported species with a diffusion coefficient according to their size. Lagrangian particle tracing was also tested but abandoned because of the high computational time arising from the small particle relaxation times and, hence, small computational time steps.</w:t>
            </w:r>
          </w:p>
        </w:tc>
        <w:tc>
          <w:tcPr>
            <w:tcW w:w="5400" w:type="dxa"/>
          </w:tcPr>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lastRenderedPageBreak/>
              <w:t xml:space="preserve">Mô hình trung bình Reynolds của các phương trình Navier-Stokes đã được sử dụng. </w:t>
            </w:r>
            <w:r>
              <w:rPr>
                <w:rFonts w:ascii="Times New Roman" w:hAnsi="Times New Roman" w:cs="Times New Roman"/>
                <w:b/>
                <w:i/>
                <w:sz w:val="26"/>
                <w:szCs w:val="26"/>
              </w:rPr>
              <w:t xml:space="preserve">Phương pháp này phân tách vận tốc trong phần trung bình và phần dao động </w:t>
            </w:r>
            <w:r>
              <w:rPr>
                <w:rFonts w:ascii="Times New Roman" w:hAnsi="Times New Roman" w:cs="Times New Roman"/>
                <w:sz w:val="26"/>
                <w:szCs w:val="26"/>
              </w:rPr>
              <w:t>[phần sau được đặc trưng bởi bình phương trung bình căn (rms)]. Vận tốc vectơ, được chèn trong phương trình Navier-Stokes, dẫn đến các mối tương quan bậc cao giữa các thành phần vận tốc, cần được mô hình hóa.</w:t>
            </w:r>
            <w:r>
              <w:rPr>
                <w:rFonts w:ascii="Times New Roman" w:hAnsi="Times New Roman" w:cs="Times New Roman"/>
                <w:sz w:val="26"/>
                <w:szCs w:val="26"/>
                <w:highlight w:val="yellow"/>
              </w:rPr>
              <w:t xml:space="preserve"> Để đạt được mục đích này, hai mô hình k-epsilon đã được thử nghiệm: (i) công thức tiêu chuẩn bao gồm các chức năng của tường để không cần thiết phải phân giải dòng chảy bằng lưới mịn gần với các bức tường và (ii) công thức số Reynolds thấp, giải quyết dòng chảy của lớp ranh giới tại tường (để biết chi tiết, xem Tham khảo 26)</w:t>
            </w:r>
            <w:r>
              <w:rPr>
                <w:rFonts w:ascii="Times New Roman" w:hAnsi="Times New Roman" w:cs="Times New Roman"/>
                <w:sz w:val="26"/>
                <w:szCs w:val="26"/>
              </w:rPr>
              <w:t>. Trong vùng tường, mô hình cũng sử dụng các điều chỉnh của phương trình k- và epsilon-mô hình để nắm bắt các hiệu ứng độ nhớt trở nên quan trọng ở gần thành.</w:t>
            </w: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Các thử nghiệm ban đầu với mô hình k-epsilon tiêu chuẩn, bao gồm các chức năng tường để mô tả dòng chảy sát vách, không tái tạo được dòng chảy trong phần ống dòng chảy. Thay vào đó, mô hình nhiễu loạn k-epsilon số Reynolds thấp với lớp ranh giới được phân giải (lưới tinh chế) đã được sử dụng, có khả năng tính toán thỏa đáng cấu trúc dòng chảy rối đang phát triển. Tuy nhiên, trong vùng phản lực / vùng trộn, mô hình này yêu cầu một lưới rất chi tiết, không tương thích với các tài nguyên tính toán có sẵn. Một lưới khá thô đã được sử dụng trong vùng phản lực, dẫn đến việc đánh giá quá cao độ dốc vận tốc và động năng hỗn loạn như đã thảo luận trong Phần IV A và IV B.</w:t>
            </w:r>
          </w:p>
          <w:p w:rsidR="00074427" w:rsidRDefault="00074427">
            <w:pPr>
              <w:spacing w:after="0" w:line="240" w:lineRule="auto"/>
              <w:ind w:firstLine="427"/>
              <w:jc w:val="both"/>
              <w:rPr>
                <w:rFonts w:ascii="Times New Roman" w:hAnsi="Times New Roman" w:cs="Times New Roman"/>
                <w:sz w:val="26"/>
                <w:szCs w:val="26"/>
              </w:rPr>
            </w:pP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Các hạt được mô hình hóa như một loài vận chuyển thụ động với hệ số khuếch tán tùy theo kích thước của chúng. Việc truy tìm hạt Lagrangian cũng đã được thử nghiệm nhưng bị bỏ dở vì thời gian tính toán cao phát sinh từ thời gian thư giãn của hạt nhỏ và do đó, các bước thời gian tính toán nhỏ.</w:t>
            </w:r>
          </w:p>
        </w:tc>
      </w:tr>
      <w:tr w:rsidR="00074427">
        <w:trPr>
          <w:trHeight w:val="10863"/>
        </w:trPr>
        <w:tc>
          <w:tcPr>
            <w:tcW w:w="5305" w:type="dxa"/>
          </w:tcPr>
          <w:p w:rsidR="00074427" w:rsidRDefault="006919F7">
            <w:pPr>
              <w:spacing w:after="0" w:line="240" w:lineRule="auto"/>
              <w:ind w:firstLine="427"/>
              <w:jc w:val="both"/>
              <w:rPr>
                <w:rFonts w:ascii="Times New Roman" w:hAnsi="Times New Roman" w:cs="Times New Roman"/>
                <w:b/>
                <w:bCs/>
                <w:sz w:val="26"/>
                <w:szCs w:val="26"/>
              </w:rPr>
            </w:pPr>
            <w:r>
              <w:rPr>
                <w:rFonts w:ascii="Times New Roman" w:hAnsi="Times New Roman" w:cs="Times New Roman"/>
                <w:b/>
                <w:bCs/>
                <w:sz w:val="26"/>
                <w:szCs w:val="26"/>
              </w:rPr>
              <w:lastRenderedPageBreak/>
              <w:t>C. Particle concentration measurements</w:t>
            </w: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To characterize the homogeneity of the PSL particles in the flow tube (positions B′ and C′, see </w:t>
            </w:r>
            <w:hyperlink r:id="rId32" w:tooltip="Open Figure Viewer" w:history="1">
              <w:r>
                <w:rPr>
                  <w:rStyle w:val="Hyperlink"/>
                  <w:rFonts w:ascii="Times New Roman" w:hAnsi="Times New Roman" w:cs="Times New Roman"/>
                  <w:sz w:val="26"/>
                  <w:szCs w:val="26"/>
                </w:rPr>
                <w:t>Fig. 1</w:t>
              </w:r>
            </w:hyperlink>
            <w:r>
              <w:rPr>
                <w:rFonts w:ascii="Times New Roman" w:hAnsi="Times New Roman" w:cs="Times New Roman"/>
                <w:sz w:val="26"/>
                <w:szCs w:val="26"/>
              </w:rPr>
              <w:t>) as a function of particle size, PSL particles with a diameter of (500 ± 12) nm and (3000 ± 38) nm were generated using the sol khí generation systems (i) and (iii), respectively, as described in Sec. </w:t>
            </w:r>
            <w:hyperlink r:id="rId33" w:anchor="s2A" w:history="1">
              <w:r>
                <w:rPr>
                  <w:rStyle w:val="Hyperlink"/>
                  <w:rFonts w:ascii="Times New Roman" w:hAnsi="Times New Roman" w:cs="Times New Roman"/>
                  <w:sz w:val="26"/>
                  <w:szCs w:val="26"/>
                </w:rPr>
                <w:t>II A</w:t>
              </w:r>
            </w:hyperlink>
            <w:r>
              <w:rPr>
                <w:rFonts w:ascii="Times New Roman" w:hAnsi="Times New Roman" w:cs="Times New Roman"/>
                <w:sz w:val="26"/>
                <w:szCs w:val="26"/>
              </w:rPr>
              <w:t>. For simplicity, we will refer to these particles as 500 nm and 3 </w:t>
            </w:r>
            <w:r>
              <w:rPr>
                <w:rFonts w:ascii="Times New Roman" w:hAnsi="Times New Roman" w:cs="Times New Roman"/>
                <w:i/>
                <w:iCs/>
                <w:sz w:val="26"/>
                <w:szCs w:val="26"/>
              </w:rPr>
              <w:t>µ</w:t>
            </w:r>
            <w:r>
              <w:rPr>
                <w:rFonts w:ascii="Times New Roman" w:hAnsi="Times New Roman" w:cs="Times New Roman"/>
                <w:sz w:val="26"/>
                <w:szCs w:val="26"/>
              </w:rPr>
              <w:t>m PSL particles since the uncertainty in the size determination does not alter in any way the results of this study. Residues were removed with a DMA and an AAC. The resulting particle number concentration after homogenization was around 5 cm</w:t>
            </w:r>
            <w:r>
              <w:rPr>
                <w:rFonts w:ascii="Times New Roman" w:hAnsi="Times New Roman" w:cs="Times New Roman"/>
                <w:sz w:val="26"/>
                <w:szCs w:val="26"/>
                <w:vertAlign w:val="superscript"/>
              </w:rPr>
              <w:t>−3</w:t>
            </w:r>
            <w:r>
              <w:rPr>
                <w:rFonts w:ascii="Times New Roman" w:hAnsi="Times New Roman" w:cs="Times New Roman"/>
                <w:sz w:val="26"/>
                <w:szCs w:val="26"/>
              </w:rPr>
              <w:t>.</w:t>
            </w: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Two parallel sampling lines of adjustable height were inserted into the flow tube; the position of the first sampling line was kept fixed at the center (radial position 0, see </w:t>
            </w:r>
            <w:hyperlink r:id="rId34" w:tooltip="Open Figure Viewer" w:history="1">
              <w:r>
                <w:rPr>
                  <w:rStyle w:val="Hyperlink"/>
                  <w:rFonts w:ascii="Times New Roman" w:hAnsi="Times New Roman" w:cs="Times New Roman"/>
                  <w:sz w:val="26"/>
                  <w:szCs w:val="26"/>
                </w:rPr>
                <w:t>Fig. 3</w:t>
              </w:r>
            </w:hyperlink>
            <w:r>
              <w:rPr>
                <w:rFonts w:ascii="Times New Roman" w:hAnsi="Times New Roman" w:cs="Times New Roman"/>
                <w:sz w:val="26"/>
                <w:szCs w:val="26"/>
              </w:rPr>
              <w:t>), whereas the other one was placed consecutively at a distance of −70 mm, −50 mm, …, +70 mm with respect to the center. The outlet of each sampling line was connected to a calibrated CPC (Model 3775 and 3776, respectively, TSI, Inc.), and concentration measurements at eight different positions along the diameter of the flow tube were thus performed. During data analysis, the particle number concentration measured at the sampling line located at the center was used as reference (</w:t>
            </w:r>
            <w:r>
              <w:rPr>
                <w:rFonts w:ascii="Times New Roman" w:hAnsi="Times New Roman" w:cs="Times New Roman"/>
                <w:i/>
                <w:iCs/>
                <w:sz w:val="26"/>
                <w:szCs w:val="26"/>
              </w:rPr>
              <w:t>C</w:t>
            </w:r>
            <w:r>
              <w:rPr>
                <w:rFonts w:ascii="Times New Roman" w:hAnsi="Times New Roman" w:cs="Times New Roman"/>
                <w:sz w:val="26"/>
                <w:szCs w:val="26"/>
                <w:vertAlign w:val="subscript"/>
              </w:rPr>
              <w:t>reference</w:t>
            </w:r>
            <w:r>
              <w:rPr>
                <w:rFonts w:ascii="Times New Roman" w:hAnsi="Times New Roman" w:cs="Times New Roman"/>
                <w:sz w:val="26"/>
                <w:szCs w:val="26"/>
              </w:rPr>
              <w:t>). The flow rate of each CPC was 0.3 l/min, and the inner diameter of the sampling line (tube) was 6 mm. This configuration ensured nearly isokinetic sampling.</w:t>
            </w:r>
          </w:p>
          <w:p w:rsidR="00074427" w:rsidRDefault="00074427">
            <w:pPr>
              <w:spacing w:after="0" w:line="240" w:lineRule="auto"/>
              <w:ind w:firstLine="427"/>
              <w:jc w:val="both"/>
              <w:rPr>
                <w:rFonts w:ascii="Times New Roman" w:hAnsi="Times New Roman" w:cs="Times New Roman"/>
                <w:sz w:val="26"/>
                <w:szCs w:val="26"/>
              </w:rPr>
            </w:pPr>
          </w:p>
        </w:tc>
        <w:tc>
          <w:tcPr>
            <w:tcW w:w="5400" w:type="dxa"/>
          </w:tcPr>
          <w:p w:rsidR="00074427" w:rsidRDefault="006919F7">
            <w:pPr>
              <w:spacing w:after="0" w:line="240" w:lineRule="auto"/>
              <w:ind w:firstLine="427"/>
              <w:jc w:val="both"/>
              <w:rPr>
                <w:rFonts w:ascii="Times New Roman" w:hAnsi="Times New Roman" w:cs="Times New Roman"/>
                <w:b/>
                <w:i/>
                <w:sz w:val="26"/>
                <w:szCs w:val="26"/>
              </w:rPr>
            </w:pPr>
            <w:r>
              <w:rPr>
                <w:rFonts w:ascii="Times New Roman" w:hAnsi="Times New Roman" w:cs="Times New Roman"/>
                <w:b/>
                <w:i/>
                <w:sz w:val="26"/>
                <w:szCs w:val="26"/>
              </w:rPr>
              <w:t>C. Phép đo nồng độ hạt</w:t>
            </w: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 xml:space="preserve">Để mô tả tính đồng nhất của các hạt PSL trong ống dòng (vị trí B′ và C′, xem Hình 1) như một hàm của kích thước hạt, các hạt PSL có đường kính (500 ± 12) nm và (3000 ± 38) nm được tạo ra bằng cách sử dụng các hệ thống tạo sol khí (i) và (iii), tương ứng, như được mô tả trong Phần. II A. Để đơn giản, chúng tôi gọi các hạt này là các hạt PSL 500 nm và 3 µm vì độ không đảm bảo đo trong việc xác định kích thước không làm thay đổi kết quả của nghiên cứu này theo bất kỳ cách nào. </w:t>
            </w:r>
            <w:r>
              <w:rPr>
                <w:rFonts w:ascii="Times New Roman" w:hAnsi="Times New Roman" w:cs="Times New Roman"/>
                <w:b/>
                <w:i/>
                <w:sz w:val="26"/>
                <w:szCs w:val="26"/>
              </w:rPr>
              <w:t>Các chất cặn được loại bỏ bằng DMA và AAC</w:t>
            </w:r>
            <w:r>
              <w:rPr>
                <w:rFonts w:ascii="Times New Roman" w:hAnsi="Times New Roman" w:cs="Times New Roman"/>
                <w:sz w:val="26"/>
                <w:szCs w:val="26"/>
              </w:rPr>
              <w:t xml:space="preserve">. </w:t>
            </w:r>
            <w:r>
              <w:rPr>
                <w:rFonts w:ascii="Times New Roman" w:hAnsi="Times New Roman" w:cs="Times New Roman"/>
                <w:b/>
                <w:i/>
                <w:sz w:val="26"/>
                <w:szCs w:val="26"/>
              </w:rPr>
              <w:t>Nồng độ số hạt thu được sau khi đồng nhất là khoảng 5 cm</w:t>
            </w:r>
            <w:r>
              <w:rPr>
                <w:rFonts w:ascii="Times New Roman" w:hAnsi="Times New Roman" w:cs="Times New Roman"/>
                <w:sz w:val="26"/>
                <w:szCs w:val="26"/>
                <w:vertAlign w:val="superscript"/>
              </w:rPr>
              <w:t>-3</w:t>
            </w:r>
            <w:r>
              <w:rPr>
                <w:rFonts w:ascii="Times New Roman" w:hAnsi="Times New Roman" w:cs="Times New Roman"/>
                <w:sz w:val="26"/>
                <w:szCs w:val="26"/>
              </w:rPr>
              <w:t>.</w:t>
            </w:r>
          </w:p>
          <w:p w:rsidR="00074427" w:rsidRDefault="00074427">
            <w:pPr>
              <w:spacing w:after="0" w:line="240" w:lineRule="auto"/>
              <w:ind w:firstLine="427"/>
              <w:jc w:val="both"/>
              <w:rPr>
                <w:rFonts w:ascii="Times New Roman" w:hAnsi="Times New Roman" w:cs="Times New Roman"/>
                <w:sz w:val="26"/>
                <w:szCs w:val="26"/>
              </w:rPr>
            </w:pPr>
          </w:p>
          <w:p w:rsidR="00074427" w:rsidRDefault="006919F7">
            <w:pPr>
              <w:spacing w:after="0" w:line="240" w:lineRule="auto"/>
              <w:ind w:firstLine="427"/>
              <w:jc w:val="both"/>
              <w:rPr>
                <w:rFonts w:ascii="Times New Roman" w:hAnsi="Times New Roman" w:cs="Times New Roman"/>
                <w:sz w:val="26"/>
                <w:szCs w:val="26"/>
              </w:rPr>
            </w:pPr>
            <w:r>
              <w:rPr>
                <w:rFonts w:ascii="Times New Roman" w:hAnsi="Times New Roman" w:cs="Times New Roman"/>
                <w:sz w:val="26"/>
                <w:szCs w:val="26"/>
              </w:rPr>
              <w:t>Hai đường lấy mẫu song song có chiều cao điều chỉnh được đưa vào ống dòng; vị trí của đường lấy mẫu đầu tiên được giữ cố định ở tâm (vị trí xuyên tâm 0, xem Hình 3), trong khi đường còn lại được đặt liên tiếp ở khoảng cách −70 mm, −50 mm,…, +70 mm so</w:t>
            </w:r>
            <w:r>
              <w:rPr>
                <w:rFonts w:ascii="Times New Roman" w:hAnsi="Times New Roman" w:cs="Times New Roman"/>
                <w:sz w:val="26"/>
                <w:szCs w:val="26"/>
                <w:lang w:val="vi-VN"/>
              </w:rPr>
              <w:t xml:space="preserve"> với điểm</w:t>
            </w:r>
            <w:r>
              <w:rPr>
                <w:rFonts w:ascii="Times New Roman" w:hAnsi="Times New Roman" w:cs="Times New Roman"/>
                <w:sz w:val="26"/>
                <w:szCs w:val="26"/>
              </w:rPr>
              <w:t xml:space="preserve"> trung tâm. Đầu ra của mỗi đường lấy mẫu được kết nối với CPC đã hiệu chuẩn (Model 3775 và 3776, tương ứng, TSI, Inc.), và các phép đo nồng độ tại tám vị trí khác nhau dọc theo đường kính của ống dòng chảy do đó đã được thực hiện. Trong quá trình phân tích dữ liệu, nồng độ số hạt đo được tại đường lấy mẫu nằm ở trung tâm được sử dụng làm tham chiếu (C</w:t>
            </w:r>
            <w:r>
              <w:rPr>
                <w:rFonts w:ascii="Times New Roman" w:hAnsi="Times New Roman" w:cs="Times New Roman"/>
                <w:sz w:val="26"/>
                <w:szCs w:val="26"/>
                <w:vertAlign w:val="subscript"/>
              </w:rPr>
              <w:t>reference</w:t>
            </w:r>
            <w:r>
              <w:rPr>
                <w:rFonts w:ascii="Times New Roman" w:hAnsi="Times New Roman" w:cs="Times New Roman"/>
                <w:sz w:val="26"/>
                <w:szCs w:val="26"/>
              </w:rPr>
              <w:t xml:space="preserve">). </w:t>
            </w:r>
            <w:r>
              <w:rPr>
                <w:rFonts w:ascii="Times New Roman" w:hAnsi="Times New Roman" w:cs="Times New Roman"/>
                <w:sz w:val="26"/>
                <w:szCs w:val="26"/>
                <w:highlight w:val="yellow"/>
              </w:rPr>
              <w:t>Tốc độ dòng chảy của mỗi CPC là 0,3 L/min, và đường kính trong của đường (ống) lấy mẫu là 6 mm</w:t>
            </w:r>
            <w:r>
              <w:rPr>
                <w:rFonts w:ascii="Times New Roman" w:hAnsi="Times New Roman" w:cs="Times New Roman"/>
                <w:sz w:val="26"/>
                <w:szCs w:val="26"/>
              </w:rPr>
              <w:t>. Cấu hình này đảm bảo lấy mẫu gần như đẳng động.</w:t>
            </w:r>
          </w:p>
        </w:tc>
      </w:tr>
      <w:tr w:rsidR="00074427">
        <w:tc>
          <w:tcPr>
            <w:tcW w:w="5305" w:type="dxa"/>
          </w:tcPr>
          <w:p w:rsidR="00074427" w:rsidRDefault="006919F7">
            <w:pPr>
              <w:spacing w:after="0" w:line="24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2866390" cy="2421255"/>
                  <wp:effectExtent l="0" t="0" r="0" b="0"/>
                  <wp:docPr id="4" name="Picture 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Figure"/>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882039" cy="2434874"/>
                          </a:xfrm>
                          <a:prstGeom prst="rect">
                            <a:avLst/>
                          </a:prstGeom>
                          <a:noFill/>
                          <a:ln>
                            <a:noFill/>
                          </a:ln>
                        </pic:spPr>
                      </pic:pic>
                    </a:graphicData>
                  </a:graphic>
                </wp:inline>
              </w:drawing>
            </w:r>
          </w:p>
        </w:tc>
        <w:tc>
          <w:tcPr>
            <w:tcW w:w="5400"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Hình 3. Vận tốc trung bình và rms được đo và tính toán tại các vị trí hạ lưu A, B và C (xem Hình 1) tương ứng với (a) 0,75 m, (b) 1,7 m và (c) 2,4 m từ điểm phun sol khí, tương ứng.</w:t>
            </w:r>
          </w:p>
        </w:tc>
      </w:tr>
      <w:tr w:rsidR="00074427">
        <w:trPr>
          <w:trHeight w:val="6628"/>
        </w:trPr>
        <w:tc>
          <w:tcPr>
            <w:tcW w:w="5305" w:type="dxa"/>
          </w:tcPr>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With the standard CPC flow rate of 0.3 l/min and measurement times of 2 min, this resulted in measurement uncertainties of around ±6%–10%, dominated by statistical uncertainties associated with the Poisson distribution (95% confidence interval) and statistical uncertainties arising from instabilities in the generation of 3 </w:t>
            </w:r>
            <w:r>
              <w:rPr>
                <w:rFonts w:ascii="Times New Roman" w:hAnsi="Times New Roman" w:cs="Times New Roman"/>
                <w:i/>
                <w:iCs/>
                <w:sz w:val="26"/>
                <w:szCs w:val="26"/>
              </w:rPr>
              <w:t>µ</w:t>
            </w:r>
            <w:r>
              <w:rPr>
                <w:rFonts w:ascii="Times New Roman" w:hAnsi="Times New Roman" w:cs="Times New Roman"/>
                <w:sz w:val="26"/>
                <w:szCs w:val="26"/>
              </w:rPr>
              <w:t>m particles (due to the use of the fluidized bed generator, see discussion in Subsection </w:t>
            </w:r>
            <w:hyperlink r:id="rId36" w:anchor="s5A" w:history="1">
              <w:r>
                <w:rPr>
                  <w:rStyle w:val="Hyperlink"/>
                  <w:rFonts w:ascii="Times New Roman" w:hAnsi="Times New Roman" w:cs="Times New Roman"/>
                  <w:sz w:val="26"/>
                  <w:szCs w:val="26"/>
                </w:rPr>
                <w:t>V A</w:t>
              </w:r>
            </w:hyperlink>
            <w:r>
              <w:rPr>
                <w:rFonts w:ascii="Times New Roman" w:hAnsi="Times New Roman" w:cs="Times New Roman"/>
                <w:sz w:val="26"/>
                <w:szCs w:val="26"/>
              </w:rPr>
              <w:t>). To attain higher particle number concentrations and, hence, reduce measurement uncertainties, we generated DEHS sol khí (as used for LDV measurements, but diluted by a factor of 40) at concentrations of 5000 cm</w:t>
            </w:r>
            <w:r>
              <w:rPr>
                <w:rFonts w:ascii="Times New Roman" w:hAnsi="Times New Roman" w:cs="Times New Roman"/>
                <w:sz w:val="26"/>
                <w:szCs w:val="26"/>
                <w:vertAlign w:val="superscript"/>
              </w:rPr>
              <w:t>−3</w:t>
            </w:r>
            <w:r>
              <w:rPr>
                <w:rFonts w:ascii="Times New Roman" w:hAnsi="Times New Roman" w:cs="Times New Roman"/>
                <w:sz w:val="26"/>
                <w:szCs w:val="26"/>
              </w:rPr>
              <w:t>. The droplet sizes ranged between 150 and 1500 nm with the median droplet size lying close to 400 nm. Measurements with the DEHS sol khí were performed at positions A′, B′, and C′ (see </w:t>
            </w:r>
            <w:hyperlink r:id="rId37" w:tooltip="Open Figure Viewer" w:history="1">
              <w:r>
                <w:rPr>
                  <w:rStyle w:val="Hyperlink"/>
                  <w:rFonts w:ascii="Times New Roman" w:hAnsi="Times New Roman" w:cs="Times New Roman"/>
                  <w:sz w:val="26"/>
                  <w:szCs w:val="26"/>
                </w:rPr>
                <w:t>Fig. 1</w:t>
              </w:r>
            </w:hyperlink>
            <w:r>
              <w:rPr>
                <w:rFonts w:ascii="Times New Roman" w:hAnsi="Times New Roman" w:cs="Times New Roman"/>
                <w:sz w:val="26"/>
                <w:szCs w:val="26"/>
              </w:rPr>
              <w:t>) to investigate the evolution of mixing characteristics as a function of the flow tube length. The results are presented in </w:t>
            </w:r>
            <w:hyperlink r:id="rId38" w:tooltip="Open Figure Viewer" w:history="1">
              <w:r>
                <w:rPr>
                  <w:rStyle w:val="Hyperlink"/>
                  <w:rFonts w:ascii="Times New Roman" w:hAnsi="Times New Roman" w:cs="Times New Roman"/>
                  <w:sz w:val="26"/>
                  <w:szCs w:val="26"/>
                </w:rPr>
                <w:t>Fig. 3</w:t>
              </w:r>
            </w:hyperlink>
            <w:r>
              <w:rPr>
                <w:rFonts w:ascii="Times New Roman" w:hAnsi="Times New Roman" w:cs="Times New Roman"/>
                <w:sz w:val="26"/>
                <w:szCs w:val="26"/>
              </w:rPr>
              <w:t> and discussed in Subsection </w:t>
            </w:r>
            <w:hyperlink r:id="rId39" w:anchor="s4B" w:history="1">
              <w:r>
                <w:rPr>
                  <w:rStyle w:val="Hyperlink"/>
                  <w:rFonts w:ascii="Times New Roman" w:hAnsi="Times New Roman" w:cs="Times New Roman"/>
                  <w:sz w:val="26"/>
                  <w:szCs w:val="26"/>
                </w:rPr>
                <w:t>IV B</w:t>
              </w:r>
            </w:hyperlink>
          </w:p>
        </w:tc>
        <w:tc>
          <w:tcPr>
            <w:tcW w:w="5400" w:type="dxa"/>
          </w:tcPr>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i/>
                <w:sz w:val="26"/>
                <w:szCs w:val="26"/>
              </w:rPr>
              <w:t xml:space="preserve">Với tốc độ dòng CPC tiêu chuẩn là 0,3 L/min và thời gian đo là 2 phút, điều này dẫn đến độ không đảm bảo đo trong khoảng ± </w:t>
            </w:r>
            <w:r>
              <w:rPr>
                <w:rFonts w:ascii="Times New Roman" w:hAnsi="Times New Roman" w:cs="Times New Roman"/>
                <w:i/>
                <w:sz w:val="26"/>
                <w:szCs w:val="26"/>
                <w:lang w:val="vi-VN"/>
              </w:rPr>
              <w:t>(</w:t>
            </w:r>
            <w:r>
              <w:rPr>
                <w:rFonts w:ascii="Times New Roman" w:hAnsi="Times New Roman" w:cs="Times New Roman"/>
                <w:i/>
                <w:sz w:val="26"/>
                <w:szCs w:val="26"/>
              </w:rPr>
              <w:t xml:space="preserve">6 </w:t>
            </w:r>
            <w:r>
              <w:rPr>
                <w:rFonts w:ascii="Times New Roman" w:hAnsi="Times New Roman" w:cs="Times New Roman"/>
                <w:i/>
                <w:sz w:val="26"/>
                <w:szCs w:val="26"/>
                <w:lang w:val="vi-VN"/>
              </w:rPr>
              <w:t xml:space="preserve">- </w:t>
            </w:r>
            <w:r>
              <w:rPr>
                <w:rFonts w:ascii="Times New Roman" w:hAnsi="Times New Roman" w:cs="Times New Roman"/>
                <w:i/>
                <w:sz w:val="26"/>
                <w:szCs w:val="26"/>
              </w:rPr>
              <w:t>10</w:t>
            </w:r>
            <w:r>
              <w:rPr>
                <w:rFonts w:ascii="Times New Roman" w:hAnsi="Times New Roman" w:cs="Times New Roman"/>
                <w:i/>
                <w:sz w:val="26"/>
                <w:szCs w:val="26"/>
                <w:lang w:val="vi-VN"/>
              </w:rPr>
              <w:t xml:space="preserve">) </w:t>
            </w:r>
            <w:r>
              <w:rPr>
                <w:rFonts w:ascii="Times New Roman" w:hAnsi="Times New Roman" w:cs="Times New Roman"/>
                <w:i/>
                <w:sz w:val="26"/>
                <w:szCs w:val="26"/>
              </w:rPr>
              <w:t>%, bị chi phối bởi độ không đảm bảo thống kê liên quan đến phân bố Poisson</w:t>
            </w:r>
            <w:r>
              <w:rPr>
                <w:rFonts w:ascii="Times New Roman" w:hAnsi="Times New Roman" w:cs="Times New Roman"/>
                <w:sz w:val="26"/>
                <w:szCs w:val="26"/>
              </w:rPr>
              <w:t xml:space="preserve"> (khoảng tin cậy 95%) và độ không đảm bảo đo thống kê phát sinh từ sự không ổn định trong việc tạo ra các hạt 3 µm (do việc sử dụng máy phát tầng sôi, xem thảo luận trong Tiểu mục V</w:t>
            </w:r>
            <w:r>
              <w:rPr>
                <w:rFonts w:ascii="Times New Roman" w:hAnsi="Times New Roman" w:cs="Times New Roman"/>
                <w:sz w:val="26"/>
                <w:szCs w:val="26"/>
                <w:lang w:val="vi-VN"/>
              </w:rPr>
              <w:t xml:space="preserve"> - </w:t>
            </w:r>
            <w:r>
              <w:rPr>
                <w:rFonts w:ascii="Times New Roman" w:hAnsi="Times New Roman" w:cs="Times New Roman"/>
                <w:sz w:val="26"/>
                <w:szCs w:val="26"/>
              </w:rPr>
              <w:t xml:space="preserve">A). </w:t>
            </w:r>
            <w:r>
              <w:rPr>
                <w:rFonts w:ascii="Times New Roman" w:hAnsi="Times New Roman" w:cs="Times New Roman"/>
                <w:sz w:val="26"/>
                <w:szCs w:val="26"/>
                <w:highlight w:val="cyan"/>
              </w:rPr>
              <w:t>Để đạt được nồng độ số hạt cao hơn và do đó, giảm độ không đảm bảo đo, chúng tôi đã tạo ra bình xịt DEHS (như được sử dụng cho các phép đo LDV, nhưng được pha loãng bởi hệ số 40) ở nồng độ 5000 cm-3</w:t>
            </w:r>
            <w:r>
              <w:rPr>
                <w:rFonts w:ascii="Times New Roman" w:hAnsi="Times New Roman" w:cs="Times New Roman"/>
                <w:sz w:val="26"/>
                <w:szCs w:val="26"/>
              </w:rPr>
              <w:t>. Kích thước giọt nằm trong khoảng từ 150 đến 1500 nm với kích thước giọt trung bình nằm gần 400 nm. Các phép đo với bình xịt DEHS được thực hiện ở các vị trí A′, B′ và C′ (xem Hình 1) để khảo sát sự phát triển của các đặc tính trộn như một hàm của chiều dài ống dòng. Kết quả được trình bày trong Hình 3 và được thảo luận trong Tiểu mục IV</w:t>
            </w:r>
            <w:r>
              <w:rPr>
                <w:rFonts w:ascii="Times New Roman" w:hAnsi="Times New Roman" w:cs="Times New Roman"/>
                <w:sz w:val="26"/>
                <w:szCs w:val="26"/>
                <w:lang w:val="vi-VN"/>
              </w:rPr>
              <w:t xml:space="preserve"> - </w:t>
            </w:r>
            <w:r>
              <w:rPr>
                <w:rFonts w:ascii="Times New Roman" w:hAnsi="Times New Roman" w:cs="Times New Roman"/>
                <w:sz w:val="26"/>
                <w:szCs w:val="26"/>
              </w:rPr>
              <w:t>B</w:t>
            </w:r>
          </w:p>
        </w:tc>
      </w:tr>
      <w:tr w:rsidR="00074427">
        <w:tc>
          <w:tcPr>
            <w:tcW w:w="5305" w:type="dxa"/>
          </w:tcPr>
          <w:p w:rsidR="00074427" w:rsidRDefault="006919F7">
            <w:pPr>
              <w:spacing w:after="0" w:line="240" w:lineRule="auto"/>
              <w:ind w:firstLine="247"/>
              <w:jc w:val="both"/>
              <w:rPr>
                <w:rFonts w:ascii="Times New Roman" w:hAnsi="Times New Roman" w:cs="Times New Roman"/>
                <w:b/>
                <w:bCs/>
                <w:sz w:val="26"/>
                <w:szCs w:val="26"/>
              </w:rPr>
            </w:pPr>
            <w:r>
              <w:rPr>
                <w:rFonts w:ascii="Times New Roman" w:hAnsi="Times New Roman" w:cs="Times New Roman"/>
                <w:b/>
                <w:bCs/>
                <w:sz w:val="26"/>
                <w:szCs w:val="26"/>
              </w:rPr>
              <w:t>IV. RESULTS AND DISCUSSION</w:t>
            </w:r>
          </w:p>
          <w:p w:rsidR="00074427" w:rsidRDefault="006919F7">
            <w:pPr>
              <w:spacing w:after="0" w:line="240" w:lineRule="auto"/>
              <w:ind w:firstLine="247"/>
              <w:jc w:val="both"/>
              <w:rPr>
                <w:rFonts w:ascii="Times New Roman" w:hAnsi="Times New Roman" w:cs="Times New Roman"/>
                <w:b/>
                <w:bCs/>
                <w:sz w:val="26"/>
                <w:szCs w:val="26"/>
              </w:rPr>
            </w:pPr>
            <w:r>
              <w:rPr>
                <w:rFonts w:ascii="Times New Roman" w:hAnsi="Times New Roman" w:cs="Times New Roman"/>
                <w:b/>
                <w:bCs/>
                <w:sz w:val="26"/>
                <w:szCs w:val="26"/>
              </w:rPr>
              <w:t>A. Velocity characteristics</w:t>
            </w:r>
          </w:p>
          <w:p w:rsidR="00074427" w:rsidRDefault="00BB518E">
            <w:pPr>
              <w:spacing w:after="0" w:line="240" w:lineRule="auto"/>
              <w:ind w:firstLine="247"/>
              <w:jc w:val="both"/>
              <w:rPr>
                <w:rFonts w:ascii="Times New Roman" w:hAnsi="Times New Roman" w:cs="Times New Roman"/>
                <w:sz w:val="26"/>
                <w:szCs w:val="26"/>
              </w:rPr>
            </w:pPr>
            <w:hyperlink r:id="rId40" w:tooltip="Open Figure Viewer" w:history="1">
              <w:r w:rsidR="006919F7">
                <w:rPr>
                  <w:rStyle w:val="Hyperlink"/>
                  <w:rFonts w:ascii="Times New Roman" w:hAnsi="Times New Roman" w:cs="Times New Roman"/>
                  <w:sz w:val="26"/>
                  <w:szCs w:val="26"/>
                </w:rPr>
                <w:t>Figure 2(b)</w:t>
              </w:r>
            </w:hyperlink>
            <w:r w:rsidR="006919F7">
              <w:rPr>
                <w:rFonts w:ascii="Times New Roman" w:hAnsi="Times New Roman" w:cs="Times New Roman"/>
                <w:sz w:val="26"/>
                <w:szCs w:val="26"/>
              </w:rPr>
              <w:t> presents the streamlines at the position of sol khí and mixing air injection and shows a relevant recirculation zone due to the mixing jets with a length of approximately 20 cm. After this length, the streamlines become parallel again. </w:t>
            </w:r>
            <w:hyperlink r:id="rId41" w:tooltip="Open Figure Viewer" w:history="1">
              <w:r w:rsidR="006919F7">
                <w:rPr>
                  <w:rStyle w:val="Hyperlink"/>
                  <w:rFonts w:ascii="Times New Roman" w:hAnsi="Times New Roman" w:cs="Times New Roman"/>
                  <w:sz w:val="26"/>
                  <w:szCs w:val="26"/>
                </w:rPr>
                <w:t>Figure 3</w:t>
              </w:r>
            </w:hyperlink>
            <w:r w:rsidR="006919F7">
              <w:rPr>
                <w:rFonts w:ascii="Times New Roman" w:hAnsi="Times New Roman" w:cs="Times New Roman"/>
                <w:sz w:val="26"/>
                <w:szCs w:val="26"/>
              </w:rPr>
              <w:t xml:space="preserve"> presents LDV measurements and CFD simulations of the mean particle velocity and the root mean square (rms) of the velocity fluctuations in time at three different heights of </w:t>
            </w:r>
            <w:r w:rsidR="006919F7">
              <w:rPr>
                <w:rFonts w:ascii="Times New Roman" w:hAnsi="Times New Roman" w:cs="Times New Roman"/>
                <w:sz w:val="26"/>
                <w:szCs w:val="26"/>
              </w:rPr>
              <w:lastRenderedPageBreak/>
              <w:t>the flow tube [positions A (0.75 m downstream of sol khí injection), B (1.4 m), and C (2.4 m) (see </w:t>
            </w:r>
            <w:hyperlink r:id="rId42" w:tooltip="Open Figure Viewer" w:history="1">
              <w:r w:rsidR="006919F7">
                <w:rPr>
                  <w:rStyle w:val="Hyperlink"/>
                  <w:rFonts w:ascii="Times New Roman" w:hAnsi="Times New Roman" w:cs="Times New Roman"/>
                  <w:sz w:val="26"/>
                  <w:szCs w:val="26"/>
                </w:rPr>
                <w:t>Fig. 1</w:t>
              </w:r>
            </w:hyperlink>
            <w:r w:rsidR="006919F7">
              <w:rPr>
                <w:rFonts w:ascii="Times New Roman" w:hAnsi="Times New Roman" w:cs="Times New Roman"/>
                <w:sz w:val="26"/>
                <w:szCs w:val="26"/>
              </w:rPr>
              <w:t>)]. It can be seen that the characteristics of the mean velocity and its fluctuations were captured well in the simulations for all three positions downstream of the mixing jets. Due to lack of optical access, however, it was not possible to measure the flow structure just downstream of the mixing jets.</w:t>
            </w: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By comparing panels (b) and (c) of </w:t>
            </w:r>
            <w:hyperlink r:id="rId43" w:tooltip="Open Figure Viewer" w:history="1">
              <w:r>
                <w:rPr>
                  <w:rStyle w:val="Hyperlink"/>
                  <w:rFonts w:ascii="Times New Roman" w:hAnsi="Times New Roman" w:cs="Times New Roman"/>
                  <w:sz w:val="26"/>
                  <w:szCs w:val="26"/>
                </w:rPr>
                <w:t>Fig. 3</w:t>
              </w:r>
            </w:hyperlink>
            <w:r>
              <w:rPr>
                <w:rFonts w:ascii="Times New Roman" w:hAnsi="Times New Roman" w:cs="Times New Roman"/>
                <w:sz w:val="26"/>
                <w:szCs w:val="26"/>
              </w:rPr>
              <w:t>, it can be seen that the boundary layer thickness increases with downstream position, the boundary layer being defined as the distance from the wall to the point where velocity reaches 90% of its centerline (i.e., maximum) value. It should be noted here that LDV measurements cannot extend close to the wall since there were hardly any DEHS particles present. Additionally, disturbances of the signal due to laser light reflection at the wall may occur. The structure of the boundary layer is of importance for the performance of the facility since it is the key mechanism for particle wall deposition and particle losses. The viscous sublayer had a thickness of few millimeters, as depicted in </w:t>
            </w:r>
            <w:hyperlink r:id="rId44" w:tooltip="Open Figure Viewer" w:history="1">
              <w:r>
                <w:rPr>
                  <w:rStyle w:val="Hyperlink"/>
                  <w:rFonts w:ascii="Times New Roman" w:hAnsi="Times New Roman" w:cs="Times New Roman"/>
                  <w:sz w:val="26"/>
                  <w:szCs w:val="26"/>
                </w:rPr>
                <w:t>Fig. 3(c)</w:t>
              </w:r>
            </w:hyperlink>
            <w:r>
              <w:rPr>
                <w:rFonts w:ascii="Times New Roman" w:hAnsi="Times New Roman" w:cs="Times New Roman"/>
                <w:sz w:val="26"/>
                <w:szCs w:val="26"/>
              </w:rPr>
              <w:t xml:space="preserve">; </w:t>
            </w: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this is the region where viscous forces dominate inertial forces. As a result, turbulent fluctuations are damped and the energy cascade of the turbulent vortices is not present in this region. 500 nm particles cannot diffuse through this viscous sublayer within their time of residence in the tube (approx. 20 s) since their mean displacement due to Brownian motion within that time is of the order of 0.2 mm (see Ref. </w:t>
            </w:r>
            <w:hyperlink r:id="rId45" w:history="1">
              <w:r>
                <w:rPr>
                  <w:rStyle w:val="Hyperlink"/>
                  <w:rFonts w:ascii="Times New Roman" w:hAnsi="Times New Roman" w:cs="Times New Roman"/>
                  <w:sz w:val="26"/>
                  <w:szCs w:val="26"/>
                </w:rPr>
                <w:t>27</w:t>
              </w:r>
            </w:hyperlink>
            <w:r>
              <w:rPr>
                <w:rFonts w:ascii="Times New Roman" w:hAnsi="Times New Roman" w:cs="Times New Roman"/>
                <w:sz w:val="26"/>
                <w:szCs w:val="26"/>
              </w:rPr>
              <w:t xml:space="preserve">, Table 7.4). </w:t>
            </w: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 xml:space="preserve">As a consequence, particle losses mostly occur in the jet-mixing region and become negligible further downstream. The measured turbulence levels, the mean velocity profile, and the shape of the rms velocity profile indicate that although the Reynolds number is below 2000, the flow is turbulent (plug flow). This ensures that the velocity over the sol khí sampling funnels is nearly uniform and isokinetic sampling is </w:t>
            </w:r>
            <w:r>
              <w:rPr>
                <w:rFonts w:ascii="Times New Roman" w:hAnsi="Times New Roman" w:cs="Times New Roman"/>
                <w:sz w:val="26"/>
                <w:szCs w:val="26"/>
              </w:rPr>
              <w:lastRenderedPageBreak/>
              <w:t xml:space="preserve">guaranteed with velocity fluctuations of around 10%. </w:t>
            </w: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Nevertheless, a small uncertainty remains since recent measurements</w:t>
            </w:r>
            <w:hyperlink r:id="rId46" w:history="1">
              <w:r>
                <w:rPr>
                  <w:rStyle w:val="Hyperlink"/>
                  <w:rFonts w:ascii="Times New Roman" w:hAnsi="Times New Roman" w:cs="Times New Roman"/>
                  <w:sz w:val="26"/>
                  <w:szCs w:val="26"/>
                  <w:vertAlign w:val="superscript"/>
                </w:rPr>
                <w:t>28</w:t>
              </w:r>
            </w:hyperlink>
            <w:r>
              <w:rPr>
                <w:rFonts w:ascii="Times New Roman" w:hAnsi="Times New Roman" w:cs="Times New Roman"/>
                <w:sz w:val="26"/>
                <w:szCs w:val="26"/>
              </w:rPr>
              <w:t> of turbulence decay in pipe flows show that vortices, or turbulent puffs, might decay statistically rather than all at the same rate. This effect cannot be captured by the current point measurements, as explained in the first characterization of decaying turbulence in a pipe flow reported by Sibulkin.</w:t>
            </w:r>
            <w:hyperlink r:id="rId47" w:history="1">
              <w:r>
                <w:rPr>
                  <w:rStyle w:val="Hyperlink"/>
                  <w:rFonts w:ascii="Times New Roman" w:hAnsi="Times New Roman" w:cs="Times New Roman"/>
                  <w:sz w:val="26"/>
                  <w:szCs w:val="26"/>
                  <w:vertAlign w:val="superscript"/>
                </w:rPr>
                <w:t>29</w:t>
              </w:r>
            </w:hyperlink>
            <w:r>
              <w:rPr>
                <w:rFonts w:ascii="Times New Roman" w:hAnsi="Times New Roman" w:cs="Times New Roman"/>
                <w:sz w:val="26"/>
                <w:szCs w:val="26"/>
              </w:rPr>
              <w:t> It must be noted, here, that the velocity variation over the sampling cross section would be larger if the flow profile were laminar (parabolic). For instance, for a DUT-OPC with a sampling flow rate of 60 l/min (equal to 1/3 of the total sol khí flow rate), the area of the sampling funnel would correspond to 1/3 of the cross section of the sol khí flow tube. This would result in a velocity difference of about 33% between the particles sampled at the center and close to the periphery of the funnel. This difference would become 16% for OPCs with the standard flow rate of 1 cft/min (28.3 l/min).</w:t>
            </w:r>
          </w:p>
        </w:tc>
        <w:tc>
          <w:tcPr>
            <w:tcW w:w="5400" w:type="dxa"/>
          </w:tcPr>
          <w:p w:rsidR="00074427" w:rsidRDefault="006919F7">
            <w:pPr>
              <w:spacing w:after="0" w:line="240" w:lineRule="auto"/>
              <w:ind w:firstLine="247"/>
              <w:jc w:val="both"/>
              <w:rPr>
                <w:rFonts w:ascii="Times New Roman" w:hAnsi="Times New Roman" w:cs="Times New Roman"/>
                <w:b/>
                <w:sz w:val="26"/>
                <w:szCs w:val="26"/>
              </w:rPr>
            </w:pPr>
            <w:r>
              <w:rPr>
                <w:rFonts w:ascii="Times New Roman" w:hAnsi="Times New Roman" w:cs="Times New Roman"/>
                <w:b/>
                <w:sz w:val="26"/>
                <w:szCs w:val="26"/>
              </w:rPr>
              <w:lastRenderedPageBreak/>
              <w:t>IV. KẾT QUẢ VÀ THẢO LUẬN</w:t>
            </w:r>
          </w:p>
          <w:p w:rsidR="00074427" w:rsidRDefault="006919F7">
            <w:pPr>
              <w:spacing w:after="0" w:line="240" w:lineRule="auto"/>
              <w:ind w:firstLine="247"/>
              <w:jc w:val="both"/>
              <w:rPr>
                <w:rFonts w:ascii="Times New Roman" w:hAnsi="Times New Roman" w:cs="Times New Roman"/>
                <w:b/>
                <w:sz w:val="26"/>
                <w:szCs w:val="26"/>
              </w:rPr>
            </w:pPr>
            <w:r>
              <w:rPr>
                <w:rFonts w:ascii="Times New Roman" w:hAnsi="Times New Roman" w:cs="Times New Roman"/>
                <w:b/>
                <w:sz w:val="26"/>
                <w:szCs w:val="26"/>
              </w:rPr>
              <w:t>A. Đặc điểm vận tốc</w:t>
            </w: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 xml:space="preserve">Hình 2 (b) trình bày các dòng hợp lý tại vị trí phun sol khí và trộn khí và cho thấy một vùng tuần hoàn liên quan do các vòi trộn có chiều dài khoảng 20 cm. Sau độ dài này, các đường hợp lý trở lại song song. Hình 3 trình bày các phép đo LDV và mô phỏng CFD của vận tốc hạt trung bình và bình phương trung bình gốc (rms) của các dao động vận tốc theo thời gian tại ba độ cao khác nhau của ống dòng [vị trí A (0,75 m phía hạ lưu của phun sol </w:t>
            </w:r>
            <w:r>
              <w:rPr>
                <w:rFonts w:ascii="Times New Roman" w:hAnsi="Times New Roman" w:cs="Times New Roman"/>
                <w:sz w:val="26"/>
                <w:szCs w:val="26"/>
              </w:rPr>
              <w:lastRenderedPageBreak/>
              <w:t>khí), B (1,4 m), và C (2,4 m) (xem Hình 1)]. Có thể thấy rằng các đặc điểm của vận tốc trung bình và các dao động của nó đã được nắm bắt tốt trong các mô phỏng cho cả ba vị trí ở hạ lưu của các phản lực trộn. Tuy nhiên, do thiếu khả năng tiếp cận quang học, nên không thể đo cấu trúc dòng chảy ngay phía hạ lưu của các tia trộn.</w:t>
            </w:r>
          </w:p>
          <w:p w:rsidR="00074427" w:rsidRDefault="00074427">
            <w:pPr>
              <w:spacing w:after="0" w:line="240" w:lineRule="auto"/>
              <w:ind w:firstLine="247"/>
              <w:jc w:val="both"/>
              <w:rPr>
                <w:rFonts w:ascii="Times New Roman" w:hAnsi="Times New Roman" w:cs="Times New Roman"/>
                <w:sz w:val="26"/>
                <w:szCs w:val="26"/>
              </w:rPr>
            </w:pPr>
          </w:p>
          <w:p w:rsidR="00074427" w:rsidRDefault="00074427">
            <w:pPr>
              <w:spacing w:after="0" w:line="240" w:lineRule="auto"/>
              <w:ind w:firstLine="247"/>
              <w:jc w:val="both"/>
              <w:rPr>
                <w:rFonts w:ascii="Times New Roman" w:hAnsi="Times New Roman" w:cs="Times New Roman"/>
                <w:sz w:val="26"/>
                <w:szCs w:val="26"/>
              </w:rPr>
            </w:pP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Bằng cách so sánh các tấm (b) và (c) của Hình 3, có thể thấy rằng độ dày lớp biên tăng lên theo vị trí hạ lưu, lớp biên được xác định là khoảng cách từ bức tường đến điểm mà vận tốc đạt 90% của giá trị đường tâm (tức là lớn nhất). Ở đây cần lưu ý rằng các phép đo LDV không thể mở rộng gần tường vì hầu như không có bất kỳ hạt DEHS nào hiện diện. Ngoài ra, tín hiệu bị nhiễu do phản xạ ánh sáng laser ở tường có thể xảy ra. Cấu trúc của lớp ranh giới có tầm quan trọng đối với hoạt động của cơ sở vì nó là cơ chế chính cho sự lắng đọng thành hạt và thất thoát hạt. Lớp phụ nhớt có độ dày vài mm, như được mô tả trong Hình 3 (c);</w:t>
            </w:r>
          </w:p>
          <w:p w:rsidR="00074427" w:rsidRDefault="00074427">
            <w:pPr>
              <w:spacing w:after="0" w:line="240" w:lineRule="auto"/>
              <w:ind w:firstLine="247"/>
              <w:jc w:val="both"/>
              <w:rPr>
                <w:rFonts w:ascii="Times New Roman" w:hAnsi="Times New Roman" w:cs="Times New Roman"/>
                <w:sz w:val="26"/>
                <w:szCs w:val="26"/>
              </w:rPr>
            </w:pPr>
          </w:p>
          <w:p w:rsidR="00074427" w:rsidRDefault="00074427">
            <w:pPr>
              <w:spacing w:after="0" w:line="240" w:lineRule="auto"/>
              <w:ind w:firstLine="247"/>
              <w:jc w:val="both"/>
              <w:rPr>
                <w:rFonts w:ascii="Times New Roman" w:hAnsi="Times New Roman" w:cs="Times New Roman"/>
                <w:sz w:val="26"/>
                <w:szCs w:val="26"/>
              </w:rPr>
            </w:pPr>
          </w:p>
          <w:p w:rsidR="00074427" w:rsidRDefault="00074427">
            <w:pPr>
              <w:spacing w:after="0" w:line="240" w:lineRule="auto"/>
              <w:ind w:firstLine="247"/>
              <w:jc w:val="both"/>
              <w:rPr>
                <w:rFonts w:ascii="Times New Roman" w:hAnsi="Times New Roman" w:cs="Times New Roman"/>
                <w:sz w:val="26"/>
                <w:szCs w:val="26"/>
              </w:rPr>
            </w:pPr>
          </w:p>
          <w:p w:rsidR="00074427" w:rsidRDefault="00074427">
            <w:pPr>
              <w:spacing w:after="0" w:line="240" w:lineRule="auto"/>
              <w:ind w:firstLine="247"/>
              <w:jc w:val="both"/>
              <w:rPr>
                <w:rFonts w:ascii="Times New Roman" w:hAnsi="Times New Roman" w:cs="Times New Roman"/>
                <w:sz w:val="26"/>
                <w:szCs w:val="26"/>
              </w:rPr>
            </w:pP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 xml:space="preserve"> đây là vùng mà lực nhớt chi phối lực quán tính. Kết quả là, các dao động hỗn loạn bị giảm bớt và dòng năng lượng của các xoáy hỗn loạn không có trong vùng này. Các hạt 500 nm không thể khuếch tán qua lớp phụ nhớt này trong thời gian cư trú của chúng trong ống (khoảng 20 s) vì độ dịch chuyển trung bình của chúng do chuyển động Brown trong thời gian đó là 0,2 mm (xem hướng dẫn 27, Bảng 7.4) . </w:t>
            </w:r>
          </w:p>
          <w:p w:rsidR="00074427" w:rsidRDefault="00074427">
            <w:pPr>
              <w:spacing w:after="0" w:line="240" w:lineRule="auto"/>
              <w:ind w:firstLine="247"/>
              <w:jc w:val="both"/>
              <w:rPr>
                <w:rFonts w:ascii="Times New Roman" w:hAnsi="Times New Roman" w:cs="Times New Roman"/>
                <w:sz w:val="26"/>
                <w:szCs w:val="26"/>
              </w:rPr>
            </w:pP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highlight w:val="green"/>
              </w:rPr>
              <w:t>Do đó, tổn thất hạt chủ yếu xảy ra trong vùng trộn phản lực và trở nên không đáng kể về phía hạ lưu. Các mức độ hỗn loạn đo được, biểu đồ vận tốc trung bình và hình dạng của biểu đồ vận tốc rms chỉ ra rằng mặc dù số Reynolds dưới 2000, nhưng dòng chảy là hỗn loạn (dòng chảy cắm). Điều này đảm bảo rằng vận tốc qua các phễu lấy mẫu sol khí là gần như đồng nhất và lấy mẫu đẳng động học được đảm bảo với các dao động vận tốc khoảng 10%.</w:t>
            </w:r>
            <w:r>
              <w:rPr>
                <w:rFonts w:ascii="Times New Roman" w:hAnsi="Times New Roman" w:cs="Times New Roman"/>
                <w:sz w:val="26"/>
                <w:szCs w:val="26"/>
              </w:rPr>
              <w:t xml:space="preserve"> </w:t>
            </w:r>
          </w:p>
          <w:p w:rsidR="00074427" w:rsidRDefault="00074427">
            <w:pPr>
              <w:spacing w:after="0" w:line="240" w:lineRule="auto"/>
              <w:jc w:val="both"/>
              <w:rPr>
                <w:rFonts w:ascii="Times New Roman" w:hAnsi="Times New Roman" w:cs="Times New Roman"/>
                <w:sz w:val="26"/>
                <w:szCs w:val="26"/>
              </w:rPr>
            </w:pP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 xml:space="preserve">Tuy nhiên, một độ không đảm bảo đo nhỏ vẫn còn kể từ các phép đo gần đây về sự phân rã hỗn loạn trong dòng chảy của đường ống cho thấy rằng các xoáy, hoặc các luồng hỗn loạn, có thể phân rã theo thống kê thay vì tất cả với cùng một tốc độ. Hiệu ứng này không thể được ghi lại bằng các phép đo điểm hiện tại, như được giải thích trong mô tả đầu tiên của sự hỗn loạn phân rã trong dòng ống do Sibulkin báo cáo. </w:t>
            </w:r>
            <w:r w:rsidRPr="009A214C">
              <w:rPr>
                <w:rFonts w:ascii="Times New Roman" w:hAnsi="Times New Roman" w:cs="Times New Roman"/>
                <w:color w:val="FF0000"/>
                <w:sz w:val="26"/>
                <w:szCs w:val="26"/>
              </w:rPr>
              <w:t xml:space="preserve">Ở đây, cần phải lưu ý rằng sự biến thiên vận tốc trên mặt cắt lấy mẫu sẽ lớn hơn nếu hồ sơ dòng chảy là tầng (parabol). Ví dụ, </w:t>
            </w:r>
            <w:r w:rsidRPr="009A214C">
              <w:rPr>
                <w:rFonts w:ascii="Times New Roman" w:hAnsi="Times New Roman" w:cs="Times New Roman"/>
                <w:b/>
                <w:i/>
                <w:color w:val="FF0000"/>
                <w:sz w:val="26"/>
                <w:szCs w:val="26"/>
              </w:rPr>
              <w:t xml:space="preserve">đối với một DUT-OPC có tốc độ dòng chảy lấy mẫu là 60 L/min (bằng 1/3 tổng tốc độ dòng sol khí), diện tích của phễu lấy mẫu sẽ tương ứng với 1/3 tiết diện của ống dòng sol khí. </w:t>
            </w:r>
            <w:r w:rsidRPr="009A214C">
              <w:rPr>
                <w:rFonts w:ascii="Times New Roman" w:hAnsi="Times New Roman" w:cs="Times New Roman"/>
                <w:color w:val="FF0000"/>
                <w:sz w:val="26"/>
                <w:szCs w:val="26"/>
              </w:rPr>
              <w:t>Điều này sẽ dẫn đến sự chênh lệch vận tốc khoảng 33% giữa các hạt được lấy mẫu ở tâm và gần với ngoại vi của phễu. Sự khác biệt này sẽ trở thành 16% đối với OPC với tốc độ dòng chảy tiêu chuẩn là 1 cft / phút (28,3 L/min).</w:t>
            </w:r>
          </w:p>
        </w:tc>
      </w:tr>
      <w:tr w:rsidR="00074427">
        <w:tc>
          <w:tcPr>
            <w:tcW w:w="5305" w:type="dxa"/>
          </w:tcPr>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lastRenderedPageBreak/>
              <w:t>The detailed streamwise velocity profile shows that the gradient at the wall is by approximately a factor of two larger in the simulations compared to the measurements. This is probably due to the model’s inability to correctly capture the transition between the viscous sublayer and the turbulent boundary layer.</w:t>
            </w: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To check for a possible swirling flow, the LDV optics was rotated by 90° around the optical axis. A small swirl was observed in the test section, as illustrated in </w:t>
            </w:r>
            <w:hyperlink r:id="rId48" w:tooltip="Open Figure Viewer" w:history="1">
              <w:r>
                <w:rPr>
                  <w:rStyle w:val="Hyperlink"/>
                  <w:rFonts w:ascii="Times New Roman" w:hAnsi="Times New Roman" w:cs="Times New Roman"/>
                  <w:sz w:val="26"/>
                  <w:szCs w:val="26"/>
                </w:rPr>
                <w:t>Fig. 4</w:t>
              </w:r>
            </w:hyperlink>
            <w:r>
              <w:rPr>
                <w:rFonts w:ascii="Times New Roman" w:hAnsi="Times New Roman" w:cs="Times New Roman"/>
                <w:sz w:val="26"/>
                <w:szCs w:val="26"/>
              </w:rPr>
              <w:t xml:space="preserve">, with a maximum circumferential velocity of 0.02 m/s, which corresponds to around 15%–20% of the maximum streamwise velocity at the sampling position. By only supplying air to either the three mixing jets (3 times 20 l/min) or the top inlet (120 l/min) and measuring the circumferential velocity, it was found that the swirl resulted solely from the flow of the mixing jets. The reason might be imperfect alignment of the three jets and/or a slight discrepancy in the three flow rates. The flow is controlled by a single mass flow controller (MFC) and is then split and led </w:t>
            </w:r>
            <w:r>
              <w:rPr>
                <w:rFonts w:ascii="Times New Roman" w:hAnsi="Times New Roman" w:cs="Times New Roman"/>
                <w:sz w:val="26"/>
                <w:szCs w:val="26"/>
              </w:rPr>
              <w:lastRenderedPageBreak/>
              <w:t>through three filters, which may exhibit different pressure drops. However, this small swirl does not seem to compromise the performance of the facility in any way. As in the case for the streamwise velocity boundary layer, calculations including swirl show that swirl decays faster in the simulations compared to the measurements, again due to the larger momentum transfer as described above.</w:t>
            </w:r>
          </w:p>
        </w:tc>
        <w:tc>
          <w:tcPr>
            <w:tcW w:w="5400" w:type="dxa"/>
          </w:tcPr>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lastRenderedPageBreak/>
              <w:t>Lát</w:t>
            </w:r>
            <w:r>
              <w:rPr>
                <w:rFonts w:ascii="Times New Roman" w:hAnsi="Times New Roman" w:cs="Times New Roman"/>
                <w:sz w:val="26"/>
                <w:szCs w:val="26"/>
                <w:lang w:val="vi-VN"/>
              </w:rPr>
              <w:t xml:space="preserve"> cắt</w:t>
            </w:r>
            <w:r>
              <w:rPr>
                <w:rFonts w:ascii="Times New Roman" w:hAnsi="Times New Roman" w:cs="Times New Roman"/>
                <w:sz w:val="26"/>
                <w:szCs w:val="26"/>
              </w:rPr>
              <w:t xml:space="preserve"> vận tốc theo chiều dòng chảy chi tiết cho thấy rằng gradient tại bức tường lớn hơn xấp xỉ một hệ số hai trong các mô phỏng so với các phép đo. Điều này có thể là do mô hình không thể nắm bắt chính xác quá trình chuyển đổi giữa lớp phụ nhớt và lớp ranh giới hỗn loạn.</w:t>
            </w:r>
          </w:p>
          <w:p w:rsidR="00074427" w:rsidRDefault="00074427">
            <w:pPr>
              <w:spacing w:after="0" w:line="240" w:lineRule="auto"/>
              <w:ind w:firstLine="247"/>
              <w:jc w:val="both"/>
              <w:rPr>
                <w:rFonts w:ascii="Times New Roman" w:hAnsi="Times New Roman" w:cs="Times New Roman"/>
                <w:sz w:val="26"/>
                <w:szCs w:val="26"/>
              </w:rPr>
            </w:pPr>
          </w:p>
          <w:p w:rsidR="00074427" w:rsidRDefault="006919F7">
            <w:pPr>
              <w:spacing w:after="0" w:line="240" w:lineRule="auto"/>
              <w:ind w:firstLine="247"/>
              <w:jc w:val="both"/>
              <w:rPr>
                <w:rFonts w:ascii="Times New Roman" w:hAnsi="Times New Roman" w:cs="Times New Roman"/>
                <w:sz w:val="26"/>
                <w:szCs w:val="26"/>
              </w:rPr>
            </w:pPr>
            <w:r>
              <w:rPr>
                <w:rFonts w:ascii="Times New Roman" w:hAnsi="Times New Roman" w:cs="Times New Roman"/>
                <w:sz w:val="26"/>
                <w:szCs w:val="26"/>
              </w:rPr>
              <w:t xml:space="preserve">Để kiểm tra dòng xoáy có thể có, ống kính LDV đã được xoay 90 ° quanh trục quang học. Quan sát thấy một vòng xoáy nhỏ trong phần thử nghiệm, như được minh họa trong Hình 4, với vận tốc theo chu vi tối đa là 0,02 m/s, tương ứng với khoảng 15% –20% vận tốc theo chiều dòng lớn nhất tại vị trí lấy mẫu. </w:t>
            </w:r>
            <w:r>
              <w:rPr>
                <w:rFonts w:ascii="Times New Roman" w:hAnsi="Times New Roman" w:cs="Times New Roman"/>
                <w:sz w:val="26"/>
                <w:szCs w:val="26"/>
                <w:highlight w:val="cyan"/>
              </w:rPr>
              <w:t xml:space="preserve">Bằng cách chỉ cung cấp không khí cho ba vòi trộn (3 lần 20 L/min) hoặc đầu vào trên (120 L/min) và đo vận tốc chu vi, người ta thấy rằng xoáy chỉ là kết quả của dòng chảy của các vòi trộn. Lý do có thể là sự liên kết không hoàn hảo của ba air jets và / hoặc sự khác biệt nhỏ trong ba tốc độ dòng chảy. Dòng chảy được điều khiển bởi một bộ điều khiển lưu lượng khối lượng duy nhất (MFC), sau đó được tách và dẫn qua ba bộ lọc, có thể thể hiện các mức giảm áp suất khác nhau. Tuy nhiên, </w:t>
            </w:r>
            <w:r>
              <w:rPr>
                <w:rFonts w:ascii="Times New Roman" w:hAnsi="Times New Roman" w:cs="Times New Roman"/>
                <w:sz w:val="26"/>
                <w:szCs w:val="26"/>
                <w:highlight w:val="cyan"/>
              </w:rPr>
              <w:lastRenderedPageBreak/>
              <w:t>vòng xoáy nhỏ này dường như không làm ảnh hưởng đến hoạt động của cơ sở theo bất kỳ cách nào. Như trong trường hợp đối với lớp biên vận tốc theo chiều dòng chảy, các tính toán bao gồm xoáy cho thấy rằng xoáy phân rã nhanh hơn trong các mô phỏng so với các phép đo, một lần nữa do chuyển động lượng lớn hơn như mô tả ở trên.</w:t>
            </w:r>
          </w:p>
        </w:tc>
      </w:tr>
      <w:tr w:rsidR="00074427">
        <w:tc>
          <w:tcPr>
            <w:tcW w:w="5305" w:type="dxa"/>
          </w:tcPr>
          <w:p w:rsidR="00074427" w:rsidRDefault="006919F7">
            <w:pPr>
              <w:spacing w:after="0" w:line="240" w:lineRule="auto"/>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2693670" cy="2693670"/>
                  <wp:effectExtent l="0" t="0" r="0" b="0"/>
                  <wp:docPr id="5" name="Picture 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Figur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703941" cy="2703838"/>
                          </a:xfrm>
                          <a:prstGeom prst="rect">
                            <a:avLst/>
                          </a:prstGeom>
                          <a:noFill/>
                          <a:ln>
                            <a:noFill/>
                          </a:ln>
                        </pic:spPr>
                      </pic:pic>
                    </a:graphicData>
                  </a:graphic>
                </wp:inline>
              </w:drawing>
            </w:r>
          </w:p>
        </w:tc>
        <w:tc>
          <w:tcPr>
            <w:tcW w:w="5400" w:type="dxa"/>
          </w:tcPr>
          <w:p w:rsidR="00074427" w:rsidRDefault="006919F7">
            <w:pPr>
              <w:spacing w:after="0" w:line="240" w:lineRule="auto"/>
              <w:jc w:val="both"/>
              <w:rPr>
                <w:rFonts w:ascii="Times New Roman" w:hAnsi="Times New Roman" w:cs="Times New Roman"/>
                <w:sz w:val="26"/>
                <w:szCs w:val="26"/>
              </w:rPr>
            </w:pPr>
            <w:r>
              <w:rPr>
                <w:rFonts w:ascii="Times New Roman" w:hAnsi="Times New Roman" w:cs="Times New Roman"/>
                <w:sz w:val="26"/>
                <w:szCs w:val="26"/>
              </w:rPr>
              <w:t>Hình 4. Giá trị trung bình theo chu vi và vận tốc rms đo được tại vị trí C.</w:t>
            </w:r>
          </w:p>
        </w:tc>
      </w:tr>
      <w:tr w:rsidR="00074427">
        <w:tc>
          <w:tcPr>
            <w:tcW w:w="5305" w:type="dxa"/>
          </w:tcPr>
          <w:p w:rsidR="00074427" w:rsidRDefault="006919F7">
            <w:pPr>
              <w:spacing w:after="0" w:line="240" w:lineRule="auto"/>
              <w:ind w:firstLine="157"/>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B. Particle mixing characteristics</w:t>
            </w:r>
          </w:p>
          <w:p w:rsidR="00074427" w:rsidRDefault="00BB518E">
            <w:pPr>
              <w:spacing w:after="0" w:line="240" w:lineRule="auto"/>
              <w:ind w:firstLine="157"/>
              <w:jc w:val="both"/>
              <w:rPr>
                <w:rFonts w:ascii="Times New Roman" w:eastAsia="Times New Roman" w:hAnsi="Times New Roman" w:cs="Times New Roman"/>
                <w:color w:val="000000"/>
                <w:sz w:val="26"/>
                <w:szCs w:val="26"/>
              </w:rPr>
            </w:pPr>
            <w:hyperlink r:id="rId50" w:tooltip="Open Figure Viewer" w:history="1">
              <w:r w:rsidR="006919F7">
                <w:rPr>
                  <w:rFonts w:ascii="Times New Roman" w:eastAsia="Times New Roman" w:hAnsi="Times New Roman" w:cs="Times New Roman"/>
                  <w:color w:val="00AEEF"/>
                  <w:sz w:val="26"/>
                  <w:szCs w:val="26"/>
                </w:rPr>
                <w:t>Figure 5</w:t>
              </w:r>
            </w:hyperlink>
            <w:r w:rsidR="006919F7">
              <w:rPr>
                <w:rFonts w:ascii="Times New Roman" w:eastAsia="Times New Roman" w:hAnsi="Times New Roman" w:cs="Times New Roman"/>
                <w:color w:val="000000"/>
                <w:sz w:val="26"/>
                <w:szCs w:val="26"/>
              </w:rPr>
              <w:t> presents the measured particle concentration characteristics for the three downstream positions marked as A′, B′, and C′ in </w:t>
            </w:r>
            <w:hyperlink r:id="rId51" w:tooltip="Open Figure Viewer" w:history="1">
              <w:r w:rsidR="006919F7">
                <w:rPr>
                  <w:rFonts w:ascii="Times New Roman" w:eastAsia="Times New Roman" w:hAnsi="Times New Roman" w:cs="Times New Roman"/>
                  <w:color w:val="00AEEF"/>
                  <w:sz w:val="26"/>
                  <w:szCs w:val="26"/>
                </w:rPr>
                <w:t>Fig. 1</w:t>
              </w:r>
            </w:hyperlink>
            <w:r w:rsidR="006919F7">
              <w:rPr>
                <w:rFonts w:ascii="Times New Roman" w:eastAsia="Times New Roman" w:hAnsi="Times New Roman" w:cs="Times New Roman"/>
                <w:color w:val="000000"/>
                <w:sz w:val="26"/>
                <w:szCs w:val="26"/>
              </w:rPr>
              <w:t> for the case of the 500 nm and 3000 nm PSL particles and the polydisperse DEHS sol khí. The error bars denote the statistical uncertainty based on the number of sampled particles and amount typically to ±7% and ±0.5% for the PSL and DEHS sol khís, respectively. These uncertainties rely on the assumption of a random Poisson distribution and decrease with increasing particle number concentration. As noted in Subsection </w:t>
            </w:r>
            <w:hyperlink r:id="rId52" w:anchor="s3C" w:history="1">
              <w:r w:rsidR="006919F7">
                <w:rPr>
                  <w:rFonts w:ascii="Times New Roman" w:eastAsia="Times New Roman" w:hAnsi="Times New Roman" w:cs="Times New Roman"/>
                  <w:color w:val="00AEEF"/>
                  <w:sz w:val="26"/>
                  <w:szCs w:val="26"/>
                </w:rPr>
                <w:t>III C</w:t>
              </w:r>
            </w:hyperlink>
            <w:r w:rsidR="006919F7">
              <w:rPr>
                <w:rFonts w:ascii="Times New Roman" w:eastAsia="Times New Roman" w:hAnsi="Times New Roman" w:cs="Times New Roman"/>
                <w:color w:val="000000"/>
                <w:sz w:val="26"/>
                <w:szCs w:val="26"/>
              </w:rPr>
              <w:t>, the concentration of PSL particles ranged between 2 and 5 cm</w:t>
            </w:r>
            <w:r w:rsidR="006919F7">
              <w:rPr>
                <w:rFonts w:ascii="Times New Roman" w:eastAsia="Times New Roman" w:hAnsi="Times New Roman" w:cs="Times New Roman"/>
                <w:color w:val="000000"/>
                <w:sz w:val="26"/>
                <w:szCs w:val="26"/>
                <w:vertAlign w:val="superscript"/>
              </w:rPr>
              <w:t>−3</w:t>
            </w:r>
            <w:r w:rsidR="006919F7">
              <w:rPr>
                <w:rFonts w:ascii="Times New Roman" w:eastAsia="Times New Roman" w:hAnsi="Times New Roman" w:cs="Times New Roman"/>
                <w:color w:val="000000"/>
                <w:sz w:val="26"/>
                <w:szCs w:val="26"/>
              </w:rPr>
              <w:t>, while the concentration of DEHS particles was larger by three orders of magnitude.</w:t>
            </w:r>
          </w:p>
          <w:p w:rsidR="00074427" w:rsidRDefault="00074427">
            <w:pPr>
              <w:spacing w:after="0" w:line="240" w:lineRule="auto"/>
              <w:ind w:firstLine="157"/>
              <w:jc w:val="both"/>
              <w:rPr>
                <w:rFonts w:ascii="Times New Roman" w:eastAsia="Times New Roman" w:hAnsi="Times New Roman" w:cs="Times New Roman"/>
                <w:color w:val="000000"/>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noProof/>
                <w:sz w:val="26"/>
                <w:szCs w:val="26"/>
              </w:rPr>
              <w:lastRenderedPageBreak/>
              <w:drawing>
                <wp:inline distT="0" distB="0" distL="0" distR="0">
                  <wp:extent cx="3150870" cy="2817495"/>
                  <wp:effectExtent l="0" t="0" r="0" b="1905"/>
                  <wp:docPr id="6" name="Picture 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igure"/>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3154477" cy="2820628"/>
                          </a:xfrm>
                          <a:prstGeom prst="rect">
                            <a:avLst/>
                          </a:prstGeom>
                          <a:noFill/>
                          <a:ln>
                            <a:noFill/>
                          </a:ln>
                        </pic:spPr>
                      </pic:pic>
                    </a:graphicData>
                  </a:graphic>
                </wp:inline>
              </w:drawing>
            </w:r>
          </w:p>
        </w:tc>
        <w:tc>
          <w:tcPr>
            <w:tcW w:w="5400" w:type="dxa"/>
          </w:tcPr>
          <w:p w:rsidR="00074427" w:rsidRDefault="006919F7">
            <w:pPr>
              <w:spacing w:after="0" w:line="240" w:lineRule="auto"/>
              <w:ind w:firstLine="157"/>
              <w:jc w:val="both"/>
              <w:rPr>
                <w:rFonts w:ascii="Times New Roman" w:hAnsi="Times New Roman" w:cs="Times New Roman"/>
                <w:b/>
                <w:iCs/>
                <w:sz w:val="26"/>
                <w:szCs w:val="26"/>
              </w:rPr>
            </w:pPr>
            <w:r>
              <w:rPr>
                <w:rFonts w:ascii="Times New Roman" w:hAnsi="Times New Roman" w:cs="Times New Roman"/>
                <w:b/>
                <w:iCs/>
                <w:sz w:val="26"/>
                <w:szCs w:val="26"/>
              </w:rPr>
              <w:lastRenderedPageBreak/>
              <w:t>B. Đặc điểm trộn hạt</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Hình 5 trình bày các đặc điểm nồng độ hạt đo được cho ba vị trí hạ lưu được đánh dấu là A′, B′ và C′ trong Hình 1 đối với trường hợp của các hạt PSL 500 nm và 3000 nm và sol khí polydisperse DEHS. Các thanh sai</w:t>
            </w:r>
            <w:r>
              <w:rPr>
                <w:rFonts w:ascii="Times New Roman" w:hAnsi="Times New Roman" w:cs="Times New Roman"/>
                <w:sz w:val="26"/>
                <w:szCs w:val="26"/>
                <w:lang w:val="vi-VN"/>
              </w:rPr>
              <w:t xml:space="preserve"> số</w:t>
            </w:r>
            <w:r>
              <w:rPr>
                <w:rFonts w:ascii="Times New Roman" w:hAnsi="Times New Roman" w:cs="Times New Roman"/>
                <w:sz w:val="26"/>
                <w:szCs w:val="26"/>
              </w:rPr>
              <w:t xml:space="preserve"> biểu thị độ không đảm bảo đo thống kê dựa trên số lượng các hạt được lấy mẫu và số lượng thường là ± 7% và ± 0,5% đối với sol khí PSL và DEHS, tương ứng. Những độ không đảm bảo này dựa trên giả định về phân bố Poisson ngẫu nhiên và giảm khi nồng độ số hạt tăng lên. Như đã lưu ý trong Tiểu mục III C, nồng độ của các hạt PSL nằm trong khoảng từ 2 đến 5 cm-3, trong khi nồng độ của các hạt DEHS lớn hơn ba bậc độ lớn.</w:t>
            </w: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Hình 5. Tỷ lệ nồng độ hạt đo được vị trí / độ dày cho các loại và kích thước hạt khác nhau tại các vị trí theo chiều dòng chảy A′, B′, và C′ (xem Hình 1) tương ứng với (a) 1,7 m, (b) 2,4 m, và (c ) 3,0 m về phía hạ lưu của vị trí bơm sol khí, tương ứng. C</w:t>
            </w:r>
            <w:r>
              <w:rPr>
                <w:rFonts w:ascii="Times New Roman" w:hAnsi="Times New Roman" w:cs="Times New Roman"/>
                <w:sz w:val="26"/>
                <w:szCs w:val="26"/>
                <w:vertAlign w:val="subscript"/>
              </w:rPr>
              <w:t>reference</w:t>
            </w:r>
            <w:r>
              <w:rPr>
                <w:rFonts w:ascii="Times New Roman" w:hAnsi="Times New Roman" w:cs="Times New Roman"/>
                <w:sz w:val="26"/>
                <w:szCs w:val="26"/>
              </w:rPr>
              <w:t xml:space="preserve"> biểu thị nồng độ số dọc theo trục trung tâm của ống dòng (vị trí xuyên tâm = 0 mm), và C</w:t>
            </w:r>
            <w:r>
              <w:rPr>
                <w:rFonts w:ascii="Times New Roman" w:hAnsi="Times New Roman" w:cs="Times New Roman"/>
                <w:sz w:val="26"/>
                <w:szCs w:val="26"/>
                <w:vertAlign w:val="subscript"/>
              </w:rPr>
              <w:t>position</w:t>
            </w:r>
            <w:r>
              <w:rPr>
                <w:rFonts w:ascii="Times New Roman" w:hAnsi="Times New Roman" w:cs="Times New Roman"/>
                <w:sz w:val="26"/>
                <w:szCs w:val="26"/>
              </w:rPr>
              <w:t xml:space="preserve"> biểu thị nồng độ số tại các vị trí khác nhau dọc theo đường kính của ống (các vị trí xuyên tâm là −70 mm, −50 mm, −30 mm, −10 mm, 10 mm, 30 mm, 50 mm và 70 mm).</w:t>
            </w:r>
          </w:p>
        </w:tc>
      </w:tr>
      <w:tr w:rsidR="00074427">
        <w:tc>
          <w:tcPr>
            <w:tcW w:w="5305" w:type="dxa"/>
          </w:tcPr>
          <w:p w:rsidR="00074427" w:rsidRDefault="006919F7">
            <w:pPr>
              <w:spacing w:after="0" w:line="240" w:lineRule="auto"/>
              <w:ind w:firstLine="1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The measurements with 500 nm and 3000 nm PSL particles (positions B′ and C′) reveal that the sol khí is homogeneous within 4% and 6%, respectively, and imply that the sol khí mixing characteristics are largely independent of the particle size (in the examined size range). The more accurate measurements with DEHS particles indicate a homogeneity within 2.2% at position A′ which improves to 1.1% (95% confidence level) at the sampling position C′.</w:t>
            </w:r>
          </w:p>
          <w:p w:rsidR="00074427" w:rsidRDefault="00074427">
            <w:pPr>
              <w:spacing w:after="0" w:line="240" w:lineRule="auto"/>
              <w:ind w:firstLine="157"/>
              <w:jc w:val="both"/>
              <w:rPr>
                <w:rFonts w:ascii="Times New Roman" w:eastAsia="Times New Roman" w:hAnsi="Times New Roman" w:cs="Times New Roman"/>
                <w:color w:val="000000"/>
                <w:sz w:val="26"/>
                <w:szCs w:val="26"/>
              </w:rPr>
            </w:pPr>
          </w:p>
          <w:p w:rsidR="00074427" w:rsidRDefault="00074427">
            <w:pPr>
              <w:spacing w:after="0" w:line="240" w:lineRule="auto"/>
              <w:ind w:firstLine="157"/>
              <w:jc w:val="both"/>
              <w:rPr>
                <w:rFonts w:ascii="Times New Roman" w:eastAsia="Times New Roman" w:hAnsi="Times New Roman" w:cs="Times New Roman"/>
                <w:color w:val="000000"/>
                <w:sz w:val="26"/>
                <w:szCs w:val="26"/>
              </w:rPr>
            </w:pPr>
          </w:p>
          <w:p w:rsidR="00074427" w:rsidRDefault="00074427">
            <w:pPr>
              <w:spacing w:after="0" w:line="240" w:lineRule="auto"/>
              <w:ind w:firstLine="157"/>
              <w:jc w:val="both"/>
              <w:rPr>
                <w:rFonts w:ascii="Times New Roman" w:eastAsia="Times New Roman" w:hAnsi="Times New Roman" w:cs="Times New Roman"/>
                <w:color w:val="000000"/>
                <w:sz w:val="26"/>
                <w:szCs w:val="26"/>
              </w:rPr>
            </w:pPr>
          </w:p>
          <w:p w:rsidR="00074427" w:rsidRDefault="00074427">
            <w:pPr>
              <w:spacing w:after="0" w:line="240" w:lineRule="auto"/>
              <w:ind w:firstLine="157"/>
              <w:jc w:val="both"/>
              <w:rPr>
                <w:rFonts w:ascii="Times New Roman" w:eastAsia="Times New Roman" w:hAnsi="Times New Roman" w:cs="Times New Roman"/>
                <w:color w:val="000000"/>
                <w:sz w:val="26"/>
                <w:szCs w:val="26"/>
              </w:rPr>
            </w:pPr>
          </w:p>
          <w:p w:rsidR="00074427" w:rsidRDefault="00074427">
            <w:pPr>
              <w:spacing w:after="0" w:line="240" w:lineRule="auto"/>
              <w:ind w:firstLine="157"/>
              <w:jc w:val="both"/>
              <w:rPr>
                <w:rFonts w:ascii="Times New Roman" w:eastAsia="Times New Roman" w:hAnsi="Times New Roman" w:cs="Times New Roman"/>
                <w:color w:val="000000"/>
                <w:sz w:val="26"/>
                <w:szCs w:val="26"/>
              </w:rPr>
            </w:pPr>
          </w:p>
          <w:p w:rsidR="00074427" w:rsidRDefault="006919F7">
            <w:pPr>
              <w:spacing w:after="0" w:line="240" w:lineRule="auto"/>
              <w:ind w:firstLine="1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That the mixing is largely independent of the particle size is compatible with the concept of dispersion parameterized using the Stokes number (</w:t>
            </w:r>
            <w:r>
              <w:rPr>
                <w:rFonts w:ascii="Times New Roman" w:eastAsia="Times New Roman" w:hAnsi="Times New Roman" w:cs="Times New Roman"/>
                <w:i/>
                <w:iCs/>
                <w:color w:val="000000"/>
                <w:sz w:val="26"/>
                <w:szCs w:val="26"/>
              </w:rPr>
              <w:t>Stk</w:t>
            </w:r>
            <w:r>
              <w:rPr>
                <w:rFonts w:ascii="Times New Roman" w:eastAsia="Times New Roman" w:hAnsi="Times New Roman" w:cs="Times New Roman"/>
                <w:color w:val="000000"/>
                <w:sz w:val="26"/>
                <w:szCs w:val="26"/>
              </w:rPr>
              <w:t>). The latter is defined as the ratio of the particle relaxation time (</w:t>
            </w:r>
            <w:r>
              <w:rPr>
                <w:rFonts w:ascii="Times New Roman" w:eastAsia="Times New Roman" w:hAnsi="Times New Roman" w:cs="Times New Roman"/>
                <w:i/>
                <w:iCs/>
                <w:color w:val="000000"/>
                <w:sz w:val="26"/>
                <w:szCs w:val="26"/>
              </w:rPr>
              <w:t>τ</w:t>
            </w:r>
            <w:r>
              <w:rPr>
                <w:rFonts w:ascii="Times New Roman" w:eastAsia="Times New Roman" w:hAnsi="Times New Roman" w:cs="Times New Roman"/>
                <w:color w:val="000000"/>
                <w:sz w:val="26"/>
                <w:szCs w:val="26"/>
                <w:vertAlign w:val="subscript"/>
              </w:rPr>
              <w:t>p</w:t>
            </w:r>
            <w:r>
              <w:rPr>
                <w:rFonts w:ascii="Times New Roman" w:eastAsia="Times New Roman" w:hAnsi="Times New Roman" w:cs="Times New Roman"/>
                <w:color w:val="000000"/>
                <w:sz w:val="26"/>
                <w:szCs w:val="26"/>
              </w:rPr>
              <w:t>) to the fluid turbulence time scale (</w:t>
            </w:r>
            <w:r>
              <w:rPr>
                <w:rFonts w:ascii="Times New Roman" w:eastAsia="Times New Roman" w:hAnsi="Times New Roman" w:cs="Times New Roman"/>
                <w:i/>
                <w:iCs/>
                <w:color w:val="000000"/>
                <w:sz w:val="26"/>
                <w:szCs w:val="26"/>
              </w:rPr>
              <w:t>τ</w:t>
            </w:r>
            <w:r>
              <w:rPr>
                <w:rFonts w:ascii="Times New Roman" w:eastAsia="Times New Roman" w:hAnsi="Times New Roman" w:cs="Times New Roman"/>
                <w:color w:val="000000"/>
                <w:sz w:val="26"/>
                <w:szCs w:val="26"/>
                <w:vertAlign w:val="subscript"/>
              </w:rPr>
              <w:t>f</w:t>
            </w:r>
            <w:r>
              <w:rPr>
                <w:rFonts w:ascii="Times New Roman" w:eastAsia="Times New Roman" w:hAnsi="Times New Roman" w:cs="Times New Roman"/>
                <w:color w:val="000000"/>
                <w:sz w:val="26"/>
                <w:szCs w:val="26"/>
              </w:rPr>
              <w:t>) (Stk=τ</w:t>
            </w:r>
            <w:r>
              <w:rPr>
                <w:rFonts w:ascii="Times New Roman" w:eastAsia="Times New Roman" w:hAnsi="Times New Roman" w:cs="Times New Roman"/>
                <w:color w:val="000000"/>
                <w:sz w:val="26"/>
                <w:szCs w:val="26"/>
                <w:vertAlign w:val="subscript"/>
              </w:rPr>
              <w:t>p</w:t>
            </w:r>
            <w:r>
              <w:rPr>
                <w:rFonts w:ascii="Times New Roman" w:eastAsia="Times New Roman" w:hAnsi="Times New Roman" w:cs="Times New Roman"/>
                <w:color w:val="000000"/>
                <w:sz w:val="26"/>
                <w:szCs w:val="26"/>
              </w:rPr>
              <w:t>/τ</w:t>
            </w:r>
            <w:r>
              <w:rPr>
                <w:rFonts w:ascii="Times New Roman" w:eastAsia="Times New Roman" w:hAnsi="Times New Roman" w:cs="Times New Roman"/>
                <w:color w:val="000000"/>
                <w:sz w:val="26"/>
                <w:szCs w:val="26"/>
                <w:vertAlign w:val="subscript"/>
              </w:rPr>
              <w:t>f</w:t>
            </w:r>
            <w:hyperlink r:id="rId54" w:history="1">
              <w:r>
                <w:rPr>
                  <w:rFonts w:ascii="Times New Roman" w:eastAsia="Times New Roman" w:hAnsi="Times New Roman" w:cs="Times New Roman"/>
                  <w:color w:val="00AEEF"/>
                  <w:sz w:val="26"/>
                  <w:szCs w:val="26"/>
                  <w:u w:val="single"/>
                  <w:vertAlign w:val="superscript"/>
                </w:rPr>
                <w:t>30</w:t>
              </w:r>
            </w:hyperlink>
            <w:r>
              <w:rPr>
                <w:rFonts w:ascii="Times New Roman" w:eastAsia="Times New Roman" w:hAnsi="Times New Roman" w:cs="Times New Roman"/>
                <w:color w:val="000000"/>
                <w:sz w:val="26"/>
                <w:szCs w:val="26"/>
              </w:rPr>
              <w:t xml:space="preserve">). </w:t>
            </w:r>
          </w:p>
          <w:p w:rsidR="00074427" w:rsidRDefault="006919F7">
            <w:pPr>
              <w:spacing w:after="0" w:line="240" w:lineRule="auto"/>
              <w:ind w:firstLine="1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The particle relaxation time can be calculated according to equation</w:t>
            </w:r>
          </w:p>
          <w:p w:rsidR="00074427" w:rsidRDefault="006919F7">
            <w:pPr>
              <w:spacing w:after="0" w:line="240" w:lineRule="auto"/>
              <w:ind w:firstLine="157"/>
              <w:jc w:val="center"/>
              <w:rPr>
                <w:rFonts w:ascii="Times New Roman" w:hAnsi="Times New Roman" w:cs="Times New Roman"/>
                <w:sz w:val="26"/>
                <w:szCs w:val="26"/>
              </w:rPr>
            </w:pPr>
            <w:r>
              <w:rPr>
                <w:rFonts w:ascii="Times New Roman" w:hAnsi="Times New Roman" w:cs="Times New Roman"/>
                <w:sz w:val="26"/>
                <w:szCs w:val="26"/>
              </w:rPr>
              <w:t>τ</w:t>
            </w:r>
            <w:r>
              <w:rPr>
                <w:rFonts w:ascii="Times New Roman" w:hAnsi="Times New Roman" w:cs="Times New Roman"/>
                <w:sz w:val="26"/>
                <w:szCs w:val="26"/>
                <w:vertAlign w:val="subscript"/>
              </w:rPr>
              <w:t>p</w:t>
            </w:r>
            <w:r>
              <w:rPr>
                <w:rFonts w:ascii="Times New Roman" w:hAnsi="Times New Roman" w:cs="Times New Roman"/>
                <w:sz w:val="26"/>
                <w:szCs w:val="26"/>
              </w:rPr>
              <w:t xml:space="preserve">= </w:t>
            </w:r>
            <w:r>
              <w:rPr>
                <w:rFonts w:ascii="Times New Roman" w:hAnsi="Times New Roman" w:cs="Times New Roman"/>
                <w:i/>
                <w:iCs/>
                <w:sz w:val="26"/>
                <w:szCs w:val="26"/>
              </w:rPr>
              <w:t>ρd</w:t>
            </w:r>
            <w:r>
              <w:rPr>
                <w:rFonts w:ascii="Times New Roman" w:hAnsi="Times New Roman" w:cs="Times New Roman"/>
                <w:i/>
                <w:iCs/>
                <w:sz w:val="26"/>
                <w:szCs w:val="26"/>
                <w:vertAlign w:val="superscript"/>
              </w:rPr>
              <w:t>2</w:t>
            </w:r>
            <w:r>
              <w:rPr>
                <w:rFonts w:ascii="Times New Roman" w:hAnsi="Times New Roman" w:cs="Times New Roman"/>
                <w:i/>
                <w:iCs/>
                <w:sz w:val="26"/>
                <w:szCs w:val="26"/>
              </w:rPr>
              <w:t>/(18µ)</w:t>
            </w:r>
          </w:p>
        </w:tc>
        <w:tc>
          <w:tcPr>
            <w:tcW w:w="5400"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Các phép đo với các hạt PSL 500 nm và 3000 nm (vị trí B′ và C′) cho thấy rằng sol khí là đồng nhất trong phạm vi tương ứng là 4% và 6%, và ngụ ý rằng các đặc tính trộn của sol khí phần lớn không phụ thuộc vào kích thước hạt (trong phạm vi kích thước đã kiểm tra). Các phép đo chính xác hơn với các hạt DEHS cho thấy độ đồng nhất trong vòng 2,2% ở vị trí A′, cải thiện lên 1,1% (mức độ tin cậy 95%) ở vị trí lấy mẫu C′.</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highlight w:val="yellow"/>
              </w:rPr>
              <w:t>Số Stokes (Stk) là một số không có thứ nguyên đặc trưng cho hành vi của các hạt lơ lửng trong dòng chất lỏng. Số Stokes được định nghĩa là tỷ số giữa thời gian đặc trưng của một hạt (hoặc giọt) với thời gian đặc trưng của dòng chảy hoặc của chướng ngại vật</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 xml:space="preserve">Việc trộn phần lớn không phụ thuộc vào kích thước hạt tương thích với khái niệm phân tán được tham số hóa bằng cách sử dụng số Stokes (Stk). Tỷ lệ sau được định nghĩa là tỷ số giữa thời gian giãn hạt (τp) với thang thời gian hỗn loạn chất lỏng (τf) </w:t>
            </w:r>
            <w:r>
              <w:rPr>
                <w:rFonts w:ascii="Times New Roman" w:hAnsi="Times New Roman" w:cs="Times New Roman"/>
                <w:sz w:val="26"/>
                <w:szCs w:val="26"/>
                <w:highlight w:val="yellow"/>
              </w:rPr>
              <w:t>(Stk = τ</w:t>
            </w:r>
            <w:r>
              <w:rPr>
                <w:rFonts w:ascii="Times New Roman" w:hAnsi="Times New Roman" w:cs="Times New Roman"/>
                <w:sz w:val="26"/>
                <w:szCs w:val="26"/>
                <w:highlight w:val="yellow"/>
                <w:vertAlign w:val="subscript"/>
              </w:rPr>
              <w:t>p</w:t>
            </w:r>
            <w:r>
              <w:rPr>
                <w:rFonts w:ascii="Times New Roman" w:hAnsi="Times New Roman" w:cs="Times New Roman"/>
                <w:sz w:val="26"/>
                <w:szCs w:val="26"/>
                <w:highlight w:val="yellow"/>
              </w:rPr>
              <w:t>/τ</w:t>
            </w:r>
            <w:r>
              <w:rPr>
                <w:rFonts w:ascii="Times New Roman" w:hAnsi="Times New Roman" w:cs="Times New Roman"/>
                <w:sz w:val="26"/>
                <w:szCs w:val="26"/>
                <w:highlight w:val="yellow"/>
                <w:vertAlign w:val="subscript"/>
              </w:rPr>
              <w:t>f</w:t>
            </w:r>
            <w:r>
              <w:rPr>
                <w:rFonts w:ascii="Times New Roman" w:hAnsi="Times New Roman" w:cs="Times New Roman"/>
                <w:sz w:val="26"/>
                <w:szCs w:val="26"/>
                <w:highlight w:val="yellow"/>
              </w:rPr>
              <w:t>)</w:t>
            </w:r>
            <w:r>
              <w:rPr>
                <w:rFonts w:ascii="Times New Roman" w:hAnsi="Times New Roman" w:cs="Times New Roman"/>
                <w:sz w:val="26"/>
                <w:szCs w:val="26"/>
              </w:rPr>
              <w:t xml:space="preserve">. </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Thời gian thư giãn của hạt có thể được tính theo phương trình</w:t>
            </w:r>
          </w:p>
          <w:p w:rsidR="00074427" w:rsidRDefault="006919F7">
            <w:pPr>
              <w:spacing w:after="0" w:line="240" w:lineRule="auto"/>
              <w:ind w:firstLine="157"/>
              <w:jc w:val="center"/>
              <w:rPr>
                <w:rFonts w:ascii="Times New Roman" w:hAnsi="Times New Roman" w:cs="Times New Roman"/>
                <w:sz w:val="26"/>
                <w:szCs w:val="26"/>
              </w:rPr>
            </w:pPr>
            <w:r>
              <w:rPr>
                <w:rFonts w:ascii="Times New Roman" w:hAnsi="Times New Roman" w:cs="Times New Roman"/>
                <w:sz w:val="26"/>
                <w:szCs w:val="26"/>
              </w:rPr>
              <w:t>τ</w:t>
            </w:r>
            <w:r>
              <w:rPr>
                <w:rFonts w:ascii="Times New Roman" w:hAnsi="Times New Roman" w:cs="Times New Roman"/>
                <w:sz w:val="26"/>
                <w:szCs w:val="26"/>
                <w:vertAlign w:val="subscript"/>
              </w:rPr>
              <w:t>p</w:t>
            </w:r>
            <w:r>
              <w:rPr>
                <w:rFonts w:ascii="Times New Roman" w:hAnsi="Times New Roman" w:cs="Times New Roman"/>
                <w:sz w:val="26"/>
                <w:szCs w:val="26"/>
              </w:rPr>
              <w:t xml:space="preserve">= </w:t>
            </w:r>
            <w:r>
              <w:rPr>
                <w:rFonts w:ascii="Times New Roman" w:hAnsi="Times New Roman" w:cs="Times New Roman"/>
                <w:i/>
                <w:iCs/>
                <w:sz w:val="26"/>
                <w:szCs w:val="26"/>
              </w:rPr>
              <w:t>ρd</w:t>
            </w:r>
            <w:r>
              <w:rPr>
                <w:rFonts w:ascii="Times New Roman" w:hAnsi="Times New Roman" w:cs="Times New Roman"/>
                <w:i/>
                <w:iCs/>
                <w:sz w:val="26"/>
                <w:szCs w:val="26"/>
                <w:vertAlign w:val="superscript"/>
              </w:rPr>
              <w:t>2</w:t>
            </w:r>
            <w:r>
              <w:rPr>
                <w:rFonts w:ascii="Times New Roman" w:hAnsi="Times New Roman" w:cs="Times New Roman"/>
                <w:i/>
                <w:iCs/>
                <w:sz w:val="26"/>
                <w:szCs w:val="26"/>
              </w:rPr>
              <w:t>/(18µ)</w:t>
            </w:r>
          </w:p>
        </w:tc>
      </w:tr>
      <w:tr w:rsidR="00074427">
        <w:tc>
          <w:tcPr>
            <w:tcW w:w="5305" w:type="dxa"/>
          </w:tcPr>
          <w:p w:rsidR="00074427" w:rsidRDefault="006919F7">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where </w:t>
            </w:r>
            <w:r>
              <w:rPr>
                <w:rFonts w:ascii="Times New Roman" w:hAnsi="Times New Roman" w:cs="Times New Roman"/>
                <w:i/>
                <w:iCs/>
                <w:color w:val="000000"/>
                <w:sz w:val="26"/>
                <w:szCs w:val="26"/>
              </w:rPr>
              <w:t>ρ</w:t>
            </w:r>
            <w:r>
              <w:rPr>
                <w:rFonts w:ascii="Times New Roman" w:hAnsi="Times New Roman" w:cs="Times New Roman"/>
                <w:color w:val="000000"/>
                <w:sz w:val="26"/>
                <w:szCs w:val="26"/>
              </w:rPr>
              <w:t> designates the particle density, </w:t>
            </w:r>
            <w:r>
              <w:rPr>
                <w:rFonts w:ascii="Times New Roman" w:hAnsi="Times New Roman" w:cs="Times New Roman"/>
                <w:i/>
                <w:iCs/>
                <w:color w:val="000000"/>
                <w:sz w:val="26"/>
                <w:szCs w:val="26"/>
              </w:rPr>
              <w:t>d</w:t>
            </w:r>
            <w:r>
              <w:rPr>
                <w:rFonts w:ascii="Times New Roman" w:hAnsi="Times New Roman" w:cs="Times New Roman"/>
                <w:color w:val="000000"/>
                <w:sz w:val="26"/>
                <w:szCs w:val="26"/>
              </w:rPr>
              <w:t> designates the particle diameter, and </w:t>
            </w:r>
            <w:r>
              <w:rPr>
                <w:rFonts w:ascii="Times New Roman" w:hAnsi="Times New Roman" w:cs="Times New Roman"/>
                <w:i/>
                <w:iCs/>
                <w:color w:val="000000"/>
                <w:sz w:val="26"/>
                <w:szCs w:val="26"/>
              </w:rPr>
              <w:t>μ</w:t>
            </w:r>
            <w:r>
              <w:rPr>
                <w:rFonts w:ascii="Times New Roman" w:hAnsi="Times New Roman" w:cs="Times New Roman"/>
                <w:color w:val="000000"/>
                <w:sz w:val="26"/>
                <w:szCs w:val="26"/>
              </w:rPr>
              <w:t> designates the fluid viscosity. For the current PSL particles (density </w:t>
            </w:r>
            <w:r>
              <w:rPr>
                <w:rFonts w:ascii="Times New Roman" w:hAnsi="Times New Roman" w:cs="Times New Roman"/>
                <w:i/>
                <w:iCs/>
                <w:color w:val="000000"/>
                <w:sz w:val="26"/>
                <w:szCs w:val="26"/>
              </w:rPr>
              <w:t>ρ</w:t>
            </w:r>
            <w:r>
              <w:rPr>
                <w:rFonts w:ascii="Times New Roman" w:hAnsi="Times New Roman" w:cs="Times New Roman"/>
                <w:color w:val="000000"/>
                <w:sz w:val="26"/>
                <w:szCs w:val="26"/>
              </w:rPr>
              <w:t> = 1.05 g/cm</w:t>
            </w:r>
            <w:r>
              <w:rPr>
                <w:rFonts w:ascii="Times New Roman" w:hAnsi="Times New Roman" w:cs="Times New Roman"/>
                <w:color w:val="000000"/>
                <w:sz w:val="26"/>
                <w:szCs w:val="26"/>
                <w:vertAlign w:val="superscript"/>
              </w:rPr>
              <w:t>3</w:t>
            </w:r>
            <w:r>
              <w:rPr>
                <w:rFonts w:ascii="Times New Roman" w:hAnsi="Times New Roman" w:cs="Times New Roman"/>
                <w:color w:val="000000"/>
                <w:sz w:val="26"/>
                <w:szCs w:val="26"/>
              </w:rPr>
              <w:t>), </w:t>
            </w:r>
            <w:r>
              <w:rPr>
                <w:rFonts w:ascii="Times New Roman" w:hAnsi="Times New Roman" w:cs="Times New Roman"/>
                <w:i/>
                <w:iCs/>
                <w:color w:val="000000"/>
                <w:sz w:val="26"/>
                <w:szCs w:val="26"/>
              </w:rPr>
              <w:t>τ</w:t>
            </w:r>
            <w:r>
              <w:rPr>
                <w:rFonts w:ascii="Times New Roman" w:hAnsi="Times New Roman" w:cs="Times New Roman"/>
                <w:color w:val="000000"/>
                <w:sz w:val="26"/>
                <w:szCs w:val="26"/>
                <w:vertAlign w:val="subscript"/>
              </w:rPr>
              <w:t>p</w:t>
            </w:r>
            <w:r>
              <w:rPr>
                <w:rFonts w:ascii="Times New Roman" w:hAnsi="Times New Roman" w:cs="Times New Roman"/>
                <w:color w:val="000000"/>
                <w:sz w:val="26"/>
                <w:szCs w:val="26"/>
              </w:rPr>
              <w:t> is found to be 0.9 </w:t>
            </w:r>
            <w:r>
              <w:rPr>
                <w:rFonts w:ascii="Times New Roman" w:hAnsi="Times New Roman" w:cs="Times New Roman"/>
                <w:i/>
                <w:iCs/>
                <w:color w:val="000000"/>
                <w:sz w:val="26"/>
                <w:szCs w:val="26"/>
              </w:rPr>
              <w:t>µ</w:t>
            </w:r>
            <w:r>
              <w:rPr>
                <w:rFonts w:ascii="Times New Roman" w:hAnsi="Times New Roman" w:cs="Times New Roman"/>
                <w:color w:val="000000"/>
                <w:sz w:val="26"/>
                <w:szCs w:val="26"/>
              </w:rPr>
              <w:t>s, 33 </w:t>
            </w:r>
            <w:r>
              <w:rPr>
                <w:rFonts w:ascii="Times New Roman" w:hAnsi="Times New Roman" w:cs="Times New Roman"/>
                <w:i/>
                <w:iCs/>
                <w:color w:val="000000"/>
                <w:sz w:val="26"/>
                <w:szCs w:val="26"/>
              </w:rPr>
              <w:t>µ</w:t>
            </w:r>
            <w:r>
              <w:rPr>
                <w:rFonts w:ascii="Times New Roman" w:hAnsi="Times New Roman" w:cs="Times New Roman"/>
                <w:color w:val="000000"/>
                <w:sz w:val="26"/>
                <w:szCs w:val="26"/>
              </w:rPr>
              <w:t>s, and 0.37 ms for 500 nm, 3 </w:t>
            </w:r>
            <w:r>
              <w:rPr>
                <w:rFonts w:ascii="Times New Roman" w:hAnsi="Times New Roman" w:cs="Times New Roman"/>
                <w:i/>
                <w:iCs/>
                <w:color w:val="000000"/>
                <w:sz w:val="26"/>
                <w:szCs w:val="26"/>
              </w:rPr>
              <w:t>μ</w:t>
            </w:r>
            <w:r>
              <w:rPr>
                <w:rFonts w:ascii="Times New Roman" w:hAnsi="Times New Roman" w:cs="Times New Roman"/>
                <w:color w:val="000000"/>
                <w:sz w:val="26"/>
                <w:szCs w:val="26"/>
              </w:rPr>
              <w:t>m, and 10 </w:t>
            </w:r>
            <w:r>
              <w:rPr>
                <w:rFonts w:ascii="Times New Roman" w:hAnsi="Times New Roman" w:cs="Times New Roman"/>
                <w:i/>
                <w:iCs/>
                <w:color w:val="000000"/>
                <w:sz w:val="26"/>
                <w:szCs w:val="26"/>
              </w:rPr>
              <w:t>μ</w:t>
            </w:r>
            <w:r>
              <w:rPr>
                <w:rFonts w:ascii="Times New Roman" w:hAnsi="Times New Roman" w:cs="Times New Roman"/>
                <w:color w:val="000000"/>
                <w:sz w:val="26"/>
                <w:szCs w:val="26"/>
              </w:rPr>
              <w:t xml:space="preserve">m particles, respectively. The fluid turbulence time scale for </w:t>
            </w:r>
            <w:r>
              <w:rPr>
                <w:rFonts w:ascii="Times New Roman" w:hAnsi="Times New Roman" w:cs="Times New Roman"/>
                <w:color w:val="000000"/>
                <w:sz w:val="26"/>
                <w:szCs w:val="26"/>
              </w:rPr>
              <w:lastRenderedPageBreak/>
              <w:t>the vortex at the turbulent jet injection point [see </w:t>
            </w:r>
            <w:hyperlink r:id="rId55" w:tooltip="Open Figure Viewer" w:history="1">
              <w:r>
                <w:rPr>
                  <w:rFonts w:ascii="Times New Roman" w:hAnsi="Times New Roman" w:cs="Times New Roman"/>
                  <w:color w:val="00AEEF"/>
                  <w:sz w:val="26"/>
                  <w:szCs w:val="26"/>
                </w:rPr>
                <w:t>Fig. 2(b)</w:t>
              </w:r>
            </w:hyperlink>
            <w:r>
              <w:rPr>
                <w:rFonts w:ascii="Times New Roman" w:hAnsi="Times New Roman" w:cs="Times New Roman"/>
                <w:color w:val="000000"/>
                <w:sz w:val="26"/>
                <w:szCs w:val="26"/>
              </w:rPr>
              <w:t xml:space="preserve">] is estimated to be 350 ms based on the vortex circumference (around 0.65 m) and fluid velocity (downward 3 m/s and upward 0.7 m/s). </w:t>
            </w:r>
          </w:p>
          <w:p w:rsidR="00074427" w:rsidRDefault="006919F7">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Downstream in the turbulent pipe, </w:t>
            </w:r>
            <w:r>
              <w:rPr>
                <w:rFonts w:ascii="Times New Roman" w:hAnsi="Times New Roman" w:cs="Times New Roman"/>
                <w:i/>
                <w:iCs/>
                <w:color w:val="000000"/>
                <w:sz w:val="26"/>
                <w:szCs w:val="26"/>
              </w:rPr>
              <w:t>τ</w:t>
            </w:r>
            <w:r>
              <w:rPr>
                <w:rFonts w:ascii="Times New Roman" w:hAnsi="Times New Roman" w:cs="Times New Roman"/>
                <w:color w:val="000000"/>
                <w:sz w:val="26"/>
                <w:szCs w:val="26"/>
                <w:vertAlign w:val="subscript"/>
              </w:rPr>
              <w:t>f</w:t>
            </w:r>
            <w:r>
              <w:rPr>
                <w:rFonts w:ascii="Times New Roman" w:hAnsi="Times New Roman" w:cs="Times New Roman"/>
                <w:color w:val="000000"/>
                <w:sz w:val="26"/>
                <w:szCs w:val="26"/>
              </w:rPr>
              <w:t> is calculated to</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be τ</w:t>
            </w:r>
            <w:r>
              <w:rPr>
                <w:rFonts w:ascii="Times New Roman" w:hAnsi="Times New Roman" w:cs="Times New Roman"/>
                <w:color w:val="000000"/>
                <w:sz w:val="26"/>
                <w:szCs w:val="26"/>
                <w:vertAlign w:val="subscript"/>
              </w:rPr>
              <w:t>f</w:t>
            </w:r>
            <w:r>
              <w:rPr>
                <w:rFonts w:ascii="Times New Roman" w:hAnsi="Times New Roman" w:cs="Times New Roman"/>
                <w:color w:val="000000"/>
                <w:sz w:val="26"/>
                <w:szCs w:val="26"/>
                <w:vertAlign w:val="subscript"/>
                <w:lang w:val="vi-VN"/>
              </w:rPr>
              <w:t xml:space="preserve"> </w:t>
            </w:r>
            <w:r>
              <w:rPr>
                <w:rFonts w:ascii="Times New Roman" w:hAnsi="Times New Roman" w:cs="Times New Roman"/>
                <w:color w:val="000000"/>
                <w:sz w:val="26"/>
                <w:szCs w:val="26"/>
              </w:rPr>
              <w:t>=</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L/U</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80</w:t>
            </w:r>
            <w:r>
              <w:rPr>
                <w:rFonts w:ascii="Times New Roman" w:eastAsia="Arial Unicode MS" w:hAnsi="Times New Roman" w:cs="Times New Roman"/>
                <w:color w:val="000000"/>
                <w:sz w:val="26"/>
                <w:szCs w:val="26"/>
              </w:rPr>
              <w:t> </w:t>
            </w:r>
            <w:r>
              <w:rPr>
                <w:rFonts w:ascii="Times New Roman" w:hAnsi="Times New Roman" w:cs="Times New Roman"/>
                <w:color w:val="000000"/>
                <w:sz w:val="26"/>
                <w:szCs w:val="26"/>
              </w:rPr>
              <w:t>mm/</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0.2</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(m/s)</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w:t>
            </w:r>
            <w:r>
              <w:rPr>
                <w:rFonts w:ascii="Times New Roman" w:hAnsi="Times New Roman" w:cs="Times New Roman"/>
                <w:color w:val="000000"/>
                <w:sz w:val="26"/>
                <w:szCs w:val="26"/>
                <w:lang w:val="vi-VN"/>
              </w:rPr>
              <w:t xml:space="preserve"> </w:t>
            </w:r>
            <w:r>
              <w:rPr>
                <w:rFonts w:ascii="Times New Roman" w:hAnsi="Times New Roman" w:cs="Times New Roman"/>
                <w:color w:val="000000"/>
                <w:sz w:val="26"/>
                <w:szCs w:val="26"/>
              </w:rPr>
              <w:t>400</w:t>
            </w:r>
            <w:r>
              <w:rPr>
                <w:rFonts w:ascii="Times New Roman" w:hAnsi="Times New Roman" w:cs="Times New Roman"/>
                <w:color w:val="000000"/>
                <w:sz w:val="26"/>
                <w:szCs w:val="26"/>
                <w:lang w:val="vi-VN"/>
              </w:rPr>
              <w:t xml:space="preserve"> </w:t>
            </w:r>
            <w:r>
              <w:rPr>
                <w:rFonts w:ascii="Times New Roman" w:eastAsia="Arial Unicode MS" w:hAnsi="Times New Roman" w:cs="Times New Roman"/>
                <w:color w:val="000000"/>
                <w:sz w:val="26"/>
                <w:szCs w:val="26"/>
              </w:rPr>
              <w:t>ms</w:t>
            </w:r>
            <w:r>
              <w:rPr>
                <w:rFonts w:ascii="Times New Roman" w:hAnsi="Times New Roman" w:cs="Times New Roman"/>
                <w:color w:val="000000"/>
                <w:sz w:val="26"/>
                <w:szCs w:val="26"/>
              </w:rPr>
              <w:t>. Since even the largest vortices are expected to be smaller than the tube diameter, </w:t>
            </w:r>
            <w:r>
              <w:rPr>
                <w:rFonts w:ascii="Times New Roman" w:hAnsi="Times New Roman" w:cs="Times New Roman"/>
                <w:i/>
                <w:iCs/>
                <w:color w:val="000000"/>
                <w:sz w:val="26"/>
                <w:szCs w:val="26"/>
              </w:rPr>
              <w:t>L</w:t>
            </w:r>
            <w:r>
              <w:rPr>
                <w:rFonts w:ascii="Times New Roman" w:hAnsi="Times New Roman" w:cs="Times New Roman"/>
                <w:color w:val="000000"/>
                <w:sz w:val="26"/>
                <w:szCs w:val="26"/>
              </w:rPr>
              <w:t> denotes here the radius (instead of the diameter) of the flow tube and </w:t>
            </w:r>
            <w:r>
              <w:rPr>
                <w:rFonts w:ascii="Times New Roman" w:hAnsi="Times New Roman" w:cs="Times New Roman"/>
                <w:i/>
                <w:iCs/>
                <w:color w:val="000000"/>
                <w:sz w:val="26"/>
                <w:szCs w:val="26"/>
              </w:rPr>
              <w:t>U</w:t>
            </w:r>
            <w:r>
              <w:rPr>
                <w:rFonts w:ascii="Times New Roman" w:hAnsi="Times New Roman" w:cs="Times New Roman"/>
                <w:color w:val="000000"/>
                <w:sz w:val="26"/>
                <w:szCs w:val="26"/>
              </w:rPr>
              <w:t> denotes the bulk velocity of the air. It is known that particle dispersion is equal to that of the fluid for very small Stokes numbers &lt;0.01.</w:t>
            </w:r>
          </w:p>
          <w:p w:rsidR="00074427" w:rsidRDefault="006919F7">
            <w:pPr>
              <w:spacing w:after="0" w:line="240"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This is the case for all particle sizes considered in this work with </w:t>
            </w:r>
            <w:r>
              <w:rPr>
                <w:rFonts w:ascii="Times New Roman" w:hAnsi="Times New Roman" w:cs="Times New Roman"/>
                <w:i/>
                <w:iCs/>
                <w:color w:val="000000"/>
                <w:sz w:val="26"/>
                <w:szCs w:val="26"/>
              </w:rPr>
              <w:t>Stk</w:t>
            </w:r>
            <w:r>
              <w:rPr>
                <w:rFonts w:ascii="Times New Roman" w:hAnsi="Times New Roman" w:cs="Times New Roman"/>
                <w:color w:val="000000"/>
                <w:sz w:val="26"/>
                <w:szCs w:val="26"/>
              </w:rPr>
              <w:t> ranging from 2.5 × 10</w:t>
            </w:r>
            <w:r>
              <w:rPr>
                <w:rFonts w:ascii="Times New Roman" w:hAnsi="Times New Roman" w:cs="Times New Roman"/>
                <w:color w:val="000000"/>
                <w:sz w:val="26"/>
                <w:szCs w:val="26"/>
                <w:vertAlign w:val="superscript"/>
              </w:rPr>
              <w:t>−6</w:t>
            </w:r>
            <w:r>
              <w:rPr>
                <w:rFonts w:ascii="Times New Roman" w:hAnsi="Times New Roman" w:cs="Times New Roman"/>
                <w:color w:val="000000"/>
                <w:sz w:val="26"/>
                <w:szCs w:val="26"/>
              </w:rPr>
              <w:t> to 0.001. Gravitational settling leads to drift that might reduce dispersion, but the drift is negligible in our case due to the small drift velocity ≤3.6 mm/s (estimated as </w:t>
            </w:r>
            <w:r>
              <w:rPr>
                <w:rFonts w:ascii="Times New Roman" w:hAnsi="Times New Roman" w:cs="Times New Roman"/>
                <w:i/>
                <w:iCs/>
                <w:color w:val="000000"/>
                <w:sz w:val="26"/>
                <w:szCs w:val="26"/>
              </w:rPr>
              <w:t>τ</w:t>
            </w:r>
            <w:r>
              <w:rPr>
                <w:rFonts w:ascii="Times New Roman" w:hAnsi="Times New Roman" w:cs="Times New Roman"/>
                <w:color w:val="000000"/>
                <w:sz w:val="26"/>
                <w:szCs w:val="26"/>
                <w:vertAlign w:val="subscript"/>
              </w:rPr>
              <w:t>p</w:t>
            </w:r>
            <w:r>
              <w:rPr>
                <w:rFonts w:ascii="Times New Roman" w:hAnsi="Times New Roman" w:cs="Times New Roman"/>
                <w:color w:val="000000"/>
                <w:sz w:val="26"/>
                <w:szCs w:val="26"/>
              </w:rPr>
              <w:t> = 0.37 ms for 10 </w:t>
            </w:r>
            <w:r>
              <w:rPr>
                <w:rFonts w:ascii="Times New Roman" w:hAnsi="Times New Roman" w:cs="Times New Roman"/>
                <w:i/>
                <w:iCs/>
                <w:color w:val="000000"/>
                <w:sz w:val="26"/>
                <w:szCs w:val="26"/>
              </w:rPr>
              <w:t>μ</w:t>
            </w:r>
            <w:r>
              <w:rPr>
                <w:rFonts w:ascii="Times New Roman" w:hAnsi="Times New Roman" w:cs="Times New Roman"/>
                <w:color w:val="000000"/>
                <w:sz w:val="26"/>
                <w:szCs w:val="26"/>
              </w:rPr>
              <w:t>m PSL particles multiplied with the gravitational acceleration </w:t>
            </w:r>
            <w:r>
              <w:rPr>
                <w:rFonts w:ascii="Times New Roman" w:hAnsi="Times New Roman" w:cs="Times New Roman"/>
                <w:i/>
                <w:iCs/>
                <w:color w:val="000000"/>
                <w:sz w:val="26"/>
                <w:szCs w:val="26"/>
              </w:rPr>
              <w:t>g</w:t>
            </w:r>
            <w:r>
              <w:rPr>
                <w:rFonts w:ascii="Times New Roman" w:hAnsi="Times New Roman" w:cs="Times New Roman"/>
                <w:color w:val="000000"/>
                <w:sz w:val="26"/>
                <w:szCs w:val="26"/>
              </w:rPr>
              <w:t> = 9.81 m/s</w:t>
            </w:r>
            <w:r>
              <w:rPr>
                <w:rFonts w:ascii="Times New Roman" w:hAnsi="Times New Roman" w:cs="Times New Roman"/>
                <w:color w:val="000000"/>
                <w:sz w:val="26"/>
                <w:szCs w:val="26"/>
                <w:vertAlign w:val="superscript"/>
              </w:rPr>
              <w:t>2</w:t>
            </w:r>
            <w:r>
              <w:rPr>
                <w:rFonts w:ascii="Times New Roman" w:hAnsi="Times New Roman" w:cs="Times New Roman"/>
                <w:color w:val="000000"/>
                <w:sz w:val="26"/>
                <w:szCs w:val="26"/>
              </w:rPr>
              <w:t>). The gravitational settling is so small that it neither reduces the interaction time with the turbulent vortices nor reduces the residence time in the flow tube considerably.</w:t>
            </w:r>
          </w:p>
        </w:tc>
        <w:tc>
          <w:tcPr>
            <w:tcW w:w="5400"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trong đó</w:t>
            </w:r>
            <w:r>
              <w:rPr>
                <w:rFonts w:ascii="Times New Roman" w:hAnsi="Times New Roman" w:cs="Times New Roman"/>
                <w:sz w:val="26"/>
                <w:szCs w:val="26"/>
                <w:lang w:val="vi-VN"/>
              </w:rPr>
              <w:t>:</w:t>
            </w:r>
            <w:r>
              <w:rPr>
                <w:rFonts w:ascii="Times New Roman" w:hAnsi="Times New Roman" w:cs="Times New Roman"/>
                <w:sz w:val="26"/>
                <w:szCs w:val="26"/>
              </w:rPr>
              <w:t xml:space="preserve"> ρ chỉ mật độ hạt, d chỉ đường kính hạt và μ chỉ độ nhớt chất lỏng. Đối với các hạt PSL hiện tại (mật độ ρ = 1,05 g</w:t>
            </w:r>
            <w:r>
              <w:rPr>
                <w:rFonts w:ascii="Times New Roman" w:hAnsi="Times New Roman" w:cs="Times New Roman"/>
                <w:sz w:val="26"/>
                <w:szCs w:val="26"/>
                <w:lang w:val="vi-VN"/>
              </w:rPr>
              <w:t>/</w:t>
            </w:r>
            <w:r>
              <w:rPr>
                <w:rFonts w:ascii="Times New Roman" w:hAnsi="Times New Roman" w:cs="Times New Roman"/>
                <w:sz w:val="26"/>
                <w:szCs w:val="26"/>
              </w:rPr>
              <w:t>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τp được tìm thấy lần lượt là 0,9 µs, 33 µs và 0,37 ms cho các hạt 500 nm, 3 μm và 10 μm, tương ứng. Thang đo thời gian hỗn loạn chất lỏng cho dòng xoáy tại điểm phun tia hỗn loạn [xem Hình 2 (b)] được ước tính </w:t>
            </w:r>
            <w:r>
              <w:rPr>
                <w:rFonts w:ascii="Times New Roman" w:hAnsi="Times New Roman" w:cs="Times New Roman"/>
                <w:sz w:val="26"/>
                <w:szCs w:val="26"/>
              </w:rPr>
              <w:lastRenderedPageBreak/>
              <w:t xml:space="preserve">là 350 ms dựa trên chu vi xoáy (khoảng 0,65 m) và vận tốc chất lỏng (đi xuống 3 m/s và hướng lên 0,7 m/s). </w:t>
            </w: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Ở hạ lưu trong đường ống nhiễu loạn, τ</w:t>
            </w:r>
            <w:r>
              <w:rPr>
                <w:rFonts w:ascii="Times New Roman" w:hAnsi="Times New Roman" w:cs="Times New Roman"/>
                <w:sz w:val="26"/>
                <w:szCs w:val="26"/>
                <w:vertAlign w:val="subscript"/>
              </w:rPr>
              <w:t>f</w:t>
            </w:r>
            <w:r>
              <w:rPr>
                <w:rFonts w:ascii="Times New Roman" w:hAnsi="Times New Roman" w:cs="Times New Roman"/>
                <w:sz w:val="26"/>
                <w:szCs w:val="26"/>
              </w:rPr>
              <w:t xml:space="preserve"> được tính là </w:t>
            </w:r>
            <w:r>
              <w:rPr>
                <w:rFonts w:ascii="Times New Roman" w:hAnsi="Times New Roman" w:cs="Times New Roman"/>
                <w:sz w:val="26"/>
                <w:szCs w:val="26"/>
                <w:highlight w:val="yellow"/>
              </w:rPr>
              <w:t>τ</w:t>
            </w:r>
            <w:r>
              <w:rPr>
                <w:rFonts w:ascii="Times New Roman" w:hAnsi="Times New Roman" w:cs="Times New Roman"/>
                <w:sz w:val="26"/>
                <w:szCs w:val="26"/>
                <w:highlight w:val="yellow"/>
                <w:vertAlign w:val="subscript"/>
              </w:rPr>
              <w:t>f</w:t>
            </w:r>
            <w:r>
              <w:rPr>
                <w:rFonts w:ascii="Times New Roman" w:hAnsi="Times New Roman" w:cs="Times New Roman"/>
                <w:sz w:val="26"/>
                <w:szCs w:val="26"/>
                <w:highlight w:val="yellow"/>
              </w:rPr>
              <w:t>=L/U</w:t>
            </w:r>
            <w:r>
              <w:rPr>
                <w:rFonts w:ascii="Times New Roman" w:hAnsi="Times New Roman" w:cs="Times New Roman"/>
                <w:sz w:val="26"/>
                <w:szCs w:val="26"/>
              </w:rPr>
              <w:t>=80</w:t>
            </w:r>
            <w:r>
              <w:rPr>
                <w:rFonts w:ascii="Times New Roman" w:hAnsi="Times New Roman" w:cs="Times New Roman" w:hint="eastAsia"/>
                <w:sz w:val="26"/>
                <w:szCs w:val="26"/>
              </w:rPr>
              <w:t> </w:t>
            </w:r>
            <w:r>
              <w:rPr>
                <w:rFonts w:ascii="Times New Roman" w:hAnsi="Times New Roman" w:cs="Times New Roman"/>
                <w:sz w:val="26"/>
                <w:szCs w:val="26"/>
              </w:rPr>
              <w:t xml:space="preserve">mm/0.2(m/s)=400ms. Vì ngay cả những xoáy lớn nhất cũng nhỏ hơn đường kính ống, ở đây L biểu thị bán kính (thay vì đường kính) của ống dòng và U biểu thị vận tốc khối của không khí. Người ta cho rằng độ phân tán của hạt bằng độ phân tán của chất lưu đối với số Stokes rất nhỏ &lt;0,01. </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Đây là trường hợp cho tất cả các kích thước hạt được xem xét trong nghiên cứu này với Stk nằm trong khoảng từ 2,5 × 10−6 đến 0,001. Sự lắng đọng trọng trường dẫn đến sự trôi dạt có thể làm giảm sự phân tán, nhưng sự trôi dạt là không đáng kể trong trường hợp của chúng tôi do vận tốc trôi nhỏ ≤</w:t>
            </w:r>
            <w:r>
              <w:rPr>
                <w:rFonts w:ascii="Times New Roman" w:hAnsi="Times New Roman" w:cs="Times New Roman"/>
                <w:sz w:val="26"/>
                <w:szCs w:val="26"/>
                <w:lang w:val="vi-VN"/>
              </w:rPr>
              <w:t xml:space="preserve"> </w:t>
            </w:r>
            <w:r>
              <w:rPr>
                <w:rFonts w:ascii="Times New Roman" w:hAnsi="Times New Roman" w:cs="Times New Roman"/>
                <w:sz w:val="26"/>
                <w:szCs w:val="26"/>
              </w:rPr>
              <w:t>3,6 mm/s (ước tính là τp = 0,37 ms cho các hạt PSL 10 μm nhân với gia tốc trọng trường g = 9,81 m/s</w:t>
            </w:r>
            <w:r>
              <w:rPr>
                <w:rFonts w:ascii="Times New Roman" w:hAnsi="Times New Roman" w:cs="Times New Roman"/>
                <w:sz w:val="26"/>
                <w:szCs w:val="26"/>
                <w:vertAlign w:val="superscript"/>
              </w:rPr>
              <w:t>2</w:t>
            </w:r>
            <w:r>
              <w:rPr>
                <w:rFonts w:ascii="Times New Roman" w:hAnsi="Times New Roman" w:cs="Times New Roman"/>
                <w:sz w:val="26"/>
                <w:szCs w:val="26"/>
              </w:rPr>
              <w:t>). Sự lắng đọng hấp dẫn rất nhỏ nên nó không làm giảm thời gian tương tác với các xoáy hỗn loạn cũng như không làm giảm đáng kể thời gian cư trú trong ống dòng chảy.</w:t>
            </w:r>
          </w:p>
        </w:tc>
      </w:tr>
      <w:tr w:rsidR="00074427">
        <w:tc>
          <w:tcPr>
            <w:tcW w:w="5305"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COMSOL simulations predicted perfect mixing already within the first 0.5–1.0 m downstream of the sol khí injection point. Some uncertainties remain, however, in the model due to the fairly coarse grid around the injection pipes, leading to overestimation of the turbulence and enhanced mixing in the simulations. Additionally, the flow might be dominated by large meandering rather than by fully developed turbulent structures.</w:t>
            </w:r>
            <w:hyperlink r:id="rId56" w:history="1">
              <w:r>
                <w:rPr>
                  <w:rStyle w:val="Hyperlink"/>
                  <w:rFonts w:ascii="Times New Roman" w:hAnsi="Times New Roman" w:cs="Times New Roman"/>
                  <w:sz w:val="26"/>
                  <w:szCs w:val="26"/>
                  <w:vertAlign w:val="superscript"/>
                </w:rPr>
                <w:t>31</w:t>
              </w:r>
            </w:hyperlink>
            <w:r>
              <w:rPr>
                <w:rFonts w:ascii="Times New Roman" w:hAnsi="Times New Roman" w:cs="Times New Roman"/>
                <w:sz w:val="26"/>
                <w:szCs w:val="26"/>
              </w:rPr>
              <w:t> Such structures would not mix the particles as turbulent structures, which lead to larger dispersion. We could not, however, confirm the mixing characteristics experimentally so close to the sol khí injection point. This would require inserting in the flow tube sampling pipes longer than 2 m. Since the outlet of the flow tube is situated approximately 1.7 m above the floor, such a test was technically impossible to perform.</w:t>
            </w:r>
          </w:p>
        </w:tc>
        <w:tc>
          <w:tcPr>
            <w:tcW w:w="5400"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 xml:space="preserve">Mô phỏng COMSOL dự đoán sự pha trộn hoàn hảo đã có trong </w:t>
            </w:r>
            <w:r>
              <w:rPr>
                <w:rFonts w:ascii="Times New Roman" w:hAnsi="Times New Roman" w:cs="Times New Roman"/>
                <w:sz w:val="26"/>
                <w:szCs w:val="26"/>
                <w:lang w:val="vi-VN"/>
              </w:rPr>
              <w:t>(</w:t>
            </w:r>
            <w:r>
              <w:rPr>
                <w:rFonts w:ascii="Times New Roman" w:hAnsi="Times New Roman" w:cs="Times New Roman"/>
                <w:sz w:val="26"/>
                <w:szCs w:val="26"/>
              </w:rPr>
              <w:t>0,5</w:t>
            </w:r>
            <w:r>
              <w:rPr>
                <w:rFonts w:ascii="Times New Roman" w:hAnsi="Times New Roman" w:cs="Times New Roman"/>
                <w:sz w:val="26"/>
                <w:szCs w:val="26"/>
                <w:lang w:val="vi-VN"/>
              </w:rPr>
              <w:t xml:space="preserve"> - </w:t>
            </w:r>
            <w:r>
              <w:rPr>
                <w:rFonts w:ascii="Times New Roman" w:hAnsi="Times New Roman" w:cs="Times New Roman"/>
                <w:sz w:val="26"/>
                <w:szCs w:val="26"/>
              </w:rPr>
              <w:t>1,0</w:t>
            </w:r>
            <w:r>
              <w:rPr>
                <w:rFonts w:ascii="Times New Roman" w:hAnsi="Times New Roman" w:cs="Times New Roman"/>
                <w:sz w:val="26"/>
                <w:szCs w:val="26"/>
                <w:lang w:val="vi-VN"/>
              </w:rPr>
              <w:t>)</w:t>
            </w:r>
            <w:r>
              <w:rPr>
                <w:rFonts w:ascii="Times New Roman" w:hAnsi="Times New Roman" w:cs="Times New Roman"/>
                <w:sz w:val="26"/>
                <w:szCs w:val="26"/>
              </w:rPr>
              <w:t xml:space="preserve"> m đầu tiên về phía hạ lưu của điểm phun sol khí. Tuy nhiên, một số điểm không chắc chắn vẫn còn trong mô hình do lưới khá thô xung quanh các đường ống phun, dẫn đến việc đánh giá quá mức độ hỗn loạn và tăng cường sự trộn lẫn trong mô phỏng. Ngoài ra, dòng chảy có thể bị chi phối bởi sự uốn khúc lớn hơn là bởi các cấu trúc hỗn loạn phát triển đầy đủ. Các cấu trúc như vậy sẽ không trộn lẫn các hạt như cấu trúc hỗn loạn, dẫn đến sự phân tán lớn hơn. Tuy nhiên, chúng tôi không thể xác nhận các đặc tính trộn bằng thực nghiệm quá gần với điểm phun sol khí. Điều này sẽ yêu cầu chèn các ống lấy mẫu ống dòng chảy dài hơn 2 m. Vì đầu ra của ống dòng chảy nằm cao hơn mặt sàn khoảng 1,7 m, nên về mặt kỹ thuật, một thử nghiệm như vậy là không thể thực hiện được. </w:t>
            </w:r>
          </w:p>
          <w:p w:rsidR="00074427" w:rsidRDefault="00074427">
            <w:pPr>
              <w:spacing w:after="0" w:line="240" w:lineRule="auto"/>
              <w:ind w:firstLine="157"/>
              <w:jc w:val="both"/>
              <w:rPr>
                <w:rFonts w:ascii="Times New Roman" w:hAnsi="Times New Roman" w:cs="Times New Roman"/>
                <w:sz w:val="26"/>
                <w:szCs w:val="26"/>
              </w:rPr>
            </w:pPr>
          </w:p>
        </w:tc>
      </w:tr>
      <w:tr w:rsidR="00074427">
        <w:tc>
          <w:tcPr>
            <w:tcW w:w="5305"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lastRenderedPageBreak/>
              <w:t>V. METROLOGICAL ASSESSMENT AND VALIDATION</w:t>
            </w:r>
          </w:p>
          <w:p w:rsidR="00074427" w:rsidRDefault="006919F7">
            <w:pPr>
              <w:spacing w:after="0" w:line="240" w:lineRule="auto"/>
              <w:ind w:firstLine="157"/>
              <w:jc w:val="both"/>
              <w:rPr>
                <w:rFonts w:ascii="Times New Roman" w:hAnsi="Times New Roman" w:cs="Times New Roman"/>
                <w:b/>
                <w:i/>
                <w:sz w:val="26"/>
                <w:szCs w:val="26"/>
              </w:rPr>
            </w:pPr>
            <w:r>
              <w:rPr>
                <w:rFonts w:ascii="Times New Roman" w:hAnsi="Times New Roman" w:cs="Times New Roman"/>
                <w:b/>
                <w:i/>
                <w:sz w:val="26"/>
                <w:szCs w:val="26"/>
              </w:rPr>
              <w:t>A. Uncertainty budget calculation</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The particle number concentration at the measurement position can, in principle, be calculated based on the rate of light-scattering incidents and the sampled sol khí volume. In practice, however, particle losses in the tubings connecting the sampling probe to the counter and other artifacts may complicate the measurement. A general expression for the reference particle number concentration, c</w:t>
            </w:r>
            <w:r>
              <w:rPr>
                <w:rFonts w:ascii="Times New Roman" w:hAnsi="Times New Roman" w:cs="Times New Roman"/>
                <w:sz w:val="26"/>
                <w:szCs w:val="26"/>
                <w:vertAlign w:val="subscript"/>
              </w:rPr>
              <w:t>ref</w:t>
            </w:r>
            <w:r>
              <w:rPr>
                <w:rFonts w:ascii="Times New Roman" w:hAnsi="Times New Roman" w:cs="Times New Roman"/>
                <w:sz w:val="26"/>
                <w:szCs w:val="26"/>
              </w:rPr>
              <w:t>, is given by Eq. (2)</w:t>
            </w:r>
          </w:p>
          <w:p w:rsidR="00074427" w:rsidRDefault="006919F7">
            <w:pPr>
              <w:spacing w:after="0" w:line="240" w:lineRule="auto"/>
              <w:ind w:firstLine="157"/>
              <w:jc w:val="center"/>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vertAlign w:val="subscript"/>
              </w:rPr>
              <w:t>ref</w:t>
            </w:r>
            <w:r>
              <w:rPr>
                <w:rFonts w:ascii="Times New Roman" w:hAnsi="Times New Roman" w:cs="Times New Roman"/>
                <w:sz w:val="26"/>
                <w:szCs w:val="26"/>
              </w:rPr>
              <w:t>=(N</w:t>
            </w:r>
            <w:r>
              <w:rPr>
                <w:rFonts w:ascii="Times New Roman" w:hAnsi="Times New Roman" w:cs="Times New Roman"/>
                <w:sz w:val="26"/>
                <w:szCs w:val="26"/>
                <w:vertAlign w:val="subscript"/>
              </w:rPr>
              <w:t>average</w:t>
            </w:r>
            <w:r>
              <w:rPr>
                <w:rFonts w:ascii="Times New Roman" w:hAnsi="Times New Roman" w:cs="Times New Roman"/>
                <w:sz w:val="26"/>
                <w:szCs w:val="26"/>
              </w:rPr>
              <w:t>(1−η</w:t>
            </w:r>
            <w:r>
              <w:rPr>
                <w:rFonts w:ascii="Times New Roman" w:hAnsi="Times New Roman" w:cs="Times New Roman"/>
                <w:sz w:val="26"/>
                <w:szCs w:val="26"/>
                <w:vertAlign w:val="subscript"/>
              </w:rPr>
              <w:t>noise</w:t>
            </w:r>
            <w:r>
              <w:rPr>
                <w:rFonts w:ascii="Times New Roman" w:hAnsi="Times New Roman" w:cs="Times New Roman"/>
                <w:sz w:val="26"/>
                <w:szCs w:val="26"/>
              </w:rPr>
              <w:t>)*</w:t>
            </w:r>
            <w:r>
              <w:t xml:space="preserve"> </w:t>
            </w:r>
            <w:r>
              <w:rPr>
                <w:rFonts w:ascii="Times New Roman" w:hAnsi="Times New Roman" w:cs="Times New Roman"/>
                <w:sz w:val="26"/>
                <w:szCs w:val="26"/>
              </w:rPr>
              <w:t>η</w:t>
            </w:r>
            <w:r>
              <w:rPr>
                <w:rFonts w:ascii="Times New Roman" w:hAnsi="Times New Roman" w:cs="Times New Roman"/>
                <w:sz w:val="26"/>
                <w:szCs w:val="26"/>
                <w:vertAlign w:val="subscript"/>
              </w:rPr>
              <w:t>hom</w:t>
            </w:r>
            <w:r>
              <w:rPr>
                <w:rFonts w:ascii="Times New Roman" w:hAnsi="Times New Roman" w:cs="Times New Roman"/>
                <w:sz w:val="26"/>
                <w:szCs w:val="26"/>
              </w:rPr>
              <w:t>)/QtP,</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where N</w:t>
            </w:r>
            <w:r>
              <w:rPr>
                <w:rFonts w:ascii="Times New Roman" w:hAnsi="Times New Roman" w:cs="Times New Roman"/>
                <w:sz w:val="26"/>
                <w:szCs w:val="26"/>
                <w:vertAlign w:val="subscript"/>
              </w:rPr>
              <w:t>average</w:t>
            </w:r>
            <w:r>
              <w:rPr>
                <w:rFonts w:ascii="Times New Roman" w:hAnsi="Times New Roman" w:cs="Times New Roman"/>
                <w:sz w:val="26"/>
                <w:szCs w:val="26"/>
              </w:rPr>
              <w:t xml:space="preserve"> is the average number of detected light scattering events during repeated measurements of duration t, Q is the sol khí flow, and P is the penetration of particles in the tubings. ηnoise is associated with the noise signal, and ηhom designates the spatial homogeneity of the sol khí across the sampling location. </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In the following, we discuss briefly each one of the physical parameters entering Eq. (2) and evaluate the associated measurement uncertainty. The results are summarized in Table II. For all quantities, a normal distribution was assumed and the 95% confidence interval was approximated by a coverage factor of 2. Exceptions are the penetration, P, and the homogeneity, ηhom, addressed below. The measurement efficiency of the DUT, E</w:t>
            </w:r>
            <w:r>
              <w:rPr>
                <w:rFonts w:ascii="Times New Roman" w:hAnsi="Times New Roman" w:cs="Times New Roman"/>
                <w:sz w:val="26"/>
                <w:szCs w:val="26"/>
                <w:vertAlign w:val="subscript"/>
              </w:rPr>
              <w:t>DUT</w:t>
            </w:r>
            <w:r>
              <w:rPr>
                <w:rFonts w:ascii="Times New Roman" w:hAnsi="Times New Roman" w:cs="Times New Roman"/>
                <w:sz w:val="26"/>
                <w:szCs w:val="26"/>
              </w:rPr>
              <w:t>, is calculated as E</w:t>
            </w:r>
            <w:r>
              <w:rPr>
                <w:rFonts w:ascii="Times New Roman" w:hAnsi="Times New Roman" w:cs="Times New Roman"/>
                <w:sz w:val="26"/>
                <w:szCs w:val="26"/>
                <w:vertAlign w:val="subscript"/>
              </w:rPr>
              <w:t>DUT</w:t>
            </w:r>
            <w:r>
              <w:rPr>
                <w:rFonts w:ascii="Times New Roman" w:hAnsi="Times New Roman" w:cs="Times New Roman"/>
                <w:sz w:val="26"/>
                <w:szCs w:val="26"/>
              </w:rPr>
              <w:t>=C</w:t>
            </w:r>
            <w:r>
              <w:rPr>
                <w:rFonts w:ascii="Times New Roman" w:hAnsi="Times New Roman" w:cs="Times New Roman"/>
                <w:sz w:val="26"/>
                <w:szCs w:val="26"/>
                <w:vertAlign w:val="subscript"/>
              </w:rPr>
              <w:t>DUT</w:t>
            </w:r>
            <w:r>
              <w:rPr>
                <w:rFonts w:ascii="Times New Roman" w:hAnsi="Times New Roman" w:cs="Times New Roman"/>
                <w:sz w:val="26"/>
                <w:szCs w:val="26"/>
              </w:rPr>
              <w:t>/C</w:t>
            </w:r>
            <w:r>
              <w:rPr>
                <w:rFonts w:ascii="Times New Roman" w:hAnsi="Times New Roman" w:cs="Times New Roman"/>
                <w:sz w:val="26"/>
                <w:szCs w:val="26"/>
                <w:vertAlign w:val="subscript"/>
              </w:rPr>
              <w:t>ref</w:t>
            </w:r>
            <w:r>
              <w:rPr>
                <w:rFonts w:ascii="Times New Roman" w:hAnsi="Times New Roman" w:cs="Times New Roman"/>
                <w:sz w:val="26"/>
                <w:szCs w:val="26"/>
              </w:rPr>
              <w:t>, where C</w:t>
            </w:r>
            <w:r>
              <w:rPr>
                <w:rFonts w:ascii="Times New Roman" w:hAnsi="Times New Roman" w:cs="Times New Roman"/>
                <w:sz w:val="26"/>
                <w:szCs w:val="26"/>
                <w:vertAlign w:val="subscript"/>
              </w:rPr>
              <w:t>DUT</w:t>
            </w:r>
            <w:r>
              <w:rPr>
                <w:rFonts w:ascii="Times New Roman" w:hAnsi="Times New Roman" w:cs="Times New Roman"/>
                <w:sz w:val="26"/>
                <w:szCs w:val="26"/>
              </w:rPr>
              <w:t xml:space="preserve"> is the number concentration measured by the DUT. Due to the much higher sol khí flow and therefore higher particle counts by the DUT, the statistical uncertainties of C</w:t>
            </w:r>
            <w:r>
              <w:rPr>
                <w:rFonts w:ascii="Times New Roman" w:hAnsi="Times New Roman" w:cs="Times New Roman"/>
                <w:sz w:val="26"/>
                <w:szCs w:val="26"/>
                <w:vertAlign w:val="subscript"/>
              </w:rPr>
              <w:t>DUT</w:t>
            </w:r>
            <w:r>
              <w:rPr>
                <w:rFonts w:ascii="Times New Roman" w:hAnsi="Times New Roman" w:cs="Times New Roman"/>
                <w:sz w:val="26"/>
                <w:szCs w:val="26"/>
              </w:rPr>
              <w:t xml:space="preserve"> are usually small. As a result, the relative uncertainty of E</w:t>
            </w:r>
            <w:r>
              <w:rPr>
                <w:rFonts w:ascii="Times New Roman" w:hAnsi="Times New Roman" w:cs="Times New Roman"/>
                <w:sz w:val="26"/>
                <w:szCs w:val="26"/>
                <w:vertAlign w:val="subscript"/>
              </w:rPr>
              <w:t>DUT</w:t>
            </w:r>
            <w:r>
              <w:rPr>
                <w:rFonts w:ascii="Times New Roman" w:hAnsi="Times New Roman" w:cs="Times New Roman"/>
                <w:sz w:val="26"/>
                <w:szCs w:val="26"/>
              </w:rPr>
              <w:t xml:space="preserve"> is largely dominated by the uncertainty of C</w:t>
            </w:r>
            <w:r>
              <w:rPr>
                <w:rFonts w:ascii="Times New Roman" w:hAnsi="Times New Roman" w:cs="Times New Roman"/>
                <w:sz w:val="26"/>
                <w:szCs w:val="26"/>
                <w:vertAlign w:val="subscript"/>
              </w:rPr>
              <w:t>ref</w:t>
            </w:r>
            <w:r>
              <w:rPr>
                <w:rFonts w:ascii="Times New Roman" w:hAnsi="Times New Roman" w:cs="Times New Roman"/>
                <w:sz w:val="26"/>
                <w:szCs w:val="26"/>
              </w:rPr>
              <w:t>. It should be noted, however, that the DUT-OPCs often suffer from large systematic errors, for instance, due to uncertainties in the sol khí flow rate, coincidence or impaction losses, optical misalignment, or false size settings.</w:t>
            </w:r>
          </w:p>
        </w:tc>
        <w:tc>
          <w:tcPr>
            <w:tcW w:w="5400"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t>V. ĐÁNH GIÁ VÀ XÁC ĐỊNH PHƯƠNG PHÁP LUẬN</w:t>
            </w:r>
          </w:p>
          <w:p w:rsidR="00074427" w:rsidRDefault="006919F7">
            <w:pPr>
              <w:spacing w:after="0" w:line="240" w:lineRule="auto"/>
              <w:ind w:firstLine="157"/>
              <w:jc w:val="both"/>
              <w:rPr>
                <w:rFonts w:ascii="Times New Roman" w:hAnsi="Times New Roman" w:cs="Times New Roman"/>
                <w:b/>
                <w:i/>
                <w:sz w:val="26"/>
                <w:szCs w:val="26"/>
                <w:lang w:val="vi-VN"/>
              </w:rPr>
            </w:pPr>
            <w:r>
              <w:rPr>
                <w:rFonts w:ascii="Times New Roman" w:hAnsi="Times New Roman" w:cs="Times New Roman"/>
                <w:b/>
                <w:i/>
                <w:sz w:val="26"/>
                <w:szCs w:val="26"/>
              </w:rPr>
              <w:t>A. Tính toán độ không đảm bảo</w:t>
            </w:r>
            <w:r>
              <w:rPr>
                <w:rFonts w:ascii="Times New Roman" w:hAnsi="Times New Roman" w:cs="Times New Roman"/>
                <w:b/>
                <w:i/>
                <w:sz w:val="26"/>
                <w:szCs w:val="26"/>
                <w:lang w:val="vi-VN"/>
              </w:rPr>
              <w:t xml:space="preserve"> đo</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 xml:space="preserve">Về nguyên tắc, </w:t>
            </w:r>
            <w:r>
              <w:rPr>
                <w:rFonts w:ascii="Times New Roman" w:hAnsi="Times New Roman" w:cs="Times New Roman"/>
                <w:b/>
                <w:i/>
                <w:sz w:val="26"/>
                <w:szCs w:val="26"/>
              </w:rPr>
              <w:t>nồng độ số hạt tại vị trí đo có thể được tính toán dựa trên tỷ lệ sự cố tán xạ ánh sáng và thể tích sol khí lấy mẫu. Tuy nhiên, trên thực tế, tổn thất hạt trong các ống nối đầu dò lấy mẫu với máy đếm và các hiện vật khác có thể làm phức tạp phép đo.</w:t>
            </w:r>
            <w:r>
              <w:rPr>
                <w:rFonts w:ascii="Times New Roman" w:hAnsi="Times New Roman" w:cs="Times New Roman"/>
                <w:sz w:val="26"/>
                <w:szCs w:val="26"/>
              </w:rPr>
              <w:t xml:space="preserve"> </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Biểu thức chung cho nồng độ số hạt tham chiếu, cref, được đưa ra bởi phương trình (2)</w:t>
            </w: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center"/>
              <w:rPr>
                <w:rFonts w:ascii="Times New Roman" w:hAnsi="Times New Roman" w:cs="Times New Roman"/>
                <w:sz w:val="26"/>
                <w:szCs w:val="26"/>
              </w:rPr>
            </w:pPr>
            <w:r>
              <w:rPr>
                <w:rFonts w:ascii="Times New Roman" w:hAnsi="Times New Roman" w:cs="Times New Roman"/>
                <w:sz w:val="26"/>
                <w:szCs w:val="26"/>
              </w:rPr>
              <w:t>c</w:t>
            </w:r>
            <w:r>
              <w:rPr>
                <w:rFonts w:ascii="Times New Roman" w:hAnsi="Times New Roman" w:cs="Times New Roman"/>
                <w:sz w:val="26"/>
                <w:szCs w:val="26"/>
                <w:vertAlign w:val="subscript"/>
              </w:rPr>
              <w:t>ref</w:t>
            </w:r>
            <w:r>
              <w:rPr>
                <w:rFonts w:ascii="Times New Roman" w:hAnsi="Times New Roman" w:cs="Times New Roman"/>
                <w:sz w:val="26"/>
                <w:szCs w:val="26"/>
              </w:rPr>
              <w:t>=(N</w:t>
            </w:r>
            <w:r>
              <w:rPr>
                <w:rFonts w:ascii="Times New Roman" w:hAnsi="Times New Roman" w:cs="Times New Roman"/>
                <w:sz w:val="26"/>
                <w:szCs w:val="26"/>
                <w:vertAlign w:val="subscript"/>
              </w:rPr>
              <w:t>average</w:t>
            </w:r>
            <w:r>
              <w:rPr>
                <w:rFonts w:ascii="Times New Roman" w:hAnsi="Times New Roman" w:cs="Times New Roman"/>
                <w:sz w:val="26"/>
                <w:szCs w:val="26"/>
              </w:rPr>
              <w:t>(1−η</w:t>
            </w:r>
            <w:r>
              <w:rPr>
                <w:rFonts w:ascii="Times New Roman" w:hAnsi="Times New Roman" w:cs="Times New Roman"/>
                <w:sz w:val="26"/>
                <w:szCs w:val="26"/>
                <w:vertAlign w:val="subscript"/>
              </w:rPr>
              <w:t>noise</w:t>
            </w:r>
            <w:r>
              <w:rPr>
                <w:rFonts w:ascii="Times New Roman" w:hAnsi="Times New Roman" w:cs="Times New Roman"/>
                <w:sz w:val="26"/>
                <w:szCs w:val="26"/>
              </w:rPr>
              <w:t>)*</w:t>
            </w:r>
            <w:r>
              <w:t xml:space="preserve"> </w:t>
            </w:r>
            <w:r>
              <w:rPr>
                <w:rFonts w:ascii="Times New Roman" w:hAnsi="Times New Roman" w:cs="Times New Roman"/>
                <w:sz w:val="26"/>
                <w:szCs w:val="26"/>
              </w:rPr>
              <w:t>η</w:t>
            </w:r>
            <w:r>
              <w:rPr>
                <w:rFonts w:ascii="Times New Roman" w:hAnsi="Times New Roman" w:cs="Times New Roman"/>
                <w:sz w:val="26"/>
                <w:szCs w:val="26"/>
                <w:vertAlign w:val="subscript"/>
              </w:rPr>
              <w:t>hom</w:t>
            </w:r>
            <w:r>
              <w:rPr>
                <w:rFonts w:ascii="Times New Roman" w:hAnsi="Times New Roman" w:cs="Times New Roman"/>
                <w:sz w:val="26"/>
                <w:szCs w:val="26"/>
              </w:rPr>
              <w:t>)/QtP</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Trong đó</w:t>
            </w:r>
            <w:r>
              <w:rPr>
                <w:rFonts w:ascii="Times New Roman" w:hAnsi="Times New Roman" w:cs="Times New Roman"/>
                <w:sz w:val="26"/>
                <w:szCs w:val="26"/>
                <w:lang w:val="vi-VN"/>
              </w:rPr>
              <w:t>:</w:t>
            </w:r>
            <w:r>
              <w:rPr>
                <w:rFonts w:ascii="Times New Roman" w:hAnsi="Times New Roman" w:cs="Times New Roman"/>
                <w:sz w:val="26"/>
                <w:szCs w:val="26"/>
              </w:rPr>
              <w:t xml:space="preserve"> N</w:t>
            </w:r>
            <w:r>
              <w:rPr>
                <w:rFonts w:ascii="Times New Roman" w:hAnsi="Times New Roman" w:cs="Times New Roman"/>
                <w:sz w:val="26"/>
                <w:szCs w:val="26"/>
                <w:vertAlign w:val="subscript"/>
              </w:rPr>
              <w:t>average</w:t>
            </w:r>
            <w:r>
              <w:rPr>
                <w:rFonts w:ascii="Times New Roman" w:hAnsi="Times New Roman" w:cs="Times New Roman"/>
                <w:sz w:val="26"/>
                <w:szCs w:val="26"/>
              </w:rPr>
              <w:t xml:space="preserve"> là số lượng trung bình các sự kiện tán xạ ánh sáng được phát hiện trong các phép đo lặp lại trong khoảng thời gian t, Q là lưu lượng sol khí và P là sự xâm nhập của các hạt trong ống. η</w:t>
            </w:r>
            <w:r>
              <w:rPr>
                <w:rFonts w:ascii="Times New Roman" w:hAnsi="Times New Roman" w:cs="Times New Roman"/>
                <w:sz w:val="26"/>
                <w:szCs w:val="26"/>
                <w:vertAlign w:val="subscript"/>
              </w:rPr>
              <w:t>noise</w:t>
            </w:r>
            <w:r>
              <w:rPr>
                <w:rFonts w:ascii="Times New Roman" w:hAnsi="Times New Roman" w:cs="Times New Roman"/>
                <w:sz w:val="26"/>
                <w:szCs w:val="26"/>
              </w:rPr>
              <w:t xml:space="preserve"> được liên kết với tín hiệu nhiễu, và η</w:t>
            </w:r>
            <w:r>
              <w:rPr>
                <w:rFonts w:ascii="Times New Roman" w:hAnsi="Times New Roman" w:cs="Times New Roman"/>
                <w:sz w:val="26"/>
                <w:szCs w:val="26"/>
                <w:vertAlign w:val="subscript"/>
              </w:rPr>
              <w:t>hom</w:t>
            </w:r>
            <w:r>
              <w:rPr>
                <w:rFonts w:ascii="Times New Roman" w:hAnsi="Times New Roman" w:cs="Times New Roman"/>
                <w:sz w:val="26"/>
                <w:szCs w:val="26"/>
              </w:rPr>
              <w:t xml:space="preserve"> chỉ định sự đồng nhất về không gian của sol khí trên vị trí lấy mẫu. </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Sau đây, chúng ta thảo luận ngắn gọn về từng tham số vật lý khi nhập Eq. (2) và đánh giá độ không đảm bảo đo liên quan. Kết quả được tóm tắt trong Bảng II. Đối với tất cả các đại lượng, một phân phối chuẩn được giả định và khoảng tin cậy 95% được xấp xỉ bởi hệ số phủ là 2. Các trường hợp ngoại lệ là độ thâm nhập, P và độ đồng nhất, ηhom, được đề cập dưới đây. Hiệu quả đo của DUT, E</w:t>
            </w:r>
            <w:r>
              <w:rPr>
                <w:rFonts w:ascii="Times New Roman" w:hAnsi="Times New Roman" w:cs="Times New Roman"/>
                <w:sz w:val="26"/>
                <w:szCs w:val="26"/>
                <w:vertAlign w:val="subscript"/>
              </w:rPr>
              <w:t>DUT</w:t>
            </w:r>
            <w:r>
              <w:rPr>
                <w:rFonts w:ascii="Times New Roman" w:hAnsi="Times New Roman" w:cs="Times New Roman"/>
                <w:sz w:val="26"/>
                <w:szCs w:val="26"/>
              </w:rPr>
              <w:t>, được tính bằng E</w:t>
            </w:r>
            <w:r>
              <w:rPr>
                <w:rFonts w:ascii="Times New Roman" w:hAnsi="Times New Roman" w:cs="Times New Roman"/>
                <w:sz w:val="26"/>
                <w:szCs w:val="26"/>
                <w:vertAlign w:val="subscript"/>
              </w:rPr>
              <w:t>DUT</w:t>
            </w:r>
            <w:r>
              <w:rPr>
                <w:rFonts w:ascii="Times New Roman" w:hAnsi="Times New Roman" w:cs="Times New Roman"/>
                <w:sz w:val="26"/>
                <w:szCs w:val="26"/>
              </w:rPr>
              <w:t xml:space="preserve"> = C</w:t>
            </w:r>
            <w:r>
              <w:rPr>
                <w:rFonts w:ascii="Times New Roman" w:hAnsi="Times New Roman" w:cs="Times New Roman"/>
                <w:sz w:val="26"/>
                <w:szCs w:val="26"/>
                <w:vertAlign w:val="subscript"/>
              </w:rPr>
              <w:t>DUT</w:t>
            </w:r>
            <w:r>
              <w:rPr>
                <w:rFonts w:ascii="Times New Roman" w:hAnsi="Times New Roman" w:cs="Times New Roman"/>
                <w:sz w:val="26"/>
                <w:szCs w:val="26"/>
              </w:rPr>
              <w:t xml:space="preserve"> / C</w:t>
            </w:r>
            <w:r>
              <w:rPr>
                <w:rFonts w:ascii="Times New Roman" w:hAnsi="Times New Roman" w:cs="Times New Roman"/>
                <w:sz w:val="26"/>
                <w:szCs w:val="26"/>
                <w:vertAlign w:val="subscript"/>
              </w:rPr>
              <w:t>ref</w:t>
            </w:r>
            <w:r>
              <w:rPr>
                <w:rFonts w:ascii="Times New Roman" w:hAnsi="Times New Roman" w:cs="Times New Roman"/>
                <w:sz w:val="26"/>
                <w:szCs w:val="26"/>
              </w:rPr>
              <w:t>, trong đó C</w:t>
            </w:r>
            <w:r>
              <w:rPr>
                <w:rFonts w:ascii="Times New Roman" w:hAnsi="Times New Roman" w:cs="Times New Roman"/>
                <w:sz w:val="26"/>
                <w:szCs w:val="26"/>
                <w:vertAlign w:val="subscript"/>
              </w:rPr>
              <w:t>DUT</w:t>
            </w:r>
            <w:r>
              <w:rPr>
                <w:rFonts w:ascii="Times New Roman" w:hAnsi="Times New Roman" w:cs="Times New Roman"/>
                <w:sz w:val="26"/>
                <w:szCs w:val="26"/>
              </w:rPr>
              <w:t xml:space="preserve"> là nồng độ số đo được bởi DUT. Do lưu lượng sol khí cao hơn nhiều và do đó số lượng hạt cao hơn bởi DUT, độ không đảm bảo thống kê của C</w:t>
            </w:r>
            <w:r>
              <w:rPr>
                <w:rFonts w:ascii="Times New Roman" w:hAnsi="Times New Roman" w:cs="Times New Roman"/>
                <w:sz w:val="26"/>
                <w:szCs w:val="26"/>
                <w:vertAlign w:val="subscript"/>
              </w:rPr>
              <w:t>DUT</w:t>
            </w:r>
            <w:r>
              <w:rPr>
                <w:rFonts w:ascii="Times New Roman" w:hAnsi="Times New Roman" w:cs="Times New Roman"/>
                <w:sz w:val="26"/>
                <w:szCs w:val="26"/>
              </w:rPr>
              <w:t xml:space="preserve"> thường nhỏ. Kết quả là, độ không đảm bảo đo tương đối của E</w:t>
            </w:r>
            <w:r>
              <w:rPr>
                <w:rFonts w:ascii="Times New Roman" w:hAnsi="Times New Roman" w:cs="Times New Roman"/>
                <w:sz w:val="26"/>
                <w:szCs w:val="26"/>
                <w:vertAlign w:val="subscript"/>
              </w:rPr>
              <w:t>DUT</w:t>
            </w:r>
            <w:r>
              <w:rPr>
                <w:rFonts w:ascii="Times New Roman" w:hAnsi="Times New Roman" w:cs="Times New Roman"/>
                <w:sz w:val="26"/>
                <w:szCs w:val="26"/>
              </w:rPr>
              <w:t xml:space="preserve"> phần lớn bị chi phối bởi độ không đảm bảo đo của C</w:t>
            </w:r>
            <w:r>
              <w:rPr>
                <w:rFonts w:ascii="Times New Roman" w:hAnsi="Times New Roman" w:cs="Times New Roman"/>
                <w:sz w:val="26"/>
                <w:szCs w:val="26"/>
                <w:vertAlign w:val="subscript"/>
              </w:rPr>
              <w:t>ref</w:t>
            </w:r>
            <w:r>
              <w:rPr>
                <w:rFonts w:ascii="Times New Roman" w:hAnsi="Times New Roman" w:cs="Times New Roman"/>
                <w:sz w:val="26"/>
                <w:szCs w:val="26"/>
              </w:rPr>
              <w:t>. Tuy nhiên, cần lưu ý rằng các DUT-OPC thường mắc phải các sai số hệ thống lớn, ví dụ như do tốc độ dòng sol khí không chắc chắn, sự trùng hợp hoặc tổn thất do tác động, lệch quang học hoặc cài đặt sai kích thước.</w:t>
            </w:r>
          </w:p>
        </w:tc>
      </w:tr>
      <w:tr w:rsidR="00074427">
        <w:tc>
          <w:tcPr>
            <w:tcW w:w="5305" w:type="dxa"/>
          </w:tcPr>
          <w:p w:rsidR="00074427" w:rsidRDefault="006919F7">
            <w:pPr>
              <w:spacing w:after="0" w:line="240" w:lineRule="auto"/>
              <w:ind w:firstLine="157"/>
              <w:jc w:val="both"/>
              <w:rPr>
                <w:rFonts w:ascii="Times New Roman" w:hAnsi="Times New Roman" w:cs="Times New Roman"/>
                <w:b/>
                <w:bCs/>
                <w:i/>
                <w:iCs/>
                <w:sz w:val="26"/>
                <w:szCs w:val="26"/>
              </w:rPr>
            </w:pPr>
            <w:r>
              <w:rPr>
                <w:rFonts w:ascii="Times New Roman" w:hAnsi="Times New Roman" w:cs="Times New Roman"/>
                <w:b/>
                <w:bCs/>
                <w:i/>
                <w:iCs/>
                <w:sz w:val="26"/>
                <w:szCs w:val="26"/>
              </w:rPr>
              <w:t>1. Uncertainty due to the random particle distribution</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In our experiments, every single particle number concentration measurement is performed simultaneously with the DUT-OPC and the reference particle counter and has a duration of 60 s. For a typical concentration of 1 cm</w:t>
            </w:r>
            <w:r>
              <w:rPr>
                <w:rFonts w:ascii="Times New Roman" w:hAnsi="Times New Roman" w:cs="Times New Roman"/>
                <w:sz w:val="26"/>
                <w:szCs w:val="26"/>
                <w:vertAlign w:val="superscript"/>
              </w:rPr>
              <w:t>−3</w:t>
            </w:r>
            <w:r>
              <w:rPr>
                <w:rFonts w:ascii="Times New Roman" w:hAnsi="Times New Roman" w:cs="Times New Roman"/>
                <w:sz w:val="26"/>
                <w:szCs w:val="26"/>
              </w:rPr>
              <w:t> and the flow rate through the optical cell fixed at 60 ml/min, 60 particles are detected in total by the reference counter within the measurement duration. Such low particle counts ensure that no coincidence losses occur. For calculating the probability of two particles being present in the probe volume, we estimate that the latter corresponds to a circular plane with area of 0.25·π·(0.2 mm)</w:t>
            </w:r>
            <w:r>
              <w:rPr>
                <w:rFonts w:ascii="Times New Roman" w:hAnsi="Times New Roman" w:cs="Times New Roman"/>
                <w:sz w:val="26"/>
                <w:szCs w:val="26"/>
                <w:vertAlign w:val="superscript"/>
              </w:rPr>
              <w:t>2</w:t>
            </w:r>
            <w:r>
              <w:rPr>
                <w:rFonts w:ascii="Times New Roman" w:hAnsi="Times New Roman" w:cs="Times New Roman"/>
                <w:sz w:val="26"/>
                <w:szCs w:val="26"/>
              </w:rPr>
              <w:t> (</w:t>
            </w:r>
            <w:r>
              <w:rPr>
                <w:rFonts w:ascii="Times New Roman" w:hAnsi="Times New Roman" w:cs="Times New Roman"/>
                <w:sz w:val="26"/>
                <w:szCs w:val="26"/>
                <w:highlight w:val="yellow"/>
              </w:rPr>
              <w:t>width of aerosol jet = 0.2 mm</w:t>
            </w:r>
            <w:r>
              <w:rPr>
                <w:rFonts w:ascii="Times New Roman" w:hAnsi="Times New Roman" w:cs="Times New Roman"/>
                <w:sz w:val="26"/>
                <w:szCs w:val="26"/>
              </w:rPr>
              <w:t>, see Sec. </w:t>
            </w:r>
            <w:hyperlink r:id="rId57" w:anchor="s2C" w:history="1">
              <w:r>
                <w:rPr>
                  <w:rStyle w:val="Hyperlink"/>
                  <w:rFonts w:ascii="Times New Roman" w:hAnsi="Times New Roman" w:cs="Times New Roman"/>
                  <w:sz w:val="26"/>
                  <w:szCs w:val="26"/>
                </w:rPr>
                <w:t>II C</w:t>
              </w:r>
            </w:hyperlink>
            <w:r>
              <w:rPr>
                <w:rFonts w:ascii="Times New Roman" w:hAnsi="Times New Roman" w:cs="Times New Roman"/>
                <w:sz w:val="26"/>
                <w:szCs w:val="26"/>
              </w:rPr>
              <w:t>) and a thickness of 0.05 mm (based on Gaussian beam optics). For a mean particle number concentration of 1000 cm</w:t>
            </w:r>
            <w:r>
              <w:rPr>
                <w:rFonts w:ascii="Times New Roman" w:hAnsi="Times New Roman" w:cs="Times New Roman"/>
                <w:sz w:val="26"/>
                <w:szCs w:val="26"/>
                <w:vertAlign w:val="superscript"/>
              </w:rPr>
              <w:t>−3</w:t>
            </w:r>
            <w:r>
              <w:rPr>
                <w:rFonts w:ascii="Times New Roman" w:hAnsi="Times New Roman" w:cs="Times New Roman"/>
                <w:sz w:val="26"/>
                <w:szCs w:val="26"/>
              </w:rPr>
              <w:t>, this results in an average of </w:t>
            </w:r>
            <w:r>
              <w:rPr>
                <w:rFonts w:ascii="Times New Roman" w:hAnsi="Times New Roman" w:cs="Times New Roman"/>
                <w:i/>
                <w:iCs/>
                <w:sz w:val="26"/>
                <w:szCs w:val="26"/>
              </w:rPr>
              <w:t>λ</w:t>
            </w:r>
            <w:r>
              <w:rPr>
                <w:rFonts w:ascii="Times New Roman" w:hAnsi="Times New Roman" w:cs="Times New Roman"/>
                <w:sz w:val="26"/>
                <w:szCs w:val="26"/>
              </w:rPr>
              <w:t> = 0.001 57 particles being present in the probe volume. The probability of having </w:t>
            </w:r>
            <w:r>
              <w:rPr>
                <w:rFonts w:ascii="Times New Roman" w:hAnsi="Times New Roman" w:cs="Times New Roman"/>
                <w:i/>
                <w:iCs/>
                <w:sz w:val="26"/>
                <w:szCs w:val="26"/>
              </w:rPr>
              <w:t>n</w:t>
            </w:r>
            <w:r>
              <w:rPr>
                <w:rFonts w:ascii="Times New Roman" w:hAnsi="Times New Roman" w:cs="Times New Roman"/>
                <w:sz w:val="26"/>
                <w:szCs w:val="26"/>
              </w:rPr>
              <w:t> particles in this volume is</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P(n)=</w:t>
            </w:r>
            <w:r>
              <w:rPr>
                <w:rFonts w:ascii="Times New Roman" w:hAnsi="Times New Roman" w:cs="Times New Roman"/>
                <w:i/>
                <w:iCs/>
                <w:sz w:val="26"/>
                <w:szCs w:val="26"/>
              </w:rPr>
              <w:t xml:space="preserve"> λ*e</w:t>
            </w:r>
            <w:r>
              <w:rPr>
                <w:rFonts w:ascii="Times New Roman" w:hAnsi="Times New Roman" w:cs="Times New Roman"/>
                <w:i/>
                <w:iCs/>
                <w:sz w:val="26"/>
                <w:szCs w:val="26"/>
                <w:vertAlign w:val="superscript"/>
              </w:rPr>
              <w:t>- λ</w:t>
            </w:r>
            <w:r>
              <w:rPr>
                <w:rFonts w:ascii="Times New Roman" w:hAnsi="Times New Roman" w:cs="Times New Roman"/>
                <w:i/>
                <w:iCs/>
                <w:sz w:val="26"/>
                <w:szCs w:val="26"/>
              </w:rPr>
              <w:t>/n!</w:t>
            </w:r>
          </w:p>
        </w:tc>
        <w:tc>
          <w:tcPr>
            <w:tcW w:w="5400"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lastRenderedPageBreak/>
              <w:t>1. Độ</w:t>
            </w:r>
            <w:r>
              <w:rPr>
                <w:rFonts w:ascii="Times New Roman" w:hAnsi="Times New Roman" w:cs="Times New Roman"/>
                <w:b/>
                <w:sz w:val="26"/>
                <w:szCs w:val="26"/>
                <w:lang w:val="vi-VN"/>
              </w:rPr>
              <w:t xml:space="preserve"> </w:t>
            </w:r>
            <w:r>
              <w:rPr>
                <w:rFonts w:ascii="Times New Roman" w:hAnsi="Times New Roman" w:cs="Times New Roman"/>
                <w:b/>
                <w:sz w:val="26"/>
                <w:szCs w:val="26"/>
              </w:rPr>
              <w:t>không đảm bảo đo</w:t>
            </w:r>
            <w:r>
              <w:rPr>
                <w:rFonts w:ascii="Times New Roman" w:hAnsi="Times New Roman" w:cs="Times New Roman"/>
                <w:b/>
                <w:sz w:val="26"/>
                <w:szCs w:val="26"/>
                <w:lang w:val="vi-VN"/>
              </w:rPr>
              <w:t xml:space="preserve"> </w:t>
            </w:r>
            <w:r>
              <w:rPr>
                <w:rFonts w:ascii="Times New Roman" w:hAnsi="Times New Roman" w:cs="Times New Roman"/>
                <w:b/>
                <w:sz w:val="26"/>
                <w:szCs w:val="26"/>
              </w:rPr>
              <w:t>do sự phân bố hạt ngẫu nhiên</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 xml:space="preserve">Trong các thí nghiệm của chúng tôi, </w:t>
            </w:r>
            <w:r>
              <w:rPr>
                <w:rFonts w:ascii="Times New Roman" w:hAnsi="Times New Roman" w:cs="Times New Roman"/>
                <w:b/>
                <w:i/>
                <w:sz w:val="26"/>
                <w:szCs w:val="26"/>
              </w:rPr>
              <w:t>mọi phép đo nồng độ số hạt đơn lẻ được thực hiện đồng thời với DUT-OPC và máy đếm hạt chuẩn và có thời gian là 60 s.</w:t>
            </w:r>
            <w:r>
              <w:rPr>
                <w:rFonts w:ascii="Times New Roman" w:hAnsi="Times New Roman" w:cs="Times New Roman"/>
                <w:sz w:val="26"/>
                <w:szCs w:val="26"/>
              </w:rPr>
              <w:t xml:space="preserve"> Đối với nồng độ điển hình là 1 cm-3 và tốc độ dòng chảy qua tế bào quang học được cố định ở mức 60 mL/min, tổng cộng 60 hạt được phát hiện bằng máy đếm tham chiếu trong khoảng thời gian đo. Số lượng hạt thấp như vậy đảm bảo rằng không có sự mất mát ngẫu nhiên nào xảy ra. Để tính xác suất có hai hạt trong thể tích đầu dò, chúng tôi ước tính rằng hạt sau tương ứng với một mặt phẳng tròn có diện tích 0,25 · π · (0,2 mm)</w:t>
            </w:r>
            <w:r>
              <w:rPr>
                <w:rFonts w:ascii="Times New Roman" w:hAnsi="Times New Roman" w:cs="Times New Roman"/>
                <w:sz w:val="26"/>
                <w:szCs w:val="26"/>
                <w:vertAlign w:val="superscript"/>
              </w:rPr>
              <w:t xml:space="preserve"> 2</w:t>
            </w:r>
            <w:r>
              <w:rPr>
                <w:rFonts w:ascii="Times New Roman" w:hAnsi="Times New Roman" w:cs="Times New Roman"/>
                <w:sz w:val="26"/>
                <w:szCs w:val="26"/>
              </w:rPr>
              <w:t xml:space="preserve"> (chiều rộng của tia sol khí = 0,2 mm, xem Phần II C ) và </w:t>
            </w:r>
            <w:r>
              <w:rPr>
                <w:rFonts w:ascii="Times New Roman" w:hAnsi="Times New Roman" w:cs="Times New Roman"/>
                <w:sz w:val="26"/>
                <w:szCs w:val="26"/>
                <w:highlight w:val="yellow"/>
              </w:rPr>
              <w:t>độ dày 0,05 mm</w:t>
            </w:r>
            <w:r>
              <w:rPr>
                <w:rFonts w:ascii="Times New Roman" w:hAnsi="Times New Roman" w:cs="Times New Roman"/>
                <w:sz w:val="26"/>
                <w:szCs w:val="26"/>
              </w:rPr>
              <w:t xml:space="preserve"> (dựa trên quang học chùm Gaussian). Đối với nồng độ số hạt trung bình là 1000 cm</w:t>
            </w:r>
            <w:r>
              <w:rPr>
                <w:rFonts w:ascii="Times New Roman" w:hAnsi="Times New Roman" w:cs="Times New Roman"/>
                <w:sz w:val="26"/>
                <w:szCs w:val="26"/>
                <w:vertAlign w:val="superscript"/>
              </w:rPr>
              <w:t>-3</w:t>
            </w:r>
            <w:r>
              <w:rPr>
                <w:rFonts w:ascii="Times New Roman" w:hAnsi="Times New Roman" w:cs="Times New Roman"/>
                <w:sz w:val="26"/>
                <w:szCs w:val="26"/>
              </w:rPr>
              <w:t>, điều này dẫn đến trung bình λ = 0,00157 hạt có trong thể tích đầu dò. Xác suất để có n hạt trong tập này là</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P(n)=</w:t>
            </w:r>
            <w:r>
              <w:rPr>
                <w:rFonts w:ascii="Times New Roman" w:hAnsi="Times New Roman" w:cs="Times New Roman"/>
                <w:i/>
                <w:iCs/>
                <w:sz w:val="26"/>
                <w:szCs w:val="26"/>
              </w:rPr>
              <w:t xml:space="preserve"> λ*e</w:t>
            </w:r>
            <w:r>
              <w:rPr>
                <w:rFonts w:ascii="Times New Roman" w:hAnsi="Times New Roman" w:cs="Times New Roman"/>
                <w:i/>
                <w:iCs/>
                <w:sz w:val="26"/>
                <w:szCs w:val="26"/>
                <w:vertAlign w:val="superscript"/>
              </w:rPr>
              <w:t>- λ</w:t>
            </w:r>
            <w:r>
              <w:rPr>
                <w:rFonts w:ascii="Times New Roman" w:hAnsi="Times New Roman" w:cs="Times New Roman"/>
                <w:i/>
                <w:iCs/>
                <w:sz w:val="26"/>
                <w:szCs w:val="26"/>
              </w:rPr>
              <w:t>/n!</w:t>
            </w:r>
          </w:p>
        </w:tc>
      </w:tr>
      <w:tr w:rsidR="00074427">
        <w:tc>
          <w:tcPr>
            <w:tcW w:w="5305"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According to Eq. </w:t>
            </w:r>
            <w:hyperlink r:id="rId58" w:history="1">
              <w:r>
                <w:rPr>
                  <w:rStyle w:val="Hyperlink"/>
                  <w:rFonts w:ascii="Times New Roman" w:hAnsi="Times New Roman" w:cs="Times New Roman"/>
                  <w:sz w:val="26"/>
                  <w:szCs w:val="26"/>
                </w:rPr>
                <w:t>(3)</w:t>
              </w:r>
            </w:hyperlink>
            <w:r>
              <w:rPr>
                <w:rFonts w:ascii="Times New Roman" w:hAnsi="Times New Roman" w:cs="Times New Roman"/>
                <w:sz w:val="26"/>
                <w:szCs w:val="26"/>
              </w:rPr>
              <w:t>, even for an average particle number concentration of 1000 cm</w:t>
            </w:r>
            <w:r>
              <w:rPr>
                <w:rFonts w:ascii="Times New Roman" w:hAnsi="Times New Roman" w:cs="Times New Roman"/>
                <w:sz w:val="26"/>
                <w:szCs w:val="26"/>
                <w:vertAlign w:val="superscript"/>
              </w:rPr>
              <w:t>−3</w:t>
            </w:r>
            <w:r>
              <w:rPr>
                <w:rFonts w:ascii="Times New Roman" w:hAnsi="Times New Roman" w:cs="Times New Roman"/>
                <w:sz w:val="26"/>
                <w:szCs w:val="26"/>
              </w:rPr>
              <w:t>, the probability of two particles coinciding in the probe volume amounts to be 1.2 × 10</w:t>
            </w:r>
            <w:r>
              <w:rPr>
                <w:rFonts w:ascii="Times New Roman" w:hAnsi="Times New Roman" w:cs="Times New Roman"/>
                <w:sz w:val="26"/>
                <w:szCs w:val="26"/>
                <w:vertAlign w:val="superscript"/>
              </w:rPr>
              <w:t>−6</w:t>
            </w:r>
            <w:r>
              <w:rPr>
                <w:rFonts w:ascii="Times New Roman" w:hAnsi="Times New Roman" w:cs="Times New Roman"/>
                <w:sz w:val="26"/>
                <w:szCs w:val="26"/>
              </w:rPr>
              <w:t> and is therefore negligible. For three or more particles coinciding, the probability is even smaller.</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Each measurement has a duration of 60 s with the start and endpoint being controlled automatically. The uncertainty in the determination of </w:t>
            </w:r>
            <w:r>
              <w:rPr>
                <w:rFonts w:ascii="Times New Roman" w:hAnsi="Times New Roman" w:cs="Times New Roman"/>
                <w:i/>
                <w:iCs/>
                <w:sz w:val="26"/>
                <w:szCs w:val="26"/>
              </w:rPr>
              <w:t>t</w:t>
            </w:r>
            <w:r>
              <w:rPr>
                <w:rFonts w:ascii="Times New Roman" w:hAnsi="Times New Roman" w:cs="Times New Roman"/>
                <w:sz w:val="26"/>
                <w:szCs w:val="26"/>
              </w:rPr>
              <w:t> is therefore negligible. For a typical instrument calibration, the 60 s measurements are repeated 25 times and the average particle number count </w:t>
            </w:r>
            <w:r>
              <w:rPr>
                <w:rFonts w:ascii="Times New Roman" w:hAnsi="Times New Roman" w:cs="Times New Roman"/>
                <w:i/>
                <w:iCs/>
                <w:sz w:val="26"/>
                <w:szCs w:val="26"/>
              </w:rPr>
              <w:t>N</w:t>
            </w:r>
            <w:r>
              <w:rPr>
                <w:rFonts w:ascii="Times New Roman" w:hAnsi="Times New Roman" w:cs="Times New Roman"/>
                <w:sz w:val="26"/>
                <w:szCs w:val="26"/>
                <w:vertAlign w:val="subscript"/>
              </w:rPr>
              <w:t>average</w:t>
            </w:r>
            <w:r>
              <w:rPr>
                <w:rFonts w:ascii="Times New Roman" w:hAnsi="Times New Roman" w:cs="Times New Roman"/>
                <w:sz w:val="26"/>
                <w:szCs w:val="26"/>
              </w:rPr>
              <w:t> and associated relative standard deviation of the mean are calculated. The latter amounts typically to 5.2% (95% confidence level, see the second row of </w:t>
            </w:r>
            <w:hyperlink r:id="rId59" w:anchor="t1" w:history="1">
              <w:r>
                <w:rPr>
                  <w:rStyle w:val="Hyperlink"/>
                  <w:rFonts w:ascii="Times New Roman" w:hAnsi="Times New Roman" w:cs="Times New Roman"/>
                  <w:sz w:val="26"/>
                  <w:szCs w:val="26"/>
                </w:rPr>
                <w:t>Table I</w:t>
              </w:r>
            </w:hyperlink>
            <w:r>
              <w:rPr>
                <w:rFonts w:ascii="Times New Roman" w:hAnsi="Times New Roman" w:cs="Times New Roman"/>
                <w:sz w:val="26"/>
                <w:szCs w:val="26"/>
              </w:rPr>
              <w:t xml:space="preserve">). </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Since the particle distribution is random, the theoretical relative standard deviation can be determined using Poisson statistics. Assuming in total </w:t>
            </w:r>
            <w:r>
              <w:rPr>
                <w:rFonts w:ascii="Times New Roman" w:hAnsi="Times New Roman" w:cs="Times New Roman"/>
                <w:i/>
                <w:iCs/>
                <w:sz w:val="26"/>
                <w:szCs w:val="26"/>
              </w:rPr>
              <w:t>N</w:t>
            </w:r>
            <w:r>
              <w:rPr>
                <w:rFonts w:ascii="Times New Roman" w:hAnsi="Times New Roman" w:cs="Times New Roman"/>
                <w:sz w:val="26"/>
                <w:szCs w:val="26"/>
                <w:vertAlign w:val="subscript"/>
              </w:rPr>
              <w:t>total</w:t>
            </w:r>
            <w:r>
              <w:rPr>
                <w:rFonts w:ascii="Times New Roman" w:hAnsi="Times New Roman" w:cs="Times New Roman"/>
                <w:sz w:val="26"/>
                <w:szCs w:val="26"/>
              </w:rPr>
              <w:t> = 60 · 25 = 1500 particles (for a concentration of 1.0 cm</w:t>
            </w:r>
            <w:r>
              <w:rPr>
                <w:rFonts w:ascii="Times New Roman" w:hAnsi="Times New Roman" w:cs="Times New Roman"/>
                <w:sz w:val="26"/>
                <w:szCs w:val="26"/>
                <w:vertAlign w:val="superscript"/>
              </w:rPr>
              <w:t>−3</w:t>
            </w:r>
            <w:r>
              <w:rPr>
                <w:rFonts w:ascii="Times New Roman" w:hAnsi="Times New Roman" w:cs="Times New Roman"/>
                <w:sz w:val="26"/>
                <w:szCs w:val="26"/>
              </w:rPr>
              <w:t>), the relative standard deviation amounts to</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 </w:t>
            </w:r>
            <w:r>
              <w:rPr>
                <w:rFonts w:ascii="Times New Roman" w:hAnsi="Times New Roman" w:cs="Times New Roman"/>
                <w:noProof/>
                <w:sz w:val="26"/>
                <w:szCs w:val="26"/>
              </w:rPr>
              <w:drawing>
                <wp:inline distT="0" distB="0" distL="0" distR="0">
                  <wp:extent cx="1398905" cy="226695"/>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60"/>
                          <a:stretch>
                            <a:fillRect/>
                          </a:stretch>
                        </pic:blipFill>
                        <pic:spPr>
                          <a:xfrm>
                            <a:off x="0" y="0"/>
                            <a:ext cx="1506090" cy="244069"/>
                          </a:xfrm>
                          <a:prstGeom prst="rect">
                            <a:avLst/>
                          </a:prstGeom>
                        </pic:spPr>
                      </pic:pic>
                    </a:graphicData>
                  </a:graphic>
                </wp:inline>
              </w:drawing>
            </w:r>
            <w:r>
              <w:rPr>
                <w:rFonts w:ascii="Times New Roman" w:hAnsi="Times New Roman" w:cs="Times New Roman"/>
                <w:sz w:val="26"/>
                <w:szCs w:val="26"/>
              </w:rPr>
              <w:t>= 2.6% (</w:t>
            </w:r>
            <w:r>
              <w:rPr>
                <w:rFonts w:ascii="Times New Roman" w:hAnsi="Times New Roman" w:cs="Times New Roman"/>
                <w:i/>
                <w:iCs/>
                <w:sz w:val="26"/>
                <w:szCs w:val="26"/>
              </w:rPr>
              <w:t>k</w:t>
            </w:r>
            <w:r>
              <w:rPr>
                <w:rFonts w:ascii="Times New Roman" w:hAnsi="Times New Roman" w:cs="Times New Roman"/>
                <w:sz w:val="26"/>
                <w:szCs w:val="26"/>
              </w:rPr>
              <w:t> = 1) or 5.2% (</w:t>
            </w:r>
            <w:r>
              <w:rPr>
                <w:rFonts w:ascii="Times New Roman" w:hAnsi="Times New Roman" w:cs="Times New Roman"/>
                <w:i/>
                <w:iCs/>
                <w:sz w:val="26"/>
                <w:szCs w:val="26"/>
              </w:rPr>
              <w:t>k</w:t>
            </w:r>
            <w:r>
              <w:rPr>
                <w:rFonts w:ascii="Times New Roman" w:hAnsi="Times New Roman" w:cs="Times New Roman"/>
                <w:sz w:val="26"/>
                <w:szCs w:val="26"/>
              </w:rPr>
              <w:t> = 2). A measured standard deviation noticeably larger than the one predicted by theory indicates fluctuations in the sol khí generation (see example in Subsection </w:t>
            </w:r>
            <w:hyperlink r:id="rId61" w:anchor="s6" w:history="1">
              <w:r>
                <w:rPr>
                  <w:rStyle w:val="Hyperlink"/>
                  <w:rFonts w:ascii="Times New Roman" w:hAnsi="Times New Roman" w:cs="Times New Roman"/>
                  <w:sz w:val="26"/>
                  <w:szCs w:val="26"/>
                </w:rPr>
                <w:t>VI</w:t>
              </w:r>
            </w:hyperlink>
            <w:r>
              <w:rPr>
                <w:rFonts w:ascii="Times New Roman" w:hAnsi="Times New Roman" w:cs="Times New Roman"/>
                <w:sz w:val="26"/>
                <w:szCs w:val="26"/>
              </w:rPr>
              <w:t>). This simple check can be used as additional quality control of the calibration facility. A Dixon outlier test is also applied, and if more than two of the 25 measurements are found as outliers, all 25 measurements are rejected and the measurement series is repeated.</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At particle number concentrations of 100 cm</w:t>
            </w:r>
            <w:r>
              <w:rPr>
                <w:rFonts w:ascii="Times New Roman" w:hAnsi="Times New Roman" w:cs="Times New Roman"/>
                <w:sz w:val="26"/>
                <w:szCs w:val="26"/>
                <w:vertAlign w:val="superscript"/>
              </w:rPr>
              <w:t>−3</w:t>
            </w:r>
            <w:r>
              <w:rPr>
                <w:rFonts w:ascii="Times New Roman" w:hAnsi="Times New Roman" w:cs="Times New Roman"/>
                <w:sz w:val="26"/>
                <w:szCs w:val="26"/>
              </w:rPr>
              <w:t>, the relative uncertainty in the measured number of particles </w:t>
            </w:r>
            <w:r>
              <w:rPr>
                <w:rFonts w:ascii="Times New Roman" w:hAnsi="Times New Roman" w:cs="Times New Roman"/>
                <w:i/>
                <w:iCs/>
                <w:sz w:val="26"/>
                <w:szCs w:val="26"/>
              </w:rPr>
              <w:t>N</w:t>
            </w:r>
            <w:r>
              <w:rPr>
                <w:rFonts w:ascii="Times New Roman" w:hAnsi="Times New Roman" w:cs="Times New Roman"/>
                <w:sz w:val="26"/>
                <w:szCs w:val="26"/>
              </w:rPr>
              <w:t> reduces to 2.1% (95% confidence level) due to improved statistics. This type of statistical uncertainty could be further reduced by increasing either the measurement duration or the number of measurements.</w:t>
            </w:r>
          </w:p>
        </w:tc>
        <w:tc>
          <w:tcPr>
            <w:tcW w:w="5400" w:type="dxa"/>
          </w:tcPr>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Theo Eq. (3), ngay cả đối với nồng độ số hạt trung bình là 1000 cm-3, xác suất để hai hạt trùng nhau trong thể tích đầu dò là 1,2 × 10</w:t>
            </w:r>
            <w:r>
              <w:rPr>
                <w:rFonts w:ascii="Times New Roman" w:hAnsi="Times New Roman" w:cs="Times New Roman"/>
                <w:sz w:val="26"/>
                <w:szCs w:val="26"/>
                <w:vertAlign w:val="superscript"/>
                <w:lang w:val="vi-VN"/>
              </w:rPr>
              <w:t>-</w:t>
            </w:r>
            <w:r>
              <w:rPr>
                <w:rFonts w:ascii="Times New Roman" w:hAnsi="Times New Roman" w:cs="Times New Roman"/>
                <w:sz w:val="26"/>
                <w:szCs w:val="26"/>
                <w:vertAlign w:val="superscript"/>
              </w:rPr>
              <w:t>6</w:t>
            </w:r>
            <w:r>
              <w:rPr>
                <w:rFonts w:ascii="Times New Roman" w:hAnsi="Times New Roman" w:cs="Times New Roman"/>
                <w:sz w:val="26"/>
                <w:szCs w:val="26"/>
              </w:rPr>
              <w:t xml:space="preserve"> và do đó không đáng kể. Đối với ba hoặc nhiều hạt trùng nhau, xác suất thậm chí còn nhỏ hơn.</w:t>
            </w: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 xml:space="preserve">Mỗi phép đo có khoảng thời gian là 60 s với điểm bắt đầu và điểm cuối được điều khiển tự động. Do đó, độ không đảm bảo đo trong việc xác định t là không đáng kể. Đối với hiệu chuẩn dụng cụ điển hình, các phép đo trong 60 s được lặp lại 25 lần và số hạt trung bình Đếm trung bình và độ lệch chuẩn tương đối liên quan của giá trị trung bình được tính. Giá trị thứ hai thường là 5,2% (mức độ tin cậy 95%, xem hàng thứ hai của Bảng I). </w:t>
            </w:r>
          </w:p>
          <w:p w:rsidR="00074427" w:rsidRDefault="00074427">
            <w:pPr>
              <w:spacing w:after="0" w:line="240" w:lineRule="auto"/>
              <w:ind w:firstLine="157"/>
              <w:jc w:val="both"/>
              <w:rPr>
                <w:rFonts w:ascii="Times New Roman" w:hAnsi="Times New Roman" w:cs="Times New Roman"/>
                <w:sz w:val="26"/>
                <w:szCs w:val="26"/>
              </w:rPr>
            </w:pP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Vì sự phân bố hạt là ngẫu nhiên, độ lệch chuẩn tương đối trên lý thuyết có thể được xác định bằng cách sử dụng thống kê Poisson. Giả sử trong tổng số N</w:t>
            </w:r>
            <w:r>
              <w:rPr>
                <w:rFonts w:ascii="Times New Roman" w:hAnsi="Times New Roman" w:cs="Times New Roman"/>
                <w:sz w:val="26"/>
                <w:szCs w:val="26"/>
                <w:vertAlign w:val="subscript"/>
              </w:rPr>
              <w:t>total</w:t>
            </w:r>
            <w:r>
              <w:rPr>
                <w:rFonts w:ascii="Times New Roman" w:hAnsi="Times New Roman" w:cs="Times New Roman"/>
                <w:sz w:val="26"/>
                <w:szCs w:val="26"/>
              </w:rPr>
              <w:t xml:space="preserve"> = 60 </w:t>
            </w:r>
            <w:r>
              <w:rPr>
                <w:rFonts w:ascii="Times New Roman" w:hAnsi="Times New Roman" w:cs="Times New Roman"/>
                <w:sz w:val="26"/>
                <w:szCs w:val="26"/>
                <w:lang w:val="vi-VN"/>
              </w:rPr>
              <w:t>*</w:t>
            </w:r>
            <w:r>
              <w:rPr>
                <w:rFonts w:ascii="Times New Roman" w:hAnsi="Times New Roman" w:cs="Times New Roman"/>
                <w:sz w:val="26"/>
                <w:szCs w:val="26"/>
              </w:rPr>
              <w:t xml:space="preserve"> 25 = 1500 hạt (với nồng độ 1,0 cm</w:t>
            </w:r>
            <w:r>
              <w:rPr>
                <w:rFonts w:ascii="Times New Roman" w:hAnsi="Times New Roman" w:cs="Times New Roman"/>
                <w:sz w:val="26"/>
                <w:szCs w:val="26"/>
                <w:vertAlign w:val="superscript"/>
                <w:lang w:val="vi-VN"/>
              </w:rPr>
              <w:t>-</w:t>
            </w:r>
            <w:r>
              <w:rPr>
                <w:rFonts w:ascii="Times New Roman" w:hAnsi="Times New Roman" w:cs="Times New Roman"/>
                <w:sz w:val="26"/>
                <w:szCs w:val="26"/>
                <w:vertAlign w:val="superscript"/>
              </w:rPr>
              <w:t>3</w:t>
            </w:r>
            <w:r>
              <w:rPr>
                <w:rFonts w:ascii="Times New Roman" w:hAnsi="Times New Roman" w:cs="Times New Roman"/>
                <w:sz w:val="26"/>
                <w:szCs w:val="26"/>
              </w:rPr>
              <w:t>), độ lệch chuẩn tương đối là</w:t>
            </w: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Pr>
                <w:rFonts w:ascii="Times New Roman" w:hAnsi="Times New Roman" w:cs="Times New Roman"/>
                <w:noProof/>
                <w:sz w:val="26"/>
                <w:szCs w:val="26"/>
              </w:rPr>
              <w:drawing>
                <wp:inline distT="0" distB="0" distL="0" distR="0">
                  <wp:extent cx="1398905" cy="22669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60"/>
                          <a:stretch>
                            <a:fillRect/>
                          </a:stretch>
                        </pic:blipFill>
                        <pic:spPr>
                          <a:xfrm>
                            <a:off x="0" y="0"/>
                            <a:ext cx="1506090" cy="244069"/>
                          </a:xfrm>
                          <a:prstGeom prst="rect">
                            <a:avLst/>
                          </a:prstGeom>
                        </pic:spPr>
                      </pic:pic>
                    </a:graphicData>
                  </a:graphic>
                </wp:inline>
              </w:drawing>
            </w:r>
            <w:r>
              <w:rPr>
                <w:rFonts w:ascii="Times New Roman" w:hAnsi="Times New Roman" w:cs="Times New Roman"/>
                <w:sz w:val="26"/>
                <w:szCs w:val="26"/>
              </w:rPr>
              <w:t xml:space="preserve"> = 2.6% (</w:t>
            </w:r>
            <w:r>
              <w:rPr>
                <w:rFonts w:ascii="Times New Roman" w:hAnsi="Times New Roman" w:cs="Times New Roman"/>
                <w:i/>
                <w:iCs/>
                <w:sz w:val="26"/>
                <w:szCs w:val="26"/>
              </w:rPr>
              <w:t>k</w:t>
            </w:r>
            <w:r>
              <w:rPr>
                <w:rFonts w:ascii="Times New Roman" w:hAnsi="Times New Roman" w:cs="Times New Roman"/>
                <w:sz w:val="26"/>
                <w:szCs w:val="26"/>
              </w:rPr>
              <w:t> = 1) or 5.2% (</w:t>
            </w:r>
            <w:r>
              <w:rPr>
                <w:rFonts w:ascii="Times New Roman" w:hAnsi="Times New Roman" w:cs="Times New Roman"/>
                <w:i/>
                <w:iCs/>
                <w:sz w:val="26"/>
                <w:szCs w:val="26"/>
              </w:rPr>
              <w:t>k</w:t>
            </w:r>
            <w:r>
              <w:rPr>
                <w:rFonts w:ascii="Times New Roman" w:hAnsi="Times New Roman" w:cs="Times New Roman"/>
                <w:sz w:val="26"/>
                <w:szCs w:val="26"/>
              </w:rPr>
              <w:t> = 2) . Độ lệch chuẩn đo được lớn hơn đáng kể so với độ lệch được dự đoán theo lý thuyết cho thấy sự dao động trong quá trình tạo sol khí (xem ví dụ trong Tiểu mục VI). Việc kiểm tra đơn giản này có thể được sử dụng như kiểm tra chất lượng bổ sung của cơ sở hiệu chuẩn. Một thử nghiệm ngoại lệ Dixon cũng được áp dụng và nếu hơn hai trong số 25 phép đo được tìm thấy là ngoại lệ, tất cả 25 phép đo bị loại bỏ và chuỗi phép đo được lặp lại.</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Ở nồng độ số hạt 100 cm</w:t>
            </w:r>
            <w:r>
              <w:rPr>
                <w:rFonts w:ascii="Times New Roman" w:hAnsi="Times New Roman" w:cs="Times New Roman"/>
                <w:sz w:val="26"/>
                <w:szCs w:val="26"/>
                <w:vertAlign w:val="superscript"/>
              </w:rPr>
              <w:t>-3</w:t>
            </w:r>
            <w:r>
              <w:rPr>
                <w:rFonts w:ascii="Times New Roman" w:hAnsi="Times New Roman" w:cs="Times New Roman"/>
                <w:sz w:val="26"/>
                <w:szCs w:val="26"/>
              </w:rPr>
              <w:t>, độ không đảm bảo đo tương đối của số hạt N đo được giảm xuống còn 2,1% (độ tin cậy 95%) do số liệu thống kê được cải thiện. Loại độ không đảm bảo đo thống kê này có thể được giảm hơn nữa bằng cách tăng thời lượng đo hoặc số lượng phép đo.</w:t>
            </w:r>
          </w:p>
        </w:tc>
      </w:tr>
      <w:tr w:rsidR="00074427">
        <w:tc>
          <w:tcPr>
            <w:tcW w:w="5305" w:type="dxa"/>
          </w:tcPr>
          <w:p w:rsidR="00074427" w:rsidRDefault="006919F7">
            <w:pPr>
              <w:spacing w:after="0" w:line="240" w:lineRule="auto"/>
              <w:ind w:firstLine="157"/>
              <w:jc w:val="both"/>
              <w:rPr>
                <w:rFonts w:ascii="Times New Roman" w:hAnsi="Times New Roman" w:cs="Times New Roman"/>
                <w:b/>
                <w:bCs/>
                <w:i/>
                <w:iCs/>
                <w:sz w:val="26"/>
                <w:szCs w:val="26"/>
              </w:rPr>
            </w:pPr>
            <w:r>
              <w:rPr>
                <w:rFonts w:ascii="Times New Roman" w:hAnsi="Times New Roman" w:cs="Times New Roman"/>
                <w:b/>
                <w:bCs/>
                <w:i/>
                <w:iCs/>
                <w:sz w:val="26"/>
                <w:szCs w:val="26"/>
              </w:rPr>
              <w:lastRenderedPageBreak/>
              <w:t>2. Homogeneity of sol khí sampling and noise</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In </w:t>
            </w:r>
            <w:hyperlink r:id="rId62" w:tooltip="Open Figure Viewer" w:history="1">
              <w:r>
                <w:rPr>
                  <w:rStyle w:val="Hyperlink"/>
                  <w:rFonts w:ascii="Times New Roman" w:hAnsi="Times New Roman" w:cs="Times New Roman"/>
                  <w:sz w:val="26"/>
                  <w:szCs w:val="26"/>
                </w:rPr>
                <w:t>Fig. 5(c)</w:t>
              </w:r>
            </w:hyperlink>
            <w:r>
              <w:rPr>
                <w:rFonts w:ascii="Times New Roman" w:hAnsi="Times New Roman" w:cs="Times New Roman"/>
                <w:sz w:val="26"/>
                <w:szCs w:val="26"/>
              </w:rPr>
              <w:t>, we presented the cross-stream profile of the mean particle number concentration at the sampling position. From the measurements with DEHS sol khí (only these are discussed here due to their statistical credibility), it can be seen that the concentration fluctuates by ±1.5% with the cross-stream position. The standard deviation of these fluctuations was calculated to be 0.45%. Due to the small number of measurements (</w:t>
            </w:r>
            <w:r>
              <w:rPr>
                <w:rFonts w:ascii="Times New Roman" w:hAnsi="Times New Roman" w:cs="Times New Roman"/>
                <w:i/>
                <w:iCs/>
                <w:sz w:val="26"/>
                <w:szCs w:val="26"/>
              </w:rPr>
              <w:t>n</w:t>
            </w:r>
            <w:r>
              <w:rPr>
                <w:rFonts w:ascii="Times New Roman" w:hAnsi="Times New Roman" w:cs="Times New Roman"/>
                <w:sz w:val="26"/>
                <w:szCs w:val="26"/>
              </w:rPr>
              <w:t> = 7), a t-distribution was used, which yields a coverage factor </w:t>
            </w:r>
            <w:r>
              <w:rPr>
                <w:rFonts w:ascii="Times New Roman" w:hAnsi="Times New Roman" w:cs="Times New Roman"/>
                <w:i/>
                <w:iCs/>
                <w:sz w:val="26"/>
                <w:szCs w:val="26"/>
              </w:rPr>
              <w:t>k</w:t>
            </w:r>
            <w:r>
              <w:rPr>
                <w:rFonts w:ascii="Times New Roman" w:hAnsi="Times New Roman" w:cs="Times New Roman"/>
                <w:sz w:val="26"/>
                <w:szCs w:val="26"/>
              </w:rPr>
              <w:t> ≈ 2.4 for </w:t>
            </w:r>
            <w:r>
              <w:rPr>
                <w:rFonts w:ascii="Times New Roman" w:hAnsi="Times New Roman" w:cs="Times New Roman"/>
                <w:i/>
                <w:iCs/>
                <w:sz w:val="26"/>
                <w:szCs w:val="26"/>
              </w:rPr>
              <w:t>n</w:t>
            </w:r>
            <w:r>
              <w:rPr>
                <w:rFonts w:ascii="Times New Roman" w:hAnsi="Times New Roman" w:cs="Times New Roman"/>
                <w:sz w:val="26"/>
                <w:szCs w:val="26"/>
              </w:rPr>
              <w:t> − 1 = 6 degrees of freedom and leads to an uncertainty in the sol khí homogeneity of 1.1% (95% confidence level). In </w:t>
            </w:r>
            <w:hyperlink r:id="rId63" w:anchor="t2" w:history="1">
              <w:r>
                <w:rPr>
                  <w:rStyle w:val="Hyperlink"/>
                  <w:rFonts w:ascii="Times New Roman" w:hAnsi="Times New Roman" w:cs="Times New Roman"/>
                  <w:sz w:val="26"/>
                  <w:szCs w:val="26"/>
                </w:rPr>
                <w:t>Table II</w:t>
              </w:r>
            </w:hyperlink>
            <w:r>
              <w:rPr>
                <w:rFonts w:ascii="Times New Roman" w:hAnsi="Times New Roman" w:cs="Times New Roman"/>
                <w:sz w:val="26"/>
                <w:szCs w:val="26"/>
              </w:rPr>
              <w:t>, </w:t>
            </w:r>
            <w:r>
              <w:rPr>
                <w:rFonts w:ascii="Times New Roman" w:hAnsi="Times New Roman" w:cs="Times New Roman"/>
                <w:i/>
                <w:iCs/>
                <w:sz w:val="26"/>
                <w:szCs w:val="26"/>
              </w:rPr>
              <w:t>η</w:t>
            </w:r>
            <w:r>
              <w:rPr>
                <w:rFonts w:ascii="Times New Roman" w:hAnsi="Times New Roman" w:cs="Times New Roman"/>
                <w:sz w:val="26"/>
                <w:szCs w:val="26"/>
                <w:vertAlign w:val="subscript"/>
              </w:rPr>
              <w:t>hom</w:t>
            </w:r>
            <w:r>
              <w:rPr>
                <w:rFonts w:ascii="Times New Roman" w:hAnsi="Times New Roman" w:cs="Times New Roman"/>
                <w:sz w:val="26"/>
                <w:szCs w:val="26"/>
              </w:rPr>
              <w:t> was therefore set to 1 (perfect homogeneity) with an expanded relative uncertainty of 1.1%.</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 xml:space="preserve">Bias in the measurement of particle number concentration could also arise due to the detector noise caused, for instance, by random electrons in the photomultiplier. To distinguish between signal peaks and noise spikes, a peak detection algorithm is used and a threshold (trigger) is set manually to define the level above which the data will be collected. Even in the case that noise spikes exceed the trigger level, the peak detection algorithm will assign them to noise based on the </w:t>
            </w:r>
            <w:r>
              <w:rPr>
                <w:rFonts w:ascii="Times New Roman" w:hAnsi="Times New Roman" w:cs="Times New Roman"/>
                <w:sz w:val="26"/>
                <w:szCs w:val="26"/>
              </w:rPr>
              <w:lastRenderedPageBreak/>
              <w:t>signal shape and therefore discard them. In Eq. </w:t>
            </w:r>
            <w:hyperlink r:id="rId64" w:history="1">
              <w:r>
                <w:rPr>
                  <w:rStyle w:val="Hyperlink"/>
                  <w:rFonts w:ascii="Times New Roman" w:hAnsi="Times New Roman" w:cs="Times New Roman"/>
                  <w:sz w:val="26"/>
                  <w:szCs w:val="26"/>
                </w:rPr>
                <w:t>(1)</w:t>
              </w:r>
            </w:hyperlink>
            <w:r>
              <w:rPr>
                <w:rFonts w:ascii="Times New Roman" w:hAnsi="Times New Roman" w:cs="Times New Roman"/>
                <w:sz w:val="26"/>
                <w:szCs w:val="26"/>
              </w:rPr>
              <w:t>, </w:t>
            </w:r>
            <w:r>
              <w:rPr>
                <w:rFonts w:ascii="Times New Roman" w:hAnsi="Times New Roman" w:cs="Times New Roman"/>
                <w:i/>
                <w:iCs/>
                <w:sz w:val="26"/>
                <w:szCs w:val="26"/>
              </w:rPr>
              <w:t>η</w:t>
            </w:r>
            <w:r>
              <w:rPr>
                <w:rFonts w:ascii="Times New Roman" w:hAnsi="Times New Roman" w:cs="Times New Roman"/>
                <w:sz w:val="26"/>
                <w:szCs w:val="26"/>
                <w:vertAlign w:val="subscript"/>
              </w:rPr>
              <w:t>noise</w:t>
            </w:r>
            <w:r>
              <w:rPr>
                <w:rFonts w:ascii="Times New Roman" w:hAnsi="Times New Roman" w:cs="Times New Roman"/>
                <w:sz w:val="26"/>
                <w:szCs w:val="26"/>
              </w:rPr>
              <w:t> is therefore set equal to zero.</w:t>
            </w:r>
          </w:p>
        </w:tc>
        <w:tc>
          <w:tcPr>
            <w:tcW w:w="5400" w:type="dxa"/>
          </w:tcPr>
          <w:p w:rsidR="00074427" w:rsidRDefault="006919F7">
            <w:pPr>
              <w:spacing w:after="0" w:line="240" w:lineRule="auto"/>
              <w:jc w:val="both"/>
              <w:rPr>
                <w:rFonts w:ascii="Times New Roman Bold" w:hAnsi="Times New Roman Bold" w:cs="Times New Roman"/>
                <w:b/>
                <w:spacing w:val="-6"/>
                <w:sz w:val="26"/>
                <w:szCs w:val="26"/>
              </w:rPr>
            </w:pPr>
            <w:r>
              <w:rPr>
                <w:rFonts w:ascii="Times New Roman Bold" w:hAnsi="Times New Roman Bold" w:cs="Times New Roman"/>
                <w:b/>
                <w:spacing w:val="-6"/>
                <w:sz w:val="26"/>
                <w:szCs w:val="26"/>
              </w:rPr>
              <w:lastRenderedPageBreak/>
              <w:t>2. Tính đồng nhất của lấy mẫu sol khí và tiếng ồn</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Trong Hình 5 (c), chúng tôi đã trình bày sơ đồ dòng chéo của nồng độ số hạt trung bình tại vị trí lấy mẫu. Từ các phép đo với DEHS sol khí (chỉ những điều này được thảo luận ở đây do độ tin cậy thống kê của chúng), có thể thấy rằng nồng độ dao động ± 1,5% với vị trí dòng chéo. Độ lệch chuẩn của những biến động này được tính toán là 0,45%. Do số lượng phép đo nhỏ (n = 7), phân bố t đã được sử dụng, tạo ra hệ số phủ k ≈ 2,4 cho n - 1 = 6 bậc tự do và dẫn đến độ không đảm bảo đo độ đồng nhất của sol khí là 1,1% ( Độ tin cậy 95%). Trong Bảng II, ηhom do đó được đặt thành 1 (độ đồng nhất hoàn hảo) với độ không đảm bảo đo tương đối mở rộng là 1,1%.</w:t>
            </w:r>
          </w:p>
          <w:p w:rsidR="00074427" w:rsidRDefault="00074427">
            <w:pPr>
              <w:spacing w:after="0" w:line="240" w:lineRule="auto"/>
              <w:ind w:firstLine="157"/>
              <w:jc w:val="both"/>
              <w:rPr>
                <w:rFonts w:ascii="Times New Roman" w:hAnsi="Times New Roman" w:cs="Times New Roman"/>
                <w:b/>
                <w:i/>
                <w:sz w:val="26"/>
                <w:szCs w:val="26"/>
              </w:rPr>
            </w:pPr>
          </w:p>
          <w:p w:rsidR="00074427" w:rsidRDefault="00074427">
            <w:pPr>
              <w:spacing w:after="0" w:line="240" w:lineRule="auto"/>
              <w:ind w:firstLine="157"/>
              <w:jc w:val="both"/>
              <w:rPr>
                <w:rFonts w:ascii="Times New Roman" w:hAnsi="Times New Roman" w:cs="Times New Roman"/>
                <w:b/>
                <w:i/>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b/>
                <w:i/>
                <w:sz w:val="26"/>
                <w:szCs w:val="26"/>
              </w:rPr>
              <w:t>Sự sai lệch trong phép đo nồng độ số hạt cũng có thể phát sinh do nhiễu máy dò</w:t>
            </w:r>
            <w:r>
              <w:rPr>
                <w:rFonts w:ascii="Times New Roman" w:hAnsi="Times New Roman" w:cs="Times New Roman"/>
                <w:sz w:val="26"/>
                <w:szCs w:val="26"/>
              </w:rPr>
              <w:t xml:space="preserve">, ví dụ, do các điện tử ngẫu nhiên trong bộ nhân quang gây ra. Để phân biệt giữa đỉnh tín hiệu và đỉnh nhiễu, thuật toán phát hiện đỉnh được sử dụng và ngưỡng (bộ kích hoạt) được đặt theo cách thủ công để xác định mức mà dữ liệu sẽ được thu thập trên đó. Ngay cả trong trường hợp xung nhiễu vượt quá mức kích hoạt, thuật toán phát hiện đỉnh sẽ gán chúng cho nhiễu dựa trên hình dạng tín hiệu và do đó loại bỏ </w:t>
            </w:r>
            <w:r>
              <w:rPr>
                <w:rFonts w:ascii="Times New Roman" w:hAnsi="Times New Roman" w:cs="Times New Roman"/>
                <w:sz w:val="26"/>
                <w:szCs w:val="26"/>
              </w:rPr>
              <w:lastRenderedPageBreak/>
              <w:t>chúng. Trong Eq. (1), ηnoise do đó được đặt bằng 0.</w:t>
            </w:r>
          </w:p>
        </w:tc>
      </w:tr>
      <w:tr w:rsidR="00074427">
        <w:tc>
          <w:tcPr>
            <w:tcW w:w="5305"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lastRenderedPageBreak/>
              <w:t>3. Uncertainty of particle losses and flow rate</w:t>
            </w: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Particle losses due to diffusion must also be taken into account on their path from the sampling inlet toward the laser detection area, especially for small PSL particles. The losses depend on particle size, length, and nature of tubings and sampling flow rate and are corrected when calculating cref using the equation for the penetration P (fraction of exiting to entering particles) provided in the work of Hinh 27 [Eq. (7.29)]. A rigorous determination of the uncertainty in P is not feasible since these equations interpolate experimental findings; therefore, an estimated uncertainty of 1% has been assigned according to Ref. 27 (p. 163). Since this is not a statistical uncertainty, the concept of a coverage factor does not apply. The DUT-OPCs, on the contrary, have much higher sampling flow rates (&gt;0.3 l/min) than the reference optical counter, and therefore, the diffusion losses are negligible. No correction is needed despite the higher Re number (turbulent flow) in the sampling line of the DUT [see Eqs. (7.31) and (7.32) of Ref. 27].</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Regarding impaction losses, the vertical design of the setup in conjunction with the isokinetic sampling probes and the straight sampling tubes (practically no bendings) ensures that such losses remain negligible. Only in case the DUT has a horizontal inlet (e.g., CPC) and is to be calibrated with particles larger 1 μm, the losses due to the unavoidable bend must be calculated based on equations given in Ref. 27 (p. 217). The related uncertainty can be calculated with standard error propagation based on the uncertainty in particle size, sol khí flow, radius of the bend, inclination angle, etc.</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The aerosol flow through the reference optical cell is controlled by a calibrated MFC with an uncertainty of 0.3% at 95% confidence (traceable calibration at METAS).</w:t>
            </w:r>
          </w:p>
        </w:tc>
        <w:tc>
          <w:tcPr>
            <w:tcW w:w="5400"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t>3. Độ</w:t>
            </w:r>
            <w:r>
              <w:rPr>
                <w:rFonts w:ascii="Times New Roman" w:hAnsi="Times New Roman" w:cs="Times New Roman"/>
                <w:b/>
                <w:sz w:val="26"/>
                <w:szCs w:val="26"/>
                <w:lang w:val="vi-VN"/>
              </w:rPr>
              <w:t xml:space="preserve"> không đảm bảo đo</w:t>
            </w:r>
            <w:r>
              <w:rPr>
                <w:rFonts w:ascii="Times New Roman" w:hAnsi="Times New Roman" w:cs="Times New Roman"/>
                <w:b/>
                <w:sz w:val="26"/>
                <w:szCs w:val="26"/>
              </w:rPr>
              <w:t xml:space="preserve"> của tổn thất hạt và tốc độ dòng chảy</w:t>
            </w:r>
          </w:p>
          <w:p w:rsidR="00074427" w:rsidRDefault="006919F7">
            <w:pPr>
              <w:spacing w:after="0" w:line="240" w:lineRule="auto"/>
              <w:ind w:firstLine="157"/>
              <w:jc w:val="both"/>
              <w:rPr>
                <w:rFonts w:ascii="Times New Roman" w:hAnsi="Times New Roman" w:cs="Times New Roman"/>
                <w:sz w:val="26"/>
                <w:szCs w:val="26"/>
              </w:rPr>
            </w:pPr>
            <w:bookmarkStart w:id="0" w:name="_GoBack"/>
            <w:r>
              <w:rPr>
                <w:rFonts w:ascii="Times New Roman" w:hAnsi="Times New Roman" w:cs="Times New Roman"/>
                <w:b/>
                <w:i/>
                <w:sz w:val="26"/>
                <w:szCs w:val="26"/>
              </w:rPr>
              <w:t xml:space="preserve">Tổn thất hạt do khuếch tán cũng phải được tính đến trên đường đi của chúng từ đầu vào lấy mẫu đến vùng phát hiện laser, đặc biệt là đối với các hạt PSL nhỏ. Tổn thất phụ thuộc vào kích thước hạt, chiều dài và bản chất của ống và tốc độ dòng lấy mẫu và được hiệu chỉnh khi tính toán cref bằng cách sử dụng phương trình cho sự xâm nhập </w:t>
            </w:r>
            <w:r>
              <w:rPr>
                <w:rFonts w:ascii="Times New Roman" w:hAnsi="Times New Roman" w:cs="Times New Roman"/>
                <w:sz w:val="26"/>
                <w:szCs w:val="26"/>
              </w:rPr>
              <w:t>P (phần thoát ra để đi vào các hạt) được cung cấp trong công trình của Hinh 27 [Eq. (7.29)]. Việc xác định chặt chẽ độ không đảm bảo đo trong P là không khả thi vì các phương trình này nội suy các kết quả thực nghiệm; do đó, độ không đảm bảo đo ước tính là 1% đã được chỉ định theo Tham khảo. 27 (tr. 163). Vì đây không phải là độ không đảm bảo đo thống kê nên không áp dụng khái niệm hệ số phủ. Ngược lại, DUT-OPC có tốc độ dòng lấy mẫu cao hơn nhiều (&gt; 0,3 L/min) so với bộ đếm quang chuẩn, và do đó, tổn thất khuếch tán là không đáng kể. Không cần hiệu chỉnh mặc dù số Re (dòng chảy rối) cao hơn trong đường lấy mẫu của DUT [xem Công thức. (7.31) và (7.32) của Tham chiếu 27].</w:t>
            </w:r>
          </w:p>
          <w:p w:rsidR="00074427" w:rsidRDefault="00074427">
            <w:pPr>
              <w:spacing w:after="0" w:line="240" w:lineRule="auto"/>
              <w:ind w:firstLine="157"/>
              <w:jc w:val="both"/>
              <w:rPr>
                <w:rFonts w:ascii="Times New Roman" w:hAnsi="Times New Roman" w:cs="Times New Roman"/>
                <w:sz w:val="26"/>
                <w:szCs w:val="26"/>
              </w:rPr>
            </w:pP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b/>
                <w:i/>
                <w:sz w:val="26"/>
                <w:szCs w:val="26"/>
              </w:rPr>
              <w:t>Đối với tổn thất do va đập, thiết kế thẳng đứng của thiết lập kết hợp với đầu dò lấy mẫu đẳng động và ống lấy mẫu thẳng (thực tế không bị uốn cong) đảm bảo rằng tổn thất đó không đáng kể</w:t>
            </w:r>
            <w:r>
              <w:rPr>
                <w:rFonts w:ascii="Times New Roman" w:hAnsi="Times New Roman" w:cs="Times New Roman"/>
                <w:sz w:val="26"/>
                <w:szCs w:val="26"/>
              </w:rPr>
              <w:t>. Chỉ trong trường hợp DUT có đầu vào nằm ngang (ví dụ, CPC) và được hiệu chuẩn với các hạt lớn hơn 1 μm, tổn thất do uốn cong không thể tránh khỏi phải được tính toán dựa trên các phương trình cho trong Tham khảo. 27 (tr. 217). Độ không đảm bảo đo liên quan có thể được tính toán với sự lan truyền sai số tiêu chuẩn dựa trên độ không đảm bảo đo về kích thước hạt, dòng sol khí, bán kính uốn cong, góc nghiêng, v.v.</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Dòng sol khí qua tế bào quang tham chiếu được kiểm soát bởi MFC đã hiệu chuẩn với độ không đảm bảo đo là 0,3% ở độ tin cậy 95% (hiệu chuẩn có thể theo dõi tại METAS).</w:t>
            </w:r>
            <w:bookmarkEnd w:id="0"/>
          </w:p>
        </w:tc>
      </w:tr>
      <w:tr w:rsidR="00074427">
        <w:tc>
          <w:tcPr>
            <w:tcW w:w="5305" w:type="dxa"/>
          </w:tcPr>
          <w:p w:rsidR="00074427" w:rsidRDefault="006919F7">
            <w:pPr>
              <w:spacing w:after="0" w:line="240" w:lineRule="auto"/>
              <w:ind w:firstLine="157"/>
              <w:jc w:val="both"/>
              <w:rPr>
                <w:rFonts w:ascii="Times New Roman" w:hAnsi="Times New Roman" w:cs="Times New Roman"/>
                <w:b/>
                <w:bCs/>
                <w:sz w:val="26"/>
                <w:szCs w:val="26"/>
              </w:rPr>
            </w:pPr>
            <w:r>
              <w:rPr>
                <w:rFonts w:ascii="Times New Roman" w:hAnsi="Times New Roman" w:cs="Times New Roman"/>
                <w:b/>
                <w:bCs/>
                <w:sz w:val="26"/>
                <w:szCs w:val="26"/>
              </w:rPr>
              <w:t>B. Traceability and validation of the facility</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lastRenderedPageBreak/>
              <w:t>The size of the PSL particles used in this study was measured and certified at METAS by means of atomic force microscopy. All mass flow controllers used in the sol khí generation or detection parts of the setup have been calibrated at METAS in a traceable manner (0.3% expanded relative uncertainty). The temperature and pressure in the laboratory are set to 22 ± 2 °C and 950 ± 20 mbar, respectively, and have been calibrated according to the national standards. Finally, the counter and peak-detection algorithm of the reference particle counter have been calibrated with respect to the national standard of frequency by generating pulses of known frequency, duration, and line shape (single and double peaks). It should be also noted that counting and using the unit 1 is an integral part of the SI definition.</w:t>
            </w:r>
            <w:hyperlink r:id="rId65" w:history="1">
              <w:r>
                <w:rPr>
                  <w:rStyle w:val="Hyperlink"/>
                  <w:rFonts w:ascii="Times New Roman" w:hAnsi="Times New Roman" w:cs="Times New Roman"/>
                  <w:sz w:val="26"/>
                  <w:szCs w:val="26"/>
                  <w:vertAlign w:val="superscript"/>
                </w:rPr>
                <w:t>32</w:t>
              </w:r>
            </w:hyperlink>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Furthermore, a round-robin test involving the IAG</w:t>
            </w:r>
            <w:hyperlink r:id="rId66" w:history="1">
              <w:r>
                <w:rPr>
                  <w:rStyle w:val="Hyperlink"/>
                  <w:rFonts w:ascii="Times New Roman" w:hAnsi="Times New Roman" w:cs="Times New Roman"/>
                  <w:sz w:val="26"/>
                  <w:szCs w:val="26"/>
                  <w:vertAlign w:val="superscript"/>
                </w:rPr>
                <w:t>17</w:t>
              </w:r>
            </w:hyperlink>
            <w:r>
              <w:rPr>
                <w:rFonts w:ascii="Times New Roman" w:hAnsi="Times New Roman" w:cs="Times New Roman"/>
                <w:sz w:val="26"/>
                <w:szCs w:val="26"/>
              </w:rPr>
              <w:t> and our setup, performed in the size range </w:t>
            </w:r>
            <w:r>
              <w:rPr>
                <w:rFonts w:ascii="Times New Roman" w:hAnsi="Times New Roman" w:cs="Times New Roman"/>
                <w:i/>
                <w:iCs/>
                <w:sz w:val="26"/>
                <w:szCs w:val="26"/>
              </w:rPr>
              <w:t>d</w:t>
            </w:r>
            <w:r>
              <w:rPr>
                <w:rFonts w:ascii="Times New Roman" w:hAnsi="Times New Roman" w:cs="Times New Roman"/>
                <w:sz w:val="26"/>
                <w:szCs w:val="26"/>
                <w:vertAlign w:val="subscript"/>
              </w:rPr>
              <w:t>PSL</w:t>
            </w:r>
            <w:r>
              <w:rPr>
                <w:rFonts w:ascii="Times New Roman" w:hAnsi="Times New Roman" w:cs="Times New Roman"/>
                <w:sz w:val="26"/>
                <w:szCs w:val="26"/>
              </w:rPr>
              <w:t> = 500 nm–5 </w:t>
            </w:r>
            <w:r>
              <w:rPr>
                <w:rFonts w:ascii="Times New Roman" w:hAnsi="Times New Roman" w:cs="Times New Roman"/>
                <w:i/>
                <w:iCs/>
                <w:sz w:val="26"/>
                <w:szCs w:val="26"/>
              </w:rPr>
              <w:t>μ</w:t>
            </w:r>
            <w:r>
              <w:rPr>
                <w:rFonts w:ascii="Times New Roman" w:hAnsi="Times New Roman" w:cs="Times New Roman"/>
                <w:sz w:val="26"/>
                <w:szCs w:val="26"/>
              </w:rPr>
              <w:t>m and at particle number concentrations ≤1 cm</w:t>
            </w:r>
            <w:r>
              <w:rPr>
                <w:rFonts w:ascii="Times New Roman" w:hAnsi="Times New Roman" w:cs="Times New Roman"/>
                <w:sz w:val="26"/>
                <w:szCs w:val="26"/>
                <w:vertAlign w:val="superscript"/>
              </w:rPr>
              <w:t>−3</w:t>
            </w:r>
            <w:r>
              <w:rPr>
                <w:rFonts w:ascii="Times New Roman" w:hAnsi="Times New Roman" w:cs="Times New Roman"/>
                <w:sz w:val="26"/>
                <w:szCs w:val="26"/>
              </w:rPr>
              <w:t>, has yielded an agreement typically within 4% in the efficiency calibration of three different DUT-OPCs.</w:t>
            </w:r>
            <w:hyperlink r:id="rId67" w:history="1">
              <w:r>
                <w:rPr>
                  <w:rStyle w:val="Hyperlink"/>
                  <w:rFonts w:ascii="Times New Roman" w:hAnsi="Times New Roman" w:cs="Times New Roman"/>
                  <w:sz w:val="26"/>
                  <w:szCs w:val="26"/>
                  <w:vertAlign w:val="superscript"/>
                </w:rPr>
                <w:t>33</w:t>
              </w:r>
            </w:hyperlink>
            <w:r>
              <w:rPr>
                <w:rFonts w:ascii="Times New Roman" w:hAnsi="Times New Roman" w:cs="Times New Roman"/>
                <w:sz w:val="26"/>
                <w:szCs w:val="26"/>
              </w:rPr>
              <w:t> Our reference optical particle counter has been further validated at </w:t>
            </w:r>
            <w:r>
              <w:rPr>
                <w:rFonts w:ascii="Times New Roman" w:hAnsi="Times New Roman" w:cs="Times New Roman"/>
                <w:i/>
                <w:iCs/>
                <w:sz w:val="26"/>
                <w:szCs w:val="26"/>
              </w:rPr>
              <w:t>d</w:t>
            </w:r>
            <w:r>
              <w:rPr>
                <w:rFonts w:ascii="Times New Roman" w:hAnsi="Times New Roman" w:cs="Times New Roman"/>
                <w:sz w:val="26"/>
                <w:szCs w:val="26"/>
                <w:vertAlign w:val="subscript"/>
              </w:rPr>
              <w:t>PSL</w:t>
            </w:r>
            <w:r>
              <w:rPr>
                <w:rFonts w:ascii="Times New Roman" w:hAnsi="Times New Roman" w:cs="Times New Roman"/>
                <w:sz w:val="26"/>
                <w:szCs w:val="26"/>
              </w:rPr>
              <w:t> = 100 nm with a CPC, which had been previously calibrated in a traceable manner with an electrometer according to ISO 27891. Measurements were performed at concentrations of a few hundred particles per cm</w:t>
            </w:r>
            <w:r>
              <w:rPr>
                <w:rFonts w:ascii="Times New Roman" w:hAnsi="Times New Roman" w:cs="Times New Roman"/>
                <w:sz w:val="26"/>
                <w:szCs w:val="26"/>
                <w:vertAlign w:val="superscript"/>
              </w:rPr>
              <w:t>3</w:t>
            </w:r>
            <w:r>
              <w:rPr>
                <w:rFonts w:ascii="Times New Roman" w:hAnsi="Times New Roman" w:cs="Times New Roman"/>
                <w:sz w:val="26"/>
                <w:szCs w:val="26"/>
              </w:rPr>
              <w:t>, and the results agreed within 3%</w:t>
            </w:r>
          </w:p>
          <w:p w:rsidR="00074427" w:rsidRDefault="00074427">
            <w:pPr>
              <w:spacing w:after="0" w:line="240" w:lineRule="auto"/>
              <w:ind w:firstLine="157"/>
              <w:jc w:val="both"/>
              <w:rPr>
                <w:rFonts w:ascii="Times New Roman" w:hAnsi="Times New Roman" w:cs="Times New Roman"/>
                <w:sz w:val="26"/>
                <w:szCs w:val="26"/>
              </w:rPr>
            </w:pPr>
          </w:p>
        </w:tc>
        <w:tc>
          <w:tcPr>
            <w:tcW w:w="5400" w:type="dxa"/>
          </w:tcPr>
          <w:p w:rsidR="00074427" w:rsidRDefault="006919F7">
            <w:pPr>
              <w:spacing w:after="0" w:line="240" w:lineRule="auto"/>
              <w:ind w:firstLine="157"/>
              <w:jc w:val="both"/>
              <w:rPr>
                <w:rFonts w:ascii="Times New Roman" w:hAnsi="Times New Roman" w:cs="Times New Roman"/>
                <w:b/>
                <w:i/>
                <w:sz w:val="26"/>
                <w:szCs w:val="26"/>
              </w:rPr>
            </w:pPr>
            <w:r>
              <w:rPr>
                <w:rFonts w:ascii="Times New Roman" w:hAnsi="Times New Roman" w:cs="Times New Roman"/>
                <w:b/>
                <w:i/>
                <w:sz w:val="26"/>
                <w:szCs w:val="26"/>
              </w:rPr>
              <w:lastRenderedPageBreak/>
              <w:t>B. Truy xuất nguồn gốc và xác nhận cơ sở</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i/>
                <w:sz w:val="26"/>
                <w:szCs w:val="26"/>
              </w:rPr>
              <w:lastRenderedPageBreak/>
              <w:t xml:space="preserve">Kích thước của các hạt PSL được sử dụng trong nghiên cứu này đã được đo lường và chứng nhận tại METAS bằng phương pháp hiển vi lực nguyên tử. </w:t>
            </w:r>
            <w:r>
              <w:rPr>
                <w:rFonts w:ascii="Times New Roman" w:hAnsi="Times New Roman" w:cs="Times New Roman"/>
                <w:sz w:val="26"/>
                <w:szCs w:val="26"/>
              </w:rPr>
              <w:t>Tất cả các bộ điều khiển lưu lượng khối lượng được sử dụng trong các bộ phận phát hiện hoặc tạo sol khí của thiết lập đã được hiệu chuẩn tại METAS theo cách có thể xác định được (độ không đảm bảo đo tương đối mở rộng 0,3%). Nhiệt độ và áp suất trong phòng thí nghiệm được đặt lần lượt là 22 ± 2 ° C và 950 ± 20 mbar và đã được hiệu chuẩn theo tiêu chuẩn quốc gia. Cuối cùng, bộ đếm và thuật toán phát hiện đỉnh của máy đếm hạt tham chiếu đã được hiệu chuẩn theo tiêu chuẩn quốc gia về tần số bằng cách tạo ra các xung có tần số, khoảng thời gian và hình dạng đường đã biết (đỉnh đơn và đỉnh kép). Cũng cần lưu ý rằng việc đếm và sử dụng đơn vị 1 là một phần không thể thiếu của định nghĩa SI.32</w:t>
            </w:r>
          </w:p>
          <w:p w:rsidR="00074427" w:rsidRDefault="006919F7">
            <w:pPr>
              <w:spacing w:after="0" w:line="240" w:lineRule="auto"/>
              <w:ind w:firstLine="157"/>
              <w:jc w:val="both"/>
              <w:rPr>
                <w:rFonts w:ascii="Times New Roman" w:hAnsi="Times New Roman" w:cs="Times New Roman"/>
                <w:sz w:val="26"/>
                <w:szCs w:val="26"/>
                <w:lang w:val="vi-VN"/>
              </w:rPr>
            </w:pPr>
            <w:r>
              <w:rPr>
                <w:rFonts w:ascii="Times New Roman" w:hAnsi="Times New Roman" w:cs="Times New Roman"/>
                <w:sz w:val="26"/>
                <w:szCs w:val="26"/>
              </w:rPr>
              <w:t>Hơn nữa, một thử nghiệm tổng hợp liên quan đến IAG</w:t>
            </w:r>
            <w:r>
              <w:rPr>
                <w:rFonts w:ascii="Times New Roman" w:hAnsi="Times New Roman" w:cs="Times New Roman"/>
                <w:sz w:val="26"/>
                <w:szCs w:val="26"/>
                <w:vertAlign w:val="superscript"/>
              </w:rPr>
              <w:t>17</w:t>
            </w:r>
            <w:r>
              <w:rPr>
                <w:rFonts w:ascii="Times New Roman" w:hAnsi="Times New Roman" w:cs="Times New Roman"/>
                <w:sz w:val="26"/>
                <w:szCs w:val="26"/>
              </w:rPr>
              <w:t xml:space="preserve"> và thiết lập của chúng tôi, được thực hiện trong phạm vi kích thước d</w:t>
            </w:r>
            <w:r>
              <w:rPr>
                <w:rFonts w:ascii="Times New Roman" w:hAnsi="Times New Roman" w:cs="Times New Roman"/>
                <w:sz w:val="26"/>
                <w:szCs w:val="26"/>
                <w:vertAlign w:val="subscript"/>
              </w:rPr>
              <w:t>PSL</w:t>
            </w:r>
            <w:r>
              <w:rPr>
                <w:rFonts w:ascii="Times New Roman" w:hAnsi="Times New Roman" w:cs="Times New Roman"/>
                <w:sz w:val="26"/>
                <w:szCs w:val="26"/>
              </w:rPr>
              <w:t xml:space="preserve"> = 500 nm </w:t>
            </w:r>
            <w:r>
              <w:rPr>
                <w:rFonts w:ascii="Times New Roman" w:hAnsi="Times New Roman" w:cs="Times New Roman"/>
                <w:sz w:val="26"/>
                <w:szCs w:val="26"/>
                <w:lang w:val="vi-VN"/>
              </w:rPr>
              <w:t>-</w:t>
            </w:r>
            <w:r>
              <w:rPr>
                <w:rFonts w:ascii="Times New Roman" w:hAnsi="Times New Roman" w:cs="Times New Roman"/>
                <w:sz w:val="26"/>
                <w:szCs w:val="26"/>
              </w:rPr>
              <w:t xml:space="preserve"> 5 μm và ở nồng độ số hạt ≤1 cm</w:t>
            </w:r>
            <w:r>
              <w:rPr>
                <w:rFonts w:ascii="Times New Roman" w:hAnsi="Times New Roman" w:cs="Times New Roman"/>
                <w:sz w:val="26"/>
                <w:szCs w:val="26"/>
                <w:vertAlign w:val="superscript"/>
              </w:rPr>
              <w:t>-3</w:t>
            </w:r>
            <w:r>
              <w:rPr>
                <w:rFonts w:ascii="Times New Roman" w:hAnsi="Times New Roman" w:cs="Times New Roman"/>
                <w:sz w:val="26"/>
                <w:szCs w:val="26"/>
              </w:rPr>
              <w:t>, đã mang lại một thỏa thuận thường là trong vòng 4% trong hiệu chuẩn hiệu quả của ba DUT-OPC khác nhau. Máy đếm hạt quang học tham chiếu của chúng tôi đã được xác nhận thêm ở d</w:t>
            </w:r>
            <w:r>
              <w:rPr>
                <w:rFonts w:ascii="Times New Roman" w:hAnsi="Times New Roman" w:cs="Times New Roman"/>
                <w:sz w:val="26"/>
                <w:szCs w:val="26"/>
                <w:vertAlign w:val="subscript"/>
              </w:rPr>
              <w:t>PSL</w:t>
            </w:r>
            <w:r>
              <w:rPr>
                <w:rFonts w:ascii="Times New Roman" w:hAnsi="Times New Roman" w:cs="Times New Roman"/>
                <w:sz w:val="26"/>
                <w:szCs w:val="26"/>
              </w:rPr>
              <w:t xml:space="preserve"> = 100 nm với CPC, trước đó đã được hiệu chuẩn theo cách có thể theo dõi bằng điện kế theo ISO 27891. Các phép đo được thực hiện ở một vài nồng độ hàng trăm hạt trên mỗi cm</w:t>
            </w:r>
            <w:r>
              <w:rPr>
                <w:rFonts w:ascii="Times New Roman" w:hAnsi="Times New Roman" w:cs="Times New Roman"/>
                <w:sz w:val="26"/>
                <w:szCs w:val="26"/>
                <w:vertAlign w:val="superscript"/>
              </w:rPr>
              <w:t>3</w:t>
            </w:r>
            <w:r>
              <w:rPr>
                <w:rFonts w:ascii="Times New Roman" w:hAnsi="Times New Roman" w:cs="Times New Roman"/>
                <w:sz w:val="26"/>
                <w:szCs w:val="26"/>
                <w:lang w:val="vi-VN"/>
              </w:rPr>
              <w:t xml:space="preserve"> </w:t>
            </w:r>
            <w:r>
              <w:rPr>
                <w:rFonts w:ascii="Times New Roman" w:hAnsi="Times New Roman" w:cs="Times New Roman"/>
                <w:sz w:val="26"/>
                <w:szCs w:val="26"/>
              </w:rPr>
              <w:t>và kết quả đồng ý trong vòng 3%</w:t>
            </w:r>
            <w:r>
              <w:rPr>
                <w:rFonts w:ascii="Times New Roman" w:hAnsi="Times New Roman" w:cs="Times New Roman"/>
                <w:sz w:val="26"/>
                <w:szCs w:val="26"/>
                <w:lang w:val="vi-VN"/>
              </w:rPr>
              <w:t>.</w:t>
            </w:r>
          </w:p>
        </w:tc>
      </w:tr>
      <w:tr w:rsidR="00074427">
        <w:tc>
          <w:tcPr>
            <w:tcW w:w="5305" w:type="dxa"/>
          </w:tcPr>
          <w:p w:rsidR="00074427" w:rsidRDefault="006919F7">
            <w:pPr>
              <w:spacing w:after="0" w:line="240" w:lineRule="auto"/>
              <w:ind w:firstLine="157"/>
              <w:jc w:val="both"/>
              <w:rPr>
                <w:rFonts w:ascii="Times New Roman" w:hAnsi="Times New Roman" w:cs="Times New Roman"/>
                <w:b/>
                <w:bCs/>
                <w:sz w:val="26"/>
                <w:szCs w:val="26"/>
              </w:rPr>
            </w:pPr>
            <w:r>
              <w:rPr>
                <w:rFonts w:ascii="Times New Roman" w:hAnsi="Times New Roman" w:cs="Times New Roman"/>
                <w:b/>
                <w:bCs/>
                <w:sz w:val="26"/>
                <w:szCs w:val="26"/>
              </w:rPr>
              <w:lastRenderedPageBreak/>
              <w:t>VI. EXAMPLE OF OPC CALIBRATION</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In this section, we provide a real example of an OPC calibration performed at a number concentration of approximately 1 cm</w:t>
            </w:r>
            <w:r>
              <w:rPr>
                <w:rFonts w:ascii="Times New Roman" w:hAnsi="Times New Roman" w:cs="Times New Roman"/>
                <w:sz w:val="26"/>
                <w:szCs w:val="26"/>
                <w:vertAlign w:val="superscript"/>
              </w:rPr>
              <w:t>−3</w:t>
            </w:r>
            <w:r>
              <w:rPr>
                <w:rFonts w:ascii="Times New Roman" w:hAnsi="Times New Roman" w:cs="Times New Roman"/>
                <w:sz w:val="26"/>
                <w:szCs w:val="26"/>
              </w:rPr>
              <w:t>. The results are summarized in </w:t>
            </w:r>
            <w:hyperlink r:id="rId68" w:anchor="t3" w:history="1">
              <w:r>
                <w:rPr>
                  <w:rStyle w:val="Hyperlink"/>
                  <w:rFonts w:ascii="Times New Roman" w:hAnsi="Times New Roman" w:cs="Times New Roman"/>
                  <w:sz w:val="26"/>
                  <w:szCs w:val="26"/>
                </w:rPr>
                <w:t>Table III</w:t>
              </w:r>
            </w:hyperlink>
            <w:r>
              <w:rPr>
                <w:rFonts w:ascii="Times New Roman" w:hAnsi="Times New Roman" w:cs="Times New Roman"/>
                <w:sz w:val="26"/>
                <w:szCs w:val="26"/>
              </w:rPr>
              <w:t>. The particles with a nominal diameter of 5 </w:t>
            </w:r>
            <w:r>
              <w:rPr>
                <w:rFonts w:ascii="Times New Roman" w:hAnsi="Times New Roman" w:cs="Times New Roman"/>
                <w:i/>
                <w:iCs/>
                <w:sz w:val="26"/>
                <w:szCs w:val="26"/>
              </w:rPr>
              <w:t>μ</w:t>
            </w:r>
            <w:r>
              <w:rPr>
                <w:rFonts w:ascii="Times New Roman" w:hAnsi="Times New Roman" w:cs="Times New Roman"/>
                <w:sz w:val="26"/>
                <w:szCs w:val="26"/>
              </w:rPr>
              <w:t>m were generated with the fluidized bed generator (see Subsection </w:t>
            </w:r>
            <w:hyperlink r:id="rId69" w:anchor="s2A" w:history="1">
              <w:r>
                <w:rPr>
                  <w:rStyle w:val="Hyperlink"/>
                  <w:rFonts w:ascii="Times New Roman" w:hAnsi="Times New Roman" w:cs="Times New Roman"/>
                  <w:sz w:val="26"/>
                  <w:szCs w:val="26"/>
                </w:rPr>
                <w:t>II A</w:t>
              </w:r>
            </w:hyperlink>
            <w:r>
              <w:rPr>
                <w:rFonts w:ascii="Times New Roman" w:hAnsi="Times New Roman" w:cs="Times New Roman"/>
                <w:sz w:val="26"/>
                <w:szCs w:val="26"/>
              </w:rPr>
              <w:t>). As discussed in Subsection </w:t>
            </w:r>
            <w:hyperlink r:id="rId70" w:anchor="s5A" w:history="1">
              <w:r>
                <w:rPr>
                  <w:rStyle w:val="Hyperlink"/>
                  <w:rFonts w:ascii="Times New Roman" w:hAnsi="Times New Roman" w:cs="Times New Roman"/>
                  <w:sz w:val="26"/>
                  <w:szCs w:val="26"/>
                </w:rPr>
                <w:t>V A</w:t>
              </w:r>
            </w:hyperlink>
            <w:r>
              <w:rPr>
                <w:rFonts w:ascii="Times New Roman" w:hAnsi="Times New Roman" w:cs="Times New Roman"/>
                <w:sz w:val="26"/>
                <w:szCs w:val="26"/>
              </w:rPr>
              <w:t>, due to fluctuations in the sol khí generation when using the fluidized bed system, the uncertainty of </w:t>
            </w:r>
            <w:r>
              <w:rPr>
                <w:rFonts w:ascii="Times New Roman" w:hAnsi="Times New Roman" w:cs="Times New Roman"/>
                <w:i/>
                <w:iCs/>
                <w:sz w:val="26"/>
                <w:szCs w:val="26"/>
              </w:rPr>
              <w:t>c</w:t>
            </w:r>
            <w:r>
              <w:rPr>
                <w:rFonts w:ascii="Times New Roman" w:hAnsi="Times New Roman" w:cs="Times New Roman"/>
                <w:sz w:val="26"/>
                <w:szCs w:val="26"/>
                <w:vertAlign w:val="subscript"/>
              </w:rPr>
              <w:t>ref</w:t>
            </w:r>
            <w:r>
              <w:rPr>
                <w:rFonts w:ascii="Times New Roman" w:hAnsi="Times New Roman" w:cs="Times New Roman"/>
                <w:sz w:val="26"/>
                <w:szCs w:val="26"/>
              </w:rPr>
              <w:t> at 5 </w:t>
            </w:r>
            <w:r>
              <w:rPr>
                <w:rFonts w:ascii="Times New Roman" w:hAnsi="Times New Roman" w:cs="Times New Roman"/>
                <w:i/>
                <w:iCs/>
                <w:sz w:val="26"/>
                <w:szCs w:val="26"/>
              </w:rPr>
              <w:t>μ</w:t>
            </w:r>
            <w:r>
              <w:rPr>
                <w:rFonts w:ascii="Times New Roman" w:hAnsi="Times New Roman" w:cs="Times New Roman"/>
                <w:sz w:val="26"/>
                <w:szCs w:val="26"/>
              </w:rPr>
              <w:t>m is larger than that at 0.5 </w:t>
            </w:r>
            <w:r>
              <w:rPr>
                <w:rFonts w:ascii="Times New Roman" w:hAnsi="Times New Roman" w:cs="Times New Roman"/>
                <w:i/>
                <w:iCs/>
                <w:sz w:val="26"/>
                <w:szCs w:val="26"/>
              </w:rPr>
              <w:t>μ</w:t>
            </w:r>
            <w:r>
              <w:rPr>
                <w:rFonts w:ascii="Times New Roman" w:hAnsi="Times New Roman" w:cs="Times New Roman"/>
                <w:sz w:val="26"/>
                <w:szCs w:val="26"/>
              </w:rPr>
              <w:t>m and 1.0 </w:t>
            </w:r>
            <w:r>
              <w:rPr>
                <w:rFonts w:ascii="Times New Roman" w:hAnsi="Times New Roman" w:cs="Times New Roman"/>
                <w:i/>
                <w:iCs/>
                <w:sz w:val="26"/>
                <w:szCs w:val="26"/>
              </w:rPr>
              <w:t>μ</w:t>
            </w:r>
            <w:r>
              <w:rPr>
                <w:rFonts w:ascii="Times New Roman" w:hAnsi="Times New Roman" w:cs="Times New Roman"/>
                <w:sz w:val="26"/>
                <w:szCs w:val="26"/>
              </w:rPr>
              <w:t xml:space="preserve">m. The increase in the statistical uncertainty (standard deviation of the </w:t>
            </w:r>
            <w:r>
              <w:rPr>
                <w:rFonts w:ascii="Times New Roman" w:hAnsi="Times New Roman" w:cs="Times New Roman"/>
                <w:sz w:val="26"/>
                <w:szCs w:val="26"/>
              </w:rPr>
              <w:lastRenderedPageBreak/>
              <w:t>mean) </w:t>
            </w:r>
            <w:r>
              <w:rPr>
                <w:rFonts w:ascii="Times New Roman" w:hAnsi="Times New Roman" w:cs="Times New Roman"/>
                <w:i/>
                <w:iCs/>
                <w:sz w:val="26"/>
                <w:szCs w:val="26"/>
              </w:rPr>
              <w:t>s</w:t>
            </w:r>
            <w:r>
              <w:rPr>
                <w:rFonts w:ascii="Times New Roman" w:hAnsi="Times New Roman" w:cs="Times New Roman"/>
                <w:sz w:val="26"/>
                <w:szCs w:val="26"/>
              </w:rPr>
              <w:t> of </w:t>
            </w:r>
            <w:r>
              <w:rPr>
                <w:rFonts w:ascii="Times New Roman" w:hAnsi="Times New Roman" w:cs="Times New Roman"/>
                <w:i/>
                <w:iCs/>
                <w:sz w:val="26"/>
                <w:szCs w:val="26"/>
              </w:rPr>
              <w:t>c</w:t>
            </w:r>
            <w:r>
              <w:rPr>
                <w:rFonts w:ascii="Times New Roman" w:hAnsi="Times New Roman" w:cs="Times New Roman"/>
                <w:sz w:val="26"/>
                <w:szCs w:val="26"/>
                <w:vertAlign w:val="subscript"/>
              </w:rPr>
              <w:t>DUT</w:t>
            </w:r>
            <w:r>
              <w:rPr>
                <w:rFonts w:ascii="Times New Roman" w:hAnsi="Times New Roman" w:cs="Times New Roman"/>
                <w:sz w:val="26"/>
                <w:szCs w:val="26"/>
              </w:rPr>
              <w:t> is even more pronounced</w:t>
            </w:r>
            <w:r>
              <w:rPr>
                <w:rFonts w:ascii="Times New Roman" w:hAnsi="Times New Roman" w:cs="Times New Roman"/>
                <w:sz w:val="26"/>
                <w:szCs w:val="26"/>
                <w:vertAlign w:val="subscript"/>
              </w:rPr>
              <w:t>.</w:t>
            </w:r>
            <w:r>
              <w:rPr>
                <w:rFonts w:ascii="Times New Roman" w:hAnsi="Times New Roman" w:cs="Times New Roman"/>
                <w:sz w:val="26"/>
                <w:szCs w:val="26"/>
              </w:rPr>
              <w:t> This results in larger uncertainties in the determination of the counting efficiency of the DUT-OPC, </w:t>
            </w:r>
            <w:r>
              <w:rPr>
                <w:rFonts w:ascii="Times New Roman" w:hAnsi="Times New Roman" w:cs="Times New Roman"/>
                <w:i/>
                <w:iCs/>
                <w:sz w:val="26"/>
                <w:szCs w:val="26"/>
              </w:rPr>
              <w:t>E</w:t>
            </w:r>
            <w:r>
              <w:rPr>
                <w:rFonts w:ascii="Times New Roman" w:hAnsi="Times New Roman" w:cs="Times New Roman"/>
                <w:sz w:val="26"/>
                <w:szCs w:val="26"/>
                <w:vertAlign w:val="subscript"/>
              </w:rPr>
              <w:t>DUT</w:t>
            </w:r>
            <w:r>
              <w:rPr>
                <w:rFonts w:ascii="Times New Roman" w:hAnsi="Times New Roman" w:cs="Times New Roman"/>
                <w:sz w:val="26"/>
                <w:szCs w:val="26"/>
              </w:rPr>
              <w:t>, at 5 </w:t>
            </w:r>
            <w:r>
              <w:rPr>
                <w:rFonts w:ascii="Times New Roman" w:hAnsi="Times New Roman" w:cs="Times New Roman"/>
                <w:i/>
                <w:iCs/>
                <w:sz w:val="26"/>
                <w:szCs w:val="26"/>
              </w:rPr>
              <w:t>μ</w:t>
            </w:r>
            <w:r>
              <w:rPr>
                <w:rFonts w:ascii="Times New Roman" w:hAnsi="Times New Roman" w:cs="Times New Roman"/>
                <w:sz w:val="26"/>
                <w:szCs w:val="26"/>
              </w:rPr>
              <w:t>m.</w:t>
            </w:r>
          </w:p>
        </w:tc>
        <w:tc>
          <w:tcPr>
            <w:tcW w:w="5400" w:type="dxa"/>
          </w:tcPr>
          <w:p w:rsidR="00074427" w:rsidRDefault="006919F7">
            <w:pPr>
              <w:spacing w:after="0" w:line="240" w:lineRule="auto"/>
              <w:ind w:firstLine="157"/>
              <w:jc w:val="both"/>
              <w:rPr>
                <w:rFonts w:ascii="Times New Roman" w:hAnsi="Times New Roman" w:cs="Times New Roman"/>
                <w:b/>
                <w:sz w:val="26"/>
                <w:szCs w:val="26"/>
              </w:rPr>
            </w:pPr>
            <w:r>
              <w:rPr>
                <w:rFonts w:ascii="Times New Roman" w:hAnsi="Times New Roman" w:cs="Times New Roman"/>
                <w:b/>
                <w:sz w:val="26"/>
                <w:szCs w:val="26"/>
              </w:rPr>
              <w:lastRenderedPageBreak/>
              <w:t>VI. VÍ DỤ VỀ HIỆU</w:t>
            </w:r>
            <w:r>
              <w:rPr>
                <w:rFonts w:ascii="Times New Roman" w:hAnsi="Times New Roman" w:cs="Times New Roman"/>
                <w:b/>
                <w:sz w:val="26"/>
                <w:szCs w:val="26"/>
                <w:lang w:val="vi-VN"/>
              </w:rPr>
              <w:t xml:space="preserve"> CHUẨN </w:t>
            </w:r>
            <w:r>
              <w:rPr>
                <w:rFonts w:ascii="Times New Roman" w:hAnsi="Times New Roman" w:cs="Times New Roman"/>
                <w:b/>
                <w:sz w:val="26"/>
                <w:szCs w:val="26"/>
              </w:rPr>
              <w:t>OPC</w:t>
            </w:r>
          </w:p>
          <w:p w:rsidR="00074427" w:rsidRDefault="006919F7">
            <w:pPr>
              <w:spacing w:after="0" w:line="240" w:lineRule="auto"/>
              <w:ind w:firstLine="157"/>
              <w:jc w:val="both"/>
              <w:rPr>
                <w:rFonts w:ascii="Times New Roman" w:hAnsi="Times New Roman" w:cs="Times New Roman"/>
                <w:sz w:val="26"/>
                <w:szCs w:val="26"/>
              </w:rPr>
            </w:pPr>
            <w:r>
              <w:rPr>
                <w:rFonts w:ascii="Times New Roman" w:hAnsi="Times New Roman" w:cs="Times New Roman"/>
                <w:sz w:val="26"/>
                <w:szCs w:val="26"/>
              </w:rPr>
              <w:t>Trong phần này, chúng tôi cung cấp một ví dụ thực tế về hiệu chuẩn OPC được thực hiện ở nồng độ số xấp xỉ 1 cm</w:t>
            </w:r>
            <w:r>
              <w:rPr>
                <w:rFonts w:ascii="Times New Roman" w:hAnsi="Times New Roman" w:cs="Times New Roman"/>
                <w:sz w:val="26"/>
                <w:szCs w:val="26"/>
                <w:vertAlign w:val="superscript"/>
              </w:rPr>
              <w:t>-3</w:t>
            </w:r>
            <w:r>
              <w:rPr>
                <w:rFonts w:ascii="Times New Roman" w:hAnsi="Times New Roman" w:cs="Times New Roman"/>
                <w:sz w:val="26"/>
                <w:szCs w:val="26"/>
              </w:rPr>
              <w:t>. Kết quả được tóm tắt trong Bảng III. Các hạt có đường kính danh nghĩa 5 μm được tạo ra bằng máy tạo tầng sôi (xem Tiểu mục II A). Như đã thảo luận trong Tiểu mục V A, do sự dao động trong quá trình tạo sol khí khi sử dụng hệ thống tầng sôi, độ không đảm bảo của cref ở 5 μm lớn hơn ở 0,5 μm và 1,0 μm. Sự gia tăng độ không đảm bảo đo thống kê (độ lệch chuẩn của giá trị trung bình) của c</w:t>
            </w:r>
            <w:r>
              <w:rPr>
                <w:rFonts w:ascii="Times New Roman" w:hAnsi="Times New Roman" w:cs="Times New Roman"/>
                <w:sz w:val="26"/>
                <w:szCs w:val="26"/>
                <w:vertAlign w:val="subscript"/>
              </w:rPr>
              <w:t>DUT</w:t>
            </w:r>
            <w:r>
              <w:rPr>
                <w:rFonts w:ascii="Times New Roman" w:hAnsi="Times New Roman" w:cs="Times New Roman"/>
                <w:sz w:val="26"/>
                <w:szCs w:val="26"/>
              </w:rPr>
              <w:t xml:space="preserve"> thậm chí còn rõ rệt hơn. Điều này dẫn đến độ không đảm bảo đo lớn hơn </w:t>
            </w:r>
            <w:r>
              <w:rPr>
                <w:rFonts w:ascii="Times New Roman" w:hAnsi="Times New Roman" w:cs="Times New Roman"/>
                <w:sz w:val="26"/>
                <w:szCs w:val="26"/>
              </w:rPr>
              <w:lastRenderedPageBreak/>
              <w:t>trong việc xác định hiệu suất đếm của DUT-OPC, E</w:t>
            </w:r>
            <w:r>
              <w:rPr>
                <w:rFonts w:ascii="Times New Roman" w:hAnsi="Times New Roman" w:cs="Times New Roman"/>
                <w:sz w:val="26"/>
                <w:szCs w:val="26"/>
                <w:vertAlign w:val="subscript"/>
              </w:rPr>
              <w:t>DUT</w:t>
            </w:r>
            <w:r>
              <w:rPr>
                <w:rFonts w:ascii="Times New Roman" w:hAnsi="Times New Roman" w:cs="Times New Roman"/>
                <w:sz w:val="26"/>
                <w:szCs w:val="26"/>
              </w:rPr>
              <w:t>, ở 5 μm.</w:t>
            </w:r>
          </w:p>
        </w:tc>
      </w:tr>
      <w:tr w:rsidR="00074427">
        <w:tc>
          <w:tcPr>
            <w:tcW w:w="10705" w:type="dxa"/>
            <w:gridSpan w:val="2"/>
          </w:tcPr>
          <w:p w:rsidR="00074427" w:rsidRDefault="006919F7">
            <w:pPr>
              <w:spacing w:after="0" w:line="240" w:lineRule="auto"/>
              <w:jc w:val="center"/>
              <w:rPr>
                <w:rFonts w:ascii="Times New Roman" w:hAnsi="Times New Roman" w:cs="Times New Roman"/>
                <w:sz w:val="26"/>
                <w:szCs w:val="26"/>
              </w:rPr>
            </w:pPr>
            <w:bookmarkStart w:id="1" w:name="_i27"/>
            <w:bookmarkEnd w:id="1"/>
            <w:r>
              <w:rPr>
                <w:rFonts w:ascii="Times New Roman" w:hAnsi="Times New Roman" w:cs="Times New Roman"/>
                <w:sz w:val="26"/>
                <w:szCs w:val="26"/>
              </w:rPr>
              <w:lastRenderedPageBreak/>
              <w:t>B</w:t>
            </w:r>
            <w:r>
              <w:rPr>
                <w:rFonts w:ascii="Times New Roman" w:hAnsi="Times New Roman" w:cs="Times New Roman"/>
                <w:spacing w:val="-6"/>
                <w:sz w:val="26"/>
                <w:szCs w:val="26"/>
              </w:rPr>
              <w:t>ẢNG III.</w:t>
            </w:r>
            <w:r>
              <w:rPr>
                <w:rFonts w:ascii="Times New Roman" w:hAnsi="Times New Roman" w:cs="Times New Roman"/>
                <w:spacing w:val="-6"/>
                <w:sz w:val="26"/>
                <w:szCs w:val="26"/>
                <w:lang w:val="vi-VN"/>
              </w:rPr>
              <w:t xml:space="preserve"> </w:t>
            </w:r>
            <w:r>
              <w:rPr>
                <w:rFonts w:ascii="Times New Roman" w:hAnsi="Times New Roman" w:cs="Times New Roman"/>
                <w:spacing w:val="-6"/>
                <w:sz w:val="26"/>
                <w:szCs w:val="26"/>
              </w:rPr>
              <w:t>Nồng độ hạt được đo bằng DUT-OPC, c</w:t>
            </w:r>
            <w:r>
              <w:rPr>
                <w:rFonts w:ascii="Times New Roman" w:hAnsi="Times New Roman" w:cs="Times New Roman"/>
                <w:spacing w:val="-6"/>
                <w:sz w:val="26"/>
                <w:szCs w:val="26"/>
                <w:vertAlign w:val="subscript"/>
              </w:rPr>
              <w:t>DUT</w:t>
            </w:r>
            <w:r>
              <w:rPr>
                <w:rFonts w:ascii="Times New Roman" w:hAnsi="Times New Roman" w:cs="Times New Roman"/>
                <w:spacing w:val="-6"/>
                <w:sz w:val="26"/>
                <w:szCs w:val="26"/>
              </w:rPr>
              <w:t>, máy đếm hạt quang học chuẩn, cref, và kết quả là hiệu quả đếm của DUT-OPC, E</w:t>
            </w:r>
            <w:r>
              <w:rPr>
                <w:rFonts w:ascii="Times New Roman" w:hAnsi="Times New Roman" w:cs="Times New Roman"/>
                <w:spacing w:val="-6"/>
                <w:sz w:val="26"/>
                <w:szCs w:val="26"/>
                <w:vertAlign w:val="subscript"/>
              </w:rPr>
              <w:t>DUT</w:t>
            </w:r>
            <w:r>
              <w:rPr>
                <w:rFonts w:ascii="Times New Roman" w:hAnsi="Times New Roman" w:cs="Times New Roman"/>
                <w:spacing w:val="-6"/>
                <w:sz w:val="26"/>
                <w:szCs w:val="26"/>
              </w:rPr>
              <w:t>. U và s biểu thị độ không đảm bảo đo mở rộng (độ tin cậy 95%).</w:t>
            </w:r>
          </w:p>
          <w:p w:rsidR="00074427" w:rsidRDefault="006919F7">
            <w:pPr>
              <w:spacing w:after="0" w:line="240" w:lineRule="auto"/>
              <w:rPr>
                <w:rFonts w:ascii="Times New Roman" w:hAnsi="Times New Roman" w:cs="Times New Roman"/>
                <w:sz w:val="26"/>
                <w:szCs w:val="26"/>
              </w:rPr>
            </w:pPr>
            <w:r>
              <w:rPr>
                <w:rFonts w:ascii="Times New Roman" w:hAnsi="Times New Roman" w:cs="Times New Roman"/>
                <w:noProof/>
                <w:sz w:val="26"/>
                <w:szCs w:val="26"/>
              </w:rPr>
              <w:drawing>
                <wp:inline distT="0" distB="0" distL="0" distR="0">
                  <wp:extent cx="6660515" cy="187579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71"/>
                          <a:stretch>
                            <a:fillRect/>
                          </a:stretch>
                        </pic:blipFill>
                        <pic:spPr>
                          <a:xfrm>
                            <a:off x="0" y="0"/>
                            <a:ext cx="6660515" cy="1875790"/>
                          </a:xfrm>
                          <a:prstGeom prst="rect">
                            <a:avLst/>
                          </a:prstGeom>
                        </pic:spPr>
                      </pic:pic>
                    </a:graphicData>
                  </a:graphic>
                </wp:inline>
              </w:drawing>
            </w:r>
          </w:p>
        </w:tc>
      </w:tr>
      <w:tr w:rsidR="00074427">
        <w:tc>
          <w:tcPr>
            <w:tcW w:w="5305" w:type="dxa"/>
          </w:tcPr>
          <w:p w:rsidR="00074427" w:rsidRDefault="006919F7">
            <w:pPr>
              <w:spacing w:after="0" w:line="240" w:lineRule="auto"/>
              <w:ind w:firstLine="360"/>
              <w:jc w:val="both"/>
              <w:rPr>
                <w:rFonts w:ascii="Times New Roman" w:hAnsi="Times New Roman" w:cs="Times New Roman"/>
                <w:b/>
                <w:bCs/>
                <w:sz w:val="26"/>
                <w:szCs w:val="26"/>
              </w:rPr>
            </w:pPr>
            <w:r>
              <w:rPr>
                <w:rFonts w:ascii="Times New Roman" w:hAnsi="Times New Roman" w:cs="Times New Roman"/>
                <w:b/>
                <w:bCs/>
                <w:sz w:val="26"/>
                <w:szCs w:val="26"/>
              </w:rPr>
              <w:t>VII. SUMMARY AND CONCLUSIONS</w:t>
            </w:r>
          </w:p>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This report describes a custom-made facility to calibrate optical and condensation particle counters, light scattering sol khí spectrometers, and aerodynamic particle sizers. </w:t>
            </w:r>
          </w:p>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PSL particles in the size range 100 nm</w:t>
            </w:r>
            <w:r>
              <w:rPr>
                <w:rFonts w:ascii="Times New Roman" w:hAnsi="Times New Roman" w:cs="Times New Roman"/>
                <w:sz w:val="26"/>
                <w:szCs w:val="26"/>
                <w:lang w:val="vi-VN"/>
              </w:rPr>
              <w:t xml:space="preserve"> - </w:t>
            </w:r>
            <w:r>
              <w:rPr>
                <w:rFonts w:ascii="Times New Roman" w:hAnsi="Times New Roman" w:cs="Times New Roman"/>
                <w:sz w:val="26"/>
                <w:szCs w:val="26"/>
              </w:rPr>
              <w:t>10 </w:t>
            </w:r>
            <w:r>
              <w:rPr>
                <w:rFonts w:ascii="Times New Roman" w:hAnsi="Times New Roman" w:cs="Times New Roman"/>
                <w:i/>
                <w:iCs/>
                <w:sz w:val="26"/>
                <w:szCs w:val="26"/>
              </w:rPr>
              <w:t>μ</w:t>
            </w:r>
            <w:r>
              <w:rPr>
                <w:rFonts w:ascii="Times New Roman" w:hAnsi="Times New Roman" w:cs="Times New Roman"/>
                <w:sz w:val="26"/>
                <w:szCs w:val="26"/>
              </w:rPr>
              <w:t>m are injected in a flow tube and mixed by three air-jets. At the bottom of the flow tube, the particles are sampled isokinetically using probe funnels with sizes adjusted to the flow rate of the DUT and the reference particle counter, respectively. With this facility, sol khí number concentrations in the range 0.5 cm</w:t>
            </w:r>
            <w:r>
              <w:rPr>
                <w:rFonts w:ascii="Times New Roman" w:hAnsi="Times New Roman" w:cs="Times New Roman"/>
                <w:sz w:val="26"/>
                <w:szCs w:val="26"/>
                <w:vertAlign w:val="superscript"/>
              </w:rPr>
              <w:t>−3</w:t>
            </w:r>
            <w:r>
              <w:rPr>
                <w:rFonts w:ascii="Times New Roman" w:hAnsi="Times New Roman" w:cs="Times New Roman"/>
                <w:sz w:val="26"/>
                <w:szCs w:val="26"/>
              </w:rPr>
              <w:t> up to a few thousand per cm</w:t>
            </w:r>
            <w:r>
              <w:rPr>
                <w:rFonts w:ascii="Times New Roman" w:hAnsi="Times New Roman" w:cs="Times New Roman"/>
                <w:sz w:val="26"/>
                <w:szCs w:val="26"/>
                <w:vertAlign w:val="superscript"/>
              </w:rPr>
              <w:t>3</w:t>
            </w:r>
            <w:r>
              <w:rPr>
                <w:rFonts w:ascii="Times New Roman" w:hAnsi="Times New Roman" w:cs="Times New Roman"/>
                <w:sz w:val="26"/>
                <w:szCs w:val="26"/>
              </w:rPr>
              <w:t> can be generated and measured without coincidence losses.</w:t>
            </w:r>
          </w:p>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A detailed uncertainty budget was established taking into account statistical uncertainties, the sol khí spatial inhomogeneity at the two sampling funnels, and possible particle losses due to diffusion and impaction in the sampling tubes. At a concentration of 1 cm</w:t>
            </w:r>
            <w:r>
              <w:rPr>
                <w:rFonts w:ascii="Times New Roman" w:hAnsi="Times New Roman" w:cs="Times New Roman"/>
                <w:sz w:val="26"/>
                <w:szCs w:val="26"/>
                <w:vertAlign w:val="superscript"/>
              </w:rPr>
              <w:t>−3</w:t>
            </w:r>
            <w:r>
              <w:rPr>
                <w:rFonts w:ascii="Times New Roman" w:hAnsi="Times New Roman" w:cs="Times New Roman"/>
                <w:sz w:val="26"/>
                <w:szCs w:val="26"/>
              </w:rPr>
              <w:t>, the uncertainty in the measurement of the particle number concentration was determined to be 5.4% (95% confidence level), dominated by the random distribution of particles and the low counting statistics of the reference particle counter.</w:t>
            </w:r>
          </w:p>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The flow in the facility was characterized in terms of velocity fields, obtained by measurements and simulations. It was found that the flow, despite a Reynolds number of around </w:t>
            </w:r>
            <w:r>
              <w:rPr>
                <w:rFonts w:ascii="Times New Roman" w:hAnsi="Times New Roman" w:cs="Times New Roman"/>
                <w:sz w:val="26"/>
                <w:szCs w:val="26"/>
              </w:rPr>
              <w:lastRenderedPageBreak/>
              <w:t>1800, remained turbulent with a nearly flat velocity profile in the sampling zone. Moreover, the mixing characteristics of the injected PSL particles were studied experimentally. At the outlet of the facility, the sol khí homogeneity across the flow tube diameter was determined to be within 1.1%.</w:t>
            </w:r>
          </w:p>
        </w:tc>
        <w:tc>
          <w:tcPr>
            <w:tcW w:w="5400" w:type="dxa"/>
          </w:tcPr>
          <w:p w:rsidR="00074427" w:rsidRDefault="006919F7">
            <w:pPr>
              <w:spacing w:after="0" w:line="240" w:lineRule="auto"/>
              <w:ind w:firstLine="360"/>
              <w:jc w:val="both"/>
              <w:rPr>
                <w:rFonts w:ascii="Times New Roman" w:hAnsi="Times New Roman" w:cs="Times New Roman"/>
                <w:b/>
                <w:sz w:val="26"/>
                <w:szCs w:val="26"/>
              </w:rPr>
            </w:pPr>
            <w:r>
              <w:rPr>
                <w:rFonts w:ascii="Times New Roman" w:hAnsi="Times New Roman" w:cs="Times New Roman"/>
                <w:b/>
                <w:sz w:val="26"/>
                <w:szCs w:val="26"/>
              </w:rPr>
              <w:lastRenderedPageBreak/>
              <w:t>VII. TÓM TẮT VÀ KẾT LUẬN</w:t>
            </w:r>
          </w:p>
          <w:p w:rsidR="00074427" w:rsidRDefault="006919F7">
            <w:pPr>
              <w:spacing w:after="0" w:line="240" w:lineRule="auto"/>
              <w:ind w:firstLine="360"/>
              <w:jc w:val="both"/>
              <w:rPr>
                <w:rFonts w:ascii="Times New Roman" w:hAnsi="Times New Roman" w:cs="Times New Roman"/>
                <w:bCs/>
                <w:iCs/>
                <w:sz w:val="26"/>
                <w:szCs w:val="26"/>
              </w:rPr>
            </w:pPr>
            <w:r>
              <w:rPr>
                <w:rFonts w:ascii="Times New Roman" w:hAnsi="Times New Roman" w:cs="Times New Roman"/>
                <w:bCs/>
                <w:iCs/>
                <w:sz w:val="26"/>
                <w:szCs w:val="26"/>
              </w:rPr>
              <w:t xml:space="preserve">Báo cáo mô tả một thiết kế riêng để hiệu chuẩn máy đếm hạt ngưng tụ và quang học, máy quang phổ sol khí tán xạ ánh sáng và máy đo hạt khí động học. </w:t>
            </w:r>
          </w:p>
          <w:p w:rsidR="00074427" w:rsidRDefault="006919F7">
            <w:pPr>
              <w:spacing w:after="0" w:line="240" w:lineRule="auto"/>
              <w:ind w:firstLine="360"/>
              <w:jc w:val="both"/>
              <w:rPr>
                <w:rFonts w:ascii="Times New Roman" w:hAnsi="Times New Roman" w:cs="Times New Roman"/>
                <w:bCs/>
                <w:iCs/>
                <w:sz w:val="26"/>
                <w:szCs w:val="26"/>
              </w:rPr>
            </w:pPr>
            <w:r>
              <w:rPr>
                <w:rFonts w:ascii="Times New Roman" w:hAnsi="Times New Roman" w:cs="Times New Roman"/>
                <w:bCs/>
                <w:iCs/>
                <w:sz w:val="26"/>
                <w:szCs w:val="26"/>
              </w:rPr>
              <w:t xml:space="preserve">Các hạt PSL trong phạm vi kích thước 100 nm </w:t>
            </w:r>
            <w:r>
              <w:rPr>
                <w:rFonts w:ascii="Times New Roman" w:hAnsi="Times New Roman" w:cs="Times New Roman"/>
                <w:bCs/>
                <w:iCs/>
                <w:sz w:val="26"/>
                <w:szCs w:val="26"/>
                <w:lang w:val="vi-VN"/>
              </w:rPr>
              <w:t>-</w:t>
            </w:r>
            <w:r>
              <w:rPr>
                <w:rFonts w:ascii="Times New Roman" w:hAnsi="Times New Roman" w:cs="Times New Roman"/>
                <w:bCs/>
                <w:iCs/>
                <w:sz w:val="26"/>
                <w:szCs w:val="26"/>
              </w:rPr>
              <w:t xml:space="preserve"> 10 μm được bơm vào một ống dòng và được trộn bởi ba air</w:t>
            </w:r>
            <w:r>
              <w:rPr>
                <w:rFonts w:ascii="Times New Roman" w:hAnsi="Times New Roman" w:cs="Times New Roman"/>
                <w:bCs/>
                <w:iCs/>
                <w:sz w:val="26"/>
                <w:szCs w:val="26"/>
                <w:lang w:val="vi-VN"/>
              </w:rPr>
              <w:t xml:space="preserve"> jet</w:t>
            </w:r>
            <w:r>
              <w:rPr>
                <w:rFonts w:ascii="Times New Roman" w:hAnsi="Times New Roman" w:cs="Times New Roman"/>
                <w:bCs/>
                <w:iCs/>
                <w:sz w:val="26"/>
                <w:szCs w:val="26"/>
              </w:rPr>
              <w:t>. Ở đáy của ống dòng, các hạt được lấy mẫu đẳng động học bằng cách sử dụng phễu thăm dò với các kích thước được điều chỉnh theo tốc độ dòng chảy của DUT và bộ đếm hạt chuẩn, tương ứng. Với thiết bị này, nồng độ số lượng sol khí trong khoảng 0,5 cm</w:t>
            </w:r>
            <w:r>
              <w:rPr>
                <w:rFonts w:ascii="Times New Roman" w:hAnsi="Times New Roman" w:cs="Times New Roman"/>
                <w:bCs/>
                <w:iCs/>
                <w:sz w:val="26"/>
                <w:szCs w:val="26"/>
                <w:vertAlign w:val="superscript"/>
              </w:rPr>
              <w:t>-3</w:t>
            </w:r>
            <w:r>
              <w:rPr>
                <w:rFonts w:ascii="Times New Roman" w:hAnsi="Times New Roman" w:cs="Times New Roman"/>
                <w:bCs/>
                <w:iCs/>
                <w:sz w:val="26"/>
                <w:szCs w:val="26"/>
              </w:rPr>
              <w:t xml:space="preserve"> đến vài nghìn trên cm</w:t>
            </w:r>
            <w:r>
              <w:rPr>
                <w:rFonts w:ascii="Times New Roman" w:hAnsi="Times New Roman" w:cs="Times New Roman"/>
                <w:bCs/>
                <w:iCs/>
                <w:sz w:val="26"/>
                <w:szCs w:val="26"/>
                <w:vertAlign w:val="superscript"/>
              </w:rPr>
              <w:t>3</w:t>
            </w:r>
            <w:r>
              <w:rPr>
                <w:rFonts w:ascii="Times New Roman" w:hAnsi="Times New Roman" w:cs="Times New Roman"/>
                <w:bCs/>
                <w:iCs/>
                <w:sz w:val="26"/>
                <w:szCs w:val="26"/>
              </w:rPr>
              <w:t xml:space="preserve"> có thể được tạo ra và đo lường mà không bị thất thoát ngẫu nhiên.</w:t>
            </w:r>
          </w:p>
          <w:p w:rsidR="00074427" w:rsidRDefault="006919F7">
            <w:pPr>
              <w:spacing w:after="0" w:line="240" w:lineRule="auto"/>
              <w:ind w:firstLine="360"/>
              <w:jc w:val="both"/>
              <w:rPr>
                <w:rFonts w:ascii="Times New Roman" w:hAnsi="Times New Roman" w:cs="Times New Roman"/>
                <w:sz w:val="26"/>
                <w:szCs w:val="26"/>
              </w:rPr>
            </w:pPr>
            <w:r w:rsidRPr="00294BC3">
              <w:rPr>
                <w:rFonts w:ascii="Times New Roman" w:hAnsi="Times New Roman" w:cs="Times New Roman"/>
                <w:sz w:val="26"/>
                <w:szCs w:val="26"/>
                <w:highlight w:val="yellow"/>
              </w:rPr>
              <w:t>Chi tiết về nguồn</w:t>
            </w:r>
            <w:r w:rsidRPr="00294BC3">
              <w:rPr>
                <w:rFonts w:ascii="Times New Roman" w:hAnsi="Times New Roman" w:cs="Times New Roman"/>
                <w:sz w:val="26"/>
                <w:szCs w:val="26"/>
                <w:highlight w:val="yellow"/>
                <w:lang w:val="vi-VN"/>
              </w:rPr>
              <w:t xml:space="preserve"> </w:t>
            </w:r>
            <w:r w:rsidRPr="00294BC3">
              <w:rPr>
                <w:rFonts w:ascii="Times New Roman" w:hAnsi="Times New Roman" w:cs="Times New Roman"/>
                <w:sz w:val="26"/>
                <w:szCs w:val="26"/>
                <w:highlight w:val="yellow"/>
              </w:rPr>
              <w:t>độ không đảm bảo được thiết lập có tính đến các độ không đảm bảo thống kê, sự không đồng nhất trong không gian của sol khí tại hai phễu lấy mẫu và tổn thất hạt có thể xảy ra do sự khuếch tán và va đập trong các ống lấy mẫu. Ở nồng độ 1 cm</w:t>
            </w:r>
            <w:r w:rsidRPr="00294BC3">
              <w:rPr>
                <w:rFonts w:ascii="Times New Roman" w:hAnsi="Times New Roman" w:cs="Times New Roman"/>
                <w:sz w:val="26"/>
                <w:szCs w:val="26"/>
                <w:highlight w:val="yellow"/>
                <w:vertAlign w:val="superscript"/>
              </w:rPr>
              <w:t>-3</w:t>
            </w:r>
            <w:r w:rsidRPr="00294BC3">
              <w:rPr>
                <w:rFonts w:ascii="Times New Roman" w:hAnsi="Times New Roman" w:cs="Times New Roman"/>
                <w:sz w:val="26"/>
                <w:szCs w:val="26"/>
                <w:highlight w:val="yellow"/>
              </w:rPr>
              <w:t>, độ không đảm bảo đo trong phép đo nồng độ số hạt được xác định là 5,4% (độ tin cậy 95%), bị chi phối bởi sự phân bố ngẫu nhiên của các hạt và thống kê đếm thấp của máy đếm hạt tham chiếu.</w:t>
            </w:r>
          </w:p>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 xml:space="preserve">Dòng chảy trong cơ sở được đặc trưng theo trường vận tốc, thu được bằng các phép đo và mô phỏng. Người ta nhận thấy rằng dòng chảy, mặc dù có số Reynolds khoảng 1800, vẫn hỗn loạn với biên dạng vận tốc gần như bằng phẳng trong vùng </w:t>
            </w:r>
            <w:r>
              <w:rPr>
                <w:rFonts w:ascii="Times New Roman" w:hAnsi="Times New Roman" w:cs="Times New Roman"/>
                <w:sz w:val="26"/>
                <w:szCs w:val="26"/>
              </w:rPr>
              <w:lastRenderedPageBreak/>
              <w:t>lấy mẫu. Hơn nữa, các đặc tính trộn của các hạt PSL được đưa vào đã được nghiên cứu bằng thực nghiệm. Tại đầu ra của cơ sở, độ đồng nhất của sol khí trên đường kính ống dòng được xác định là trong khoảng 1,1%.</w:t>
            </w:r>
          </w:p>
        </w:tc>
      </w:tr>
      <w:tr w:rsidR="00074427">
        <w:tc>
          <w:tcPr>
            <w:tcW w:w="5305" w:type="dxa"/>
          </w:tcPr>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lastRenderedPageBreak/>
              <w:t>Future work will focus on improving the design of this facility by reducing the dimensions of the flow tube. In a second step, the performance of the facility will be evaluated with sol khís from different sources, such as soot, salt, and dust with the aim to generate multicomponent sol khís that mimic the properties of outdoor air.</w:t>
            </w:r>
          </w:p>
          <w:p w:rsidR="00074427" w:rsidRDefault="006919F7">
            <w:pPr>
              <w:spacing w:after="0" w:line="240" w:lineRule="auto"/>
              <w:ind w:firstLine="360"/>
              <w:jc w:val="both"/>
              <w:rPr>
                <w:rFonts w:ascii="Times New Roman" w:hAnsi="Times New Roman" w:cs="Times New Roman"/>
                <w:b/>
                <w:bCs/>
                <w:sz w:val="26"/>
                <w:szCs w:val="26"/>
              </w:rPr>
            </w:pPr>
            <w:r>
              <w:rPr>
                <w:rFonts w:ascii="Times New Roman" w:hAnsi="Times New Roman" w:cs="Times New Roman"/>
                <w:b/>
                <w:bCs/>
                <w:sz w:val="26"/>
                <w:szCs w:val="26"/>
              </w:rPr>
              <w:t>ACKNOWLEDGMENTS</w:t>
            </w:r>
          </w:p>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The study of the flow characteristics (LDV measurements and CFD simulations presented in Subsections </w:t>
            </w:r>
            <w:hyperlink r:id="rId72" w:anchor="s3A" w:history="1">
              <w:r>
                <w:rPr>
                  <w:rStyle w:val="Hyperlink"/>
                  <w:rFonts w:ascii="Times New Roman" w:hAnsi="Times New Roman" w:cs="Times New Roman"/>
                  <w:sz w:val="26"/>
                  <w:szCs w:val="26"/>
                </w:rPr>
                <w:t>III A</w:t>
              </w:r>
            </w:hyperlink>
            <w:r>
              <w:rPr>
                <w:rFonts w:ascii="Times New Roman" w:hAnsi="Times New Roman" w:cs="Times New Roman"/>
                <w:sz w:val="26"/>
                <w:szCs w:val="26"/>
              </w:rPr>
              <w:t> and </w:t>
            </w:r>
            <w:hyperlink r:id="rId73" w:anchor="s3B" w:history="1">
              <w:r>
                <w:rPr>
                  <w:rStyle w:val="Hyperlink"/>
                  <w:rFonts w:ascii="Times New Roman" w:hAnsi="Times New Roman" w:cs="Times New Roman"/>
                  <w:sz w:val="26"/>
                  <w:szCs w:val="26"/>
                </w:rPr>
                <w:t>III B</w:t>
              </w:r>
            </w:hyperlink>
            <w:r>
              <w:rPr>
                <w:rFonts w:ascii="Times New Roman" w:hAnsi="Times New Roman" w:cs="Times New Roman"/>
                <w:sz w:val="26"/>
                <w:szCs w:val="26"/>
              </w:rPr>
              <w:t>) and the evolution of particle mixing characteristics (Subsection </w:t>
            </w:r>
            <w:hyperlink r:id="rId74" w:anchor="s3C" w:history="1">
              <w:r>
                <w:rPr>
                  <w:rStyle w:val="Hyperlink"/>
                  <w:rFonts w:ascii="Times New Roman" w:hAnsi="Times New Roman" w:cs="Times New Roman"/>
                  <w:sz w:val="26"/>
                  <w:szCs w:val="26"/>
                </w:rPr>
                <w:t>III C</w:t>
              </w:r>
            </w:hyperlink>
            <w:r>
              <w:rPr>
                <w:rFonts w:ascii="Times New Roman" w:hAnsi="Times New Roman" w:cs="Times New Roman"/>
                <w:sz w:val="26"/>
                <w:szCs w:val="26"/>
              </w:rPr>
              <w:t>) were carried out in the context of the 16ENV07 Aeromet Project funded by the European Union through the European Metrology Programme for Innovation and Research (EMPIR). EMPIR is jointly funded by the EMPIR participating countries within EURAMET and the European Union. METAS was supported by the Swiss State Secretariat for Education, Research and Innovation (SERI) under Contract No. 17.00112. The opinions expressed and arguments employed herein do not necessarily reflect the official views of the Swiss Government.</w:t>
            </w:r>
            <w:bookmarkStart w:id="2" w:name="_i29"/>
            <w:bookmarkEnd w:id="2"/>
          </w:p>
        </w:tc>
        <w:tc>
          <w:tcPr>
            <w:tcW w:w="5400" w:type="dxa"/>
          </w:tcPr>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Công việc trong tương lai sẽ tập trung vào việc cải thiện thiết kế của cơ sở này bằng cách giảm kích thước của ống dòng chảy. Trong bước thứ hai, hiệu suất của cơ sở sẽ được đánh giá bằng các khí hiệu chuẩn từ các nguồn khác nhau, chẳng hạn như bồ hóng, muối và bụi với mục đích tạo ra các sol</w:t>
            </w:r>
            <w:r>
              <w:rPr>
                <w:rFonts w:ascii="Times New Roman" w:hAnsi="Times New Roman" w:cs="Times New Roman"/>
                <w:sz w:val="26"/>
                <w:szCs w:val="26"/>
                <w:lang w:val="vi-VN"/>
              </w:rPr>
              <w:t xml:space="preserve"> khí</w:t>
            </w:r>
            <w:r>
              <w:rPr>
                <w:rFonts w:ascii="Times New Roman" w:hAnsi="Times New Roman" w:cs="Times New Roman"/>
                <w:sz w:val="26"/>
                <w:szCs w:val="26"/>
              </w:rPr>
              <w:t xml:space="preserve"> đa thành phần mô phỏng các đặc tính của không khí ngoài trời.</w:t>
            </w:r>
          </w:p>
          <w:p w:rsidR="00074427" w:rsidRDefault="006919F7">
            <w:pPr>
              <w:spacing w:after="0" w:line="240" w:lineRule="auto"/>
              <w:ind w:firstLine="360"/>
              <w:jc w:val="both"/>
              <w:rPr>
                <w:rFonts w:ascii="Times New Roman" w:hAnsi="Times New Roman" w:cs="Times New Roman"/>
                <w:b/>
                <w:sz w:val="26"/>
                <w:szCs w:val="26"/>
              </w:rPr>
            </w:pPr>
            <w:r>
              <w:rPr>
                <w:rFonts w:ascii="Times New Roman" w:hAnsi="Times New Roman" w:cs="Times New Roman"/>
                <w:b/>
                <w:sz w:val="26"/>
                <w:szCs w:val="26"/>
              </w:rPr>
              <w:t>SỰ NHÌN NHẬN</w:t>
            </w:r>
          </w:p>
          <w:p w:rsidR="00074427" w:rsidRDefault="006919F7">
            <w:pPr>
              <w:spacing w:after="0" w:line="240" w:lineRule="auto"/>
              <w:ind w:firstLine="360"/>
              <w:jc w:val="both"/>
              <w:rPr>
                <w:rFonts w:ascii="Times New Roman" w:hAnsi="Times New Roman" w:cs="Times New Roman"/>
                <w:sz w:val="26"/>
                <w:szCs w:val="26"/>
              </w:rPr>
            </w:pPr>
            <w:r>
              <w:rPr>
                <w:rFonts w:ascii="Times New Roman" w:hAnsi="Times New Roman" w:cs="Times New Roman"/>
                <w:sz w:val="26"/>
                <w:szCs w:val="26"/>
              </w:rPr>
              <w:t>Nghiên cứu về các đặc tính của dòng chảy (các phép đo LDV và mô phỏng CFD được trình bày trong Tiểu mục III A và III B) và sự phát triển của các đặc tính trộn hạt (Tiểu mục III C) được thực hiện trong bối cảnh của Dự án Khí cầu 16ENV07 do Liên minh Châu Âu tài trợ thông qua Chương trình Đo lường Châu Âu về Đổi mới và Nghiên cứu (EMPIR). EMPIR được tài trợ chung bởi các quốc gia tham gia EMPIR trong EURAMET và Liên minh Châu Âu. METAS được hỗ trợ bởi Ban Thư ký Nhà nước Thụy Sĩ về Giáo dục, Nghiên cứu và Đổi mới (SERI) theo Hợp đồng số 17.00112. Các ý kiến ​​được trình bày và lập luận được sử dụng ở đây không nhất thiết phản ánh quan điểm chính thức của Chính phủ Thụy Sĩ.</w:t>
            </w:r>
          </w:p>
          <w:p w:rsidR="00074427" w:rsidRDefault="00074427">
            <w:pPr>
              <w:spacing w:after="0" w:line="240" w:lineRule="auto"/>
              <w:ind w:firstLine="360"/>
              <w:jc w:val="both"/>
              <w:rPr>
                <w:rFonts w:ascii="Times New Roman" w:hAnsi="Times New Roman" w:cs="Times New Roman"/>
                <w:sz w:val="26"/>
                <w:szCs w:val="26"/>
              </w:rPr>
            </w:pPr>
          </w:p>
        </w:tc>
      </w:tr>
    </w:tbl>
    <w:p w:rsidR="00074427" w:rsidRDefault="00074427">
      <w:pPr>
        <w:ind w:firstLine="360"/>
        <w:jc w:val="both"/>
      </w:pPr>
    </w:p>
    <w:sectPr w:rsidR="00074427">
      <w:pgSz w:w="12240" w:h="15840"/>
      <w:pgMar w:top="1440" w:right="1440" w:bottom="6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B518E" w:rsidRDefault="00BB518E">
      <w:pPr>
        <w:spacing w:line="240" w:lineRule="auto"/>
      </w:pPr>
      <w:r>
        <w:separator/>
      </w:r>
    </w:p>
  </w:endnote>
  <w:endnote w:type="continuationSeparator" w:id="0">
    <w:p w:rsidR="00BB518E" w:rsidRDefault="00BB518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imes New Roman Bold">
    <w:altName w:val="Times New Roman"/>
    <w:panose1 w:val="02020803070505020304"/>
    <w:charset w:val="00"/>
    <w:family w:val="auto"/>
    <w:pitch w:val="default"/>
    <w:sig w:usb0="00000000" w:usb1="00000000"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B518E" w:rsidRDefault="00BB518E">
      <w:pPr>
        <w:spacing w:after="0" w:line="240" w:lineRule="auto"/>
      </w:pPr>
      <w:r>
        <w:separator/>
      </w:r>
    </w:p>
  </w:footnote>
  <w:footnote w:type="continuationSeparator" w:id="0">
    <w:p w:rsidR="00BB518E" w:rsidRDefault="00BB51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1408"/>
    <w:rsid w:val="00016DA3"/>
    <w:rsid w:val="0004053D"/>
    <w:rsid w:val="00065C63"/>
    <w:rsid w:val="00071619"/>
    <w:rsid w:val="00074427"/>
    <w:rsid w:val="0008072D"/>
    <w:rsid w:val="00080D1F"/>
    <w:rsid w:val="00096394"/>
    <w:rsid w:val="000A29CD"/>
    <w:rsid w:val="000B2EA8"/>
    <w:rsid w:val="000C675A"/>
    <w:rsid w:val="000D05E5"/>
    <w:rsid w:val="000D29C1"/>
    <w:rsid w:val="000D2E0D"/>
    <w:rsid w:val="000F5E35"/>
    <w:rsid w:val="00162D6B"/>
    <w:rsid w:val="00180AD1"/>
    <w:rsid w:val="001B269B"/>
    <w:rsid w:val="001B52CC"/>
    <w:rsid w:val="001C47B4"/>
    <w:rsid w:val="00213844"/>
    <w:rsid w:val="00224DE9"/>
    <w:rsid w:val="002428D3"/>
    <w:rsid w:val="002451F0"/>
    <w:rsid w:val="0028777E"/>
    <w:rsid w:val="002903D2"/>
    <w:rsid w:val="00294BC3"/>
    <w:rsid w:val="002B1312"/>
    <w:rsid w:val="002F6B91"/>
    <w:rsid w:val="00304E6B"/>
    <w:rsid w:val="0031356B"/>
    <w:rsid w:val="00330BD7"/>
    <w:rsid w:val="003338F7"/>
    <w:rsid w:val="0033541A"/>
    <w:rsid w:val="00336BFA"/>
    <w:rsid w:val="00354680"/>
    <w:rsid w:val="00386B9F"/>
    <w:rsid w:val="003A719D"/>
    <w:rsid w:val="003A7BAE"/>
    <w:rsid w:val="003E1DF1"/>
    <w:rsid w:val="00413BCE"/>
    <w:rsid w:val="0043158B"/>
    <w:rsid w:val="004653F6"/>
    <w:rsid w:val="004742D1"/>
    <w:rsid w:val="00481408"/>
    <w:rsid w:val="004831E4"/>
    <w:rsid w:val="00490660"/>
    <w:rsid w:val="00493CBF"/>
    <w:rsid w:val="004942D9"/>
    <w:rsid w:val="0049431C"/>
    <w:rsid w:val="004F03DD"/>
    <w:rsid w:val="004F6532"/>
    <w:rsid w:val="005424F0"/>
    <w:rsid w:val="00550867"/>
    <w:rsid w:val="00560E54"/>
    <w:rsid w:val="00576029"/>
    <w:rsid w:val="0057682F"/>
    <w:rsid w:val="005A7457"/>
    <w:rsid w:val="005B327B"/>
    <w:rsid w:val="005B38DD"/>
    <w:rsid w:val="005B4A93"/>
    <w:rsid w:val="005D72E4"/>
    <w:rsid w:val="005F0BD9"/>
    <w:rsid w:val="00600790"/>
    <w:rsid w:val="00602CA9"/>
    <w:rsid w:val="0063029C"/>
    <w:rsid w:val="006376C5"/>
    <w:rsid w:val="0064410B"/>
    <w:rsid w:val="006650AF"/>
    <w:rsid w:val="0066728B"/>
    <w:rsid w:val="006919F7"/>
    <w:rsid w:val="006B7B23"/>
    <w:rsid w:val="00703B7C"/>
    <w:rsid w:val="00711986"/>
    <w:rsid w:val="00721966"/>
    <w:rsid w:val="007425C7"/>
    <w:rsid w:val="0078381E"/>
    <w:rsid w:val="007942A2"/>
    <w:rsid w:val="007E4F8B"/>
    <w:rsid w:val="00822069"/>
    <w:rsid w:val="00831566"/>
    <w:rsid w:val="008378EE"/>
    <w:rsid w:val="00854B46"/>
    <w:rsid w:val="00855C78"/>
    <w:rsid w:val="008561AA"/>
    <w:rsid w:val="008760A7"/>
    <w:rsid w:val="00876A51"/>
    <w:rsid w:val="00884011"/>
    <w:rsid w:val="00897678"/>
    <w:rsid w:val="008A16AB"/>
    <w:rsid w:val="008A6A0E"/>
    <w:rsid w:val="008E135B"/>
    <w:rsid w:val="008F4F35"/>
    <w:rsid w:val="008F4F47"/>
    <w:rsid w:val="00907091"/>
    <w:rsid w:val="00925EF6"/>
    <w:rsid w:val="00941556"/>
    <w:rsid w:val="00944F19"/>
    <w:rsid w:val="009A214C"/>
    <w:rsid w:val="009D778B"/>
    <w:rsid w:val="009F1DFC"/>
    <w:rsid w:val="009F21A1"/>
    <w:rsid w:val="00A14F1C"/>
    <w:rsid w:val="00A22F8D"/>
    <w:rsid w:val="00A34181"/>
    <w:rsid w:val="00A34398"/>
    <w:rsid w:val="00A43557"/>
    <w:rsid w:val="00A454E5"/>
    <w:rsid w:val="00A55495"/>
    <w:rsid w:val="00A742A7"/>
    <w:rsid w:val="00A82945"/>
    <w:rsid w:val="00AB3C85"/>
    <w:rsid w:val="00AB3E77"/>
    <w:rsid w:val="00AE7F8B"/>
    <w:rsid w:val="00B029C3"/>
    <w:rsid w:val="00B220F7"/>
    <w:rsid w:val="00B24B39"/>
    <w:rsid w:val="00B47561"/>
    <w:rsid w:val="00B53DD8"/>
    <w:rsid w:val="00B84961"/>
    <w:rsid w:val="00BB518E"/>
    <w:rsid w:val="00BC582F"/>
    <w:rsid w:val="00BC5B2F"/>
    <w:rsid w:val="00BF4814"/>
    <w:rsid w:val="00C16C94"/>
    <w:rsid w:val="00CA34A0"/>
    <w:rsid w:val="00CB5369"/>
    <w:rsid w:val="00CE36AC"/>
    <w:rsid w:val="00CE7DA1"/>
    <w:rsid w:val="00D25349"/>
    <w:rsid w:val="00D37792"/>
    <w:rsid w:val="00D414F4"/>
    <w:rsid w:val="00D420F4"/>
    <w:rsid w:val="00D610C4"/>
    <w:rsid w:val="00D6258D"/>
    <w:rsid w:val="00D65518"/>
    <w:rsid w:val="00D837FA"/>
    <w:rsid w:val="00DC00BD"/>
    <w:rsid w:val="00DD5E73"/>
    <w:rsid w:val="00DE4E8D"/>
    <w:rsid w:val="00DE768F"/>
    <w:rsid w:val="00DF1496"/>
    <w:rsid w:val="00DF4611"/>
    <w:rsid w:val="00E57AF6"/>
    <w:rsid w:val="00E676DB"/>
    <w:rsid w:val="00EA1978"/>
    <w:rsid w:val="00EB2B5F"/>
    <w:rsid w:val="00EE5B60"/>
    <w:rsid w:val="00EF2A36"/>
    <w:rsid w:val="00F14198"/>
    <w:rsid w:val="00F20032"/>
    <w:rsid w:val="00F25A6A"/>
    <w:rsid w:val="00F2780C"/>
    <w:rsid w:val="00F30612"/>
    <w:rsid w:val="00F4058C"/>
    <w:rsid w:val="00F62B3F"/>
    <w:rsid w:val="00F71527"/>
    <w:rsid w:val="00F725B7"/>
    <w:rsid w:val="00F7515A"/>
    <w:rsid w:val="00F959C0"/>
    <w:rsid w:val="00FA27C5"/>
    <w:rsid w:val="00FC2F1E"/>
    <w:rsid w:val="00FD2654"/>
    <w:rsid w:val="00FE2ECC"/>
    <w:rsid w:val="00FF3795"/>
    <w:rsid w:val="176D3473"/>
    <w:rsid w:val="192C1669"/>
    <w:rsid w:val="36860CE2"/>
    <w:rsid w:val="48443CF6"/>
    <w:rsid w:val="57615B6B"/>
    <w:rsid w:val="5BE254B1"/>
    <w:rsid w:val="61570E18"/>
    <w:rsid w:val="70870FAA"/>
    <w:rsid w:val="78D80A42"/>
    <w:rsid w:val="7CDB393A"/>
    <w:rsid w:val="7D205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BC5AD7-46E4-4D98-8850-D485F08A0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qFormat="1"/>
    <w:lsdException w:name="Light Grid" w:uiPriority="62" w:qFormat="1"/>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1"/>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qFormat/>
    <w:rPr>
      <w:color w:val="954F72" w:themeColor="followedHyperlink"/>
      <w:u w:val="single"/>
    </w:rPr>
  </w:style>
  <w:style w:type="character" w:styleId="Hyperlink">
    <w:name w:val="Hyperlink"/>
    <w:basedOn w:val="DefaultParagraphFont"/>
    <w:uiPriority w:val="99"/>
    <w:unhideWhenUsed/>
    <w:qFormat/>
    <w:rPr>
      <w:color w:val="0563C1" w:themeColor="hyperlink"/>
      <w:u w:val="single"/>
    </w:rPr>
  </w:style>
  <w:style w:type="table" w:styleId="TableGrid">
    <w:name w:val="Table Grid"/>
    <w:basedOn w:val="TableNormal"/>
    <w:uiPriority w:val="3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99"/>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vi.wikipedia.org/wiki/D%C3%B2ng_ch%E1%BA%A3y" TargetMode="External"/><Relationship Id="rId21" Type="http://schemas.openxmlformats.org/officeDocument/2006/relationships/hyperlink" Target="https://aip.scitation.org/doi/10.1063/1.5095853" TargetMode="External"/><Relationship Id="rId42" Type="http://schemas.openxmlformats.org/officeDocument/2006/relationships/hyperlink" Target="https://aip.scitation.org/doi/10.1063/1.5095853" TargetMode="External"/><Relationship Id="rId47" Type="http://schemas.openxmlformats.org/officeDocument/2006/relationships/hyperlink" Target="https://aip.scitation.org/doi/10.1063/1.5095853" TargetMode="External"/><Relationship Id="rId63" Type="http://schemas.openxmlformats.org/officeDocument/2006/relationships/hyperlink" Target="https://aip.scitation.org/doi/10.1063/1.5095853" TargetMode="External"/><Relationship Id="rId68" Type="http://schemas.openxmlformats.org/officeDocument/2006/relationships/hyperlink" Target="https://aip.scitation.org/doi/10.1063/1.5095853" TargetMode="External"/><Relationship Id="rId2" Type="http://schemas.openxmlformats.org/officeDocument/2006/relationships/styles" Target="styles.xml"/><Relationship Id="rId16" Type="http://schemas.openxmlformats.org/officeDocument/2006/relationships/hyperlink" Target="https://aip.scitation.org/doi/10.1063/1.5095853" TargetMode="External"/><Relationship Id="rId29" Type="http://schemas.openxmlformats.org/officeDocument/2006/relationships/hyperlink" Target="https://aip.scitation.org/doi/10.1063/1.5095853" TargetMode="External"/><Relationship Id="rId11" Type="http://schemas.openxmlformats.org/officeDocument/2006/relationships/hyperlink" Target="https://aip.scitation.org/doi/10.1063/1.5095853" TargetMode="External"/><Relationship Id="rId24" Type="http://schemas.openxmlformats.org/officeDocument/2006/relationships/hyperlink" Target="https://vi.wikipedia.org/wiki/Qu%C3%A1n_t%C3%ADnh" TargetMode="External"/><Relationship Id="rId32" Type="http://schemas.openxmlformats.org/officeDocument/2006/relationships/hyperlink" Target="https://aip.scitation.org/doi/10.1063/1.5095853" TargetMode="External"/><Relationship Id="rId37" Type="http://schemas.openxmlformats.org/officeDocument/2006/relationships/hyperlink" Target="https://aip.scitation.org/doi/10.1063/1.5095853" TargetMode="External"/><Relationship Id="rId40" Type="http://schemas.openxmlformats.org/officeDocument/2006/relationships/hyperlink" Target="https://aip.scitation.org/doi/10.1063/1.5095853" TargetMode="External"/><Relationship Id="rId45" Type="http://schemas.openxmlformats.org/officeDocument/2006/relationships/hyperlink" Target="https://aip.scitation.org/doi/10.1063/1.5095853" TargetMode="External"/><Relationship Id="rId53" Type="http://schemas.openxmlformats.org/officeDocument/2006/relationships/image" Target="media/image7.jpeg"/><Relationship Id="rId58" Type="http://schemas.openxmlformats.org/officeDocument/2006/relationships/hyperlink" Target="javascript:popRef('d3')" TargetMode="External"/><Relationship Id="rId66" Type="http://schemas.openxmlformats.org/officeDocument/2006/relationships/hyperlink" Target="https://aip.scitation.org/doi/10.1063/1.5095853" TargetMode="External"/><Relationship Id="rId74" Type="http://schemas.openxmlformats.org/officeDocument/2006/relationships/hyperlink" Target="https://aip.scitation.org/doi/10.1063/1.5095853" TargetMode="External"/><Relationship Id="rId5" Type="http://schemas.openxmlformats.org/officeDocument/2006/relationships/footnotes" Target="footnotes.xml"/><Relationship Id="rId61" Type="http://schemas.openxmlformats.org/officeDocument/2006/relationships/hyperlink" Target="https://aip.scitation.org/doi/10.1063/1.5095853" TargetMode="External"/><Relationship Id="rId19" Type="http://schemas.openxmlformats.org/officeDocument/2006/relationships/hyperlink" Target="https://aip.scitation.org/doi/10.1063/1.5095853" TargetMode="External"/><Relationship Id="rId14" Type="http://schemas.openxmlformats.org/officeDocument/2006/relationships/hyperlink" Target="https://aip.scitation.org/doi/10.1063/1.5095853" TargetMode="External"/><Relationship Id="rId22" Type="http://schemas.openxmlformats.org/officeDocument/2006/relationships/hyperlink" Target="https://aip.scitation.org/doi/10.1063/1.5095853" TargetMode="External"/><Relationship Id="rId27" Type="http://schemas.openxmlformats.org/officeDocument/2006/relationships/hyperlink" Target="https://aip.scitation.org/doi/10.1063/1.5095853" TargetMode="External"/><Relationship Id="rId30" Type="http://schemas.openxmlformats.org/officeDocument/2006/relationships/hyperlink" Target="https://aip.scitation.org/doi/10.1063/1.5095853" TargetMode="External"/><Relationship Id="rId35" Type="http://schemas.openxmlformats.org/officeDocument/2006/relationships/image" Target="media/image5.jpeg"/><Relationship Id="rId43" Type="http://schemas.openxmlformats.org/officeDocument/2006/relationships/hyperlink" Target="https://aip.scitation.org/doi/10.1063/1.5095853" TargetMode="External"/><Relationship Id="rId48" Type="http://schemas.openxmlformats.org/officeDocument/2006/relationships/hyperlink" Target="https://aip.scitation.org/doi/10.1063/1.5095853" TargetMode="External"/><Relationship Id="rId56" Type="http://schemas.openxmlformats.org/officeDocument/2006/relationships/hyperlink" Target="https://aip.scitation.org/doi/10.1063/1.5095853" TargetMode="External"/><Relationship Id="rId64" Type="http://schemas.openxmlformats.org/officeDocument/2006/relationships/hyperlink" Target="javascript:popRef('d1')" TargetMode="External"/><Relationship Id="rId69" Type="http://schemas.openxmlformats.org/officeDocument/2006/relationships/hyperlink" Target="https://aip.scitation.org/doi/10.1063/1.5095853" TargetMode="External"/><Relationship Id="rId8" Type="http://schemas.openxmlformats.org/officeDocument/2006/relationships/image" Target="media/image1.jpeg"/><Relationship Id="rId51" Type="http://schemas.openxmlformats.org/officeDocument/2006/relationships/hyperlink" Target="https://aip.scitation.org/doi/10.1063/1.5095853" TargetMode="External"/><Relationship Id="rId72" Type="http://schemas.openxmlformats.org/officeDocument/2006/relationships/hyperlink" Target="https://aip.scitation.org/doi/10.1063/1.5095853" TargetMode="External"/><Relationship Id="rId3" Type="http://schemas.openxmlformats.org/officeDocument/2006/relationships/settings" Target="settings.xml"/><Relationship Id="rId12" Type="http://schemas.openxmlformats.org/officeDocument/2006/relationships/hyperlink" Target="https://aip.scitation.org/doi/10.1063/1.5095853" TargetMode="External"/><Relationship Id="rId17" Type="http://schemas.openxmlformats.org/officeDocument/2006/relationships/hyperlink" Target="https://aip.scitation.org/doi/10.1063/1.5095853" TargetMode="External"/><Relationship Id="rId25" Type="http://schemas.openxmlformats.org/officeDocument/2006/relationships/hyperlink" Target="https://vi.wikipedia.org/wiki/%C4%90%E1%BB%99_nh%E1%BB%9Bt" TargetMode="External"/><Relationship Id="rId33" Type="http://schemas.openxmlformats.org/officeDocument/2006/relationships/hyperlink" Target="https://aip.scitation.org/doi/10.1063/1.5095853" TargetMode="External"/><Relationship Id="rId38" Type="http://schemas.openxmlformats.org/officeDocument/2006/relationships/hyperlink" Target="https://aip.scitation.org/doi/10.1063/1.5095853" TargetMode="External"/><Relationship Id="rId46" Type="http://schemas.openxmlformats.org/officeDocument/2006/relationships/hyperlink" Target="https://aip.scitation.org/doi/10.1063/1.5095853" TargetMode="External"/><Relationship Id="rId59" Type="http://schemas.openxmlformats.org/officeDocument/2006/relationships/hyperlink" Target="https://aip.scitation.org/doi/10.1063/1.5095853" TargetMode="External"/><Relationship Id="rId67" Type="http://schemas.openxmlformats.org/officeDocument/2006/relationships/hyperlink" Target="https://aip.scitation.org/doi/10.1063/1.5095853" TargetMode="External"/><Relationship Id="rId20" Type="http://schemas.openxmlformats.org/officeDocument/2006/relationships/image" Target="media/image3.png"/><Relationship Id="rId41" Type="http://schemas.openxmlformats.org/officeDocument/2006/relationships/hyperlink" Target="https://aip.scitation.org/doi/10.1063/1.5095853" TargetMode="External"/><Relationship Id="rId54" Type="http://schemas.openxmlformats.org/officeDocument/2006/relationships/hyperlink" Target="https://aip.scitation.org/doi/10.1063/1.5095853" TargetMode="External"/><Relationship Id="rId62" Type="http://schemas.openxmlformats.org/officeDocument/2006/relationships/hyperlink" Target="https://aip.scitation.org/doi/10.1063/1.5095853" TargetMode="External"/><Relationship Id="rId70" Type="http://schemas.openxmlformats.org/officeDocument/2006/relationships/hyperlink" Target="https://aip.scitation.org/doi/10.1063/1.5095853"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hyperlink" Target="https://aip.scitation.org/doi/10.1063/1.5095853" TargetMode="External"/><Relationship Id="rId23" Type="http://schemas.openxmlformats.org/officeDocument/2006/relationships/hyperlink" Target="https://vi.wikipedia.org/wiki/C%C6%A1_h%E1%BB%8Dc_ch%E1%BA%A5t_l%C6%B0u" TargetMode="External"/><Relationship Id="rId28" Type="http://schemas.openxmlformats.org/officeDocument/2006/relationships/image" Target="media/image4.jpeg"/><Relationship Id="rId36" Type="http://schemas.openxmlformats.org/officeDocument/2006/relationships/hyperlink" Target="https://aip.scitation.org/doi/10.1063/1.5095853" TargetMode="External"/><Relationship Id="rId49" Type="http://schemas.openxmlformats.org/officeDocument/2006/relationships/image" Target="media/image6.jpeg"/><Relationship Id="rId57" Type="http://schemas.openxmlformats.org/officeDocument/2006/relationships/hyperlink" Target="https://aip.scitation.org/doi/10.1063/1.5095853" TargetMode="External"/><Relationship Id="rId10" Type="http://schemas.openxmlformats.org/officeDocument/2006/relationships/hyperlink" Target="https://aip.scitation.org/doi/10.1063/1.5095853" TargetMode="External"/><Relationship Id="rId31" Type="http://schemas.openxmlformats.org/officeDocument/2006/relationships/hyperlink" Target="https://aip.scitation.org/doi/10.1063/1.5095853" TargetMode="External"/><Relationship Id="rId44" Type="http://schemas.openxmlformats.org/officeDocument/2006/relationships/hyperlink" Target="https://aip.scitation.org/doi/10.1063/1.5095853" TargetMode="External"/><Relationship Id="rId52" Type="http://schemas.openxmlformats.org/officeDocument/2006/relationships/hyperlink" Target="https://aip.scitation.org/doi/10.1063/1.5095853" TargetMode="External"/><Relationship Id="rId60" Type="http://schemas.openxmlformats.org/officeDocument/2006/relationships/image" Target="media/image8.png"/><Relationship Id="rId65" Type="http://schemas.openxmlformats.org/officeDocument/2006/relationships/hyperlink" Target="https://aip.scitation.org/doi/10.1063/1.5095853" TargetMode="External"/><Relationship Id="rId73" Type="http://schemas.openxmlformats.org/officeDocument/2006/relationships/hyperlink" Target="https://aip.scitation.org/doi/10.1063/1.5095853" TargetMode="External"/><Relationship Id="rId4" Type="http://schemas.openxmlformats.org/officeDocument/2006/relationships/webSettings" Target="webSettings.xml"/><Relationship Id="rId9" Type="http://schemas.openxmlformats.org/officeDocument/2006/relationships/hyperlink" Target="https://aip.scitation.org/doi/10.1063/1.5095853" TargetMode="External"/><Relationship Id="rId13" Type="http://schemas.openxmlformats.org/officeDocument/2006/relationships/image" Target="media/image2.png"/><Relationship Id="rId18" Type="http://schemas.openxmlformats.org/officeDocument/2006/relationships/hyperlink" Target="https://aip.scitation.org/doi/10.1063/1.5095853" TargetMode="External"/><Relationship Id="rId39" Type="http://schemas.openxmlformats.org/officeDocument/2006/relationships/hyperlink" Target="https://aip.scitation.org/doi/10.1063/1.5095853" TargetMode="External"/><Relationship Id="rId34" Type="http://schemas.openxmlformats.org/officeDocument/2006/relationships/hyperlink" Target="https://aip.scitation.org/doi/10.1063/1.5095853" TargetMode="External"/><Relationship Id="rId50" Type="http://schemas.openxmlformats.org/officeDocument/2006/relationships/hyperlink" Target="https://aip.scitation.org/doi/10.1063/1.5095853" TargetMode="External"/><Relationship Id="rId55" Type="http://schemas.openxmlformats.org/officeDocument/2006/relationships/hyperlink" Target="https://aip.scitation.org/doi/10.1063/1.5095853" TargetMode="External"/><Relationship Id="rId76" Type="http://schemas.openxmlformats.org/officeDocument/2006/relationships/theme" Target="theme/theme1.xml"/><Relationship Id="rId7" Type="http://schemas.openxmlformats.org/officeDocument/2006/relationships/hyperlink" Target="https://aip.scitation.org/doi/10.1063/1.5095853" TargetMode="External"/><Relationship Id="rId7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1</Pages>
  <Words>13842</Words>
  <Characters>78901</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Company>Viện Hàn lâm Khoa học và Công nghệ Việt Nam</Company>
  <LinksUpToDate>false</LinksUpToDate>
  <CharactersWithSpaces>92558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Documents</dc:creator>
  <cp:lastModifiedBy>My Documents</cp:lastModifiedBy>
  <cp:revision>44</cp:revision>
  <dcterms:created xsi:type="dcterms:W3CDTF">2021-03-21T08:12:00Z</dcterms:created>
  <dcterms:modified xsi:type="dcterms:W3CDTF">2021-07-08T10:34:00Z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1033-11.2.0.10152</vt:lpwstr>
  </property>
</Properties>
</file>