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1912" w:rsidRPr="000E1618" w:rsidRDefault="00796819">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60" w:line="432" w:lineRule="auto"/>
        <w:jc w:val="center"/>
        <w:rPr>
          <w:rFonts w:ascii="한양신명조" w:eastAsia="한양신명조" w:hAnsi="한양신명조"/>
          <w:b/>
          <w:sz w:val="22"/>
        </w:rPr>
      </w:pPr>
      <w:bookmarkStart w:id="0" w:name="_top"/>
      <w:bookmarkEnd w:id="0"/>
      <w:r w:rsidRPr="000E1618">
        <w:rPr>
          <w:rFonts w:ascii="한양신명조" w:hAnsi="한양신명조"/>
          <w:b/>
          <w:sz w:val="22"/>
        </w:rPr>
        <w:t xml:space="preserve"> </w:t>
      </w:r>
    </w:p>
    <w:tbl>
      <w:tblPr>
        <w:tblOverlap w:val="never"/>
        <w:tblW w:w="878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tblPr>
      <w:tblGrid>
        <w:gridCol w:w="6520"/>
        <w:gridCol w:w="2267"/>
      </w:tblGrid>
      <w:tr w:rsidR="000E1618" w:rsidRPr="000E1618" w:rsidTr="00E63A08">
        <w:trPr>
          <w:trHeight w:val="300"/>
        </w:trPr>
        <w:tc>
          <w:tcPr>
            <w:tcW w:w="6520" w:type="dxa"/>
            <w:tcBorders>
              <w:top w:val="none" w:sz="2" w:space="0" w:color="000000"/>
              <w:left w:val="none" w:sz="2" w:space="0" w:color="000000"/>
              <w:bottom w:val="none" w:sz="2" w:space="0" w:color="000000"/>
              <w:right w:val="none" w:sz="2" w:space="0" w:color="000000"/>
            </w:tcBorders>
          </w:tcPr>
          <w:p w:rsidR="000E1618" w:rsidRPr="000E1618" w:rsidRDefault="000E1618" w:rsidP="00140185">
            <w:pPr>
              <w:rPr>
                <w:b/>
              </w:rPr>
            </w:pPr>
            <w:r w:rsidRPr="000E1618">
              <w:rPr>
                <w:b/>
              </w:rPr>
              <w:t>The measuring device structure based on environmental performance details</w:t>
            </w:r>
          </w:p>
        </w:tc>
        <w:tc>
          <w:tcPr>
            <w:tcW w:w="2267" w:type="dxa"/>
            <w:tcBorders>
              <w:top w:val="none" w:sz="2" w:space="0" w:color="000000"/>
              <w:left w:val="none" w:sz="2" w:space="0" w:color="000000"/>
              <w:bottom w:val="none" w:sz="2" w:space="0" w:color="000000"/>
              <w:right w:val="none" w:sz="2" w:space="0" w:color="000000"/>
            </w:tcBorders>
            <w:vAlign w:val="center"/>
          </w:tcPr>
          <w:p w:rsidR="000E1618" w:rsidRPr="000E1618" w:rsidRDefault="000E1618">
            <w:pPr>
              <w:pStyle w:val="a"/>
              <w:wordWrap/>
              <w:jc w:val="center"/>
              <w:rPr>
                <w:rFonts w:ascii="GulimChe" w:eastAsia="GulimChe" w:hAnsi="GulimChe"/>
                <w:b/>
                <w:sz w:val="28"/>
              </w:rPr>
            </w:pPr>
            <w:r w:rsidRPr="000E1618">
              <w:rPr>
                <w:rFonts w:ascii="GulimChe" w:hAnsi="GulimChe"/>
                <w:b/>
                <w:sz w:val="28"/>
              </w:rPr>
              <w:t>TS 0601.1</w:t>
            </w:r>
          </w:p>
        </w:tc>
      </w:tr>
      <w:tr w:rsidR="000E1618" w:rsidRPr="000E1618" w:rsidTr="00E63A08">
        <w:trPr>
          <w:trHeight w:val="850"/>
        </w:trPr>
        <w:tc>
          <w:tcPr>
            <w:tcW w:w="6520" w:type="dxa"/>
            <w:tcBorders>
              <w:top w:val="none" w:sz="2" w:space="0" w:color="000000"/>
              <w:left w:val="none" w:sz="2" w:space="0" w:color="000000"/>
              <w:bottom w:val="none" w:sz="2" w:space="0" w:color="000000"/>
              <w:right w:val="none" w:sz="2" w:space="0" w:color="000000"/>
            </w:tcBorders>
          </w:tcPr>
          <w:p w:rsidR="000E1618" w:rsidRPr="000E1618" w:rsidRDefault="000E1618" w:rsidP="00140185">
            <w:pPr>
              <w:rPr>
                <w:b/>
              </w:rPr>
            </w:pPr>
            <w:r w:rsidRPr="000E1618">
              <w:rPr>
                <w:b/>
              </w:rPr>
              <w:t>Drinking water sector</w:t>
            </w:r>
          </w:p>
        </w:tc>
        <w:tc>
          <w:tcPr>
            <w:tcW w:w="2267" w:type="dxa"/>
            <w:tcBorders>
              <w:top w:val="none" w:sz="2" w:space="0" w:color="000000"/>
              <w:left w:val="none" w:sz="2" w:space="0" w:color="000000"/>
              <w:bottom w:val="none" w:sz="2" w:space="0" w:color="000000"/>
              <w:right w:val="none" w:sz="2" w:space="0" w:color="000000"/>
            </w:tcBorders>
            <w:vAlign w:val="center"/>
          </w:tcPr>
          <w:p w:rsidR="000E1618" w:rsidRPr="000E1618" w:rsidRDefault="000E1618">
            <w:pPr>
              <w:pStyle w:val="a"/>
              <w:wordWrap/>
              <w:jc w:val="center"/>
              <w:rPr>
                <w:rFonts w:ascii="GulimChe" w:eastAsia="GulimChe" w:hAnsi="GulimChe"/>
                <w:b/>
              </w:rPr>
            </w:pPr>
          </w:p>
        </w:tc>
      </w:tr>
      <w:tr w:rsidR="000E1618" w:rsidRPr="000E1618" w:rsidTr="00E63A08">
        <w:trPr>
          <w:trHeight w:val="443"/>
        </w:trPr>
        <w:tc>
          <w:tcPr>
            <w:tcW w:w="6520" w:type="dxa"/>
            <w:tcBorders>
              <w:top w:val="none" w:sz="2" w:space="0" w:color="000000"/>
              <w:left w:val="none" w:sz="2" w:space="0" w:color="000000"/>
              <w:bottom w:val="none" w:sz="2" w:space="0" w:color="000000"/>
              <w:right w:val="none" w:sz="2" w:space="0" w:color="000000"/>
            </w:tcBorders>
          </w:tcPr>
          <w:p w:rsidR="000E1618" w:rsidRPr="000E1618" w:rsidRDefault="000E1618" w:rsidP="00140185">
            <w:pPr>
              <w:rPr>
                <w:b/>
              </w:rPr>
            </w:pPr>
            <w:r w:rsidRPr="000E1618">
              <w:rPr>
                <w:b/>
              </w:rPr>
              <w:t>Continuous turbidity meter and its attached devices automatically</w:t>
            </w:r>
          </w:p>
        </w:tc>
        <w:tc>
          <w:tcPr>
            <w:tcW w:w="2267" w:type="dxa"/>
            <w:tcBorders>
              <w:top w:val="none" w:sz="2" w:space="0" w:color="000000"/>
              <w:left w:val="none" w:sz="2" w:space="0" w:color="000000"/>
              <w:bottom w:val="none" w:sz="2" w:space="0" w:color="000000"/>
              <w:right w:val="none" w:sz="2" w:space="0" w:color="000000"/>
            </w:tcBorders>
            <w:vAlign w:val="center"/>
          </w:tcPr>
          <w:p w:rsidR="000E1618" w:rsidRPr="000E1618" w:rsidRDefault="000E1618">
            <w:pPr>
              <w:pStyle w:val="a"/>
              <w:wordWrap/>
              <w:jc w:val="center"/>
              <w:rPr>
                <w:rFonts w:ascii="GulimChe" w:eastAsia="GulimChe" w:hAnsi="GulimChe"/>
                <w:b/>
                <w:sz w:val="26"/>
              </w:rPr>
            </w:pPr>
            <w:r w:rsidRPr="000E1618">
              <w:rPr>
                <w:rFonts w:ascii="GulimChe" w:hAnsi="GulimChe"/>
                <w:b/>
                <w:sz w:val="26"/>
              </w:rPr>
              <w:t>2010</w:t>
            </w:r>
          </w:p>
        </w:tc>
      </w:tr>
      <w:tr w:rsidR="00EF1912" w:rsidRPr="000E1618">
        <w:trPr>
          <w:trHeight w:val="610"/>
        </w:trPr>
        <w:tc>
          <w:tcPr>
            <w:tcW w:w="6520" w:type="dxa"/>
            <w:tcBorders>
              <w:top w:val="none" w:sz="2" w:space="0" w:color="000000"/>
              <w:left w:val="none" w:sz="2" w:space="0" w:color="000000"/>
              <w:bottom w:val="none" w:sz="2" w:space="0" w:color="000000"/>
              <w:right w:val="none" w:sz="2" w:space="0" w:color="000000"/>
            </w:tcBorders>
            <w:vAlign w:val="center"/>
          </w:tcPr>
          <w:p w:rsidR="00EF1912" w:rsidRPr="000E1618" w:rsidRDefault="00EF191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line="432" w:lineRule="auto"/>
              <w:ind w:left="42" w:hanging="42"/>
              <w:jc w:val="center"/>
              <w:rPr>
                <w:rFonts w:ascii="GulimChe" w:eastAsia="GulimChe" w:hAnsi="GulimChe"/>
                <w:sz w:val="28"/>
              </w:rPr>
            </w:pPr>
          </w:p>
        </w:tc>
        <w:tc>
          <w:tcPr>
            <w:tcW w:w="2267" w:type="dxa"/>
            <w:tcBorders>
              <w:top w:val="none" w:sz="2" w:space="0" w:color="000000"/>
              <w:left w:val="none" w:sz="2" w:space="0" w:color="000000"/>
              <w:bottom w:val="none" w:sz="2" w:space="0" w:color="000000"/>
              <w:right w:val="none" w:sz="2" w:space="0" w:color="000000"/>
            </w:tcBorders>
            <w:vAlign w:val="center"/>
          </w:tcPr>
          <w:p w:rsidR="00EF1912" w:rsidRPr="000E1618" w:rsidRDefault="00EF1912">
            <w:pPr>
              <w:pStyle w:val="a"/>
              <w:wordWrap/>
              <w:jc w:val="center"/>
              <w:rPr>
                <w:rFonts w:ascii="GulimChe" w:eastAsia="GulimChe" w:hAnsi="GulimChe"/>
              </w:rPr>
            </w:pPr>
          </w:p>
        </w:tc>
      </w:tr>
      <w:tr w:rsidR="00EF1912" w:rsidRPr="000E1618">
        <w:trPr>
          <w:trHeight w:val="738"/>
        </w:trPr>
        <w:tc>
          <w:tcPr>
            <w:tcW w:w="6520" w:type="dxa"/>
            <w:tcBorders>
              <w:top w:val="none" w:sz="2" w:space="0" w:color="000000"/>
              <w:left w:val="none" w:sz="2" w:space="0" w:color="000000"/>
              <w:bottom w:val="none" w:sz="2" w:space="0" w:color="000000"/>
              <w:right w:val="none" w:sz="2" w:space="0" w:color="000000"/>
            </w:tcBorders>
            <w:vAlign w:val="center"/>
          </w:tcPr>
          <w:p w:rsidR="00EF1912" w:rsidRPr="000E1618" w:rsidRDefault="00EF1912">
            <w:pPr>
              <w:pStyle w:val="a"/>
              <w:wordWrap/>
              <w:jc w:val="center"/>
              <w:rPr>
                <w:rFonts w:ascii="GulimChe" w:eastAsia="GulimChe" w:hAnsi="GulimChe"/>
              </w:rPr>
            </w:pPr>
          </w:p>
        </w:tc>
        <w:tc>
          <w:tcPr>
            <w:tcW w:w="2267" w:type="dxa"/>
            <w:tcBorders>
              <w:top w:val="none" w:sz="2" w:space="0" w:color="000000"/>
              <w:left w:val="none" w:sz="2" w:space="0" w:color="000000"/>
              <w:bottom w:val="none" w:sz="2" w:space="0" w:color="000000"/>
              <w:right w:val="none" w:sz="2" w:space="0" w:color="000000"/>
            </w:tcBorders>
            <w:vAlign w:val="center"/>
          </w:tcPr>
          <w:p w:rsidR="00EF1912" w:rsidRPr="000E1618" w:rsidRDefault="00EF1912">
            <w:pPr>
              <w:pStyle w:val="a"/>
              <w:wordWrap/>
              <w:jc w:val="center"/>
              <w:rPr>
                <w:rFonts w:ascii="GulimChe" w:eastAsia="GulimChe" w:hAnsi="GulimChe"/>
              </w:rPr>
            </w:pPr>
          </w:p>
        </w:tc>
      </w:tr>
    </w:tbl>
    <w:p w:rsidR="000E1618" w:rsidRPr="000E1618" w:rsidRDefault="000E1618" w:rsidP="000E1618">
      <w:pPr>
        <w:pStyle w:val="a"/>
        <w:rPr>
          <w:rFonts w:ascii="한양신명조" w:eastAsia="한양신명조" w:hAnsi="한양신명조"/>
          <w:b/>
          <w:sz w:val="22"/>
        </w:rPr>
      </w:pPr>
      <w:r w:rsidRPr="000E1618">
        <w:rPr>
          <w:rFonts w:ascii="한양신명조" w:eastAsia="한양신명조" w:hAnsi="한양신명조"/>
          <w:b/>
          <w:sz w:val="22"/>
        </w:rPr>
        <w:t>1. General Information</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sz w:val="22"/>
        </w:rPr>
        <w:t> (1) Part of the assembled state and various sensors, such as wiring and plumbing will affect the performance of the equipment shall be so rigidly.</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sz w:val="22"/>
        </w:rPr>
        <w:t> (2) normal operation be free from hazards in the state, and should be running smoothly.</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sz w:val="22"/>
        </w:rPr>
        <w:t> (3) each part that make up the instrument and electrical, electronics, machinery, equipment, etc. shall be securely assembled.</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sz w:val="22"/>
        </w:rPr>
        <w:t> (4) leaks, splashes, dew, etc. caused by a structure that does not interfere with the measurement must be a maintenance and inspection for the work space should be sufficient.</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sz w:val="22"/>
        </w:rPr>
        <w:t> (5) of the fatigue, deterioration does not happen there must be protection.</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sz w:val="22"/>
        </w:rPr>
        <w:t> (6) The power supply voltage must be able to deliver a smooth and stable.</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sz w:val="22"/>
        </w:rPr>
        <w:t> (7) measuring the 110/220 V rated voltage is used, and should be rated frequency 60 Hz, and that the variance should be less than ± 5%.</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sz w:val="22"/>
        </w:rPr>
        <w:t> (8) manual of the instrument calibration, maintenance. Checks, including how to be convenient for the user to drive should be written in Hangul.</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sz w:val="22"/>
        </w:rPr>
        <w:t> (9) Preparation of calibration solution method</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sz w:val="22"/>
        </w:rPr>
        <w:t>  </w:t>
      </w:r>
      <w:r w:rsidRPr="000E1618">
        <w:rPr>
          <w:rFonts w:ascii="한양신명조" w:eastAsia="한양신명조" w:hAnsi="한양신명조" w:hint="eastAsia"/>
          <w:sz w:val="22"/>
        </w:rPr>
        <w:t>①</w:t>
      </w:r>
      <w:r w:rsidRPr="000E1618">
        <w:rPr>
          <w:rFonts w:ascii="한양신명조" w:eastAsia="한양신명조" w:hAnsi="한양신명조"/>
          <w:sz w:val="22"/>
        </w:rPr>
        <w:t xml:space="preserve"> zero solution: distilled water with 0.2 </w:t>
      </w:r>
      <w:r w:rsidRPr="000E1618">
        <w:rPr>
          <w:rFonts w:ascii="한양신명조" w:eastAsia="한양신명조" w:hAnsi="한양신명조" w:hint="eastAsia"/>
          <w:sz w:val="22"/>
        </w:rPr>
        <w:t>㎛</w:t>
      </w:r>
      <w:r w:rsidRPr="000E1618">
        <w:rPr>
          <w:rFonts w:ascii="한양신명조" w:eastAsia="한양신명조" w:hAnsi="한양신명조"/>
          <w:sz w:val="22"/>
        </w:rPr>
        <w:t xml:space="preserve"> pore size membrane filter paper passed to the water solution is used as the zero point of 0.02 NTU.</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②</w:t>
      </w:r>
      <w:r w:rsidRPr="000E1618">
        <w:rPr>
          <w:rFonts w:ascii="한양신명조" w:eastAsia="한양신명조" w:hAnsi="한양신명조"/>
          <w:sz w:val="22"/>
        </w:rPr>
        <w:t xml:space="preserve"> span Solution: In each of the measuring range of more than 85% of the measuring range that corresponds to the value of the turbidity standard solution prepared (drinking water standards apply mutatis mutandis process test) is used to span the solution.</w:t>
      </w:r>
    </w:p>
    <w:p w:rsidR="000E1618" w:rsidRPr="000E1618" w:rsidRDefault="000E1618" w:rsidP="000E1618">
      <w:pPr>
        <w:pStyle w:val="a"/>
        <w:rPr>
          <w:rFonts w:ascii="한양신명조" w:eastAsia="한양신명조" w:hAnsi="한양신명조"/>
          <w:b/>
          <w:sz w:val="22"/>
        </w:rPr>
      </w:pPr>
      <w:r w:rsidRPr="000E1618">
        <w:rPr>
          <w:rFonts w:ascii="한양신명조" w:eastAsia="한양신명조" w:hAnsi="한양신명조"/>
          <w:b/>
          <w:sz w:val="22"/>
        </w:rPr>
        <w:lastRenderedPageBreak/>
        <w:t>2. Coverage</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This criterion is introduced into the raw water treatment plant, the turbidity of the filtered water and subsequently as an integer that can be measured is applied to Automatic Meter.</w:t>
      </w:r>
    </w:p>
    <w:p w:rsidR="000E1618" w:rsidRPr="000E1618" w:rsidRDefault="000E1618" w:rsidP="000E1618">
      <w:pPr>
        <w:pStyle w:val="a"/>
        <w:rPr>
          <w:rFonts w:ascii="한양신명조" w:eastAsia="한양신명조" w:hAnsi="한양신명조"/>
          <w:sz w:val="22"/>
        </w:rPr>
      </w:pPr>
    </w:p>
    <w:p w:rsidR="000E1618" w:rsidRPr="000E1618" w:rsidRDefault="000E1618" w:rsidP="000E1618">
      <w:pPr>
        <w:pStyle w:val="a"/>
        <w:rPr>
          <w:rFonts w:ascii="한양신명조" w:eastAsia="한양신명조" w:hAnsi="한양신명조"/>
          <w:b/>
          <w:sz w:val="22"/>
        </w:rPr>
      </w:pPr>
      <w:r w:rsidRPr="000E1618">
        <w:rPr>
          <w:rFonts w:ascii="한양신명조" w:eastAsia="한양신명조" w:hAnsi="한양신명조"/>
          <w:b/>
          <w:sz w:val="22"/>
        </w:rPr>
        <w:t>3. Structure and Function</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Continuous Auto Meter Turbidity pointing devices, detection devices, and consists of</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(1) pointing device: measuring a part of the solution when I went to the fence caused the signal to be stable, and the signal detector that can detect stable structure should be.</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(2) detection system</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①</w:t>
      </w:r>
      <w:r w:rsidRPr="000E1618">
        <w:rPr>
          <w:rFonts w:ascii="한양신명조" w:eastAsia="한양신명조" w:hAnsi="한양신명조"/>
          <w:sz w:val="22"/>
        </w:rPr>
        <w:t xml:space="preserve"> the light source and the detector of the instrument due to external shocks between the two should not be out of debris.</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②</w:t>
      </w:r>
      <w:r w:rsidRPr="000E1618">
        <w:rPr>
          <w:rFonts w:ascii="한양신명조" w:eastAsia="한양신명조" w:hAnsi="한양신명조"/>
          <w:sz w:val="22"/>
        </w:rPr>
        <w:t xml:space="preserve"> wavelength light source and a tungsten lamp (400 ~ 600 nm), light-emitting diode (LED, 860 ± 30 nm), laser (660 nm), and should be used and the sample in the light path of action should be less than 10 cm in length . Scattered light detector acceptance angle for the incident should not exceed 90 ± 30 °.</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③</w:t>
      </w:r>
      <w:r w:rsidRPr="000E1618">
        <w:rPr>
          <w:rFonts w:ascii="한양신명조" w:eastAsia="한양신명조" w:hAnsi="한양신명조"/>
          <w:sz w:val="22"/>
        </w:rPr>
        <w:t xml:space="preserve"> part of the measuring cell water, air or brushes should be washed.</w:t>
      </w:r>
    </w:p>
    <w:p w:rsidR="000E1618" w:rsidRPr="000E1618" w:rsidRDefault="000E1618" w:rsidP="000E1618">
      <w:pPr>
        <w:pStyle w:val="a"/>
        <w:rPr>
          <w:rFonts w:ascii="한양신명조" w:eastAsia="한양신명조" w:hAnsi="한양신명조"/>
          <w:sz w:val="22"/>
        </w:rPr>
      </w:pPr>
    </w:p>
    <w:p w:rsidR="000E1618" w:rsidRPr="000E1618" w:rsidRDefault="000E1618" w:rsidP="000E1618">
      <w:pPr>
        <w:pStyle w:val="a"/>
        <w:rPr>
          <w:rFonts w:ascii="한양신명조" w:eastAsia="한양신명조" w:hAnsi="한양신명조"/>
          <w:b/>
          <w:sz w:val="22"/>
        </w:rPr>
      </w:pPr>
      <w:r w:rsidRPr="000E1618">
        <w:rPr>
          <w:rFonts w:ascii="한양신명조" w:eastAsia="한양신명조" w:hAnsi="한양신명조"/>
          <w:b/>
          <w:sz w:val="22"/>
        </w:rPr>
        <w:t>4. Performance</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(1) Measurement method of measuring a part of the solution, the meter when I went to the fence caused the signal to be stable, and the signal detector that can detect stable structure should be.</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(2) the results of the measurement instrument must be able to write instructions or, TMS, etc. must be able to transmit.</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(3) less than 10 NTU measurement range of the sensor must be set (one does not apply in the case of measuring devices acceptable.)</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(4) the minimum detection limit of the instrument shall be less than 0.1NTU.</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(5) the repeatability of the instrument shall be less than 2% of the measuring range.</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(6) of the measurement range of the instrument zero drift should be less than 3%.</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(7) of the measurement range of the instrument span drift shall be less than 3%.</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(8) the value of the instrument linearity of injection concentrations should be less than ± 5%.</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(9) of the instrument response time of 10 minutes (90%) or less should be.</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(10) the stability of voltage fluctuation range of the measurement should be less than 3%.</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(11) The insulation resistance is abnormal to 5 MΩ.</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(12) There shall be no more than withstand voltage.</w:t>
      </w:r>
    </w:p>
    <w:p w:rsidR="000E1618" w:rsidRPr="000E1618" w:rsidRDefault="000E1618" w:rsidP="000E1618">
      <w:pPr>
        <w:pStyle w:val="a"/>
        <w:rPr>
          <w:rFonts w:ascii="한양신명조" w:eastAsia="한양신명조" w:hAnsi="한양신명조"/>
          <w:sz w:val="22"/>
        </w:rPr>
      </w:pPr>
    </w:p>
    <w:p w:rsidR="000E1618" w:rsidRPr="000E1618" w:rsidRDefault="000E1618" w:rsidP="000E1618">
      <w:pPr>
        <w:pStyle w:val="a"/>
        <w:rPr>
          <w:rFonts w:ascii="한양신명조" w:eastAsia="한양신명조" w:hAnsi="한양신명조"/>
          <w:b/>
          <w:sz w:val="22"/>
        </w:rPr>
      </w:pPr>
      <w:r w:rsidRPr="000E1618">
        <w:rPr>
          <w:rFonts w:ascii="한양신명조" w:eastAsia="한양신명조" w:hAnsi="한양신명조"/>
          <w:b/>
          <w:sz w:val="22"/>
        </w:rPr>
        <w:t>5. Labeling</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(1) The following matters shall be listed.</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①</w:t>
      </w:r>
      <w:r w:rsidRPr="000E1618">
        <w:rPr>
          <w:rFonts w:ascii="한양신명조" w:eastAsia="한양신명조" w:hAnsi="한양신명조"/>
          <w:sz w:val="22"/>
        </w:rPr>
        <w:t xml:space="preserve"> manufacturing company, production country, date of manufacture</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②</w:t>
      </w:r>
      <w:r w:rsidRPr="000E1618">
        <w:rPr>
          <w:rFonts w:ascii="한양신명조" w:eastAsia="한양신명조" w:hAnsi="한양신명조"/>
          <w:sz w:val="22"/>
        </w:rPr>
        <w:t xml:space="preserve"> people finder, device type, device number (or production number)</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③</w:t>
      </w:r>
      <w:r w:rsidRPr="000E1618">
        <w:rPr>
          <w:rFonts w:ascii="한양신명조" w:eastAsia="한양신명조" w:hAnsi="한양신명조"/>
          <w:sz w:val="22"/>
        </w:rPr>
        <w:t xml:space="preserve"> measuring range, ambient temperature range</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④</w:t>
      </w:r>
      <w:r w:rsidRPr="000E1618">
        <w:rPr>
          <w:rFonts w:ascii="한양신명조" w:eastAsia="한양신명조" w:hAnsi="한양신명조"/>
          <w:sz w:val="22"/>
        </w:rPr>
        <w:t xml:space="preserve"> kind of power, voltage (V), frequency (Hz) and power consumption</w:t>
      </w:r>
    </w:p>
    <w:p w:rsidR="000E1618" w:rsidRPr="000E1618" w:rsidRDefault="000E1618" w:rsidP="000E1618">
      <w:pPr>
        <w:pStyle w:val="a"/>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(2) For display to be displayed where you can look good in principle.</w:t>
      </w:r>
    </w:p>
    <w:p w:rsidR="000E1618" w:rsidRPr="000E1618" w:rsidRDefault="000E1618" w:rsidP="000E1618">
      <w:pPr>
        <w:pStyle w:val="a"/>
        <w:rPr>
          <w:rFonts w:ascii="한양신명조" w:eastAsia="한양신명조" w:hAnsi="한양신명조"/>
          <w:sz w:val="22"/>
        </w:rPr>
      </w:pPr>
    </w:p>
    <w:p w:rsidR="000E1618" w:rsidRPr="000E1618" w:rsidRDefault="000E1618" w:rsidP="000E1618">
      <w:pPr>
        <w:pStyle w:val="a"/>
        <w:rPr>
          <w:rFonts w:ascii="한양신명조" w:eastAsia="한양신명조" w:hAnsi="한양신명조"/>
          <w:b/>
          <w:sz w:val="22"/>
        </w:rPr>
      </w:pPr>
      <w:r w:rsidRPr="000E1618">
        <w:rPr>
          <w:rFonts w:ascii="한양신명조" w:eastAsia="한양신명조" w:hAnsi="한양신명조"/>
          <w:b/>
          <w:sz w:val="22"/>
        </w:rPr>
        <w:t>6. Comprehensive Performance Test</w:t>
      </w:r>
    </w:p>
    <w:p w:rsidR="00EF1912" w:rsidRPr="000E1618" w:rsidRDefault="000E1618" w:rsidP="000E1618">
      <w:pPr>
        <w:pStyle w:val="a"/>
      </w:pPr>
      <w:r w:rsidRPr="000E1618">
        <w:rPr>
          <w:rFonts w:ascii="한양신명조" w:eastAsia="한양신명조" w:hAnsi="한양신명조" w:hint="eastAsia"/>
          <w:sz w:val="22"/>
        </w:rPr>
        <w:t> </w:t>
      </w:r>
      <w:r w:rsidRPr="000E1618">
        <w:rPr>
          <w:rFonts w:ascii="한양신명조" w:eastAsia="한양신명조" w:hAnsi="한양신명조"/>
          <w:sz w:val="22"/>
        </w:rPr>
        <w:t>Comprehensive performance test and continuously measuring 168 (seven days) or more should be free to run for 7 days, 5% of the measurement range zero drift, span drift measured in the range of seven days shall be less than 5%.</w:t>
      </w:r>
      <w:r w:rsidR="00796819" w:rsidRPr="000E1618">
        <w:br w:type="page"/>
      </w:r>
    </w:p>
    <w:p w:rsidR="00EF1912" w:rsidRPr="000E1618" w:rsidRDefault="00796819">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hAnsi="한양신명조"/>
          <w:sz w:val="22"/>
        </w:rPr>
        <w:t xml:space="preserve">     </w:t>
      </w:r>
    </w:p>
    <w:tbl>
      <w:tblPr>
        <w:tblOverlap w:val="never"/>
        <w:tblW w:w="878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tblPr>
      <w:tblGrid>
        <w:gridCol w:w="6520"/>
        <w:gridCol w:w="2267"/>
      </w:tblGrid>
      <w:tr w:rsidR="000E1618" w:rsidRPr="000E1618" w:rsidTr="006B78E5">
        <w:trPr>
          <w:trHeight w:val="300"/>
        </w:trPr>
        <w:tc>
          <w:tcPr>
            <w:tcW w:w="6520" w:type="dxa"/>
            <w:tcBorders>
              <w:top w:val="none" w:sz="2" w:space="0" w:color="000000"/>
              <w:left w:val="none" w:sz="2" w:space="0" w:color="000000"/>
              <w:bottom w:val="none" w:sz="2" w:space="0" w:color="000000"/>
              <w:right w:val="none" w:sz="2" w:space="0" w:color="000000"/>
            </w:tcBorders>
          </w:tcPr>
          <w:p w:rsidR="000E1618" w:rsidRPr="000E1618" w:rsidRDefault="000E1618" w:rsidP="00D70460">
            <w:pPr>
              <w:rPr>
                <w:b/>
              </w:rPr>
            </w:pPr>
            <w:r w:rsidRPr="000E1618">
              <w:rPr>
                <w:b/>
              </w:rPr>
              <w:t>The measuring device structure based on environmental performance details</w:t>
            </w:r>
          </w:p>
        </w:tc>
        <w:tc>
          <w:tcPr>
            <w:tcW w:w="2267" w:type="dxa"/>
            <w:tcBorders>
              <w:top w:val="none" w:sz="2" w:space="0" w:color="000000"/>
              <w:left w:val="none" w:sz="2" w:space="0" w:color="000000"/>
              <w:bottom w:val="none" w:sz="2" w:space="0" w:color="000000"/>
              <w:right w:val="none" w:sz="2" w:space="0" w:color="000000"/>
            </w:tcBorders>
            <w:vAlign w:val="center"/>
          </w:tcPr>
          <w:p w:rsidR="000E1618" w:rsidRPr="000E1618" w:rsidRDefault="000E1618">
            <w:pPr>
              <w:pStyle w:val="a"/>
              <w:wordWrap/>
              <w:jc w:val="center"/>
              <w:rPr>
                <w:rFonts w:ascii="GulimChe" w:eastAsia="GulimChe" w:hAnsi="GulimChe"/>
                <w:b/>
                <w:sz w:val="28"/>
              </w:rPr>
            </w:pPr>
            <w:r w:rsidRPr="000E1618">
              <w:rPr>
                <w:rFonts w:ascii="GulimChe" w:hAnsi="GulimChe"/>
                <w:b/>
                <w:sz w:val="28"/>
              </w:rPr>
              <w:t>TS 0602.1</w:t>
            </w:r>
          </w:p>
        </w:tc>
      </w:tr>
      <w:tr w:rsidR="000E1618" w:rsidRPr="000E1618" w:rsidTr="006B78E5">
        <w:trPr>
          <w:trHeight w:val="680"/>
        </w:trPr>
        <w:tc>
          <w:tcPr>
            <w:tcW w:w="6520" w:type="dxa"/>
            <w:tcBorders>
              <w:top w:val="none" w:sz="2" w:space="0" w:color="000000"/>
              <w:left w:val="none" w:sz="2" w:space="0" w:color="000000"/>
              <w:bottom w:val="none" w:sz="2" w:space="0" w:color="000000"/>
              <w:right w:val="none" w:sz="2" w:space="0" w:color="000000"/>
            </w:tcBorders>
          </w:tcPr>
          <w:p w:rsidR="000E1618" w:rsidRPr="000E1618" w:rsidRDefault="000E1618" w:rsidP="00D70460">
            <w:pPr>
              <w:rPr>
                <w:b/>
              </w:rPr>
            </w:pPr>
            <w:r w:rsidRPr="000E1618">
              <w:rPr>
                <w:b/>
              </w:rPr>
              <w:t>Drinking water sector</w:t>
            </w:r>
          </w:p>
        </w:tc>
        <w:tc>
          <w:tcPr>
            <w:tcW w:w="2267" w:type="dxa"/>
            <w:tcBorders>
              <w:top w:val="none" w:sz="2" w:space="0" w:color="000000"/>
              <w:left w:val="none" w:sz="2" w:space="0" w:color="000000"/>
              <w:bottom w:val="none" w:sz="2" w:space="0" w:color="000000"/>
              <w:right w:val="none" w:sz="2" w:space="0" w:color="000000"/>
            </w:tcBorders>
            <w:vAlign w:val="center"/>
          </w:tcPr>
          <w:p w:rsidR="000E1618" w:rsidRPr="000E1618" w:rsidRDefault="000E1618">
            <w:pPr>
              <w:pStyle w:val="a"/>
              <w:wordWrap/>
              <w:jc w:val="center"/>
              <w:rPr>
                <w:rFonts w:ascii="GulimChe" w:eastAsia="GulimChe" w:hAnsi="GulimChe"/>
                <w:b/>
              </w:rPr>
            </w:pPr>
          </w:p>
        </w:tc>
      </w:tr>
      <w:tr w:rsidR="000E1618" w:rsidRPr="000E1618" w:rsidTr="006B78E5">
        <w:trPr>
          <w:trHeight w:val="499"/>
        </w:trPr>
        <w:tc>
          <w:tcPr>
            <w:tcW w:w="6520" w:type="dxa"/>
            <w:tcBorders>
              <w:top w:val="none" w:sz="2" w:space="0" w:color="000000"/>
              <w:left w:val="none" w:sz="2" w:space="0" w:color="000000"/>
              <w:bottom w:val="none" w:sz="2" w:space="0" w:color="000000"/>
              <w:right w:val="none" w:sz="2" w:space="0" w:color="000000"/>
            </w:tcBorders>
          </w:tcPr>
          <w:p w:rsidR="000E1618" w:rsidRPr="000E1618" w:rsidRDefault="000E1618" w:rsidP="00D70460">
            <w:pPr>
              <w:rPr>
                <w:b/>
              </w:rPr>
            </w:pPr>
            <w:r w:rsidRPr="000E1618">
              <w:rPr>
                <w:b/>
              </w:rPr>
              <w:t>Continuous automatic meter chlorine and its affiliated equipment</w:t>
            </w:r>
          </w:p>
        </w:tc>
        <w:tc>
          <w:tcPr>
            <w:tcW w:w="2267" w:type="dxa"/>
            <w:tcBorders>
              <w:top w:val="none" w:sz="2" w:space="0" w:color="000000"/>
              <w:left w:val="none" w:sz="2" w:space="0" w:color="000000"/>
              <w:bottom w:val="none" w:sz="2" w:space="0" w:color="000000"/>
              <w:right w:val="none" w:sz="2" w:space="0" w:color="000000"/>
            </w:tcBorders>
            <w:vAlign w:val="center"/>
          </w:tcPr>
          <w:p w:rsidR="000E1618" w:rsidRPr="000E1618" w:rsidRDefault="000E1618">
            <w:pPr>
              <w:pStyle w:val="a"/>
              <w:wordWrap/>
              <w:jc w:val="center"/>
              <w:rPr>
                <w:rFonts w:ascii="GulimChe" w:eastAsia="GulimChe" w:hAnsi="GulimChe"/>
                <w:b/>
                <w:sz w:val="26"/>
              </w:rPr>
            </w:pPr>
            <w:r w:rsidRPr="000E1618">
              <w:rPr>
                <w:rFonts w:ascii="GulimChe" w:hAnsi="GulimChe"/>
                <w:b/>
                <w:sz w:val="26"/>
              </w:rPr>
              <w:t>2010</w:t>
            </w:r>
          </w:p>
        </w:tc>
      </w:tr>
      <w:tr w:rsidR="00EF1912" w:rsidRPr="000E1618">
        <w:trPr>
          <w:trHeight w:val="667"/>
        </w:trPr>
        <w:tc>
          <w:tcPr>
            <w:tcW w:w="6520" w:type="dxa"/>
            <w:tcBorders>
              <w:top w:val="none" w:sz="2" w:space="0" w:color="000000"/>
              <w:left w:val="none" w:sz="2" w:space="0" w:color="000000"/>
              <w:bottom w:val="none" w:sz="2" w:space="0" w:color="000000"/>
              <w:right w:val="none" w:sz="2" w:space="0" w:color="000000"/>
            </w:tcBorders>
            <w:vAlign w:val="center"/>
          </w:tcPr>
          <w:p w:rsidR="00EF1912" w:rsidRPr="000E1618" w:rsidRDefault="00796819">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line="432" w:lineRule="auto"/>
              <w:ind w:left="42" w:hanging="42"/>
              <w:jc w:val="center"/>
              <w:rPr>
                <w:rFonts w:ascii="GulimChe" w:eastAsia="GulimChe" w:hAnsi="GulimChe"/>
                <w:spacing w:val="-31"/>
                <w:sz w:val="28"/>
              </w:rPr>
            </w:pPr>
            <w:r w:rsidRPr="000E1618">
              <w:rPr>
                <w:rFonts w:ascii="GulimChe" w:hAnsi="GulimChe"/>
                <w:spacing w:val="-31"/>
                <w:sz w:val="28"/>
              </w:rPr>
              <w:t xml:space="preserve"> </w:t>
            </w:r>
          </w:p>
        </w:tc>
        <w:tc>
          <w:tcPr>
            <w:tcW w:w="2267" w:type="dxa"/>
            <w:tcBorders>
              <w:top w:val="none" w:sz="2" w:space="0" w:color="000000"/>
              <w:left w:val="none" w:sz="2" w:space="0" w:color="000000"/>
              <w:bottom w:val="none" w:sz="2" w:space="0" w:color="000000"/>
              <w:right w:val="none" w:sz="2" w:space="0" w:color="000000"/>
            </w:tcBorders>
            <w:vAlign w:val="center"/>
          </w:tcPr>
          <w:p w:rsidR="00EF1912" w:rsidRPr="000E1618" w:rsidRDefault="00EF1912">
            <w:pPr>
              <w:pStyle w:val="a"/>
              <w:wordWrap/>
              <w:jc w:val="center"/>
              <w:rPr>
                <w:rFonts w:ascii="GulimChe" w:eastAsia="GulimChe" w:hAnsi="GulimChe"/>
              </w:rPr>
            </w:pPr>
          </w:p>
        </w:tc>
      </w:tr>
      <w:tr w:rsidR="00EF1912" w:rsidRPr="000E1618">
        <w:trPr>
          <w:trHeight w:val="964"/>
        </w:trPr>
        <w:tc>
          <w:tcPr>
            <w:tcW w:w="6520" w:type="dxa"/>
            <w:tcBorders>
              <w:top w:val="none" w:sz="2" w:space="0" w:color="000000"/>
              <w:left w:val="none" w:sz="2" w:space="0" w:color="000000"/>
              <w:bottom w:val="none" w:sz="2" w:space="0" w:color="000000"/>
              <w:right w:val="none" w:sz="2" w:space="0" w:color="000000"/>
            </w:tcBorders>
            <w:vAlign w:val="center"/>
          </w:tcPr>
          <w:p w:rsidR="00EF1912" w:rsidRPr="000E1618" w:rsidRDefault="00EF1912">
            <w:pPr>
              <w:pStyle w:val="a"/>
              <w:wordWrap/>
              <w:jc w:val="center"/>
              <w:rPr>
                <w:rFonts w:ascii="GulimChe" w:eastAsia="GulimChe" w:hAnsi="GulimChe"/>
              </w:rPr>
            </w:pPr>
          </w:p>
        </w:tc>
        <w:tc>
          <w:tcPr>
            <w:tcW w:w="2267" w:type="dxa"/>
            <w:tcBorders>
              <w:top w:val="none" w:sz="2" w:space="0" w:color="000000"/>
              <w:left w:val="none" w:sz="2" w:space="0" w:color="000000"/>
              <w:bottom w:val="none" w:sz="2" w:space="0" w:color="000000"/>
              <w:right w:val="none" w:sz="2" w:space="0" w:color="000000"/>
            </w:tcBorders>
            <w:vAlign w:val="center"/>
          </w:tcPr>
          <w:p w:rsidR="00EF1912" w:rsidRPr="000E1618" w:rsidRDefault="00EF1912">
            <w:pPr>
              <w:pStyle w:val="a"/>
              <w:wordWrap/>
              <w:jc w:val="center"/>
              <w:rPr>
                <w:rFonts w:ascii="GulimChe" w:eastAsia="GulimChe" w:hAnsi="GulimChe"/>
              </w:rPr>
            </w:pPr>
          </w:p>
        </w:tc>
      </w:tr>
    </w:tbl>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b/>
          <w:sz w:val="22"/>
        </w:rPr>
      </w:pPr>
      <w:r w:rsidRPr="000E1618">
        <w:rPr>
          <w:rFonts w:ascii="한양신명조" w:eastAsia="한양신명조" w:hAnsi="한양신명조"/>
          <w:b/>
          <w:sz w:val="22"/>
        </w:rPr>
        <w:t>1. General Information</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sz w:val="22"/>
        </w:rPr>
        <w:t> (1) Part of the assembled state and various sensors, such as wiring and plumbing will affect the performance of the equipment shall be so rigidly.</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sz w:val="22"/>
        </w:rPr>
        <w:t> (2) In the normal operating state of the hazards should be free, must be able to work smoothly.</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sz w:val="22"/>
        </w:rPr>
        <w:t> (3) each part that make up the instrument and electrical, electronics, machinery, equipment, etc. shall be securely assembled.</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sz w:val="22"/>
        </w:rPr>
        <w:t> (4) leaks, splashes, dew, etc. caused by a structure that does not interfere with the measurement must be a maintenance and inspection for the work space should be sufficient.</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sz w:val="22"/>
        </w:rPr>
        <w:t> (5) of the fatigue, deterioration does not happen there must be protection.</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sz w:val="22"/>
        </w:rPr>
        <w:t> (6) The power supply voltage must be able to deliver a smooth and stable.</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sz w:val="22"/>
        </w:rPr>
        <w:t> (7) measuring the 110/220 V rated voltage is used, and should be rated shares Paz 60 Hz, and that the variance should be less than ± 5%.</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sz w:val="22"/>
        </w:rPr>
        <w:t> (8) manual of the instrument calibration, maintenance. Checks, including how to be convenient for the user to drive should be written in Hangul.</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sz w:val="22"/>
        </w:rPr>
        <w:t> (9) Preparation of calibration solution method</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sz w:val="22"/>
        </w:rPr>
        <w:t>  </w:t>
      </w:r>
      <w:r w:rsidRPr="000E1618">
        <w:rPr>
          <w:rFonts w:ascii="한양신명조" w:eastAsia="한양신명조" w:hAnsi="한양신명조" w:hint="eastAsia"/>
          <w:sz w:val="22"/>
        </w:rPr>
        <w:t>①</w:t>
      </w:r>
      <w:r w:rsidRPr="000E1618">
        <w:rPr>
          <w:rFonts w:ascii="한양신명조" w:eastAsia="한양신명조" w:hAnsi="한양신명조"/>
          <w:sz w:val="22"/>
        </w:rPr>
        <w:t xml:space="preserve"> zero solution: chlorine solution does not exist, purified water is used as the zero point.</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②</w:t>
      </w:r>
      <w:r w:rsidRPr="000E1618">
        <w:rPr>
          <w:rFonts w:ascii="한양신명조" w:eastAsia="한양신명조" w:hAnsi="한양신명조"/>
          <w:sz w:val="22"/>
        </w:rPr>
        <w:t xml:space="preserve"> span Solution: In each of the measuring range of more than 85% of the measuring range that corresponds to the value of the calibration solution prepared chlorine is used as the standard solution. Residual chlorine standard solution of sodium hypochlorite to "water treatment standards and specifications and labeling standards (MoE No. 187, '02 .12.09) Ⅱ. Sterilization disinfectant 3. Sodium hypochlorite &lt;Test Method&gt; 2) available chlorine "content was measured according to the purpose of the preparation is diluted to a concentration. The calibration solution using portable measuring equipment to measure its value over time, concentration values ​​shall be corrected.</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b/>
          <w:sz w:val="22"/>
        </w:rPr>
      </w:pPr>
      <w:r w:rsidRPr="000E1618">
        <w:rPr>
          <w:rFonts w:ascii="한양신명조" w:eastAsia="한양신명조" w:hAnsi="한양신명조"/>
          <w:b/>
          <w:sz w:val="22"/>
        </w:rPr>
        <w:t>2. Coverage</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This criterion is introduced into the raw water treatment plant, water purification and drainage index as a continuous measure of the residual chlorine can be applied to automatic instrument.</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b/>
          <w:sz w:val="22"/>
        </w:rPr>
      </w:pPr>
      <w:r w:rsidRPr="000E1618">
        <w:rPr>
          <w:rFonts w:ascii="한양신명조" w:eastAsia="한양신명조" w:hAnsi="한양신명조"/>
          <w:b/>
          <w:sz w:val="22"/>
        </w:rPr>
        <w:t>3. Structure and Function</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Continuous automatic meter chlorine pointing device, such as the detection device consists of</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(1) pointing device: Measuring instrument for the solution of some of the fence when I went to stabilize the signal generated instructions. Shall be recorded.</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(2) detection devices: electrodes, the electrodes are composed of reserve and converter, meter and ancillary equipment in a corrosion-resistant material shall be used. Part of the measuring cell water, air or brushes should be washed.</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b/>
          <w:sz w:val="22"/>
        </w:rPr>
      </w:pPr>
      <w:r w:rsidRPr="000E1618">
        <w:rPr>
          <w:rFonts w:ascii="한양신명조" w:eastAsia="한양신명조" w:hAnsi="한양신명조"/>
          <w:b/>
          <w:sz w:val="22"/>
        </w:rPr>
        <w:t>4. Performance</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(1) How to measure the Polarographic electrode, galvanic electrode, DPD-colorimetric method, the current method or equivalent method shall be a performance.</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(2) the results of the measurement instrument must be able to write instructions or, TMS, etc. must be able to transmit.</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(3) measuring the 10 mg / L or less should be able to set the measurement range.</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(4) measuring the minimum detection limit of 0.1mg / L should be less than.</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(5) the repeatability of the instrument shall be less than 2% of the measuring range.</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(6) of the measurement range of the instrument zero drift should be less than 3%.</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(7) of the measurement range of the instrument span drift shall be less than 3%.</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(8) the value of the instrument linearity of injection concentrations should be less than ± 5%.</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(9) Measuring the response time of 2 minutes (90%) or less should be.</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(10) the stability of voltage fluctuation range of the measurement should be less than 3%.</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(11) The insulation resistance is abnormal to 5 MΩ.</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(12) There shall be no more than withstand voltage.</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b/>
          <w:sz w:val="22"/>
        </w:rPr>
      </w:pPr>
      <w:r w:rsidRPr="000E1618">
        <w:rPr>
          <w:rFonts w:ascii="한양신명조" w:eastAsia="한양신명조" w:hAnsi="한양신명조"/>
          <w:b/>
          <w:sz w:val="22"/>
        </w:rPr>
        <w:t>5. Labeling</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(1) The following matters shall be listed.</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①</w:t>
      </w:r>
      <w:r w:rsidRPr="000E1618">
        <w:rPr>
          <w:rFonts w:ascii="한양신명조" w:eastAsia="한양신명조" w:hAnsi="한양신명조"/>
          <w:sz w:val="22"/>
        </w:rPr>
        <w:t xml:space="preserve"> manufacturing company, production country, date of manufacture</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②</w:t>
      </w:r>
      <w:r w:rsidRPr="000E1618">
        <w:rPr>
          <w:rFonts w:ascii="한양신명조" w:eastAsia="한양신명조" w:hAnsi="한양신명조"/>
          <w:sz w:val="22"/>
        </w:rPr>
        <w:t xml:space="preserve"> people finder, device type, device number (or production number)</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③</w:t>
      </w:r>
      <w:r w:rsidRPr="000E1618">
        <w:rPr>
          <w:rFonts w:ascii="한양신명조" w:eastAsia="한양신명조" w:hAnsi="한양신명조"/>
          <w:sz w:val="22"/>
        </w:rPr>
        <w:t xml:space="preserve"> measuring range, ambient temperature range</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④</w:t>
      </w:r>
      <w:r w:rsidRPr="000E1618">
        <w:rPr>
          <w:rFonts w:ascii="한양신명조" w:eastAsia="한양신명조" w:hAnsi="한양신명조"/>
          <w:sz w:val="22"/>
        </w:rPr>
        <w:t xml:space="preserve"> kind of power, voltage (V), frequency (Hz) and power consumption</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(2) For display to be displayed where you can look good in principle.</w:t>
      </w: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sz w:val="22"/>
        </w:rPr>
      </w:pPr>
    </w:p>
    <w:p w:rsidR="000E1618" w:rsidRPr="000E1618" w:rsidRDefault="000E1618" w:rsidP="000E1618">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spacing w:after="60" w:line="432" w:lineRule="auto"/>
        <w:ind w:left="200" w:hanging="200"/>
        <w:rPr>
          <w:rFonts w:ascii="한양신명조" w:eastAsia="한양신명조" w:hAnsi="한양신명조"/>
          <w:b/>
          <w:sz w:val="22"/>
        </w:rPr>
      </w:pPr>
      <w:r w:rsidRPr="000E1618">
        <w:rPr>
          <w:rFonts w:ascii="한양신명조" w:eastAsia="한양신명조" w:hAnsi="한양신명조"/>
          <w:b/>
          <w:sz w:val="22"/>
        </w:rPr>
        <w:t>6. Comprehensive Performance Test</w:t>
      </w:r>
    </w:p>
    <w:p w:rsidR="00796819" w:rsidRDefault="000E1618" w:rsidP="00796819">
      <w:pPr>
        <w:pStyle w:val="a"/>
        <w:spacing w:after="60" w:line="432" w:lineRule="auto"/>
        <w:ind w:left="200" w:hanging="200"/>
        <w:rPr>
          <w:rFonts w:ascii="한양신명조" w:eastAsia="한양신명조" w:hAnsi="한양신명조"/>
          <w:sz w:val="22"/>
        </w:rPr>
      </w:pPr>
      <w:r w:rsidRPr="000E1618">
        <w:rPr>
          <w:rFonts w:ascii="한양신명조" w:eastAsia="한양신명조" w:hAnsi="한양신명조" w:hint="eastAsia"/>
          <w:sz w:val="22"/>
        </w:rPr>
        <w:t> </w:t>
      </w:r>
      <w:r w:rsidRPr="000E1618">
        <w:rPr>
          <w:rFonts w:ascii="한양신명조" w:eastAsia="한양신명조" w:hAnsi="한양신명조"/>
          <w:sz w:val="22"/>
        </w:rPr>
        <w:t>Comprehensive performance test and continuously measuring 168 (seven days) or more should be free to run for 7 days, 5% of the measurement range zero drift, span drift</w:t>
      </w:r>
    </w:p>
    <w:p w:rsidR="00EF1912" w:rsidRPr="000E1618" w:rsidRDefault="000E1618" w:rsidP="00796819">
      <w:pPr>
        <w:pStyle w:val="a"/>
        <w:spacing w:after="60" w:line="432" w:lineRule="auto"/>
        <w:ind w:left="200" w:hanging="200"/>
        <w:rPr>
          <w:rFonts w:ascii="한양신명조" w:eastAsia="한양신명조" w:hAnsi="한양신명조"/>
          <w:sz w:val="22"/>
        </w:rPr>
      </w:pPr>
      <w:r w:rsidRPr="000E1618">
        <w:rPr>
          <w:rFonts w:ascii="한양신명조" w:eastAsia="한양신명조" w:hAnsi="한양신명조"/>
          <w:sz w:val="22"/>
        </w:rPr>
        <w:t xml:space="preserve"> measured in the range of seven days shall be less than 5%.</w:t>
      </w:r>
    </w:p>
    <w:sectPr w:rsidR="00EF1912" w:rsidRPr="000E1618" w:rsidSect="00796819">
      <w:endnotePr>
        <w:numFmt w:val="decimal"/>
      </w:endnotePr>
      <w:pgSz w:w="11906" w:h="16838"/>
      <w:pgMar w:top="1984" w:right="1558" w:bottom="1701" w:left="1701" w:header="1134" w:footer="850" w:gutter="0"/>
      <w:cols w:space="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함초롬바탕">
    <w:altName w:val="MS PMincho"/>
    <w:panose1 w:val="00000000000000000000"/>
    <w:charset w:val="80"/>
    <w:family w:val="roman"/>
    <w:notTrueType/>
    <w:pitch w:val="default"/>
    <w:sig w:usb0="00000000" w:usb1="00000000" w:usb2="00000000" w:usb3="00000000" w:csb0="00000000" w:csb1="00000000"/>
  </w:font>
  <w:font w:name="함초롬돋움">
    <w:panose1 w:val="00000000000000000000"/>
    <w:charset w:val="80"/>
    <w:family w:val="roman"/>
    <w:notTrueType/>
    <w:pitch w:val="default"/>
    <w:sig w:usb0="00000000" w:usb1="00000000" w:usb2="00000000" w:usb3="00000000" w:csb0="00000000" w:csb1="00000000"/>
  </w:font>
  <w:font w:name="한양신명조">
    <w:altName w:val="MS PMincho"/>
    <w:panose1 w:val="00000000000000000000"/>
    <w:charset w:val="80"/>
    <w:family w:val="roman"/>
    <w:notTrueType/>
    <w:pitch w:val="default"/>
    <w:sig w:usb0="00000000" w:usb1="00000000" w:usb2="00000000" w:usb3="00000000" w:csb0="00000000" w:csb1="00000000"/>
  </w:font>
  <w:font w:name="GulimChe">
    <w:panose1 w:val="020B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8405B"/>
    <w:multiLevelType w:val="multilevel"/>
    <w:tmpl w:val="2FEE0694"/>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nsid w:val="324077D7"/>
    <w:multiLevelType w:val="multilevel"/>
    <w:tmpl w:val="9D8C9EB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2">
    <w:nsid w:val="60975E1B"/>
    <w:multiLevelType w:val="multilevel"/>
    <w:tmpl w:val="DD5CCDE2"/>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
    <w:nsid w:val="627205A8"/>
    <w:multiLevelType w:val="multilevel"/>
    <w:tmpl w:val="44D040B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nsid w:val="6CE320F0"/>
    <w:multiLevelType w:val="multilevel"/>
    <w:tmpl w:val="241462BA"/>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nsid w:val="74733B76"/>
    <w:multiLevelType w:val="multilevel"/>
    <w:tmpl w:val="A7607AD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6">
    <w:nsid w:val="7E9E53A5"/>
    <w:multiLevelType w:val="multilevel"/>
    <w:tmpl w:val="55C863E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num w:numId="1">
    <w:abstractNumId w:val="4"/>
  </w:num>
  <w:num w:numId="2">
    <w:abstractNumId w:val="0"/>
  </w:num>
  <w:num w:numId="3">
    <w:abstractNumId w:val="2"/>
  </w:num>
  <w:num w:numId="4">
    <w:abstractNumId w:val="5"/>
  </w:num>
  <w:num w:numId="5">
    <w:abstractNumId w:val="6"/>
  </w:num>
  <w:num w:numId="6">
    <w:abstractNumId w:val="3"/>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bordersDoNotSurroundHeader/>
  <w:bordersDoNotSurroundFooter/>
  <w:stylePaneFormatFilter w:val="0001"/>
  <w:defaultTabStop w:val="800"/>
  <w:characterSpacingControl w:val="doNotCompress"/>
  <w:savePreviewPicture/>
  <w:endnotePr>
    <w:numFmt w:val="decimal"/>
  </w:endnotePr>
  <w:compat>
    <w:spaceForUL/>
    <w:balanceSingleByteDoubleByteWidth/>
    <w:doNotLeaveBackslashAlone/>
    <w:ulTrailSpace/>
    <w:doNotExpandShiftReturn/>
    <w:adjustLineHeightInTable/>
    <w:useFELayout/>
  </w:compat>
  <w:rsids>
    <w:rsidRoot w:val="00EF1912"/>
    <w:rsid w:val="000E1618"/>
    <w:rsid w:val="00796819"/>
    <w:rsid w:val="00EF19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rsid w:val="00EF1912"/>
    <w:pPr>
      <w:widowControl w:val="0"/>
      <w:wordWrap w:val="0"/>
      <w:autoSpaceDE w:val="0"/>
      <w:autoSpaceDN w:val="0"/>
      <w:spacing w:after="0" w:line="384" w:lineRule="auto"/>
      <w:jc w:val="both"/>
      <w:textAlignment w:val="baseline"/>
    </w:pPr>
    <w:rPr>
      <w:rFonts w:ascii="함초롬바탕" w:eastAsia="함초롬바탕" w:hAnsi="함초롬바탕"/>
      <w:color w:val="000000"/>
      <w:sz w:val="20"/>
      <w:shd w:val="clear" w:color="000000" w:fill="FFFFFF"/>
    </w:rPr>
  </w:style>
  <w:style w:type="paragraph" w:customStyle="1" w:styleId="a0">
    <w:name w:val="본문"/>
    <w:uiPriority w:val="1"/>
    <w:rsid w:val="00EF1912"/>
    <w:pPr>
      <w:widowControl w:val="0"/>
      <w:wordWrap w:val="0"/>
      <w:autoSpaceDE w:val="0"/>
      <w:autoSpaceDN w:val="0"/>
      <w:snapToGrid w:val="0"/>
      <w:spacing w:after="0" w:line="384" w:lineRule="auto"/>
      <w:ind w:left="300"/>
      <w:jc w:val="both"/>
      <w:textAlignment w:val="baseline"/>
    </w:pPr>
    <w:rPr>
      <w:rFonts w:ascii="함초롬바탕" w:eastAsia="함초롬바탕" w:hAnsi="함초롬바탕"/>
      <w:color w:val="000000"/>
      <w:sz w:val="20"/>
      <w:shd w:val="clear" w:color="000000" w:fill="FFFFFF"/>
    </w:rPr>
  </w:style>
  <w:style w:type="paragraph" w:customStyle="1" w:styleId="1">
    <w:name w:val="개요 1"/>
    <w:uiPriority w:val="2"/>
    <w:rsid w:val="00EF1912"/>
    <w:pPr>
      <w:widowControl w:val="0"/>
      <w:numPr>
        <w:numId w:val="1"/>
      </w:numPr>
      <w:wordWrap w:val="0"/>
      <w:autoSpaceDE w:val="0"/>
      <w:autoSpaceDN w:val="0"/>
      <w:snapToGrid w:val="0"/>
      <w:spacing w:after="0" w:line="384" w:lineRule="auto"/>
      <w:ind w:left="200"/>
      <w:jc w:val="both"/>
      <w:textAlignment w:val="baseline"/>
      <w:outlineLvl w:val="0"/>
    </w:pPr>
    <w:rPr>
      <w:rFonts w:ascii="함초롬바탕" w:eastAsia="함초롬바탕" w:hAnsi="함초롬바탕"/>
      <w:color w:val="000000"/>
      <w:sz w:val="20"/>
      <w:shd w:val="clear" w:color="000000" w:fill="FFFFFF"/>
    </w:rPr>
  </w:style>
  <w:style w:type="paragraph" w:customStyle="1" w:styleId="2">
    <w:name w:val="개요 2"/>
    <w:uiPriority w:val="3"/>
    <w:rsid w:val="00EF1912"/>
    <w:pPr>
      <w:widowControl w:val="0"/>
      <w:numPr>
        <w:ilvl w:val="1"/>
        <w:numId w:val="2"/>
      </w:numPr>
      <w:wordWrap w:val="0"/>
      <w:autoSpaceDE w:val="0"/>
      <w:autoSpaceDN w:val="0"/>
      <w:snapToGrid w:val="0"/>
      <w:spacing w:after="0" w:line="384" w:lineRule="auto"/>
      <w:ind w:left="400"/>
      <w:jc w:val="both"/>
      <w:textAlignment w:val="baseline"/>
      <w:outlineLvl w:val="1"/>
    </w:pPr>
    <w:rPr>
      <w:rFonts w:ascii="함초롬바탕" w:eastAsia="함초롬바탕" w:hAnsi="함초롬바탕"/>
      <w:color w:val="000000"/>
      <w:sz w:val="20"/>
      <w:shd w:val="clear" w:color="000000" w:fill="FFFFFF"/>
    </w:rPr>
  </w:style>
  <w:style w:type="paragraph" w:customStyle="1" w:styleId="3">
    <w:name w:val="개요 3"/>
    <w:uiPriority w:val="4"/>
    <w:rsid w:val="00EF1912"/>
    <w:pPr>
      <w:widowControl w:val="0"/>
      <w:numPr>
        <w:ilvl w:val="2"/>
        <w:numId w:val="3"/>
      </w:numPr>
      <w:wordWrap w:val="0"/>
      <w:autoSpaceDE w:val="0"/>
      <w:autoSpaceDN w:val="0"/>
      <w:snapToGrid w:val="0"/>
      <w:spacing w:after="0" w:line="384" w:lineRule="auto"/>
      <w:ind w:left="600"/>
      <w:jc w:val="both"/>
      <w:textAlignment w:val="baseline"/>
      <w:outlineLvl w:val="2"/>
    </w:pPr>
    <w:rPr>
      <w:rFonts w:ascii="함초롬바탕" w:eastAsia="함초롬바탕" w:hAnsi="함초롬바탕"/>
      <w:color w:val="000000"/>
      <w:sz w:val="20"/>
      <w:shd w:val="clear" w:color="000000" w:fill="FFFFFF"/>
    </w:rPr>
  </w:style>
  <w:style w:type="paragraph" w:customStyle="1" w:styleId="4">
    <w:name w:val="개요 4"/>
    <w:uiPriority w:val="5"/>
    <w:rsid w:val="00EF1912"/>
    <w:pPr>
      <w:widowControl w:val="0"/>
      <w:numPr>
        <w:ilvl w:val="3"/>
        <w:numId w:val="4"/>
      </w:numPr>
      <w:wordWrap w:val="0"/>
      <w:autoSpaceDE w:val="0"/>
      <w:autoSpaceDN w:val="0"/>
      <w:snapToGrid w:val="0"/>
      <w:spacing w:after="0" w:line="384" w:lineRule="auto"/>
      <w:ind w:left="800"/>
      <w:jc w:val="both"/>
      <w:textAlignment w:val="baseline"/>
      <w:outlineLvl w:val="3"/>
    </w:pPr>
    <w:rPr>
      <w:rFonts w:ascii="함초롬바탕" w:eastAsia="함초롬바탕" w:hAnsi="함초롬바탕"/>
      <w:color w:val="000000"/>
      <w:sz w:val="20"/>
      <w:shd w:val="clear" w:color="000000" w:fill="FFFFFF"/>
    </w:rPr>
  </w:style>
  <w:style w:type="paragraph" w:customStyle="1" w:styleId="5">
    <w:name w:val="개요 5"/>
    <w:uiPriority w:val="6"/>
    <w:rsid w:val="00EF1912"/>
    <w:pPr>
      <w:widowControl w:val="0"/>
      <w:numPr>
        <w:ilvl w:val="4"/>
        <w:numId w:val="5"/>
      </w:numPr>
      <w:wordWrap w:val="0"/>
      <w:autoSpaceDE w:val="0"/>
      <w:autoSpaceDN w:val="0"/>
      <w:snapToGrid w:val="0"/>
      <w:spacing w:after="0" w:line="384" w:lineRule="auto"/>
      <w:ind w:left="1000"/>
      <w:jc w:val="both"/>
      <w:textAlignment w:val="baseline"/>
      <w:outlineLvl w:val="4"/>
    </w:pPr>
    <w:rPr>
      <w:rFonts w:ascii="함초롬바탕" w:eastAsia="함초롬바탕" w:hAnsi="함초롬바탕"/>
      <w:color w:val="000000"/>
      <w:sz w:val="20"/>
      <w:shd w:val="clear" w:color="000000" w:fill="FFFFFF"/>
    </w:rPr>
  </w:style>
  <w:style w:type="paragraph" w:customStyle="1" w:styleId="6">
    <w:name w:val="개요 6"/>
    <w:uiPriority w:val="7"/>
    <w:rsid w:val="00EF1912"/>
    <w:pPr>
      <w:widowControl w:val="0"/>
      <w:numPr>
        <w:ilvl w:val="5"/>
        <w:numId w:val="6"/>
      </w:numPr>
      <w:wordWrap w:val="0"/>
      <w:autoSpaceDE w:val="0"/>
      <w:autoSpaceDN w:val="0"/>
      <w:snapToGrid w:val="0"/>
      <w:spacing w:after="0" w:line="384" w:lineRule="auto"/>
      <w:ind w:left="1200"/>
      <w:jc w:val="both"/>
      <w:textAlignment w:val="baseline"/>
      <w:outlineLvl w:val="5"/>
    </w:pPr>
    <w:rPr>
      <w:rFonts w:ascii="함초롬바탕" w:eastAsia="함초롬바탕" w:hAnsi="함초롬바탕"/>
      <w:color w:val="000000"/>
      <w:sz w:val="20"/>
      <w:shd w:val="clear" w:color="000000" w:fill="FFFFFF"/>
    </w:rPr>
  </w:style>
  <w:style w:type="paragraph" w:customStyle="1" w:styleId="7">
    <w:name w:val="개요 7"/>
    <w:uiPriority w:val="8"/>
    <w:rsid w:val="00EF1912"/>
    <w:pPr>
      <w:widowControl w:val="0"/>
      <w:numPr>
        <w:ilvl w:val="6"/>
        <w:numId w:val="7"/>
      </w:numPr>
      <w:wordWrap w:val="0"/>
      <w:autoSpaceDE w:val="0"/>
      <w:autoSpaceDN w:val="0"/>
      <w:snapToGrid w:val="0"/>
      <w:spacing w:after="0" w:line="384" w:lineRule="auto"/>
      <w:ind w:left="1400"/>
      <w:jc w:val="both"/>
      <w:textAlignment w:val="baseline"/>
      <w:outlineLvl w:val="6"/>
    </w:pPr>
    <w:rPr>
      <w:rFonts w:ascii="함초롬바탕" w:eastAsia="함초롬바탕" w:hAnsi="함초롬바탕"/>
      <w:color w:val="000000"/>
      <w:sz w:val="20"/>
      <w:shd w:val="clear" w:color="000000" w:fill="FFFFFF"/>
    </w:rPr>
  </w:style>
  <w:style w:type="paragraph" w:customStyle="1" w:styleId="a1">
    <w:name w:val="쪽 번호"/>
    <w:uiPriority w:val="9"/>
    <w:rsid w:val="00EF1912"/>
    <w:pPr>
      <w:widowControl w:val="0"/>
      <w:wordWrap w:val="0"/>
      <w:autoSpaceDE w:val="0"/>
      <w:autoSpaceDN w:val="0"/>
      <w:snapToGrid w:val="0"/>
      <w:spacing w:after="0" w:line="384" w:lineRule="auto"/>
      <w:jc w:val="both"/>
      <w:textAlignment w:val="baseline"/>
    </w:pPr>
    <w:rPr>
      <w:rFonts w:ascii="함초롬돋움" w:eastAsia="함초롬돋움" w:hAnsi="함초롬돋움"/>
      <w:color w:val="000000"/>
      <w:sz w:val="20"/>
      <w:shd w:val="clear" w:color="000000" w:fill="FFFFFF"/>
    </w:rPr>
  </w:style>
  <w:style w:type="paragraph" w:customStyle="1" w:styleId="a2">
    <w:name w:val="머리말"/>
    <w:uiPriority w:val="10"/>
    <w:rsid w:val="00EF1912"/>
    <w:pPr>
      <w:widowControl w:val="0"/>
      <w:autoSpaceDE w:val="0"/>
      <w:autoSpaceDN w:val="0"/>
      <w:snapToGrid w:val="0"/>
      <w:spacing w:after="0" w:line="360" w:lineRule="auto"/>
      <w:jc w:val="both"/>
      <w:textAlignment w:val="baseline"/>
    </w:pPr>
    <w:rPr>
      <w:rFonts w:ascii="함초롬돋움" w:eastAsia="함초롬돋움" w:hAnsi="함초롬돋움"/>
      <w:color w:val="000000"/>
      <w:sz w:val="18"/>
      <w:shd w:val="clear" w:color="000000" w:fill="FFFFFF"/>
    </w:rPr>
  </w:style>
  <w:style w:type="paragraph" w:customStyle="1" w:styleId="a3">
    <w:name w:val="각주"/>
    <w:uiPriority w:val="11"/>
    <w:rsid w:val="00EF1912"/>
    <w:pPr>
      <w:widowControl w:val="0"/>
      <w:wordWrap w:val="0"/>
      <w:autoSpaceDE w:val="0"/>
      <w:autoSpaceDN w:val="0"/>
      <w:snapToGrid w:val="0"/>
      <w:spacing w:after="0" w:line="312" w:lineRule="auto"/>
      <w:ind w:left="262" w:hanging="262"/>
      <w:jc w:val="both"/>
      <w:textAlignment w:val="baseline"/>
    </w:pPr>
    <w:rPr>
      <w:rFonts w:ascii="함초롬바탕" w:eastAsia="함초롬바탕" w:hAnsi="함초롬바탕"/>
      <w:color w:val="000000"/>
      <w:sz w:val="18"/>
      <w:shd w:val="clear" w:color="000000" w:fill="FFFFFF"/>
    </w:rPr>
  </w:style>
  <w:style w:type="paragraph" w:customStyle="1" w:styleId="a4">
    <w:name w:val="미주"/>
    <w:uiPriority w:val="12"/>
    <w:rsid w:val="00EF1912"/>
    <w:pPr>
      <w:widowControl w:val="0"/>
      <w:wordWrap w:val="0"/>
      <w:autoSpaceDE w:val="0"/>
      <w:autoSpaceDN w:val="0"/>
      <w:snapToGrid w:val="0"/>
      <w:spacing w:after="0" w:line="312" w:lineRule="auto"/>
      <w:ind w:left="262" w:hanging="262"/>
      <w:jc w:val="both"/>
      <w:textAlignment w:val="baseline"/>
    </w:pPr>
    <w:rPr>
      <w:rFonts w:ascii="함초롬바탕" w:eastAsia="함초롬바탕" w:hAnsi="함초롬바탕"/>
      <w:color w:val="000000"/>
      <w:sz w:val="18"/>
      <w:shd w:val="clear" w:color="000000" w:fill="FFFFFF"/>
    </w:rPr>
  </w:style>
  <w:style w:type="paragraph" w:customStyle="1" w:styleId="a5">
    <w:name w:val="메모"/>
    <w:uiPriority w:val="13"/>
    <w:rsid w:val="00EF1912"/>
    <w:pPr>
      <w:widowControl w:val="0"/>
      <w:wordWrap w:val="0"/>
      <w:autoSpaceDE w:val="0"/>
      <w:autoSpaceDN w:val="0"/>
      <w:spacing w:after="0" w:line="312" w:lineRule="auto"/>
      <w:jc w:val="both"/>
      <w:textAlignment w:val="baseline"/>
    </w:pPr>
    <w:rPr>
      <w:rFonts w:ascii="함초롬돋움" w:eastAsia="함초롬돋움" w:hAnsi="함초롬돋움"/>
      <w:color w:val="000000"/>
      <w:spacing w:val="-4"/>
      <w:sz w:val="18"/>
      <w:shd w:val="clear" w:color="000000" w:fill="FFFFFF"/>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1332</Words>
  <Characters>7599</Characters>
  <Application>Microsoft Office Word</Application>
  <DocSecurity>0</DocSecurity>
  <Lines>63</Lines>
  <Paragraphs>17</Paragraphs>
  <ScaleCrop>false</ScaleCrop>
  <Company/>
  <LinksUpToDate>false</LinksUpToDate>
  <CharactersWithSpaces>8914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IBM</dc:creator>
  <cp:lastModifiedBy>ADMIN</cp:lastModifiedBy>
  <cp:revision>3</cp:revision>
  <dcterms:created xsi:type="dcterms:W3CDTF">2013-05-27T07:45:00Z</dcterms:created>
  <dcterms:modified xsi:type="dcterms:W3CDTF">2013-05-27T10:00:00Z</dcterms:modified>
</cp:coreProperties>
</file>