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22"/>
          <w:szCs w:val="22"/>
        </w:rPr>
        <w:t xml:space="preserve">VIỆN KIỂM ĐỊNH CÔNG NGHỆ VÀ MÔI TRƯỜNG (ETV)</w:t>
      </w:r>
    </w:p>
    <w:p>
      <w:pPr>
        <w:spacing w:after="60" w:before="0"/>
        <w:jc w:val="center"/>
      </w:pPr>
      <w:r>
        <w:rPr>
          <w:rFonts w:ascii="Arial" w:cs="Arial" w:eastAsia="Arial" w:hAnsi="Arial"/>
          <w:color w:val="555555"/>
          <w:sz w:val="20"/>
          <w:szCs w:val="20"/>
        </w:rPr>
        <w:t xml:space="preserve">Phần mềm quản lý phòng thí nghiệm ManLab</w:t>
      </w:r>
    </w:p>
    <w:p>
      <w:pPr>
        <w:spacing w:after="60" w:before="60"/>
      </w:pPr>
      <w:r>
        <w:t xml:space="preserve"/>
      </w:r>
    </w:p>
    <w:p>
      <w:pPr>
        <w:pBdr>
          <w:bottom w:val="single" w:color="1F3864" w:sz="12" w:space="1"/>
        </w:pBdr>
        <w:spacing w:after="120" w:before="120"/>
        <w:jc w:val="center"/>
      </w:pPr>
      <w:r>
        <w:rPr>
          <w:rFonts w:ascii="Arial" w:cs="Arial" w:eastAsia="Arial" w:hAnsi="Arial"/>
          <w:b/>
          <w:bCs/>
          <w:color w:val="1F3864"/>
          <w:sz w:val="36"/>
          <w:szCs w:val="36"/>
        </w:rPr>
        <w:t xml:space="preserve">ĐẶC TẢ MODULE P21 – V6</w:t>
      </w:r>
    </w:p>
    <w:p>
      <w:pPr>
        <w:spacing w:after="200" w:before="60"/>
        <w:jc w:val="center"/>
      </w:pPr>
      <w:r>
        <w:rPr>
          <w:rFonts w:ascii="Arial" w:cs="Arial" w:eastAsia="Arial" w:hAnsi="Arial"/>
          <w:color w:val="2E5FA3"/>
          <w:sz w:val="22"/>
          <w:szCs w:val="22"/>
        </w:rPr>
        <w:t xml:space="preserve">Công bố, Điều chỉnh, Hủy bỏ Công bố / Thông báo Năng lực Đo lường và Quan trắc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20"/>
                <w:szCs w:val="20"/>
              </w:rPr>
              <w:t xml:space="preserve">Mã tài liệu:</w:t>
            </w:r>
          </w:p>
          <w:p>
            <w:pPr>
              <w:spacing w:after="60" w:before="60"/>
              <w:jc w:val="left"/>
            </w:pPr>
            <w:r>
              <w:rPr>
                <w:rFonts w:ascii="Arial" w:cs="Arial" w:eastAsia="Arial" w:hAnsi="Arial"/>
                <w:b w:val="false"/>
                <w:bCs w:val="false"/>
                <w:color w:val="FFFFFF"/>
                <w:sz w:val="20"/>
                <w:szCs w:val="20"/>
              </w:rPr>
              <w:t xml:space="preserve">ETV.MP21 – Đặc tả module P21</w:t>
            </w:r>
          </w:p>
        </w:tc>
        <w:tc>
          <w:tcPr>
            <w:tcW w:type="dxa" w:w="4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20"/>
                <w:szCs w:val="20"/>
              </w:rPr>
              <w:t xml:space="preserve">Phiên bản / Ngày:</w:t>
            </w:r>
          </w:p>
          <w:p>
            <w:pPr>
              <w:spacing w:after="60" w:before="60"/>
              <w:jc w:val="left"/>
            </w:pPr>
            <w:r>
              <w:rPr>
                <w:rFonts w:ascii="Arial" w:cs="Arial" w:eastAsia="Arial" w:hAnsi="Arial"/>
                <w:b w:val="false"/>
                <w:bCs w:val="false"/>
                <w:color w:val="FFFFFF"/>
                <w:sz w:val="20"/>
                <w:szCs w:val="20"/>
              </w:rPr>
              <w:t xml:space="preserve">V6 – 27/06/2026</w:t>
            </w:r>
          </w:p>
        </w:tc>
      </w:tr>
      <w:tr>
        <w:tc>
          <w:tcPr>
            <w:tcW w:type="dxa" w:w="4513"/>
            <w:tcBorders>
              <w:top w:val="single" w:color="AAAAAA" w:sz="6"/>
              <w:left w:val="single" w:color="AAAAAA" w:sz="6"/>
              <w:bottom w:val="single" w:color="AAAAAA" w:sz="6"/>
              <w:right w:val="single" w:color="AAAAAA" w:sz="6"/>
            </w:tcBorders>
            <w:tcMar>
              <w:top w:type="dxa" w:w="80"/>
              <w:left w:type="dxa" w:w="120"/>
              <w:bottom w:type="dxa" w:w="80"/>
              <w:right w:type="dxa" w:w="120"/>
            </w:tcMar>
          </w:tcPr>
          <w:p>
            <w:pPr>
              <w:spacing w:after="60" w:before="60"/>
              <w:jc w:val="left"/>
            </w:pPr>
            <w:r>
              <w:rPr>
                <w:rFonts w:ascii="Arial" w:cs="Arial" w:eastAsia="Arial" w:hAnsi="Arial"/>
                <w:b/>
                <w:bCs/>
                <w:color w:val="000000"/>
                <w:sz w:val="20"/>
                <w:szCs w:val="20"/>
              </w:rPr>
              <w:t xml:space="preserve">Thủ tục gắn kết:</w:t>
            </w:r>
          </w:p>
          <w:p>
            <w:pPr>
              <w:spacing w:after="60" w:before="60"/>
              <w:jc w:val="left"/>
            </w:pPr>
            <w:r>
              <w:rPr>
                <w:rFonts w:ascii="Arial" w:cs="Arial" w:eastAsia="Arial" w:hAnsi="Arial"/>
                <w:b w:val="false"/>
                <w:bCs w:val="false"/>
                <w:color w:val="000000"/>
                <w:sz w:val="20"/>
                <w:szCs w:val="20"/>
              </w:rPr>
              <w:t xml:space="preserve">ETV.MP 21 – Lần ban hành 02</w:t>
            </w:r>
          </w:p>
        </w:tc>
        <w:tc>
          <w:tcPr>
            <w:tcW w:type="dxa" w:w="4513"/>
            <w:tcBorders>
              <w:top w:val="single" w:color="AAAAAA" w:sz="6"/>
              <w:left w:val="single" w:color="AAAAAA" w:sz="6"/>
              <w:bottom w:val="single" w:color="AAAAAA" w:sz="6"/>
              <w:right w:val="single" w:color="AAAAAA" w:sz="6"/>
            </w:tcBorders>
            <w:tcMar>
              <w:top w:type="dxa" w:w="80"/>
              <w:left w:type="dxa" w:w="120"/>
              <w:bottom w:type="dxa" w:w="80"/>
              <w:right w:type="dxa" w:w="120"/>
            </w:tcMar>
          </w:tcPr>
          <w:p>
            <w:pPr>
              <w:spacing w:after="60" w:before="60"/>
              <w:jc w:val="left"/>
            </w:pPr>
            <w:r>
              <w:rPr>
                <w:rFonts w:ascii="Arial" w:cs="Arial" w:eastAsia="Arial" w:hAnsi="Arial"/>
                <w:b/>
                <w:bCs/>
                <w:color w:val="000000"/>
                <w:sz w:val="20"/>
                <w:szCs w:val="20"/>
              </w:rPr>
              <w:t xml:space="preserve">Căn cứ pháp lý:</w:t>
            </w:r>
          </w:p>
          <w:p>
            <w:pPr>
              <w:spacing w:after="60" w:before="60"/>
              <w:jc w:val="left"/>
            </w:pPr>
            <w:r>
              <w:rPr>
                <w:rFonts w:ascii="Arial" w:cs="Arial" w:eastAsia="Arial" w:hAnsi="Arial"/>
                <w:b w:val="false"/>
                <w:bCs w:val="false"/>
                <w:color w:val="000000"/>
                <w:sz w:val="20"/>
                <w:szCs w:val="20"/>
              </w:rPr>
              <w:t xml:space="preserve">NQ 66.18, NQ 66.19 / 2026 / NQ-CP; ISO/IEC 17025:2017</w:t>
            </w:r>
          </w:p>
        </w:tc>
      </w:tr>
      <w:tr>
        <w:tc>
          <w:tcPr>
            <w:tcW w:type="dxa" w:w="4513"/>
            <w:tcBorders>
              <w:top w:val="single" w:color="AAAAAA" w:sz="6"/>
              <w:left w:val="single" w:color="AAAAAA" w:sz="6"/>
              <w:bottom w:val="single" w:color="AAAAAA" w:sz="6"/>
              <w:right w:val="single" w:color="AAAAAA" w:sz="6"/>
            </w:tcBorders>
            <w:tcMar>
              <w:top w:type="dxa" w:w="80"/>
              <w:left w:type="dxa" w:w="120"/>
              <w:bottom w:type="dxa" w:w="80"/>
              <w:right w:type="dxa" w:w="120"/>
            </w:tcMar>
          </w:tcPr>
          <w:p>
            <w:pPr>
              <w:spacing w:after="60" w:before="60"/>
              <w:jc w:val="left"/>
            </w:pPr>
            <w:r>
              <w:rPr>
                <w:rFonts w:ascii="Arial" w:cs="Arial" w:eastAsia="Arial" w:hAnsi="Arial"/>
                <w:b/>
                <w:bCs/>
                <w:color w:val="000000"/>
                <w:sz w:val="20"/>
                <w:szCs w:val="20"/>
              </w:rPr>
              <w:t xml:space="preserve">Đối tượng đọc:</w:t>
            </w:r>
          </w:p>
          <w:p>
            <w:pPr>
              <w:spacing w:after="60" w:before="60"/>
              <w:jc w:val="left"/>
            </w:pPr>
            <w:r>
              <w:rPr>
                <w:rFonts w:ascii="Arial" w:cs="Arial" w:eastAsia="Arial" w:hAnsi="Arial"/>
                <w:b w:val="false"/>
                <w:bCs w:val="false"/>
                <w:color w:val="000000"/>
                <w:sz w:val="20"/>
                <w:szCs w:val="20"/>
              </w:rPr>
              <w:t xml:space="preserve">Đội phát triển ManLab, quản trị hệ thống, nghiệp vụ ETV</w:t>
            </w:r>
          </w:p>
        </w:tc>
        <w:tc>
          <w:tcPr>
            <w:tcW w:type="dxa" w:w="4513"/>
            <w:tcBorders>
              <w:top w:val="single" w:color="AAAAAA" w:sz="6"/>
              <w:left w:val="single" w:color="AAAAAA" w:sz="6"/>
              <w:bottom w:val="single" w:color="AAAAAA" w:sz="6"/>
              <w:right w:val="single" w:color="AAAAAA" w:sz="6"/>
            </w:tcBorders>
            <w:tcMar>
              <w:top w:type="dxa" w:w="80"/>
              <w:left w:type="dxa" w:w="120"/>
              <w:bottom w:type="dxa" w:w="80"/>
              <w:right w:type="dxa" w:w="120"/>
            </w:tcMar>
          </w:tcPr>
          <w:p>
            <w:pPr>
              <w:spacing w:after="60" w:before="60"/>
              <w:jc w:val="left"/>
            </w:pPr>
            <w:r>
              <w:rPr>
                <w:rFonts w:ascii="Arial" w:cs="Arial" w:eastAsia="Arial" w:hAnsi="Arial"/>
                <w:b/>
                <w:bCs/>
                <w:color w:val="000000"/>
                <w:sz w:val="20"/>
                <w:szCs w:val="20"/>
              </w:rPr>
              <w:t xml:space="preserve">Hiệu lực:</w:t>
            </w:r>
          </w:p>
          <w:p>
            <w:pPr>
              <w:spacing w:after="60" w:before="60"/>
              <w:jc w:val="left"/>
            </w:pPr>
            <w:r>
              <w:rPr>
                <w:rFonts w:ascii="Arial" w:cs="Arial" w:eastAsia="Arial" w:hAnsi="Arial"/>
                <w:b w:val="false"/>
                <w:bCs w:val="false"/>
                <w:color w:val="000000"/>
                <w:sz w:val="20"/>
                <w:szCs w:val="20"/>
              </w:rPr>
              <w:t xml:space="preserve">Cơ chế tự công bố/thông báo áp dụng đến 28/02/2027</w:t>
            </w:r>
          </w:p>
        </w:tc>
      </w:tr>
    </w:tbl>
    <w:p>
      <w:pPr>
        <w:spacing w:after="60" w:before="60"/>
      </w:pPr>
      <w:r>
        <w:t xml:space="preserve"/>
      </w:r>
    </w:p>
    <w:p>
      <w:pPr>
        <w:spacing w:after="60" w:before="60"/>
        <w:jc w:val="left"/>
      </w:pPr>
      <w:r>
        <w:rPr>
          <w:rFonts w:ascii="Arial" w:cs="Arial" w:eastAsia="Arial" w:hAnsi="Arial"/>
          <w:b/>
          <w:bCs/>
          <w:color w:val="1F3864"/>
          <w:sz w:val="22"/>
          <w:szCs w:val="22"/>
        </w:rPr>
        <w:t xml:space="preserve">LỊCH SỬ PHIÊN BẢN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000"/>
        <w:gridCol w:w="2226"/>
      </w:tblGrid>
      <w:t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Phiên bản</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w:t>
            </w:r>
          </w:p>
        </w:tc>
        <w:tc>
          <w:tcPr>
            <w:tcW w:type="dxa" w:w="4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thay đổi chính</w:t>
            </w:r>
          </w:p>
        </w:tc>
        <w:tc>
          <w:tcPr>
            <w:tcW w:type="dxa" w:w="22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soạn / phê duyệt</w:t>
            </w:r>
          </w:p>
        </w:tc>
      </w:tr>
      <w:tr>
        <w:tc>
          <w:tcPr>
            <w:tcW w:type="dxa" w:w="13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V1</w:t>
            </w:r>
          </w:p>
        </w:tc>
        <w:tc>
          <w:tcPr>
            <w:tcW w:type="dxa" w:w="1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26/05/2026</w:t>
            </w:r>
          </w:p>
        </w:tc>
        <w:tc>
          <w:tcPr>
            <w:tcW w:type="dxa" w:w="4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Đặc tả lần đầu theo NQ 66.18, NQ 66.19</w:t>
            </w:r>
          </w:p>
        </w:tc>
        <w:tc>
          <w:tcPr>
            <w:tcW w:type="dxa" w:w="2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Trần Thị Hoa / N.H.Giang</w:t>
            </w:r>
          </w:p>
        </w:tc>
      </w:tr>
      <w:tr>
        <w:tc>
          <w:tcPr>
            <w:tcW w:type="dxa" w:w="13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V2</w:t>
            </w:r>
          </w:p>
        </w:tc>
        <w:tc>
          <w:tcPr>
            <w:tcW w:type="dxa" w:w="1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15/06/2026</w:t>
            </w:r>
          </w:p>
        </w:tc>
        <w:tc>
          <w:tcPr>
            <w:tcW w:type="dxa" w:w="4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Bổ sung kiến trúc 3 lớp trạng thái, business rules, mô hình dữ liệu</w:t>
            </w:r>
          </w:p>
        </w:tc>
        <w:tc>
          <w:tcPr>
            <w:tcW w:type="dxa" w:w="2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T.T.Hoa / N.H.Giang</w:t>
            </w:r>
          </w:p>
        </w:tc>
      </w:tr>
      <w:tr>
        <w:tc>
          <w:tcPr>
            <w:tcW w:type="dxa" w:w="13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V3</w:t>
            </w:r>
          </w:p>
        </w:tc>
        <w:tc>
          <w:tcPr>
            <w:tcW w:type="dxa" w:w="1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26/06/2026</w:t>
            </w:r>
          </w:p>
        </w:tc>
        <w:tc>
          <w:tcPr>
            <w:tcW w:type="dxa" w:w="4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Làm rõ ánh xạ menu–trạng thái, bổ sung cơ quan tiếp nhận, thời hạn, loại bỏ DCC/DMC chưa triển khai</w:t>
            </w:r>
          </w:p>
        </w:tc>
        <w:tc>
          <w:tcPr>
            <w:tcW w:type="dxa" w:w="2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T.T.Hoa / N.H.Giang</w:t>
            </w:r>
          </w:p>
        </w:tc>
      </w:tr>
      <w:tr>
        <w:tc>
          <w:tcPr>
            <w:tcW w:type="dxa" w:w="13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V4</w:t>
            </w:r>
          </w:p>
        </w:tc>
        <w:tc>
          <w:tcPr>
            <w:tcW w:type="dxa" w:w="1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26/06/2026</w:t>
            </w:r>
          </w:p>
        </w:tc>
        <w:tc>
          <w:tcPr>
            <w:tcW w:type="dxa" w:w="4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Bổ sung phân quyền 6 nhóm, cấu hình màn hình 9 tab, phụ lục A–C đầy đủ</w:t>
            </w:r>
          </w:p>
        </w:tc>
        <w:tc>
          <w:tcPr>
            <w:tcW w:type="dxa" w:w="2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T.T.Hoa / N.H.Giang</w:t>
            </w:r>
          </w:p>
        </w:tc>
      </w:tr>
      <w:tr>
        <w:tc>
          <w:tcPr>
            <w:tcW w:type="dxa" w:w="13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V5</w:t>
            </w:r>
          </w:p>
        </w:tc>
        <w:tc>
          <w:tcPr>
            <w:tcW w:type="dxa" w:w="1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26/06/2026</w:t>
            </w:r>
          </w:p>
        </w:tc>
        <w:tc>
          <w:tcPr>
            <w:tcW w:type="dxa" w:w="4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Chuẩn hóa luồng chính 8 bước, tích hợp snapshot, cơ chế ghi ngược có kiểm soát, API/QR</w:t>
            </w:r>
          </w:p>
        </w:tc>
        <w:tc>
          <w:tcPr>
            <w:tcW w:type="dxa" w:w="2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T.T.Hoa / N.H.Giang</w:t>
            </w:r>
          </w:p>
        </w:tc>
      </w:tr>
      <w:tr>
        <w:tc>
          <w:tcPr>
            <w:tcW w:type="dxa" w:w="13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V6</w:t>
            </w:r>
          </w:p>
        </w:tc>
        <w:tc>
          <w:tcPr>
            <w:tcW w:type="dxa" w:w="1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27/06/2026</w:t>
            </w:r>
          </w:p>
        </w:tc>
        <w:tc>
          <w:tcPr>
            <w:tcW w:type="dxa" w:w="40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Phiên bản hoàn chỉnh: tích hợp toàn bộ nội dung thủ tục P21 V2 vào đặc tả module; bổ sung mô hình bảng dữ liệu chi tiết, biểu mẫu điện tử F21.01–F21.12, sơ đồ luồng trạng thái, checklist đánh giá 10 nhóm và hướng dẫn cấu hình ManLab</w:t>
            </w:r>
          </w:p>
        </w:tc>
        <w:tc>
          <w:tcPr>
            <w:tcW w:type="dxa" w:w="2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T.T.Hoa / N.H.Giang</w:t>
            </w:r>
          </w:p>
        </w:tc>
      </w:tr>
    </w:tbl>
    <w:p>
      <w:r>
        <w:br w:type="page"/>
      </w:r>
    </w:p>
    <w:p>
      <w:pPr>
        <w:pStyle w:val="Heading1"/>
      </w:pPr>
      <w:r>
        <w:rPr>
          <w:rFonts w:ascii="Arial" w:cs="Arial" w:eastAsia="Arial" w:hAnsi="Arial"/>
          <w:b/>
          <w:bCs/>
          <w:color w:val="1F3864"/>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rial" w:cs="Arial" w:eastAsia="Arial" w:hAnsi="Arial"/>
          <w:b/>
          <w:bCs/>
          <w:color w:val="1F3864"/>
          <w:sz w:val="28"/>
          <w:szCs w:val="28"/>
        </w:rPr>
        <w:t xml:space="preserve">1. MỤC ĐÍCH VÀ PHẠM VI</w:t>
      </w:r>
    </w:p>
    <w:p>
      <w:pPr>
        <w:spacing w:after="60" w:before="60"/>
        <w:jc w:val="left"/>
      </w:pPr>
      <w:r>
        <w:rPr>
          <w:rFonts w:ascii="Arial" w:cs="Arial" w:eastAsia="Arial" w:hAnsi="Arial"/>
          <w:b w:val="false"/>
          <w:bCs w:val="false"/>
          <w:color w:val="000000"/>
          <w:sz w:val="20"/>
          <w:szCs w:val="20"/>
        </w:rPr>
        <w:t xml:space="preserve">Module P21 số hóa toàn bộ Thủ tục ETV.MP 21: lập kế hoạch, đánh giá, công bố, thông báo, công khai, duy trì, điều chỉnh, tạm dừng, khôi phục và hủy bỏ năng lực đo lường và dịch vụ quan trắc môi trường của Viện Kiểm định Công nghệ và Môi trường (ETV).</w:t>
      </w:r>
    </w:p>
    <w:p>
      <w:pPr>
        <w:spacing w:after="60" w:before="60"/>
      </w:pPr>
      <w:r>
        <w:t xml:space="preserve"/>
      </w:r>
    </w:p>
    <w:p>
      <w:pPr>
        <w:spacing w:after="60" w:before="60"/>
        <w:jc w:val="left"/>
      </w:pPr>
      <w:r>
        <w:rPr>
          <w:rFonts w:ascii="Arial" w:cs="Arial" w:eastAsia="Arial" w:hAnsi="Arial"/>
          <w:b/>
          <w:bCs/>
          <w:color w:val="000000"/>
          <w:sz w:val="20"/>
          <w:szCs w:val="20"/>
        </w:rPr>
        <w:t xml:space="preserve">P21 là một menu độc lập trên ManLab với các đặc điểm cốt lõi:</w:t>
      </w:r>
    </w:p>
    <w:p>
      <w:pPr>
        <w:pStyle w:val="ListParagraph"/>
        <w:numPr>
          <w:ilvl w:val="0"/>
          <w:numId w:val="2"/>
        </w:numPr>
        <w:spacing w:after="40" w:before="40"/>
      </w:pPr>
      <w:r>
        <w:rPr>
          <w:rFonts w:ascii="Arial" w:cs="Arial" w:eastAsia="Arial" w:hAnsi="Arial"/>
          <w:sz w:val="20"/>
          <w:szCs w:val="20"/>
        </w:rPr>
        <w:t xml:space="preserve">Chỉ ĐỌC dữ liệu phương tiện đo (PTĐ) từ menu Danh mục PTĐ; không tạo mới và không sửa trạng thái PTĐ.</w:t>
      </w:r>
    </w:p>
    <w:p>
      <w:pPr>
        <w:pStyle w:val="ListParagraph"/>
        <w:numPr>
          <w:ilvl w:val="0"/>
          <w:numId w:val="2"/>
        </w:numPr>
        <w:spacing w:after="40" w:before="40"/>
      </w:pPr>
      <w:r>
        <w:rPr>
          <w:rFonts w:ascii="Arial" w:cs="Arial" w:eastAsia="Arial" w:hAnsi="Arial"/>
          <w:sz w:val="20"/>
          <w:szCs w:val="20"/>
        </w:rPr>
        <w:t xml:space="preserve">Kiểm soát 3 lớp trạng thái độc lập: Hồ sơ, Công bố/Thông báo, PTĐ.</w:t>
      </w:r>
    </w:p>
    <w:p>
      <w:pPr>
        <w:pStyle w:val="ListParagraph"/>
        <w:numPr>
          <w:ilvl w:val="0"/>
          <w:numId w:val="2"/>
        </w:numPr>
        <w:spacing w:after="40" w:before="40"/>
      </w:pPr>
      <w:r>
        <w:rPr>
          <w:rFonts w:ascii="Arial" w:cs="Arial" w:eastAsia="Arial" w:hAnsi="Arial"/>
          <w:sz w:val="20"/>
          <w:szCs w:val="20"/>
        </w:rPr>
        <w:t xml:space="preserve">Cơ chế tự công bố/thông báo theo NQ 66.18 và NQ 66.19, hiệu lực đến 28/02/2027.</w:t>
      </w:r>
    </w:p>
    <w:p>
      <w:pPr>
        <w:pStyle w:val="ListParagraph"/>
        <w:numPr>
          <w:ilvl w:val="0"/>
          <w:numId w:val="2"/>
        </w:numPr>
        <w:spacing w:after="40" w:before="40"/>
      </w:pPr>
      <w:r>
        <w:rPr>
          <w:rFonts w:ascii="Arial" w:cs="Arial" w:eastAsia="Arial" w:hAnsi="Arial"/>
          <w:sz w:val="20"/>
          <w:szCs w:val="20"/>
        </w:rPr>
        <w:t xml:space="preserve">Bảo đảm chu trình khép kín: tạo mới → lập kế hoạch → đánh giá → phê duyệt → công khai → duy trì → điều chỉnh/tạm dừng/hủy bỏ → lưu trữ.</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 năng lực</w:t>
            </w:r>
          </w:p>
        </w:tc>
        <w:tc>
          <w:tcPr>
            <w:tcW w:type="dxa" w:w="70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kiểm soát</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Đo lường</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Kiểm định, hiệu chuẩn, thử nghiệm PTĐ, chuẩn đo lường; phạm vi đo; cấp/độ chính xác; sai số cho phép (MPE); độ không đảm bảo đo (U); quy trình; nhân sự; thiết bị; chuẩn đo lường</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Quan trắc môi trường</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Phạm vi nền mẫu (nước; không khí; đất; trầm tích; chất thải rắn; bùn thải); thông số, phương pháp, phạm vi đo, LOD/LOQ, thiết bị, nhân sự, điều kiện thực hiện, hồ sơ phê duyệt phương pháp</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Công bố/Thông báo</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Thông tin tổ chức; người đại diện pháp luật; cơ quan chủ quản; hồ sơ pháp lý; số lần công bố/thông báo/điều chỉnh/tạm dừng/khôi phục/hủy bỏ; bằng chứng tiếp nhận; cơ quan tiếp nhận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A00" w:sz="6"/>
              <w:left w:val="single" w:color="CCAA00" w:sz="6"/>
              <w:bottom w:val="single" w:color="CCAA00" w:sz="6"/>
              <w:right w:val="single" w:color="CCAA00" w:sz="6"/>
            </w:tcBorders>
            <w:shd w:fill="FFF2CC" w:val="clear"/>
            <w:tcMar>
              <w:top w:type="dxa" w:w="80"/>
              <w:left w:type="dxa" w:w="120"/>
              <w:bottom w:type="dxa" w:w="80"/>
              <w:right w:type="dxa" w:w="120"/>
            </w:tcMar>
          </w:tcPr>
          <w:p>
            <w:r>
              <w:rPr>
                <w:rFonts w:ascii="Arial" w:cs="Arial" w:eastAsia="Arial" w:hAnsi="Arial"/>
                <w:b/>
                <w:bCs/>
                <w:sz w:val="20"/>
                <w:szCs w:val="20"/>
              </w:rPr>
              <w:t xml:space="preserve">⚑ Lưu ý: </w:t>
            </w:r>
            <w:r>
              <w:rPr>
                <w:rFonts w:ascii="Arial" w:cs="Arial" w:eastAsia="Arial" w:hAnsi="Arial"/>
                <w:sz w:val="20"/>
                <w:szCs w:val="20"/>
              </w:rPr>
              <w:t xml:space="preserve">Thủ tục không thay thế các quy trình kỹ thuật kiểm định, hiệu chuẩn, thử nghiệm, quan trắc môi trường nhưng là căn cứ để tổng hợp, đánh giá và công khai năng lực đã được phê duyệt.</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2. KIẾN TRÚC MENU VÀ ÁNH XẠ TRẠNG THÁI</w:t>
      </w:r>
    </w:p>
    <w:p>
      <w:pPr>
        <w:spacing w:after="60" w:before="60"/>
        <w:jc w:val="left"/>
      </w:pPr>
      <w:r>
        <w:rPr>
          <w:rFonts w:ascii="Arial" w:cs="Arial" w:eastAsia="Arial" w:hAnsi="Arial"/>
          <w:b w:val="false"/>
          <w:bCs w:val="false"/>
          <w:color w:val="000000"/>
          <w:sz w:val="20"/>
          <w:szCs w:val="20"/>
        </w:rPr>
        <w:t xml:space="preserve">P21 gồm chuỗi menu nghiệp vụ trên ManLab. Mỗi menu điều khiển một lớp trạng thái độc lập: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Menu ManLab</w:t>
            </w:r>
          </w:p>
        </w:tc>
        <w:tc>
          <w:tcPr>
            <w:tcW w:type="dxa" w:w="3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 chính</w:t>
            </w:r>
          </w:p>
        </w:tc>
        <w:tc>
          <w:tcPr>
            <w:tcW w:type="dxa" w:w="26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Lớp trạng thái điều khiển</w:t>
            </w:r>
          </w:p>
        </w:tc>
      </w:tr>
      <w:tr>
        <w:tc>
          <w:tcPr>
            <w:tcW w:type="dxa" w:w="2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Danh mục PTĐ (có sẵn)</w:t>
            </w:r>
          </w:p>
        </w:tc>
        <w:tc>
          <w:tcPr>
            <w:tcW w:type="dxa" w:w="36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Nguồn dữ liệu PTĐ; P21 chỉ đọc</w:t>
            </w:r>
          </w:p>
        </w:tc>
        <w:tc>
          <w:tcPr>
            <w:tcW w:type="dxa" w:w="2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 PTĐ</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Lập kế hoạch</w:t>
            </w:r>
          </w:p>
        </w:tc>
        <w:tc>
          <w:tcPr>
            <w:tcW w:type="dxa" w:w="3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Tạo hồ sơ P21, lập và duyệt kế hoạch đánh giá, chụp snapshot dữ liệu PTĐ</w:t>
            </w:r>
          </w:p>
        </w:tc>
        <w:tc>
          <w:tcPr>
            <w:tcW w:type="dxa" w:w="2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 Hồ sơ</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Đánh giá năng lực</w:t>
            </w:r>
          </w:p>
        </w:tc>
        <w:tc>
          <w:tcPr>
            <w:tcW w:type="dxa" w:w="3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Thực hiện checklist 10 nhóm tiêu chí; lấy dữ liệu từ các danh mục ManLab để đối chiếu; kèm ảnh bằng chứng</w:t>
            </w:r>
          </w:p>
        </w:tc>
        <w:tc>
          <w:tcPr>
            <w:tcW w:type="dxa" w:w="2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 Hồ sơ</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Kết quả</w:t>
            </w:r>
          </w:p>
        </w:tc>
        <w:tc>
          <w:tcPr>
            <w:tcW w:type="dxa" w:w="3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Kết luận đạt/không đạt theo từng dòng con; phê duyệt nội bộ phạm vi; cho phép công bố phần đạt</w:t>
            </w:r>
          </w:p>
        </w:tc>
        <w:tc>
          <w:tcPr>
            <w:tcW w:type="dxa" w:w="2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 Hồ sơ</w:t>
            </w:r>
          </w:p>
        </w:tc>
      </w:tr>
      <w:tr>
        <w:tc>
          <w:tcPr>
            <w:tcW w:type="dxa" w:w="28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Công bố / Thông báo</w:t>
            </w:r>
          </w:p>
        </w:tc>
        <w:tc>
          <w:tcPr>
            <w:tcW w:type="dxa" w:w="36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bản công bố/thông báo theo mẫu; ký số; gửi cơ quan tiếp nhận; công khai kèm QR tra cứu; điều chỉnh, tạm dừng, hủy bỏ</w:t>
            </w:r>
          </w:p>
        </w:tc>
        <w:tc>
          <w:tcPr>
            <w:tcW w:type="dxa" w:w="26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 Công khai</w:t>
            </w:r>
          </w:p>
        </w:tc>
      </w:tr>
    </w:tbl>
    <w:p>
      <w:pPr>
        <w:spacing w:after="60" w:before="60"/>
      </w:pPr>
      <w:r>
        <w:t xml:space="preserve"/>
      </w:r>
    </w:p>
    <w:p>
      <w:pPr>
        <w:spacing w:after="60" w:before="60"/>
        <w:jc w:val="left"/>
      </w:pPr>
      <w:r>
        <w:rPr>
          <w:rFonts w:ascii="Arial" w:cs="Arial" w:eastAsia="Arial" w:hAnsi="Arial"/>
          <w:b/>
          <w:bCs/>
          <w:color w:val="000000"/>
          <w:sz w:val="20"/>
          <w:szCs w:val="20"/>
        </w:rPr>
        <w:t xml:space="preserve">Luồng vận hành chính:</w:t>
      </w:r>
    </w:p>
    <w:p>
      <w:pPr>
        <w:spacing w:after="60" w:before="60"/>
        <w:jc w:val="left"/>
      </w:pPr>
      <w:r>
        <w:rPr>
          <w:rFonts w:ascii="Arial" w:cs="Arial" w:eastAsia="Arial" w:hAnsi="Arial"/>
          <w:b w:val="false"/>
          <w:bCs w:val="false"/>
          <w:color w:val="2E5FA3"/>
          <w:sz w:val="20"/>
          <w:szCs w:val="20"/>
        </w:rPr>
        <w:t xml:space="preserve">Danh mục PTĐ (nguồn)  →  Lập kế hoạch  →  Đánh giá năng lực  →  Kết quả  →  Công bố/Thông báo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A00" w:sz="6"/>
              <w:left w:val="single" w:color="CCAA00" w:sz="6"/>
              <w:bottom w:val="single" w:color="CCAA00" w:sz="6"/>
              <w:right w:val="single" w:color="CCAA00" w:sz="6"/>
            </w:tcBorders>
            <w:shd w:fill="FFF2CC" w:val="clear"/>
            <w:tcMar>
              <w:top w:type="dxa" w:w="80"/>
              <w:left w:type="dxa" w:w="120"/>
              <w:bottom w:type="dxa" w:w="80"/>
              <w:right w:type="dxa" w:w="120"/>
            </w:tcMar>
          </w:tcPr>
          <w:p>
            <w:r>
              <w:rPr>
                <w:rFonts w:ascii="Arial" w:cs="Arial" w:eastAsia="Arial" w:hAnsi="Arial"/>
                <w:b/>
                <w:bCs/>
                <w:sz w:val="20"/>
                <w:szCs w:val="20"/>
              </w:rPr>
              <w:t xml:space="preserve">⚑ Lưu ý: </w:t>
            </w:r>
            <w:r>
              <w:rPr>
                <w:rFonts w:ascii="Arial" w:cs="Arial" w:eastAsia="Arial" w:hAnsi="Arial"/>
                <w:sz w:val="20"/>
                <w:szCs w:val="20"/>
              </w:rPr>
              <w:t xml:space="preserve">Ký số, gửi cơ quan tiếp nhận và tạo QR là các thao tác NỘI BỘ trong menu Công bố/Thông báo – không phải menu riêng biệt.</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2.1. Cấu trúc màn hình đề xuất (9 tab)</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w:t>
            </w:r>
          </w:p>
        </w:tc>
        <w:tc>
          <w:tcPr>
            <w:tcW w:type="dxa" w:w="40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chính</w:t>
            </w:r>
          </w:p>
        </w:tc>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Nút thao tác</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Tổng quan</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Mã hồ sơ, loại, lĩnh vực, trạng thái, timeline, cảnh báo, người phụ trách</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Tạo mới, Sao chép, Gửi lập kế hoạch, Hủy nháp</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Đối tượng năng lực</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PTĐ/chuẩn/nền mẫu/thông số; phạm vi đo; MPE; U; LOD/LOQ; phương pháp</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Thêm dòng, Nhập Excel, Liên kết danh mục, Chụp snapshot</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Kế hoạch</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Mục tiêu, phạm vi, tiêu chí, đoàn đánh giá, lịch, checklist</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kế hoạch, Phê duyệt kế hoạch, Sửa kế hoạch</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Bằng chứng</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Nhân sự, thiết bị, chuẩn, phương pháp, môi trường, QA/QC, công nhận, pháp lý</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Tải lên, Yêu cầu bổ sung, Đánh dấu kiểm tra</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Đánh giá</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Checklist Đạt/Không đạt/Không áp dụng; điểm không phù hợp; rủi ro; kết luận dòng con</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Bắt đầu đánh giá, Kết luận, Gửi khắc phục, Đánh giá lại</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Phê duyệt</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Soát xét chuyên môn, soát xét QLCL, phê duyệt Lãnh đạo Viện</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Gửi duyệt, Phê duyệt, Trả lại, Khóa phiên bản</w:t>
            </w:r>
          </w:p>
        </w:tc>
      </w:tr>
      <w:tr>
        <w:tc>
          <w:tcPr>
            <w:tcW w:type="dxa" w:w="22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Công bố / Công khai</w:t>
            </w:r>
          </w:p>
        </w:tc>
        <w:tc>
          <w:tcPr>
            <w:tcW w:type="dxa" w:w="40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 công bố/thông báo; bằng chứng gửi; mã hồ sơ; link/QR công khai</w:t>
            </w:r>
          </w:p>
        </w:tc>
        <w:tc>
          <w:tcPr>
            <w:tcW w:type="dxa" w:w="28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bản công bố, Ký số, Ghi nhận gửi, Công khai, Thu hồi</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Điều chỉnh / Tạm dừng / Hủy bỏ</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điều chỉnh, tạm dừng, khôi phục, hủy bỏ; phạm vi bị ảnh hưởng</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 Khôi phục, Điều chỉnh, Hủy bỏ</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Nhật ký / Hậu kiểm</w:t>
            </w:r>
          </w:p>
        </w:tc>
        <w:tc>
          <w:tcPr>
            <w:tcW w:type="dxa" w:w="4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trail, lịch cảnh báo, báo cáo định kỳ, đánh giá nội bộ, phản hồi cơ quan quản lý</w:t>
            </w:r>
          </w:p>
        </w:tc>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Xuất báo cáo, Tạo lịch hậu kiểm, Đóng hồ sơ</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3. BA LỚP TRẠNG THÁI (MÔ HÌNH DỮ LIỆU)</w:t>
      </w:r>
    </w:p>
    <w:p>
      <w:pPr>
        <w:spacing w:after="60" w:before="60"/>
        <w:jc w:val="left"/>
      </w:pPr>
      <w:r>
        <w:rPr>
          <w:rFonts w:ascii="Arial" w:cs="Arial" w:eastAsia="Arial" w:hAnsi="Arial"/>
          <w:b w:val="false"/>
          <w:bCs w:val="false"/>
          <w:color w:val="000000"/>
          <w:sz w:val="20"/>
          <w:szCs w:val="20"/>
        </w:rPr>
        <w:t xml:space="preserve">Ba lớp trạng thái vận hành SONG SONG và KHÔNG ghi đè lẫn nhau. Mỗi lần chuyển trạng thái phải phát sinh từ phiếu thao tác/quyết định/kết quả đánh giá và được ghi nhật ký đầy đủ.</w:t>
      </w:r>
    </w:p>
    <w:p>
      <w:pPr>
        <w:spacing w:after="60" w:before="60"/>
      </w:pPr>
      <w:r>
        <w:t xml:space="preserve"/>
      </w:r>
    </w:p>
    <w:p>
      <w:pPr>
        <w:spacing w:after="60" w:before="60"/>
        <w:jc w:val="left"/>
      </w:pPr>
      <w:r>
        <w:rPr>
          <w:rFonts w:ascii="Arial" w:cs="Arial" w:eastAsia="Arial" w:hAnsi="Arial"/>
          <w:b w:val="false"/>
          <w:bCs w:val="false"/>
          <w:color w:val="000000"/>
          <w:sz w:val="20"/>
          <w:szCs w:val="20"/>
        </w:rPr>
        <w:t xml:space="preserve">Cấu trúc cha–con: mỗi Hồ sơ P21 gồm hai lớp dữ liệu:</w:t>
      </w:r>
    </w:p>
    <w:p>
      <w:pPr>
        <w:pStyle w:val="ListParagraph"/>
        <w:numPr>
          <w:ilvl w:val="0"/>
          <w:numId w:val="2"/>
        </w:numPr>
        <w:spacing w:after="40" w:before="40"/>
      </w:pPr>
      <w:r>
        <w:rPr>
          <w:rFonts w:ascii="Arial" w:cs="Arial" w:eastAsia="Arial" w:hAnsi="Arial"/>
          <w:sz w:val="20"/>
          <w:szCs w:val="20"/>
        </w:rPr>
        <w:t xml:space="preserve">Bảng cha (Hồ sơ): mã hồ sơ, loại, phạm vi tổng quát, người lập, kế hoạch, kết luận, bản công bố/thông báo, trạng thái Hồ sơ và trạng thái Công khai, nhật ký thao tác.</w:t>
      </w:r>
    </w:p>
    <w:p>
      <w:pPr>
        <w:pStyle w:val="ListParagraph"/>
        <w:numPr>
          <w:ilvl w:val="0"/>
          <w:numId w:val="2"/>
        </w:numPr>
        <w:spacing w:after="40" w:before="40"/>
      </w:pPr>
      <w:r>
        <w:rPr>
          <w:rFonts w:ascii="Arial" w:cs="Arial" w:eastAsia="Arial" w:hAnsi="Arial"/>
          <w:sz w:val="20"/>
          <w:szCs w:val="20"/>
        </w:rPr>
        <w:t xml:space="preserve">Bảng con (Dòng năng lực PTĐ/đối tượng): mỗi dòng mang đầy đủ năng lực công bố (phạm vi đo, cấp/độ chính xác, U, MPE/LOD/LOQ, quy trình…) theo Mẫu 01 (NQ 66.18) hoặc Mẫu 9.01 (NQ 66.19). Một hồ sơ có thể gom nhiều PTĐ/đối tượng.</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3.1. Trạng thái Hồ sơ P21</w:t>
      </w:r>
    </w:p>
    <w:p>
      <w:pPr>
        <w:spacing w:after="60" w:before="60"/>
        <w:jc w:val="left"/>
      </w:pPr>
      <w:r>
        <w:rPr>
          <w:rFonts w:ascii="Arial" w:cs="Arial" w:eastAsia="Arial" w:hAnsi="Arial"/>
          <w:b w:val="false"/>
          <w:bCs w:val="false"/>
          <w:color w:val="555555"/>
          <w:sz w:val="20"/>
          <w:szCs w:val="20"/>
        </w:rPr>
        <w:t xml:space="preserve">Điều khiển bởi menu: Lập kế hoạch, Đánh giá năng lực, Kết quả</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 (Hồ sơ)</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30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Chuyển tiếp hợp lệ</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Nháp</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Mới tạo, chưa đủ thông tin tối thiểu</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lập kế hoạch / Hủy nháp</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lập kế hoạch</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Đủ thông tin tối thiểu, chờ phân công đánh giá</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lập kế hoạch / Trả lại bổ sung</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lập kế hoạch</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 kế hoạch, checklist, nhân sự và thời hạn</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đánh giá / Hủy kế hoạch</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đánh giá</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Đoàn đánh giá đang kiểm tra hồ sơ/kỹ thuật/đo lường/QTMT</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Yêu cầu bổ sung / Đánh giá đạt / Không đạt</w:t>
            </w:r>
          </w:p>
        </w:tc>
      </w:tr>
      <w:tr>
        <w:tc>
          <w:tcPr>
            <w:tcW w:type="dxa" w:w="2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Yêu cầu bổ sung/khắc phục</w:t>
            </w:r>
          </w:p>
        </w:tc>
        <w:tc>
          <w:tcPr>
            <w:tcW w:type="dxa" w:w="3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 điểm chưa phù hợp hoặc thiếu bằng chứng</w:t>
            </w:r>
          </w:p>
        </w:tc>
        <w:tc>
          <w:tcPr>
            <w:tcW w:type="dxa" w:w="30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đánh giá / Không đạt / Hủy hồ sơ</w:t>
            </w:r>
          </w:p>
        </w:tc>
      </w:tr>
      <w:tr>
        <w:tc>
          <w:tcPr>
            <w:tcW w:type="dxa" w:w="2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Đánh giá đạt</w:t>
            </w:r>
          </w:p>
        </w:tc>
        <w:tc>
          <w:tcPr>
            <w:tcW w:type="dxa" w:w="3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Phạm vi đáp ứng tiêu chí</w:t>
            </w:r>
          </w:p>
        </w:tc>
        <w:tc>
          <w:tcPr>
            <w:tcW w:type="dxa" w:w="30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phê duyệt nội bộ</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Không đạt / Không đủ điều kiện</w:t>
            </w:r>
          </w:p>
        </w:tc>
        <w:tc>
          <w:tcPr>
            <w:tcW w:type="dxa" w:w="3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Không đáp ứng tiêu chí hoặc không đủ bằng chứng</w:t>
            </w:r>
          </w:p>
        </w:tc>
        <w:tc>
          <w:tcPr>
            <w:tcW w:type="dxa" w:w="30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Yêu cầu bổ sung / Hủy hồ sơ / Lưu trữ</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phê duyệt nội bộ</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có kết luận đạt, chờ soát xét và phê duyệt</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phê duyệt nội bộ / Trả lại</w:t>
            </w:r>
          </w:p>
        </w:tc>
      </w:tr>
      <w:tr>
        <w:tc>
          <w:tcPr>
            <w:tcW w:type="dxa" w:w="2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phê duyệt nội bộ</w:t>
            </w:r>
          </w:p>
        </w:tc>
        <w:tc>
          <w:tcPr>
            <w:tcW w:type="dxa" w:w="3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Đủ điều kiện lập/gửi bản công bố/thông báo</w:t>
            </w:r>
          </w:p>
        </w:tc>
        <w:tc>
          <w:tcPr>
            <w:tcW w:type="dxa" w:w="30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gửi / Đã công khai nội bộ</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gửi / Đã nộp</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đã được gửi cơ quan tiếp nhận hoặc kênh thông báo</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tiếp nhận / YC bổ sung từ cơ quan tiếp nhận</w:t>
            </w:r>
          </w:p>
        </w:tc>
      </w:tr>
      <w:tr>
        <w:tc>
          <w:tcPr>
            <w:tcW w:type="dxa" w:w="2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tiếp nhận / Ghi nhận</w:t>
            </w:r>
          </w:p>
        </w:tc>
        <w:tc>
          <w:tcPr>
            <w:tcW w:type="dxa" w:w="3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 bằng chứng tiếp nhận/ghi nhận</w:t>
            </w:r>
          </w:p>
        </w:tc>
        <w:tc>
          <w:tcPr>
            <w:tcW w:type="dxa" w:w="30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công khai / Còn hiệu lực</w:t>
            </w:r>
          </w:p>
        </w:tc>
      </w:tr>
      <w:tr>
        <w:tc>
          <w:tcPr>
            <w:tcW w:type="dxa" w:w="2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Đã công khai / Còn hiệu lực</w:t>
            </w:r>
          </w:p>
        </w:tc>
        <w:tc>
          <w:tcPr>
            <w:tcW w:type="dxa" w:w="3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Phạm vi được phép sử dụng trong dịch vụ</w:t>
            </w:r>
          </w:p>
        </w:tc>
        <w:tc>
          <w:tcPr>
            <w:tcW w:type="dxa" w:w="30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điều chỉnh / Tạm dừng / Hủy bỏ / Hết hiệu lực</w:t>
            </w:r>
          </w:p>
        </w:tc>
      </w:tr>
      <w:tr>
        <w:tc>
          <w:tcPr>
            <w:tcW w:type="dxa" w:w="2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điều chỉnh</w:t>
            </w:r>
          </w:p>
        </w:tc>
        <w:tc>
          <w:tcPr>
            <w:tcW w:type="dxa" w:w="3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thay đổi một phần/toàn bộ phạm vi</w:t>
            </w:r>
          </w:p>
        </w:tc>
        <w:tc>
          <w:tcPr>
            <w:tcW w:type="dxa" w:w="30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công khai phiên bản mới / Tạm dừng / Hủy bỏ</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w:t>
            </w:r>
          </w:p>
        </w:tc>
        <w:tc>
          <w:tcPr>
            <w:tcW w:type="dxa" w:w="3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Dừng sử dụng nội bộ do rủi ro hoặc thiếu điều kiện</w:t>
            </w:r>
          </w:p>
        </w:tc>
        <w:tc>
          <w:tcPr>
            <w:tcW w:type="dxa" w:w="30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Khôi phục / Đang điều chỉnh / Hủy bỏ</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Hủy bỏ</w:t>
            </w:r>
          </w:p>
        </w:tc>
        <w:tc>
          <w:tcPr>
            <w:tcW w:type="dxa" w:w="3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Chấm dứt áp dụng một phần/toàn bộ</w:t>
            </w:r>
          </w:p>
        </w:tc>
        <w:tc>
          <w:tcPr>
            <w:tcW w:type="dxa" w:w="30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Lưu trữ</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Lưu trữ</w:t>
            </w:r>
          </w:p>
        </w:tc>
        <w:tc>
          <w:tcPr>
            <w:tcW w:type="dxa" w:w="3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đã kết thúc, giữ để truy xuất nguồn gốc</w:t>
            </w:r>
          </w:p>
        </w:tc>
        <w:tc>
          <w:tcPr>
            <w:tcW w:type="dxa" w:w="3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Không chuyển tiếp (trừ mở lại theo phê duyệt đặc biệt)</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3.2. Trạng thái Công bố / Thông báo</w:t>
      </w:r>
    </w:p>
    <w:p>
      <w:pPr>
        <w:spacing w:after="60" w:before="60"/>
        <w:jc w:val="left"/>
      </w:pPr>
      <w:r>
        <w:rPr>
          <w:rFonts w:ascii="Arial" w:cs="Arial" w:eastAsia="Arial" w:hAnsi="Arial"/>
          <w:b w:val="false"/>
          <w:bCs w:val="false"/>
          <w:color w:val="555555"/>
          <w:sz w:val="20"/>
          <w:szCs w:val="20"/>
        </w:rPr>
        <w:t xml:space="preserve">Điều khiển bởi menu: Công bố / Thông báo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 (Công bố)</w:t>
            </w:r>
          </w:p>
        </w:tc>
        <w:tc>
          <w:tcPr>
            <w:tcW w:type="dxa" w:w="32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Tài liệu/bằng chứng bắt buộc</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Chưa lập</w:t>
            </w:r>
          </w:p>
        </w:tc>
        <w:tc>
          <w:tcPr>
            <w:tcW w:type="dxa" w:w="3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Chưa phát sinh bản công bố/thông báo</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Kết luận đánh giá hoặc nhu cầu phát sinh</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lập</w:t>
            </w:r>
          </w:p>
        </w:tc>
        <w:tc>
          <w:tcPr>
            <w:tcW w:type="dxa" w:w="3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soạn bản công bố/thông báo</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 nháp, danh mục phạm vi</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soát xét</w:t>
            </w:r>
          </w:p>
        </w:tc>
        <w:tc>
          <w:tcPr>
            <w:tcW w:type="dxa" w:w="3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chuyên môn/QLCL soát xét</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soát xét</w:t>
            </w:r>
          </w:p>
        </w:tc>
      </w:tr>
      <w:tr>
        <w:tc>
          <w:tcPr>
            <w:tcW w:type="dxa" w:w="28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phê duyệt nội bộ</w:t>
            </w:r>
          </w:p>
        </w:tc>
        <w:tc>
          <w:tcPr>
            <w:tcW w:type="dxa" w:w="3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Được Lãnh đạo Viện phê duyệt</w:t>
            </w:r>
          </w:p>
        </w:tc>
        <w:tc>
          <w:tcPr>
            <w:tcW w:type="dxa" w:w="30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 ký/phê duyệt nội bộ</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gửi cơ quan tiếp nhận</w:t>
            </w:r>
          </w:p>
        </w:tc>
        <w:tc>
          <w:tcPr>
            <w:tcW w:type="dxa" w:w="3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gửi qua kênh được chấp nhận</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Biên nhận/mã hồ sơ/bằng chứng gửi</w:t>
            </w:r>
          </w:p>
        </w:tc>
      </w:tr>
      <w:tr>
        <w:tc>
          <w:tcPr>
            <w:tcW w:type="dxa" w:w="28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Yêu cầu bổ sung</w:t>
            </w:r>
          </w:p>
        </w:tc>
        <w:tc>
          <w:tcPr>
            <w:tcW w:type="dxa" w:w="32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Cơ quan tiếp nhận YC bổ sung hoặc nội bộ phát hiện thiếu</w:t>
            </w:r>
          </w:p>
        </w:tc>
        <w:tc>
          <w:tcPr>
            <w:tcW w:type="dxa" w:w="30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Văn bản YC, phiên bản bổ sung</w:t>
            </w:r>
          </w:p>
        </w:tc>
      </w:tr>
      <w:tr>
        <w:tc>
          <w:tcPr>
            <w:tcW w:type="dxa" w:w="28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tiếp nhận / Ghi nhận</w:t>
            </w:r>
          </w:p>
        </w:tc>
        <w:tc>
          <w:tcPr>
            <w:tcW w:type="dxa" w:w="3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 bằng chứng tiếp nhận/ghi nhận theo quy định</w:t>
            </w:r>
          </w:p>
        </w:tc>
        <w:tc>
          <w:tcPr>
            <w:tcW w:type="dxa" w:w="30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Biên nhận/ghi nhận/nhật ký gửi</w:t>
            </w:r>
          </w:p>
        </w:tc>
      </w:tr>
      <w:tr>
        <w:tc>
          <w:tcPr>
            <w:tcW w:type="dxa" w:w="28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Đã công khai / Còn hiệu lực</w:t>
            </w:r>
          </w:p>
        </w:tc>
        <w:tc>
          <w:tcPr>
            <w:tcW w:type="dxa" w:w="3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Phạm vi được phép sử dụng</w:t>
            </w:r>
          </w:p>
        </w:tc>
        <w:tc>
          <w:tcPr>
            <w:tcW w:type="dxa" w:w="30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Ảnh chụp/QR/link công khai, phiên bản</w:t>
            </w:r>
          </w:p>
        </w:tc>
      </w:tr>
      <w:tr>
        <w:tc>
          <w:tcPr>
            <w:tcW w:type="dxa" w:w="28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điều chỉnh</w:t>
            </w:r>
          </w:p>
        </w:tc>
        <w:tc>
          <w:tcPr>
            <w:tcW w:type="dxa" w:w="32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 phiên bản điều chỉnh đang xử lý</w:t>
            </w:r>
          </w:p>
        </w:tc>
        <w:tc>
          <w:tcPr>
            <w:tcW w:type="dxa" w:w="30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điều chỉnh, bản so sánh phiên bản</w:t>
            </w:r>
          </w:p>
        </w:tc>
      </w:tr>
      <w:tr>
        <w:tc>
          <w:tcPr>
            <w:tcW w:type="dxa" w:w="28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 nội bộ</w:t>
            </w:r>
          </w:p>
        </w:tc>
        <w:tc>
          <w:tcPr>
            <w:tcW w:type="dxa" w:w="32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Dừng sử dụng tạm thời, có kế hoạch khắc phục</w:t>
            </w:r>
          </w:p>
        </w:tc>
        <w:tc>
          <w:tcPr>
            <w:tcW w:type="dxa" w:w="30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tạm dừng, phê duyệt, kế hoạch khắc phục</w:t>
            </w:r>
          </w:p>
        </w:tc>
      </w:tr>
      <w:tr>
        <w:tc>
          <w:tcPr>
            <w:tcW w:type="dxa" w:w="28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Hủy bỏ</w:t>
            </w:r>
          </w:p>
        </w:tc>
        <w:tc>
          <w:tcPr>
            <w:tcW w:type="dxa" w:w="32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Chấm dứt công bố/thông báo một phần/toàn bộ</w:t>
            </w:r>
          </w:p>
        </w:tc>
        <w:tc>
          <w:tcPr>
            <w:tcW w:type="dxa" w:w="30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hủy bỏ, bằng chứng cập nhật công khai</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Hết hiệu lực</w:t>
            </w:r>
          </w:p>
        </w:tc>
        <w:tc>
          <w:tcPr>
            <w:tcW w:type="dxa" w:w="32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Không còn hiệu lực theo thời hạn hoặc căn cứ áp dụng</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Bằng chứng hết hiệu lực, thông báo nội bộ</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3.3. Trạng thái PTĐ (lấy từ Danh mục PTĐ)</w:t>
      </w:r>
    </w:p>
    <w:p>
      <w:pPr>
        <w:spacing w:after="60" w:before="60"/>
        <w:jc w:val="left"/>
      </w:pPr>
      <w:r>
        <w:rPr>
          <w:rFonts w:ascii="Arial" w:cs="Arial" w:eastAsia="Arial" w:hAnsi="Arial"/>
          <w:b w:val="false"/>
          <w:bCs w:val="false"/>
          <w:color w:val="555555"/>
          <w:sz w:val="20"/>
          <w:szCs w:val="20"/>
        </w:rPr>
        <w:t xml:space="preserve">P21 chỉ-đọc Danh mục PTĐ. Cơ chế cập nhật theo "lắng nghe sự kiện":</w:t>
      </w:r>
    </w:p>
    <w:p>
      <w:pPr>
        <w:pStyle w:val="ListParagraph"/>
        <w:numPr>
          <w:ilvl w:val="0"/>
          <w:numId w:val="2"/>
        </w:numPr>
        <w:spacing w:after="40" w:before="40"/>
      </w:pPr>
      <w:r>
        <w:rPr>
          <w:rFonts w:ascii="Arial" w:cs="Arial" w:eastAsia="Arial" w:hAnsi="Arial"/>
          <w:sz w:val="20"/>
          <w:szCs w:val="20"/>
        </w:rPr>
        <w:t xml:space="preserve">Khi Hồ sơ chuyển "Đã công khai/Còn hiệu lực" → P21 phát sự kiện công khai → Danh mục PTĐ tự ghi năng lực đã công bố và chuyển PTĐ sang "Đang sử dụng", ghi nhật ký cả hai phía.</w:t>
      </w:r>
    </w:p>
    <w:p>
      <w:pPr>
        <w:pStyle w:val="ListParagraph"/>
        <w:numPr>
          <w:ilvl w:val="0"/>
          <w:numId w:val="2"/>
        </w:numPr>
        <w:spacing w:after="40" w:before="40"/>
      </w:pPr>
      <w:r>
        <w:rPr>
          <w:rFonts w:ascii="Arial" w:cs="Arial" w:eastAsia="Arial" w:hAnsi="Arial"/>
          <w:sz w:val="20"/>
          <w:szCs w:val="20"/>
        </w:rPr>
        <w:t xml:space="preserve">Mọi thay đổi trạng thái PTĐ trong Danh mục PTĐ → tự sinh/gợi ý tạo "Lập kế hoạch" mới trong P21.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 PTĐ (trong P21)</w:t>
            </w:r>
          </w:p>
        </w:tc>
        <w:tc>
          <w:tcPr>
            <w:tcW w:type="dxa" w:w="35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 tắc sử dụng</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Mới tạo / Đề xuất</w:t>
            </w:r>
          </w:p>
        </w:tc>
        <w:tc>
          <w:tcPr>
            <w:tcW w:type="dxa" w:w="3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Đối tượng mới nhập vào P21, xác định phạm vi dự kiến</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CC0000"/>
                <w:sz w:val="18"/>
                <w:szCs w:val="18"/>
              </w:rPr>
              <w:t xml:space="preserve">KHÔNG được sử dụng trong dịch vụ</w:t>
            </w:r>
          </w:p>
        </w:tc>
      </w:tr>
      <w:tr>
        <w:tc>
          <w:tcPr>
            <w:tcW w:type="dxa" w:w="25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đánh giá / Đang đánh giá</w:t>
            </w:r>
          </w:p>
        </w:tc>
        <w:tc>
          <w:tcPr>
            <w:tcW w:type="dxa" w:w="3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đưa vào kế hoạch, đang kiểm tra điều kiện</w:t>
            </w:r>
          </w:p>
        </w:tc>
        <w:tc>
          <w:tcPr>
            <w:tcW w:type="dxa" w:w="3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CC0000"/>
                <w:sz w:val="18"/>
                <w:szCs w:val="18"/>
              </w:rPr>
              <w:t xml:space="preserve">KHÔNG được sử dụng trong dịch vụ</w:t>
            </w:r>
          </w:p>
        </w:tc>
      </w:tr>
      <w:tr>
        <w:tc>
          <w:tcPr>
            <w:tcW w:type="dxa" w:w="2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Đủ điều kiện nội bộ</w:t>
            </w:r>
          </w:p>
        </w:tc>
        <w:tc>
          <w:tcPr>
            <w:tcW w:type="dxa" w:w="35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đánh giá đạt, chờ phê duyệt/công bố</w:t>
            </w:r>
          </w:p>
        </w:tc>
        <w:tc>
          <w:tcPr>
            <w:tcW w:type="dxa" w:w="30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Chỉ được dùng thử nội bộ khi được phê duyệt</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Chưa đủ điều kiện</w:t>
            </w:r>
          </w:p>
        </w:tc>
        <w:tc>
          <w:tcPr>
            <w:tcW w:type="dxa" w:w="35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Thiếu bằng chứng hoặc không đạt tiêu chí</w:t>
            </w:r>
          </w:p>
        </w:tc>
        <w:tc>
          <w:tcPr>
            <w:tcW w:type="dxa" w:w="30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bCs/>
                <w:color w:val="CC0000"/>
                <w:sz w:val="18"/>
                <w:szCs w:val="18"/>
              </w:rPr>
              <w:t xml:space="preserve">KHÔNG được sử dụng trong dịch vụ</w:t>
            </w:r>
          </w:p>
        </w:tc>
      </w:tr>
      <w:tr>
        <w:tc>
          <w:tcPr>
            <w:tcW w:type="dxa" w:w="25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Đã công bố / Đã công khai / Đang sử dụng</w:t>
            </w:r>
          </w:p>
        </w:tc>
        <w:tc>
          <w:tcPr>
            <w:tcW w:type="dxa" w:w="35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Đã có trong phạm vi công khai, đang được chọn trong nghiệp vụ</w:t>
            </w:r>
          </w:p>
        </w:tc>
        <w:tc>
          <w:tcPr>
            <w:tcW w:type="dxa" w:w="3000"/>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Được sử dụng nếu trạng thái công bố còn hiệu lực</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w:t>
            </w:r>
          </w:p>
        </w:tc>
        <w:tc>
          <w:tcPr>
            <w:tcW w:type="dxa" w:w="35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Dừng sử dụng do rủi ro/thiếu điều kiện</w:t>
            </w:r>
          </w:p>
        </w:tc>
        <w:tc>
          <w:tcPr>
            <w:tcW w:type="dxa" w:w="30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bCs/>
                <w:color w:val="CC0000"/>
                <w:sz w:val="18"/>
                <w:szCs w:val="18"/>
              </w:rPr>
              <w:t xml:space="preserve">ManLab CHẶN chọn phạm vi</w:t>
            </w:r>
          </w:p>
        </w:tc>
      </w:tr>
      <w:tr>
        <w:tc>
          <w:tcPr>
            <w:tcW w:type="dxa" w:w="25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điều chỉnh</w:t>
            </w:r>
          </w:p>
        </w:tc>
        <w:tc>
          <w:tcPr>
            <w:tcW w:type="dxa" w:w="35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Đang thay đổi nội dung công bố</w:t>
            </w:r>
          </w:p>
        </w:tc>
        <w:tc>
          <w:tcPr>
            <w:tcW w:type="dxa" w:w="30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Chỉ dùng phiên bản cũ nếu còn hiệu lực và không tạm dừng</w:t>
            </w:r>
          </w:p>
        </w:tc>
      </w:tr>
      <w:tr>
        <w:tc>
          <w:tcPr>
            <w:tcW w:type="dxa" w:w="25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Hủy bỏ / Hết hiệu lực</w:t>
            </w:r>
          </w:p>
        </w:tc>
        <w:tc>
          <w:tcPr>
            <w:tcW w:type="dxa" w:w="3526"/>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Không còn áp dụng, hết thời hạn</w:t>
            </w:r>
          </w:p>
        </w:tc>
        <w:tc>
          <w:tcPr>
            <w:tcW w:type="dxa" w:w="3000"/>
            <w:tcBorders>
              <w:top w:val="single" w:color="AAAAAA" w:sz="6"/>
              <w:left w:val="single" w:color="AAAAAA" w:sz="6"/>
              <w:bottom w:val="single" w:color="AAAAAA" w:sz="6"/>
              <w:right w:val="single" w:color="AAAAAA" w:sz="6"/>
            </w:tcBorders>
            <w:shd w:fill="FCE4D6" w:val="clear"/>
            <w:tcMar>
              <w:top w:type="dxa" w:w="80"/>
              <w:left w:type="dxa" w:w="120"/>
              <w:bottom w:type="dxa" w:w="80"/>
              <w:right w:type="dxa" w:w="120"/>
            </w:tcMar>
            <w:vAlign w:val="center"/>
          </w:tcPr>
          <w:p>
            <w:pPr>
              <w:jc w:val="left"/>
            </w:pPr>
            <w:r>
              <w:rPr>
                <w:rFonts w:ascii="Arial" w:cs="Arial" w:eastAsia="Arial" w:hAnsi="Arial"/>
                <w:b/>
                <w:bCs/>
                <w:color w:val="CC0000"/>
                <w:sz w:val="18"/>
                <w:szCs w:val="18"/>
              </w:rPr>
              <w:t xml:space="preserve">CHẶN sử dụng, ẩn khỏi danh mục chọn mới</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4. LUỒNG NGHIỆP VỤ CHÍNH (8 BƯỚC)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4226"/>
      </w:tblGrid>
      <w:tr>
        <w:tc>
          <w:tcPr>
            <w:tcW w:type="dxa" w:w="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Thao tác</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2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quả / Trạng thái đầu ra</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Tạo hồ sơ P21: chọn loại (đo lường/QTMT), chọn PTĐ/phạm vi quan trắc, nhập bằng chứng năng lực</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thực hiện</w:t>
            </w:r>
          </w:p>
        </w:tc>
        <w:tc>
          <w:tcPr>
            <w:tcW w:type="dxa" w:w="42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Nháp → Chờ lập kế hoạch</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soát xét, duyệt kế hoạch đánh giá. ManLab chụp snapshot dữ liệu PTĐ làm mốc kế hoạch</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Lãnh đạo phòng</w:t>
            </w:r>
          </w:p>
        </w:tc>
        <w:tc>
          <w:tcPr>
            <w:tcW w:type="dxa" w:w="42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Đã lập kế hoạch; Checklist được khóa phạm vi</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Thực hiện checklist 10 nhóm tiêu chí (hồ sơ, kỹ thuật, đo lường, QTMT, dữ liệu/ManLab, công khai...). Đối chiếu thực tế vs snapshot. Kèm ảnh bằng chứng khi Không đáp ứng/Điều chỉnh</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thực hiện</w:t>
            </w:r>
          </w:p>
        </w:tc>
        <w:tc>
          <w:tcPr>
            <w:tcW w:type="dxa" w:w="42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Đang đánh giá. Từng dòng con: Đáp ứng / Không đáp ứng / Điều chỉnh (bắt buộc ghi lý do + ảnh)</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Kết luận chuyên môn: Đạt/Không đạt/Đạt có điều kiện theo từng dòng con. Cho phép công bố phần đạt</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Lãnh đạo phòng</w:t>
            </w:r>
          </w:p>
        </w:tc>
        <w:tc>
          <w:tcPr>
            <w:tcW w:type="dxa" w:w="42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Đánh giá đạt (dòng đạt) / Yêu cầu bổ sung (dòng chưa đạt). Ít nhất 1 dòng đạt mới tiến hành phê duyệt</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Phê duyệt nội bộ phạm vi năng lực. Hệ thống khóa dữ liệu sau khi ký số bản công bố/thông báo</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Lãnh đạo Viện</w:t>
            </w:r>
          </w:p>
        </w:tc>
        <w:tc>
          <w:tcPr>
            <w:tcW w:type="dxa" w:w="4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Đã phê duyệt nội bộ. Công khai: Đang lập → Đã phê duyệt nội bộ</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Gửi cơ quan tiếp nhận: Đo lường → UBND tỉnh (ghi nhận trong 3 ngày làm việc). QTMT → Bộ NN&amp;MT (BẮT BUỘC trước khi cung cấp dịch vụ). Ghi mã biên nhận</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thực hiện</w:t>
            </w:r>
          </w:p>
        </w:tc>
        <w:tc>
          <w:tcPr>
            <w:tcW w:type="dxa" w:w="4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Công khai: Đã gửi cơ quan → Đã tiếp nhận/ghi nhận</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Công khai năng lực trên cổng nội bộ/website. ManLab sinh mã QR tra cứu tự động</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thực hiện</w:t>
            </w:r>
          </w:p>
        </w:tc>
        <w:tc>
          <w:tcPr>
            <w:tcW w:type="dxa" w:w="4226"/>
            <w:tcBorders>
              <w:top w:val="single" w:color="AAAAAA" w:sz="6"/>
              <w:left w:val="single" w:color="AAAAAA" w:sz="6"/>
              <w:bottom w:val="single" w:color="AAAAAA" w:sz="6"/>
              <w:right w:val="single" w:color="AAAAAA"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Công khai: Đã công khai/Còn hiệu lực. P21 phát sự kiện → Danh mục PTĐ tự cập nhật</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26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Duy trì, hậu kiểm. Điều chỉnh/tạm dừng/khôi phục/hủy bỏ khi phát sinh điều kiện. Báo cáo hằng năm (QTMT: trước 30/01 năm tiếp theo)</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Lãnh đạo phòng / LĐ Viện</w:t>
            </w:r>
          </w:p>
        </w:tc>
        <w:tc>
          <w:tcPr>
            <w:tcW w:type="dxa" w:w="42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Cập nhật trạng thái Công khai và PTĐ tương ứng. ManLab cảnh báo tự động khi đến hạn</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4.1. Quy tắc kiểm soát trạng thái</w:t>
      </w:r>
    </w:p>
    <w:p>
      <w:pPr>
        <w:pStyle w:val="ListParagraph"/>
        <w:numPr>
          <w:ilvl w:val="0"/>
          <w:numId w:val="2"/>
        </w:numPr>
        <w:spacing w:after="40" w:before="40"/>
      </w:pPr>
      <w:r>
        <w:rPr>
          <w:rFonts w:ascii="Arial" w:cs="Arial" w:eastAsia="Arial" w:hAnsi="Arial"/>
          <w:sz w:val="20"/>
          <w:szCs w:val="20"/>
        </w:rPr>
        <w:t xml:space="preserve">Không có bước nào được bỏ qua bằng cách sửa trực tiếp trạng thái.</w:t>
      </w:r>
    </w:p>
    <w:p>
      <w:pPr>
        <w:pStyle w:val="ListParagraph"/>
        <w:numPr>
          <w:ilvl w:val="0"/>
          <w:numId w:val="2"/>
        </w:numPr>
        <w:spacing w:after="40" w:before="40"/>
      </w:pPr>
      <w:r>
        <w:rPr>
          <w:rFonts w:ascii="Arial" w:cs="Arial" w:eastAsia="Arial" w:hAnsi="Arial"/>
          <w:sz w:val="20"/>
          <w:szCs w:val="20"/>
        </w:rPr>
        <w:t xml:space="preserve">Mọi chuyển trạng thái phải phát sinh từ phiếu thao tác, quyết định, kết quả đánh giá hoặc hành động phê duyệt.</w:t>
      </w:r>
    </w:p>
    <w:p>
      <w:pPr>
        <w:pStyle w:val="ListParagraph"/>
        <w:numPr>
          <w:ilvl w:val="0"/>
          <w:numId w:val="2"/>
        </w:numPr>
        <w:spacing w:after="40" w:before="40"/>
      </w:pPr>
      <w:r>
        <w:rPr>
          <w:rFonts w:ascii="Arial" w:cs="Arial" w:eastAsia="Arial" w:hAnsi="Arial"/>
          <w:sz w:val="20"/>
          <w:szCs w:val="20"/>
        </w:rPr>
        <w:t xml:space="preserve">Mọi thao tác phải được ghi nhật ký: người thực hiện, thời điểm, lý do và tài liệu đính kèm.</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4.2. Tạm dừng nội bộ (6 bước)</w:t>
      </w:r>
    </w:p>
    <w:p>
      <w:pPr>
        <w:spacing w:after="60" w:before="60"/>
        <w:jc w:val="left"/>
      </w:pPr>
      <w:r>
        <w:rPr>
          <w:rFonts w:ascii="Arial" w:cs="Arial" w:eastAsia="Arial" w:hAnsi="Arial"/>
          <w:b w:val="false"/>
          <w:bCs w:val="false"/>
          <w:color w:val="000000"/>
          <w:sz w:val="20"/>
          <w:szCs w:val="20"/>
        </w:rPr>
        <w:t xml:space="preserve">Tạm dừng là hành động kiểm soát rủi ro, không thay thế nghĩa vụ điều chỉnh/hủy bỏ theo pháp luật. Áp dụng khi:</w:t>
      </w:r>
    </w:p>
    <w:p>
      <w:pPr>
        <w:pStyle w:val="ListParagraph"/>
        <w:numPr>
          <w:ilvl w:val="0"/>
          <w:numId w:val="2"/>
        </w:numPr>
        <w:spacing w:after="40" w:before="40"/>
      </w:pPr>
      <w:r>
        <w:rPr>
          <w:rFonts w:ascii="Arial" w:cs="Arial" w:eastAsia="Arial" w:hAnsi="Arial"/>
          <w:sz w:val="20"/>
          <w:szCs w:val="20"/>
        </w:rPr>
        <w:t xml:space="preserve">Thiết bị/chuẩn hết hiệu lực, hỏng, mất liên kết chuẩn hoặc không đáp ứng yêu cầu kỹ thuật.</w:t>
      </w:r>
    </w:p>
    <w:p>
      <w:pPr>
        <w:pStyle w:val="ListParagraph"/>
        <w:numPr>
          <w:ilvl w:val="0"/>
          <w:numId w:val="2"/>
        </w:numPr>
        <w:spacing w:after="40" w:before="40"/>
      </w:pPr>
      <w:r>
        <w:rPr>
          <w:rFonts w:ascii="Arial" w:cs="Arial" w:eastAsia="Arial" w:hAnsi="Arial"/>
          <w:sz w:val="20"/>
          <w:szCs w:val="20"/>
        </w:rPr>
        <w:t xml:space="preserve">Nhân sự chủ chốt không còn đủ năng lực hoặc phân quyền ký hết hiệu lực.</w:t>
      </w:r>
    </w:p>
    <w:p>
      <w:pPr>
        <w:pStyle w:val="ListParagraph"/>
        <w:numPr>
          <w:ilvl w:val="0"/>
          <w:numId w:val="2"/>
        </w:numPr>
        <w:spacing w:after="40" w:before="40"/>
      </w:pPr>
      <w:r>
        <w:rPr>
          <w:rFonts w:ascii="Arial" w:cs="Arial" w:eastAsia="Arial" w:hAnsi="Arial"/>
          <w:sz w:val="20"/>
          <w:szCs w:val="20"/>
        </w:rPr>
        <w:t xml:space="preserve">Phương pháp/quy trình thay đổi nhưng chưa xác nhận giá trị sử dụng hoặc chưa phê duyệt.</w:t>
      </w:r>
    </w:p>
    <w:p>
      <w:pPr>
        <w:pStyle w:val="ListParagraph"/>
        <w:numPr>
          <w:ilvl w:val="0"/>
          <w:numId w:val="2"/>
        </w:numPr>
        <w:spacing w:after="40" w:before="40"/>
      </w:pPr>
      <w:r>
        <w:rPr>
          <w:rFonts w:ascii="Arial" w:cs="Arial" w:eastAsia="Arial" w:hAnsi="Arial"/>
          <w:sz w:val="20"/>
          <w:szCs w:val="20"/>
        </w:rPr>
        <w:t xml:space="preserve">Kết quả QA/QC, PT/ILC, khiếu nại hoặc công việc không phù hợp ảnh hưởng đến năng lực.</w:t>
      </w:r>
    </w:p>
    <w:p>
      <w:pPr>
        <w:pStyle w:val="ListParagraph"/>
        <w:numPr>
          <w:ilvl w:val="0"/>
          <w:numId w:val="2"/>
        </w:numPr>
        <w:spacing w:after="40" w:before="40"/>
      </w:pPr>
      <w:r>
        <w:rPr>
          <w:rFonts w:ascii="Arial" w:cs="Arial" w:eastAsia="Arial" w:hAnsi="Arial"/>
          <w:sz w:val="20"/>
          <w:szCs w:val="20"/>
        </w:rPr>
        <w:t xml:space="preserve">Văn bản pháp luật, tiêu chuẩn, ĐLVN, quy chuẩn kỹ thuật thay đổi cần rà soát.</w:t>
      </w:r>
    </w:p>
    <w:p>
      <w:pPr>
        <w:pStyle w:val="ListParagraph"/>
        <w:numPr>
          <w:ilvl w:val="0"/>
          <w:numId w:val="2"/>
        </w:numPr>
        <w:spacing w:after="40" w:before="40"/>
      </w:pPr>
      <w:r>
        <w:rPr>
          <w:rFonts w:ascii="Arial" w:cs="Arial" w:eastAsia="Arial" w:hAnsi="Arial"/>
          <w:sz w:val="20"/>
          <w:szCs w:val="20"/>
        </w:rPr>
        <w:t xml:space="preserve">Có yêu cầu của Lãnh đạo Viện hoặc cơ quan có thẩm quyền.</w:t>
      </w:r>
    </w:p>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5. VAI TRÒ VÀ PHÂN QUYỀN</w:t>
      </w:r>
    </w:p>
    <w:p>
      <w:pPr>
        <w:pStyle w:val="Heading2"/>
        <w:spacing w:after="80" w:before="200"/>
      </w:pPr>
      <w:r>
        <w:rPr>
          <w:rFonts w:ascii="Arial" w:cs="Arial" w:eastAsia="Arial" w:hAnsi="Arial"/>
          <w:b/>
          <w:bCs/>
          <w:color w:val="2E5FA3"/>
          <w:sz w:val="24"/>
          <w:szCs w:val="24"/>
        </w:rPr>
        <w:t xml:space="preserve">5.1. Vai trò hệ thống (4 vai trò nghiệp vụ + 2 vai trò tra cứu)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70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Quyền chính và trách nhiệm</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Super Admin</w:t>
            </w:r>
          </w:p>
        </w:tc>
        <w:tc>
          <w:tcPr>
            <w:tcW w:type="dxa" w:w="70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Cấu hình menu, biểu mẫu, workflow, trạng thái, phân quyền, cảnh báo, QR, chữ ký số, API, sao lưu, bảo mật và nhật ký hệ thống. KHÔNG phê duyệt nội dung chuyên môn, không kết luận năng lực, không sửa dữ liệu đã phê duyệt.</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Lãnh đạo Viện</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Phê duyệt nội bộ bản công bố/thông báo; phê duyệt điều chỉnh, tạm dừng, khôi phục, hủy bỏ; khóa phiên bản công khai. Là CẤP PHÊ DUYỆT CUỐI CÙNG.</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Lãnh đạo phòng</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Lập/duyệt kế hoạch đánh giá; phân công người thực hiện; soát xét kết quả đánh giá; kết luận đủ/không đủ điều kiện; đề xuất tạm dừng/khôi phục; trình Lãnh đạo Viện phê duyệt.</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Người thực hiện / Public user</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Tạo hồ sơ P21; nhập dữ liệu/bằng chứng; thực hiện checklist; lập và gửi bản công bố/thông báo; cập nhật bằng chứng tiếp nhận; cập nhật thông tin công khai theo phân công.</w:t>
            </w:r>
          </w:p>
        </w:tc>
      </w:tr>
      <w:tr>
        <w:tc>
          <w:tcPr>
            <w:tcW w:type="dxa" w:w="2000"/>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Người ngoài ETV</w:t>
            </w:r>
          </w:p>
        </w:tc>
        <w:tc>
          <w:tcPr>
            <w:tcW w:type="dxa" w:w="7026"/>
            <w:tcBorders>
              <w:top w:val="single" w:color="AAAAAA" w:sz="6"/>
              <w:left w:val="single" w:color="AAAAAA" w:sz="6"/>
              <w:bottom w:val="single" w:color="AAAAAA" w:sz="6"/>
              <w:right w:val="single" w:color="AAAAAA"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Thanh tra, đoàn kiểm tra, cơ quan quản lý nhà nước hoặc tổ chức được cấp quyền phục vụ hậu kiểm. Chỉ được xem có kiểm soát: giới hạn theo hồ sơ, phạm vi, thời hạn, mục đích; mọi truy cập phải ghi nhật ký.</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Khách hàng / Người xem</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Chỉ tra cứu thông tin đã công khai: tên đối tượng, phạm vi năng lực, trạng thái hiệu lực, QR xác thực, thông tin liên hệ. KHÔNG được xem hồ sơ nội bộ, bằng chứng đánh giá, dữ liệu chi tiết nhân sự/thiết bị, nhật ký thao tác.</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5.2. Ma trận quyền thao tác</w:t>
      </w:r>
    </w:p>
    <w:p>
      <w:pPr>
        <w:spacing w:after="60" w:before="60"/>
        <w:jc w:val="left"/>
      </w:pPr>
      <w:r>
        <w:rPr>
          <w:rFonts w:ascii="Arial" w:cs="Arial" w:eastAsia="Arial" w:hAnsi="Arial"/>
          <w:b w:val="false"/>
          <w:bCs w:val="false"/>
          <w:color w:val="555555"/>
          <w:sz w:val="18"/>
          <w:szCs w:val="18"/>
        </w:rPr>
        <w:t xml:space="preserve">SA = Super Admin; LĐ Viện = Lãnh đạo Viện; LĐ Phòng = Lãnh đạo phòng; Người TH = Người thực hiện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1000"/>
        <w:gridCol w:w="1000"/>
        <w:gridCol w:w="900"/>
        <w:gridCol w:w="1526"/>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 P21</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w:t>
            </w:r>
          </w:p>
        </w:tc>
        <w:tc>
          <w:tcPr>
            <w:tcW w:type="dxa" w:w="1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LĐ Viện</w:t>
            </w:r>
          </w:p>
        </w:tc>
        <w:tc>
          <w:tcPr>
            <w:tcW w:type="dxa" w:w="1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LĐ Phòng</w:t>
            </w:r>
          </w:p>
        </w:tc>
        <w:tc>
          <w:tcPr>
            <w:tcW w:type="dxa" w:w="1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Ngoài ETV</w:t>
            </w:r>
          </w:p>
        </w:tc>
        <w:tc>
          <w:tcPr>
            <w:tcW w:type="dxa" w:w="15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Khách hàng</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Cấu hình menu/workflow/biểu mẫu</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Đề xuất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Tạo mới hồ sơ P21</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Phân công</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Nhập, sửa dữ liệu nháp</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Soát xét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kế hoạch đánh giá</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Phê duyệt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Đề xuất</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Thực hiện checklist</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Giám sát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Kết luận đủ/không đủ điều kiện</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Kết luận</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Đề xuất</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Phê duyệt công bố/thông báo</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Trình duyệt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Lập hồ sơ</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Công khai phạm vi năng lực</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Cấu hình kênh</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Phê duyệt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Kiểm tra</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Cập nhật</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 hạn chế</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Xem công khai</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dừng/khôi phục/hủy bỏ</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Đề xuất</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Lập hồ sơ</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 cứu QR/danh mục công khai</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w:t>
            </w:r>
          </w:p>
        </w:tc>
      </w:tr>
      <w:tr>
        <w:tc>
          <w:tcPr>
            <w:tcW w:type="dxa" w:w="2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Sửa dữ liệu đã phê duyệt</w:t>
            </w:r>
          </w:p>
        </w:tc>
        <w:tc>
          <w:tcPr>
            <w:tcW w:type="dxa" w:w="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9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1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6. QUY TẮC NGHIỆP VỤ BẮT BUỘC (BUSINESS RULES)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quy tắc</w:t>
            </w:r>
          </w:p>
        </w:tc>
        <w:tc>
          <w:tcPr>
            <w:tcW w:type="dxa" w:w="61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BR1</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Ký số khóa dữ liệu</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Sau khi ký số bản công bố/thông báo, ManLab KHÔNG cho sửa nội dung. Mọi thay đổi phải qua phiên bản mới (tạo hồ sơ điều chỉnh).</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BR2</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Cơ quan tiếp nhận – Đo lường</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Gửi bản công bố theo Mẫu 01 Phụ lục I.3.3 đến Trung tâm Phục vụ hành chính công cấp tỉnh. UBND tỉnh ghi nhận trong 03 ngày làm việc.</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BR3</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Cơ quan tiếp nhận – QTMT</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Gửi thông báo theo Mẫu 9.01 đến Bộ NN&amp;MT. BẮT BUỘC thực hiện TRƯỚC KHI cung cấp dịch vụ quan trắc môi trường.</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BR4</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tự sinh</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ManLab tạo mã QR tra cứu khi hồ sơ chuyển sang Đã công khai. QR chỉ dẫn đến phạm vi Công khai/Còn hiệu lực.</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BR5</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Chặn sử dụng</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ManLab chặn hoặc cảnh báo mạnh khi chọn phạm vi Tạm dừng/Đang điều chỉnh/Hủy bỏ/Hết hiệu lực trong báo giá, hợp đồng, biên bản, chứng chỉ, phiếu kết quả, báo cáo quan trắc.</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BR6</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Báo cáo hằng năm QTMT</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Lập theo Mẫu 9.02 và gửi Bộ NN&amp;MT TRƯỚC ngày 30/01 năm tiếp theo. ManLab cảnh báo đến hạn trước 30 ngày.</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BR7</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Không bỏ bước</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Mọi chuyển trạng thái phải phát sinh từ phiếu/quyết định/kết quả đánh giá. CẤM sửa trực tiếp trạng thái. Ghi đầy đủ nhật ký: người, thời điểm, lý do.</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BR8</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Hiệu lực pháp lý</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Cơ chế tự công bố/thông báo áp dụng đến 28/02/2027. ManLab cảnh báo rà soát trước 60 ngày.</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BR9</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Hồ sơ cha–con</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Mỗi hồ sơ phải có ít nhất một dòng con (PTĐ/đối tượng). KHÔNG cho công bố/thông báo hồ sơ không có dòng con đạt.</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BR10</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Công bố phần đạt</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Trong một hồ sơ nhiều dòng con, chỉ công bố các dòng Đáp ứng. Dòng Không đáp ứng giữ Yêu cầu bổ sung. Bắt buộc có lý do + ảnh bằng chứng.</w:t>
            </w:r>
          </w:p>
        </w:tc>
      </w:tr>
      <w:tr>
        <w:tc>
          <w:tcPr>
            <w:tcW w:type="dxa" w:w="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BR11</w:t>
            </w:r>
          </w:p>
        </w:tc>
        <w:tc>
          <w:tcPr>
            <w:tcW w:type="dxa" w:w="22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Ghi ngược có kiểm soát</w:t>
            </w:r>
          </w:p>
        </w:tc>
        <w:tc>
          <w:tcPr>
            <w:tcW w:type="dxa" w:w="61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P21 KHÔNG sửa trực tiếp Danh mục PTĐ. Khi hồ sơ Đã công khai, Danh mục PTĐ tự ghi năng lực đã công bố và chuyển PTĐ sang Đang sử dụng theo sự kiện, ghi nhật ký hai phía.</w:t>
            </w:r>
          </w:p>
        </w:tc>
      </w:tr>
      <w:tr>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BR12</w:t>
            </w:r>
          </w:p>
        </w:tc>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Phân quyền tách biệt</w:t>
            </w:r>
          </w:p>
        </w:tc>
        <w:tc>
          <w:tcPr>
            <w:tcW w:type="dxa" w:w="6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 Admin KHÔNG phê duyệt nội dung chuyên môn. Người đánh giá không được tự phê duyệt hồ sơ do chính mình lập. Kiểm soát xung đột lợi ích bắt buộc.</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7.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Hệ thống / Dịch vụ</w:t>
            </w:r>
          </w:p>
        </w:tc>
        <w:tc>
          <w:tcPr>
            <w:tcW w:type="dxa" w:w="68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tích hợp</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Chữ ký số</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 CA hoặc USB Token cho bước ký bản công bố/thông báo và phê duyệt nội bộ. Sau ký số: ManLab khóa dữ liệu, ghi hash tài liệu vào nhật ký.</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Cổng dịch vụ công</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gửi hồ sơ trực tuyến và nhận biên nhận/mã hồ sơ từ cổng dịch vụ công tỉnh (đo lường) hoặc Bộ NN&amp;MT (QTMT), khi cơ quan tiếp nhận hỗ trợ giao tiếp điện tử.</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Danh mục PTĐ</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chỉ-đọc (one-way) để lấy thông tin và trạng thái PTĐ tại thời điểm lập kế hoạch (snapshot). Sự kiện công khai từ P21 → Danh mục PTĐ cập nhật trạng thái PTĐ (ghi ngược có kiểm soát).</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Các danh mục ManLab</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Menu Đánh giá năng lực tự lấy dữ liệu từ: Danh mục PTĐ, Danh mục Quy trình, Danh mục Chuẩn đo lường, Danh mục Nhân sự, Danh mục Chứng chỉ đo lường để đối chiếu checklist.</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Cổng tra cứu công khai</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Hiển thị năng lực còn hiệu lực kèm mã QR. QR chỉ dẫn đến URL xác thực trạng thái trên ManLab/website được phê duyệt. Không dẫn trực tiếp đến tệp chưa kiểm soát phiên bản.</w:t>
            </w:r>
          </w:p>
        </w:tc>
      </w:tr>
      <w:tr>
        <w:tc>
          <w:tcPr>
            <w:tcW w:type="dxa" w:w="22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Module nghiệp vụ khác</w:t>
            </w:r>
          </w:p>
        </w:tc>
        <w:tc>
          <w:tcPr>
            <w:tcW w:type="dxa" w:w="68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P21 cung cấp API tra cứu trạng thái phạm vi năng lực cho các module: Báo giá, Hợp đồng, Biên bản đo lường, Chứng chỉ, Phiếu kết quả, Báo cáo quan trắc – để thực hiện BR5 (chặn sử dụng phạm vi không hợp lệ).</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8. BIỂU MẪU VÀ ĐẦU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26"/>
        <w:gridCol w:w="2700"/>
      </w:tblGrid>
      <w:tr>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biểu mẫu</w:t>
            </w:r>
          </w:p>
        </w:tc>
        <w:tc>
          <w:tcPr>
            <w:tcW w:type="dxa" w:w="45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biểu mẫu / hồ sơ</w:t>
            </w:r>
          </w:p>
        </w:tc>
        <w:tc>
          <w:tcPr>
            <w:tcW w:type="dxa" w:w="2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Vị trí trên ManLab</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F21.01</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đề xuất tạo mới hồ sơ P21 / PTĐ / năng lực dự kiến</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Tổng quan / Đối tượng năng lực</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F21.02</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 hoạch đánh giá năng lực</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Kế hoạch</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F21.03</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Checklist đánh giá (hồ sơ, kỹ thuật, đo lường, QTMT, ManLab)</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Đánh giá</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F21.04</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 công bố năng lực kiểm định, hiệu chuẩn, thử nghiệm PTĐ/chuẩn đo lường (Mẫu 01, NQ 66.18)</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Công bố / Công khai</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F21.05</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rà soát năng lực hoạt động dịch vụ quan trắc môi trường</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Đánh giá</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F21.06</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Thông báo hoạt động dịch vụ quan trắc môi trường (Mẫu 9.01, NQ 66.19)</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Công bố / Công khai</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F21.07</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Báo cáo hoạt động dịch vụ quan trắc môi trường hằng năm (Mẫu 9.02, NQ 66.19)</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Hậu kiểm / Báo cáo</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F21.08</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phê duyệt nội bộ công bố / thông báo năng lực</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Phê duyệt</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F21.09</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điều chỉnh công bố / thông báo năng lực</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Điều chỉnh</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F21.10</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tạm dừng / khôi phục phạm vi năng lực</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Tạm dừng</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F21.11</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Phiếu hủy bỏ công bố / thông báo năng lực</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Hủy bỏ</w:t>
            </w:r>
          </w:p>
        </w:tc>
      </w:tr>
      <w:tr>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ETV.MP F21.12</w:t>
            </w:r>
          </w:p>
        </w:tc>
        <w:tc>
          <w:tcPr>
            <w:tcW w:type="dxa" w:w="45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Danh mục năng lực công khai và nhật ký thay đổi</w:t>
            </w:r>
          </w:p>
        </w:tc>
        <w:tc>
          <w:tcPr>
            <w:tcW w:type="dxa" w:w="2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Công khai / Nhật ký</w:t>
            </w:r>
          </w:p>
        </w:tc>
      </w:tr>
      <w:tr>
        <w:tc>
          <w:tcPr>
            <w:tcW w:type="dxa" w:w="18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tra cứu</w:t>
            </w:r>
          </w:p>
        </w:tc>
        <w:tc>
          <w:tcPr>
            <w:tcW w:type="dxa" w:w="45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Mã QR sinh tự động khi công khai năng lực; QR trỏ đến trang xác thực ManLab/website</w:t>
            </w:r>
          </w:p>
        </w:tc>
        <w:tc>
          <w:tcPr>
            <w:tcW w:type="dxa" w:w="27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Sinh tự động khi chuyển trạng thái Đã công khai</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9.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 yêu cầu</w:t>
            </w:r>
          </w:p>
        </w:tc>
        <w:tc>
          <w:tcPr>
            <w:tcW w:type="dxa" w:w="70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Nhật ký thao tác</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Ghi đầy đủ cho mọi chuyển trạng thái và thao tác ký/gửi/công khai. Ghi: người thực hiện, thời điểm, địa chỉ thiết bị/phiên đăng nhập, trường dữ liệu thay đổi, giá trị cũ/mới, lý do, tài liệu kèm theo.</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Phân quyền</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Tách quyền cấu hình (Super Admin) khỏi quyền phê duyệt nghiệp vụ (Lãnh đạo Viện). Người đánh giá không tự phê duyệt hồ sơ do chính mình lập.</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Lưu trữ và truy xuất</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Lưu trữ và truy xuất được mọi phiên bản hồ sơ, bằng chứng, quyết định. Hồ sơ công bố/thông báo, điều chỉnh, tạm dừng, hủy bỏ lưu tối thiểu 05 năm. Không xóa dữ liệu hủy bỏ.</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Kiểm soát phiên bản</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Mỗi lần sửa bản công bố/thông báo phải tạo phiên bản mới; không xóa phiên bản cũ. Mọi bản xuất ngoài hệ thống phải có mã hồ sơ, mã phiên bản, ngày xuất và QR xác thực.</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Bảo mật</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Bảo mật dữ liệu ký số và dữ liệu cá nhân; sao lưu định kỳ. Phân quyền truy cập, che/mã hóa dữ liệu khi công khai. Tuân thủ Nghị định 13/2023/NĐ-CP về bảo vệ dữ liệu cá nhân.</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Cảnh báo tự động</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Hết hiệu lực chứng chỉ hiệu chuẩn/kiểm định; nhân sự chưa đào tạo/phân quyền hết hiệu lực; phương pháp bị thay thế/chưa phê duyệt; đến hạn báo cáo hằng năm; đến hạn rà soát pháp lý 28/02/2027 (cảnh báo trước 60 ngày); thay đổi dữ liệu liên kết từ các danh mục.</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Hiệu năng</w:t>
            </w:r>
          </w:p>
        </w:tc>
        <w:tc>
          <w:tcPr>
            <w:tcW w:type="dxa" w:w="70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 cứu trạng thái theo từng dòng phạm vi phải phản hồi trong vòng 3 giây. Sinh QR phải hoàn thành trong vòng 5 giây sau khi hồ sơ chuyển trạng thái Đã công khai.</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PHỤ LỤC A – MA TRẬN CHECKLIST ĐÁNH GIÁ NĂNG LỰC</w:t>
      </w:r>
    </w:p>
    <w:p>
      <w:pPr>
        <w:spacing w:after="60" w:before="60"/>
        <w:jc w:val="left"/>
      </w:pPr>
      <w:r>
        <w:rPr>
          <w:rFonts w:ascii="Arial" w:cs="Arial" w:eastAsia="Arial" w:hAnsi="Arial"/>
          <w:b w:val="false"/>
          <w:bCs w:val="false"/>
          <w:color w:val="555555"/>
          <w:sz w:val="18"/>
          <w:szCs w:val="18"/>
        </w:rPr>
        <w:t xml:space="preserve">Ghi chú: Đ = Đạt; KĐ = Không đạt; KAD = Không áp dụng. Mỗi tiêu chí Không đạt phải có: mô tả sai lệch, mức độ ảnh hưởng, người chịu trách nhiệm và thời hạn khắc phục.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126"/>
        <w:gridCol w:w="2000"/>
        <w:gridCol w:w="700"/>
      </w:tblGrid>
      <w:tr>
        <w:tc>
          <w:tcPr>
            <w:tcW w:type="dxa" w:w="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 tiêu chí</w:t>
            </w:r>
          </w:p>
        </w:tc>
        <w:tc>
          <w:tcPr>
            <w:tcW w:type="dxa" w:w="41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kiểm tra</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Bằng chứng tối thiểu</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luận</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Pháp lý / Hồ sơ tổ chức</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Tên tổ chức, địa chỉ, người đại diện, chức năng hoạt động, căn cứ pháp lý, mã số hồ sơ, phiên bản, chữ ký và tính thống nhất giữa bản công bố/thông báo, danh mục phạm vi, checklist và tài liệu kèm theo. Kiểm tra thuật ngữ: không dùng nhầm "đăng ký/cấp giấy chứng nhận" khi đã chuyển sang cơ chế công bố/thông báo.</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Giấy tờ pháp nhân, quyết định chức năng, bản công bố/thông báo dự thảo, mẫu biểu áp dụng</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Hệ thống quản lý</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ETV.QM; kiểm soát tài liệu, hồ sơ, rủi ro, bảo mật, khách quan; đánh giá nội bộ; xem xét lãnh đạo; hành động khắc phục.</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Thủ tục, hồ sơ đánh giá, xem xét lãnh đạo, hành động khắc phục</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Nhân sự</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Năng lực, đào tạo, kinh nghiệm, giám sát, phân công nhiệm vụ, thẩm quyền thực hiện/soát xét/phê duyệt kết quả, hồ sơ giám sát năng lực.</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Hồ sơ năng lực, quyết định phân công, bảng ma trận năng lực</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Thiết bị / Chuẩn đo lường</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Hiệu lực hiệu chuẩn/kiểm định, liên kết chuẩn, bảo trì, kiểm tra trung gian, kiểm soát truy cập, sao lưu dữ liệu, phần mềm tính toán.</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Chứng chỉ, tem/nhãn, nhật ký sử dụng, kế hoạch bảo trì</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Phương pháp / Quy trình</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Phê duyệt phương pháp, xác nhận giá trị sử dụng hoặc kiểm tra xác nhận phương pháp, phiên bản, điều kiện áp dụng, tiêu chí chấp nhận, hướng dẫn tính toán.</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Quy trình, biểu mẫu tính, biên bản xác nhận phương pháp</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Độ không đảm bảo đo / MPE</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Mô hình đo, ngân sách U, hệ số phủ, tiêu chí MPE; kết quả tính toán được xem xét, phê duyệt và lưu hồ sơ.</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Bảng tính, phê duyệt kỹ thuật, kết quả kiểm tra</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QA / QC</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Kiểm soát chất lượng nội bộ, thử nghiệm thành thạo/so sánh liên phòng, mẫu chuẩn, biểu đồ kiểm soát, xử lý công việc không phù hợp.</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 hoạch, kết quả, đánh giá xu hướng, hành động khắc phục</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Quan trắc môi trường (QTMT)</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Nền mẫu, thông số, LOD/LOQ, hiện trường, phân tích; tư cách pháp nhân/chức năng phù hợp; LOQ đáp ứng quy chuẩn kỹ thuật môi trường; quy trình QA/QC bao trùm lấy mẫu–bảo quản–vận chuyển–phân tích–phát hành kết quả.</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Danh mục phép thử, hồ sơ LOD/LOQ, SOP lấy mẫu/phân tích, báo cáo QA/QC</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Dữ liệu / ManLab</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 phân quyền, nhật ký, QR, trạng thái, cơ chế chặn sử dụng phạm vi không hợp lệ, kiểm soát phiên bản.</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hệ thống, ảnh chụp công khai, cấu hình workflow</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r>
        <w:tc>
          <w:tcPr>
            <w:tcW w:type="dxa" w:w="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10</w:t>
            </w:r>
          </w:p>
        </w:tc>
        <w:tc>
          <w:tcPr>
            <w:tcW w:type="dxa" w:w="18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Công khai</w:t>
            </w:r>
          </w:p>
        </w:tc>
        <w:tc>
          <w:tcPr>
            <w:tcW w:type="dxa" w:w="41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Nội dung, phiên bản, ngày hiệu lực, trạng thái hiển thị (Còn hiệu lực / Tạm dừng / Hủy bỏ / Hết hiệu lực), lý do và ngày hiệu lực trạng thái.</w:t>
            </w:r>
          </w:p>
        </w:tc>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Link/QR, bản công khai, nhật ký công khai</w:t>
            </w:r>
          </w:p>
        </w:tc>
        <w:tc>
          <w:tcPr>
            <w:tcW w:type="dxa" w:w="7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Đ / KĐ / KAD</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PHỤ LỤC B – MÔ HÌNH DỮ LIỆU TỐI THIỂU CHO P21</w:t>
      </w:r>
    </w:p>
    <w:p>
      <w:pPr>
        <w:spacing w:after="60" w:before="60"/>
        <w:jc w:val="left"/>
      </w:pPr>
      <w:r>
        <w:rPr>
          <w:rFonts w:ascii="Arial" w:cs="Arial" w:eastAsia="Arial" w:hAnsi="Arial"/>
          <w:b w:val="false"/>
          <w:bCs w:val="false"/>
          <w:color w:val="555555"/>
          <w:sz w:val="20"/>
          <w:szCs w:val="20"/>
        </w:rPr>
        <w:t xml:space="preserve">Ràng buộc quan trọng: p21_items.catalog_ref_id chỉ là khóa tham chiếu TÙY CHỌN đến Danh mục PTĐ. Trạng thái pháp lý/công bố của đối tượng năng lực được quản lý bằng item_status và pub_status của P21 – độc lập với Danh mục PTĐ.</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 dữ liệu</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đích</w:t>
            </w:r>
          </w:p>
        </w:tc>
        <w:tc>
          <w:tcPr>
            <w:tcW w:type="dxa" w:w="462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khóa / chính</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p21_records</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Quản lý hồ sơ P21 (bảng cha)</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record_id, record_code, record_type (Đo lường/QTMT), field, owner_unit, status_record, status_public, created_by, created_at, version</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p21_items</w:t>
            </w:r>
          </w:p>
        </w:tc>
        <w:tc>
          <w:tcPr>
            <w:tcW w:type="dxa" w:w="2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Quản lý PTĐ/đối tượng năng lực (bảng con)</w:t>
            </w:r>
          </w:p>
        </w:tc>
        <w:tc>
          <w:tcPr>
            <w:tcW w:type="dxa" w:w="4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item_id, record_id, item_name, item_type (kiểm định/hiệu chuẩn/thử nghiệm/QTMT), scope, unit, mpe, uncertainty, lod, loq, method_id, catalog_ref_id (tùy chọn), item_status</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p21_plans</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Kế hoạch đánh giá</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plan_id, record_id, criteria, assessors (JSON), start_date, due_date, plan_status, approved_by</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p21_snapshots</w:t>
            </w:r>
          </w:p>
        </w:tc>
        <w:tc>
          <w:tcPr>
            <w:tcW w:type="dxa" w:w="2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Ảnh chụp dữ liệu tham chiếu tại thời điểm lập kế hoạch</w:t>
            </w:r>
          </w:p>
        </w:tc>
        <w:tc>
          <w:tcPr>
            <w:tcW w:type="dxa" w:w="4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snapshot_id, record_id, item_id, source_table, source_id, snapshot_json, snapshot_at</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p21_evidence</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Tệp và bằng chứng đính kèm</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evidence_id, record_id, item_id, evidence_type, file_hash, file_path, version, uploaded_by, uploaded_at</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p21_assessments</w:t>
            </w:r>
          </w:p>
        </w:tc>
        <w:tc>
          <w:tcPr>
            <w:tcW w:type="dxa" w:w="2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Checklist và kết luận đánh giá từng dòng con</w:t>
            </w:r>
          </w:p>
        </w:tc>
        <w:tc>
          <w:tcPr>
            <w:tcW w:type="dxa" w:w="4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assessment_id, record_id, item_id, criterion_id, result (Đáp ứng/Không đáp ứng/Điều chỉnh), finding, risk_level, corrective_action, photo_evidence</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p21_publications</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Bản công bố / thông báo</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publication_id, record_id, pub_type (Mẫu01/Mẫu9.01), pub_code, pub_version, pub_status, submitted_at, received_at, public_url, qr_code, doc_hash</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p21_suspensions</w:t>
            </w:r>
          </w:p>
        </w:tc>
        <w:tc>
          <w:tcPr>
            <w:tcW w:type="dxa" w:w="2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Tạm dừng / khôi phục phạm vi</w:t>
            </w:r>
          </w:p>
        </w:tc>
        <w:tc>
          <w:tcPr>
            <w:tcW w:type="dxa" w:w="4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suspension_id, record_id, item_id, reason, approved_by, suspended_at, restored_at, corrective_plan</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p21_changes</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Điều chỉnh / hủy bỏ phiên bản</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change_id, record_id, change_type, old_version, new_version, reason, effective_date, approved_by</w:t>
            </w:r>
          </w:p>
        </w:tc>
      </w:tr>
      <w:tr>
        <w:tc>
          <w:tcPr>
            <w:tcW w:type="dxa" w:w="20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p21_audit_logs</w:t>
            </w:r>
          </w:p>
        </w:tc>
        <w:tc>
          <w:tcPr>
            <w:tcW w:type="dxa" w:w="2400"/>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Nhật ký thao tác (audit trail)</w:t>
            </w:r>
          </w:p>
        </w:tc>
        <w:tc>
          <w:tcPr>
            <w:tcW w:type="dxa" w:w="4626"/>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log_id, actor_id, action, object_type, object_id, old_value, new_value, reason, timestamp, session_info</w:t>
            </w:r>
          </w:p>
        </w:tc>
      </w:tr>
      <w:tr>
        <w:tc>
          <w:tcPr>
            <w:tcW w:type="dxa" w:w="20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p21_alerts</w:t>
            </w:r>
          </w:p>
        </w:tc>
        <w:tc>
          <w:tcPr>
            <w:tcW w:type="dxa" w:w="2400"/>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Cảnh báo tự động</w:t>
            </w:r>
          </w:p>
        </w:tc>
        <w:tc>
          <w:tcPr>
            <w:tcW w:type="dxa" w:w="4626"/>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alert_id, record_id, item_id, alert_type, trigger_date, threshold_days, is_resolved, resolved_at, resolved_by</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28"/>
          <w:szCs w:val="28"/>
        </w:rPr>
        <w:t xml:space="preserve">PHỤ LỤC C – BIỂU MẪU ĐIỆN TỬ ÁP DỤNG TRÊN MANLAB</w:t>
      </w:r>
    </w:p>
    <w:p>
      <w:pPr>
        <w:pStyle w:val="Heading3"/>
        <w:spacing w:after="60" w:before="160"/>
      </w:pPr>
      <w:r>
        <w:rPr>
          <w:rFonts w:ascii="Arial" w:cs="Arial" w:eastAsia="Arial" w:hAnsi="Arial"/>
          <w:b/>
          <w:bCs/>
          <w:color w:val="2E5FA3"/>
          <w:sz w:val="22"/>
          <w:szCs w:val="22"/>
        </w:rPr>
        <w:t xml:space="preserve">C.1. ETV.MP F21.01 – Phiếu đề xuất tạo mới hồ sơ P21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thông tin</w:t>
            </w:r>
          </w:p>
        </w:tc>
        <w:tc>
          <w:tcPr>
            <w:tcW w:type="dxa" w:w="5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 Hướng dẫn nhập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Mã hồ sơ P21</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sinh bởi ManLab (dạng P21-YYYY-NNN)</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Loại hồ sơ</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Dropdown: Công bố lần đầu / Bổ sung phạm vi / Điều chỉnh / Tạm dừng / Khôi phục / Hủy bỏ</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Lĩnh vực</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Dropdown: Đo lường / Quan trắc môi trường / Kết hợp</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Tên PTĐ / nền mẫu / thông số</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 hoặc liên kết Danh mục PTĐ)</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Phạm vi đo / nền mẫu</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Cấp / Độ chính xác / MPE / U / LOD / LOQ</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 đơn vị rõ ràng)</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Quy trình / phương pháp</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Danh mục Quy trình hoặc nhập mã tài liệu</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Nhân sự dự kiến</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Danh mục Nhân sự</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Thiết bị / chuẩn / vật liệu chuẩn</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Danh mục Thiết bị / Chuẩn đo lường</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Mức độ ưu tiên</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Dropdown: Khẩn / Bình thường / Thấp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Hạn hoàn thành</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Chọn ngày (date picker)</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Lý do đề xuất</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Người đề xuất / Ngày</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động lấy từ tài khoản đăng nhập</w:t>
            </w:r>
          </w:p>
        </w:tc>
      </w:tr>
    </w:tbl>
    <w:p>
      <w:pPr>
        <w:spacing w:after="60" w:before="60"/>
      </w:pPr>
      <w:r>
        <w:t xml:space="preserve"/>
      </w:r>
    </w:p>
    <w:p>
      <w:pPr>
        <w:pStyle w:val="Heading3"/>
        <w:spacing w:after="60" w:before="160"/>
      </w:pPr>
      <w:r>
        <w:rPr>
          <w:rFonts w:ascii="Arial" w:cs="Arial" w:eastAsia="Arial" w:hAnsi="Arial"/>
          <w:b/>
          <w:bCs/>
          <w:color w:val="2E5FA3"/>
          <w:sz w:val="22"/>
          <w:szCs w:val="22"/>
        </w:rPr>
        <w:t xml:space="preserve">C.2. ETV.MP F21.02 – Kế hoạch đánh giá năng lực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thông tin</w:t>
            </w:r>
          </w:p>
        </w:tc>
        <w:tc>
          <w:tcPr>
            <w:tcW w:type="dxa" w:w="5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 Hướng dẫn nhập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Mã hồ sơ P21</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tự động từ hồ sơ cha</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Mục tiêu đánh giá</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Xác nhận phạm vi dự kiến đủ điều kiện công bố/thông báo/điều chỉnh/khôi phục/hủy bỏ</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Phạm vi đánh giá</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Danh mục PTĐ/chuẩn/phép thử/thông số/nền mẫu; địa điểm; quy trình; nhân sự; thiết bị; thời hạn</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Tiêu chí đánh giá</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Văn bản pháp luật; ISO/IEC 17025; ETV.QM; quy trình chuyên môn; MPE; U; LOD/LOQ; QA/QC</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Đoàn đánh giá</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Danh mục Nhân sự (ít nhất: người đánh giá kỹ thuật + người đánh giá hệ thống)</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Tài liệu cần chuẩn bị</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 danh mục)</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Lịch trình</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Ngày bắt đầu, ngày kết thúc, thời hạn khắc phục, ngày phê duyệt nội bộ, thời hạn gửi/công khai</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Đầu ra dự kiến</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Checklist, biên bản, danh mục điểm KPH/khuyến nghị, kết luận, dự thảo bản công bố/thông báo</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Phê duyệt kế hoạch</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Lãnh đạo phòng xác nhận + ký số</w:t>
            </w:r>
          </w:p>
        </w:tc>
      </w:tr>
    </w:tbl>
    <w:p>
      <w:pPr>
        <w:spacing w:after="60" w:before="60"/>
      </w:pPr>
      <w:r>
        <w:t xml:space="preserve"/>
      </w:r>
    </w:p>
    <w:p>
      <w:pPr>
        <w:pStyle w:val="Heading3"/>
        <w:spacing w:after="60" w:before="160"/>
      </w:pPr>
      <w:r>
        <w:rPr>
          <w:rFonts w:ascii="Arial" w:cs="Arial" w:eastAsia="Arial" w:hAnsi="Arial"/>
          <w:b/>
          <w:bCs/>
          <w:color w:val="2E5FA3"/>
          <w:sz w:val="22"/>
          <w:szCs w:val="22"/>
        </w:rPr>
        <w:t xml:space="preserve">C.3. ETV.MP F21.10 – Phiếu tạm dừng / khôi phục phạm vi năng lực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thông tin</w:t>
            </w:r>
          </w:p>
        </w:tc>
        <w:tc>
          <w:tcPr>
            <w:tcW w:type="dxa" w:w="5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 Hướng dẫn nhập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Mã hồ sơ P21</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tự động</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Loại thao tác</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Dropdown: Tạm dừng / Khôi phục</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Phạm vi / đối tượng bị ảnh hưởng</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Chọn từ bảng con (dòng năng lực)</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Lý do tạm dừng</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 bắt buộc)</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Mức độ ảnh hưởng</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Ảnh hưởng kết quả / Ảnh hưởng pháp lý / Ảnh hưởng công khai / Khác</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Ngày bắt đầu tạm dừng</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Chọn ngày (date picker)</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Biện pháp chặn sử dụng trên ManLab</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động khi phê duyệt: chặn chọn trong nghiệp vụ, cập nhật QR/website</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Kế hoạch khắc phục</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(Người dùng nhập, bao gồm thời hạn)</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Kết quả đánh giá lại (khôi phục)</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hồ sơ đánh giá lại</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Kết luận</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Dropdown: Khôi phục / Điều chỉnh / Hủy bỏ / Tiếp tục tạm dừng</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Đề xuất bởi (Lãnh đạo phòng) / Phê duyệt (Lãnh đạo Viện)</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Chữ ký số</w:t>
            </w:r>
          </w:p>
        </w:tc>
      </w:tr>
    </w:tbl>
    <w:p>
      <w:pPr>
        <w:spacing w:after="60" w:before="60"/>
      </w:pPr>
      <w:r>
        <w:t xml:space="preserve"/>
      </w:r>
    </w:p>
    <w:p>
      <w:pPr>
        <w:pStyle w:val="Heading3"/>
        <w:spacing w:after="60" w:before="160"/>
      </w:pPr>
      <w:r>
        <w:rPr>
          <w:rFonts w:ascii="Arial" w:cs="Arial" w:eastAsia="Arial" w:hAnsi="Arial"/>
          <w:b/>
          <w:bCs/>
          <w:color w:val="2E5FA3"/>
          <w:sz w:val="22"/>
          <w:szCs w:val="22"/>
        </w:rPr>
        <w:t xml:space="preserve">C.4. ETV.MP F21.12 – Danh mục năng lực công khai và nhật ký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 thông tin</w:t>
            </w:r>
          </w:p>
        </w:tc>
        <w:tc>
          <w:tcPr>
            <w:tcW w:type="dxa" w:w="551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 Hướng dẫn nhập</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STT</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động</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Tên đối tượng / phạm vi</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Liên kết từ bảng con p21_items</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Mã phiên bản</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động từ pub_version</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Trạng thái</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Còn hiệu lực / Tạm dừng / Đang điều chỉnh / Hủy bỏ / Hết hiệu lực</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Ngày hiệu lực</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Ngày chuyển trạng thái</w:t>
            </w:r>
          </w:p>
        </w:tc>
      </w:tr>
      <w:tr>
        <w:tc>
          <w:tcPr>
            <w:tcW w:type="dxa" w:w="3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Lý do thay đổi trạng thái</w:t>
            </w:r>
          </w:p>
        </w:tc>
        <w:tc>
          <w:tcPr>
            <w:tcW w:type="dxa" w:w="5513"/>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Từ nhật ký thao tác p21_audit_logs</w:t>
            </w:r>
          </w:p>
        </w:tc>
      </w:tr>
      <w:tr>
        <w:tc>
          <w:tcPr>
            <w:tcW w:type="dxa" w:w="3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Link / QR tra cứu</w:t>
            </w:r>
          </w:p>
        </w:tc>
        <w:tc>
          <w:tcPr>
            <w:tcW w:type="dxa" w:w="5513"/>
            <w:tcBorders>
              <w:top w:val="single" w:color="AAAAAA" w:sz="6"/>
              <w:left w:val="single" w:color="AAAAAA" w:sz="6"/>
              <w:bottom w:val="single" w:color="AAAAAA" w:sz="6"/>
              <w:right w:val="single" w:color="AAAAAA" w:sz="6"/>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 sinh tự động từ pub_url / qr_code</w:t>
            </w:r>
          </w:p>
        </w:tc>
      </w:tr>
    </w:tbl>
    <w:p>
      <w:pPr>
        <w:spacing w:after="60" w:before="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888888"/>
        <w:sz w:val="18"/>
        <w:szCs w:val="18"/>
      </w:rPr>
      <w:t xml:space="preserve">Viện Kiểm định Công nghệ và Môi trường (ETV)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2E5FA3"/>
        <w:sz w:val="18"/>
        <w:szCs w:val="18"/>
      </w:rPr>
      <w:t xml:space="preserve">ETV.MP21 – Đặc tả Module P21 ManLab</w:t>
    </w:r>
    <w:r>
      <w:rPr>
        <w:rFonts w:ascii="Arial" w:cs="Arial" w:eastAsia="Arial" w:hAnsi="Arial"/>
        <w:color w:val="888888"/>
        <w:sz w:val="18"/>
        <w:szCs w:val="18"/>
      </w:rPr>
      <w:t xml:space="preserve">    |    Phiên bản V6 – 27/06/2026    |    Mật độ: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2026-06-27T13:10:52.983Z</dcterms:created>
  <dcterms:modified xsi:type="dcterms:W3CDTF">2026-06-27T13:10:52.984Z</dcterms:modified>
</cp:coreProperties>
</file>

<file path=docProps/custom.xml><?xml version="1.0" encoding="utf-8"?>
<Properties xmlns="http://schemas.openxmlformats.org/officeDocument/2006/custom-properties" xmlns:vt="http://schemas.openxmlformats.org/officeDocument/2006/docPropsVTypes"/>
</file>