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VIỆN KIỂM ĐỊNH CÔNG NGHỆ VÀ MÔI TRƯỜNG (ETV)</w:t>
      </w:r>
    </w:p>
    <w:p>
      <w:pPr>
        <w:spacing w:after="60"/>
        <w:jc w:val="center"/>
      </w:pPr>
      <w:r>
        <w:rPr>
          <w:b/>
          <w:bCs/>
          <w:color w:val="1F4E79"/>
          <w:sz w:val="28"/>
          <w:szCs w:val="28"/>
        </w:rPr>
        <w:t xml:space="preserve">THỦ TỤC CÔNG BỐ, THÔNG BÁO VÀ KIỂM SOÁT NĂNG LỰC ĐO LƯỜNG VÀ QUAN TRẮC MÔI TRƯỜNG</w:t>
      </w:r>
    </w:p>
    <w:p>
      <w:pPr>
        <w:spacing w:after="160"/>
        <w:jc w:val="center"/>
      </w:pPr>
      <w:r>
        <w:rPr>
          <w:i/>
          <w:iCs/>
          <w:sz w:val="20"/>
          <w:szCs w:val="20"/>
        </w:rPr>
        <w:t xml:space="preserve">Procedure for notification, publication and control of metrological and environmental monitoring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Mã số</w:t>
            </w:r>
          </w:p>
        </w:tc>
        <w:tc>
          <w:tcPr>
            <w:tcW w:type="dxa" w:w="18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Lần ban hành</w:t>
            </w:r>
          </w:p>
        </w:tc>
        <w:tc>
          <w:tcPr>
            <w:tcW w:type="dxa" w:w="22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Ngày ban hành</w:t>
            </w:r>
          </w:p>
        </w:tc>
        <w:tc>
          <w:tcPr>
            <w:tcW w:type="dxa" w:w="3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Hiệu lực</w:t>
            </w:r>
          </w:p>
        </w:tc>
      </w:tr>
      <w:tr>
        <w:tc>
          <w:tcPr>
            <w:tcW w:type="dxa" w:w="20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ETV.MP 21</w:t>
            </w:r>
          </w:p>
        </w:tc>
        <w:tc>
          <w:tcPr>
            <w:tcW w:type="dxa" w:w="1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02</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26/06/2026</w:t>
            </w:r>
          </w:p>
        </w:tc>
        <w:tc>
          <w:tcPr>
            <w:tcW w:type="dxa" w:w="3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Đến 28/02/2027 (rà soát theo NQ 66.18 &amp; 66.19)</w:t>
            </w:r>
          </w:p>
        </w:tc>
      </w:tr>
    </w:tbl>
    <w:p>
      <w:pPr>
        <w:spacing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Biên soạn</w:t>
            </w:r>
          </w:p>
        </w:tc>
        <w:tc>
          <w:tcPr>
            <w:tcW w:type="dxa" w:w="312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Soát xét</w:t>
            </w:r>
          </w:p>
        </w:tc>
        <w:tc>
          <w:tcPr>
            <w:tcW w:type="dxa" w:w="312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Phê duyệt</w:t>
            </w:r>
          </w:p>
        </w:tc>
      </w:tr>
      <w:tr>
        <w:tc>
          <w:tcPr>
            <w:tcW w:type="dxa" w:w="312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Trần Thị Hoa</w:t>
            </w:r>
          </w:p>
        </w:tc>
        <w:tc>
          <w:tcPr>
            <w:tcW w:type="dxa" w:w="312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Nguyễn Ngọc Tuấn</w:t>
            </w:r>
          </w:p>
        </w:tc>
        <w:tc>
          <w:tcPr>
            <w:tcW w:type="dxa" w:w="312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Nguyễn Hoàng Giang</w:t>
            </w:r>
          </w:p>
        </w:tc>
      </w:tr>
    </w:tbl>
    <w:p>
      <w:pPr>
        <w:spacing w:after="100"/>
      </w:pPr>
      <w:r>
        <w:rPr>
          <w:sz w:val="22"/>
          <w:szCs w:val="22"/>
        </w:rPr>
        <w:t xml:space="preserve"/>
      </w:r>
    </w:p>
    <w:p>
      <w:pPr>
        <w:spacing w:after="100"/>
      </w:pPr>
      <w:r>
        <w:rPr>
          <w:b/>
          <w:bCs/>
          <w:sz w:val="22"/>
          <w:szCs w:val="22"/>
        </w:rPr>
        <w:t xml:space="preserve">THEO DÕI SỬA ĐỔI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60"/>
        <w:gridCol w:w="1500"/>
      </w:tblGrid>
      <w:tr>
        <w:trPr>
          <w:tblHeader/>
        </w:trPr>
        <w:tc>
          <w:tcPr>
            <w:tcW w:type="dxa" w:w="1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Ngày soát xét</w:t>
            </w:r>
          </w:p>
        </w:tc>
        <w:tc>
          <w:tcPr>
            <w:tcW w:type="dxa" w:w="61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Lý do soát xét / ban hành lại</w:t>
            </w:r>
          </w:p>
        </w:tc>
        <w:tc>
          <w:tcPr>
            <w:tcW w:type="dxa" w:w="15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Lần ban hành</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25/05/2026</w:t>
            </w:r>
          </w:p>
        </w:tc>
        <w:tc>
          <w:tcPr>
            <w:tcW w:type="dxa" w:w="6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Ban hành theo NQ 66.18/2026/NQ-CP và NQ 66.19/2026/NQ-CP về phân quyền, cắt giảm, đơn giản hóa TTHC, điều kiện kinh doanh; bổ sung tự công bố/thông báo năng lực dịch vụ QTMT và duy trì năng lực sau công bố.</w:t>
            </w:r>
          </w:p>
        </w:tc>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01</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26/06/2026</w:t>
            </w:r>
          </w:p>
        </w:tc>
        <w:tc>
          <w:tcPr>
            <w:tcW w:type="dxa" w:w="6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Chuẩn hóa thiết kế module P21 trên ManLab theo kiến trúc menu – trạng thái; làm rõ ánh xạ ba lớp trạng thái; bổ sung cơ quan tiếp nhận, thời hạn xử lý, báo cáo hằng năm; loại nội dung DCC/DMC chưa triển khai.</w:t>
            </w:r>
          </w:p>
        </w:tc>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02</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28/06/2026</w:t>
            </w:r>
          </w:p>
        </w:tc>
        <w:tc>
          <w:tcPr>
            <w:tcW w:type="dxa" w:w="6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Hợp nhất phần bổ sung V4 (Danh mục PTĐ – trường dữ liệu bắt buộc, luồng phê duyệt, điều kiện gate đầu vào Lập kế hoạch); hoàn thiện Phụ lục C đủ 12 biểu mẫu F21.01–F21.12.</w:t>
            </w:r>
          </w:p>
        </w:tc>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02</w:t>
            </w:r>
          </w:p>
        </w:tc>
      </w:tr>
    </w:tbl>
    <w:p>
      <w:r>
        <w:br w:type="page"/>
      </w:r>
    </w:p>
    <w:p>
      <w:pPr>
        <w:spacing w:after="100"/>
      </w:pPr>
      <w:r>
        <w:rPr>
          <w:b/>
          <w:bCs/>
          <w:color w:val="1F4E79"/>
          <w:sz w:val="24"/>
          <w:szCs w:val="24"/>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Phạm vi áp dụng</w:t>
      </w:r>
    </w:p>
    <w:p>
      <w:pPr>
        <w:spacing w:after="100"/>
      </w:pPr>
      <w:r>
        <w:rPr>
          <w:sz w:val="22"/>
          <w:szCs w:val="22"/>
        </w:rPr>
        <w:t xml:space="preserve">Thủ tục này được xây dựng phù hợp với Sổ tay chất lượng ETV.QM, yêu cầu ISO/IEC 17025:2017, ISO/IEC 17000, các quy định pháp luật hiện hành về tiêu chuẩn đo lường chất lượng, bảo vệ môi trường và yêu cầu chuyển đổi số. Thủ tục quy định phạm vi, trách nhiệm, trình tự thực hiện, hồ sơ cần duy trì và cách cấu hình trên ManLab để kiểm soát việc công bố, thông báo, công khai, duy trì, điều chỉnh, tạm dừng, khôi phục và hủy bỏ năng lực đo lường và dịch vụ quan trắc môi trường của Viện.</w:t>
      </w:r>
    </w:p>
    <w:p>
      <w:pPr>
        <w:spacing w:after="100"/>
      </w:pPr>
      <w:r>
        <w:rPr>
          <w:sz w:val="22"/>
          <w:szCs w:val="22"/>
        </w:rPr>
        <w:t xml:space="preserve">Thủ tục áp dụng cho các đơn vị, cá nhân liên quan đến thiết lập, đánh giá và duy trì năng lực hoạt động: Lãnh đạo Viện, Lãnh đạo phòng, bộ phận quan trắc/thử nghiệm môi trường, bộ phận quản lý chất lượng, bộ phận CNTT/ManLab và nhân sự kỹ thuật được phân công.</w:t>
      </w:r>
    </w:p>
    <w:p>
      <w:pPr>
        <w:spacing w:after="100"/>
      </w:pPr>
      <w:r>
        <w:rPr>
          <w:sz w:val="22"/>
          <w:szCs w:val="22"/>
        </w:rPr>
        <w:t xml:space="preserve">Phạm vi năng lực được kiểm soát trên Menu P21 – Kiểm soát sự phù hợp, độc lập với Danh mục Phương tiện đo nhưng liên kết dữ liệu để truy xuất nguồn gốc. Cơ chế tự công bố/thông báo theo NQ 66.18/2026/NQ-CP (đo lường) và NQ 66.19/2026/NQ-CP (QTMT) có hiệu lực đến 28/02/2027; sau thời hạn này phải rà soát cập nhật theo quy định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TT</w:t>
            </w:r>
          </w:p>
        </w:tc>
        <w:tc>
          <w:tcPr>
            <w:tcW w:type="dxa" w:w="2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Nhóm năng lực</w:t>
            </w:r>
          </w:p>
        </w:tc>
        <w:tc>
          <w:tcPr>
            <w:tcW w:type="dxa" w:w="60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kiểm soát</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Đo lường</w:t>
            </w:r>
          </w:p>
        </w:tc>
        <w:tc>
          <w:tcPr>
            <w:tcW w:type="dxa" w:w="6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Kiểm định, hiệu chuẩn, thử nghiệm phương tiện đo, chuẩn đo lường; phạm vi đo; cấp/độ chính xác; sai số cho phép; độ không đảm bảo đo; quy trình; nhân sự; thiết bị; chuẩn và hồ sơ kỹ thuật.</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Quan trắc môi trường</w:t>
            </w:r>
          </w:p>
        </w:tc>
        <w:tc>
          <w:tcPr>
            <w:tcW w:type="dxa" w:w="6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hoạt động (nước; không khí; đất; trầm tích; chất thải rắn; bùn thải, nền mẫu khác); thông số, phương pháp, phạm vi đo, LOD/LOQ, thiết bị, nhân sự, điều kiện và hồ sơ phê duyệt phương pháp.</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3</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Công bố/Thông báo năng lực</w:t>
            </w:r>
          </w:p>
        </w:tc>
        <w:tc>
          <w:tcPr>
            <w:tcW w:type="dxa" w:w="6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Thông tin tổ chức; người đại diện; cơ quan chủ quản; hồ sơ pháp lý; số lần công bố/thông báo, điều chỉnh, tạm dừng, khôi phục, hủy bỏ, công khai; cơ quan tiếp nhận.</w:t>
            </w:r>
          </w:p>
        </w:tc>
      </w:tr>
    </w:tbl>
    <w:p>
      <w:pPr>
        <w:spacing w:after="100"/>
      </w:pPr>
      <w:r>
        <w:rPr>
          <w:sz w:val="22"/>
          <w:szCs w:val="22"/>
        </w:rPr>
        <w:t xml:space="preserve">Thủ tục không thay thế các quy trình kỹ thuật kiểm định, hiệu chuẩn, thử nghiệm, quan trắc môi trường hoặc thủ tục đánh giá nội bộ khác, nhưng là căn cứ để tổng hợp, đánh giá và công khai năng lực đã được phê duyệt.</w:t>
      </w:r>
    </w:p>
    <w:p>
      <w:pPr>
        <w:pStyle w:val="Heading1"/>
      </w:pPr>
      <w:r>
        <w:t xml:space="preserve">2. Căn cứ và tài liệu viện dẫn</w:t>
      </w:r>
    </w:p>
    <w:p>
      <w:pPr>
        <w:pStyle w:val="ListParagraph"/>
        <w:numPr>
          <w:ilvl w:val="0"/>
          <w:numId w:val="2"/>
        </w:numPr>
        <w:spacing w:after="40"/>
      </w:pPr>
      <w:r>
        <w:rPr>
          <w:sz w:val="22"/>
          <w:szCs w:val="22"/>
        </w:rPr>
        <w:t xml:space="preserve">NQ 66.18/2026/NQ-CP (Bộ Khoa học và Công nghệ) và NQ 66.19/2026/NQ-CP (Bộ Nông nghiệp và Môi trường) về phân quyền, cắt giảm, đơn giản hóa TTHC, điều kiện kinh doanh.</w:t>
      </w:r>
    </w:p>
    <w:p>
      <w:pPr>
        <w:pStyle w:val="ListParagraph"/>
        <w:numPr>
          <w:ilvl w:val="0"/>
          <w:numId w:val="2"/>
        </w:numPr>
        <w:spacing w:after="40"/>
      </w:pPr>
      <w:r>
        <w:rPr>
          <w:sz w:val="22"/>
          <w:szCs w:val="22"/>
        </w:rPr>
        <w:t xml:space="preserve">Nghị định 105/2016/NĐ-CP; Nghị định 36/2026/NĐ-CP về kiểm định, hiệu chuẩn, thử nghiệm phương tiện đo, chuẩn đo lường.</w:t>
      </w:r>
    </w:p>
    <w:p>
      <w:pPr>
        <w:pStyle w:val="ListParagraph"/>
        <w:numPr>
          <w:ilvl w:val="0"/>
          <w:numId w:val="2"/>
        </w:numPr>
        <w:spacing w:after="40"/>
      </w:pPr>
      <w:r>
        <w:rPr>
          <w:sz w:val="22"/>
          <w:szCs w:val="22"/>
        </w:rPr>
        <w:t xml:space="preserve">Nghị định 107/2016/NĐ-CP về điều kiện kinh doanh dịch vụ đánh giá sự phù hợp; Thông tư 24/2013/TT-BKHCN và các văn bản sửa đổi.</w:t>
      </w:r>
    </w:p>
    <w:p>
      <w:pPr>
        <w:pStyle w:val="ListParagraph"/>
        <w:numPr>
          <w:ilvl w:val="0"/>
          <w:numId w:val="2"/>
        </w:numPr>
        <w:spacing w:after="40"/>
      </w:pPr>
      <w:r>
        <w:rPr>
          <w:sz w:val="22"/>
          <w:szCs w:val="22"/>
        </w:rPr>
        <w:t xml:space="preserve">Luật Bảo vệ môi trường 2020; NĐ 08/2022/NĐ-CP; NĐ 48/2026/NĐ-CP; TT 02/2022/TT-BTNMT về quan trắc môi trường.</w:t>
      </w:r>
    </w:p>
    <w:p>
      <w:pPr>
        <w:pStyle w:val="ListParagraph"/>
        <w:numPr>
          <w:ilvl w:val="0"/>
          <w:numId w:val="2"/>
        </w:numPr>
        <w:spacing w:after="40"/>
      </w:pPr>
      <w:r>
        <w:rPr>
          <w:sz w:val="22"/>
          <w:szCs w:val="22"/>
        </w:rPr>
        <w:t xml:space="preserve">Luật Giao dịch điện tử 2023; Luật Dữ liệu 2024; các nghị định về TTHC điện tử, dịch vụ công trực tuyến, chia sẻ dữ liệu số, bảo vệ dữ liệu cá nhân, chữ ký số, an toàn thông tin.</w:t>
      </w:r>
    </w:p>
    <w:p>
      <w:pPr>
        <w:pStyle w:val="ListParagraph"/>
        <w:numPr>
          <w:ilvl w:val="0"/>
          <w:numId w:val="2"/>
        </w:numPr>
        <w:spacing w:after="40"/>
      </w:pPr>
      <w:r>
        <w:rPr>
          <w:sz w:val="22"/>
          <w:szCs w:val="22"/>
        </w:rPr>
        <w:t xml:space="preserve">TCVN ISO/IEC 17025:2017; TCVN ISO/IEC 17000; TCVN 6165/VIM; ISO/IEC Guide 99; TCVN 6910/ISO 5725; GUM; ILAC P14.</w:t>
      </w:r>
    </w:p>
    <w:p>
      <w:pPr>
        <w:pStyle w:val="ListParagraph"/>
        <w:numPr>
          <w:ilvl w:val="0"/>
          <w:numId w:val="2"/>
        </w:numPr>
        <w:spacing w:after="40"/>
      </w:pPr>
      <w:r>
        <w:rPr>
          <w:sz w:val="22"/>
          <w:szCs w:val="22"/>
        </w:rPr>
        <w:t xml:space="preserve">Sổ tay chất lượng ETV.QM và các thủ tục ETV.MP liên quan; quy định cấu hình, phân quyền ManLab, chữ ký số và QR tra cứu năng lực.</w:t>
      </w:r>
    </w:p>
    <w:p>
      <w:pPr>
        <w:pStyle w:val="Heading1"/>
      </w:pPr>
      <w:r>
        <w:t xml:space="preserve">3. Thuật ngữ, định nghĩa và chữ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Thuật ngữ</w:t>
            </w:r>
          </w:p>
        </w:tc>
        <w:tc>
          <w:tcPr>
            <w:tcW w:type="dxa" w:w="67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Diễn giải</w:t>
            </w:r>
          </w:p>
        </w:tc>
      </w:tr>
      <w:tr>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 – Kiểm soát sự phù hợp</w:t>
            </w:r>
          </w:p>
        </w:tc>
        <w:tc>
          <w:tcPr>
            <w:tcW w:type="dxa" w:w="6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Menu độc lập trên ManLab quản lý toàn bộ vòng đời công bố/thông báo năng lực: tạo mới, lập kế hoạch, đánh giá, phê duyệt, công khai, duy trì, tạm dừng, điều chỉnh, hủy bỏ, lưu trữ.</w:t>
            </w:r>
          </w:p>
        </w:tc>
      </w:tr>
      <w:tr>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Đối tượng (PTĐ)</w:t>
            </w:r>
          </w:p>
        </w:tc>
        <w:tc>
          <w:tcPr>
            <w:tcW w:type="dxa" w:w="6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Đối tượng năng lực dự kiến hoặc đã công bố/thông báo; có thể liên kết Danh mục Phương tiện đo nhưng quản lý trạng thái độc lập.</w:t>
            </w:r>
          </w:p>
        </w:tc>
      </w:tr>
      <w:tr>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Hồ sơ P21</w:t>
            </w:r>
          </w:p>
        </w:tc>
        <w:tc>
          <w:tcPr>
            <w:tcW w:type="dxa" w:w="6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Bộ hồ sơ điện tử gồm Lập kế hoạch; Đánh giá; Báo cáo; Công bố/Thông báo; Checklist; Bằng chứng; Phê duyệt; Bản công bố/thông báo; Bằng chứng tiếp nhận; Thông tin công khai và nhật ký.</w:t>
            </w:r>
          </w:p>
        </w:tc>
      </w:tr>
      <w:tr>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bố / Thông báo năng lực</w:t>
            </w:r>
          </w:p>
        </w:tc>
        <w:tc>
          <w:tcPr>
            <w:tcW w:type="dxa" w:w="6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Văn bản công bố theo Mẫu 01 (NQ 66.18) cho đo lường / thông báo theo Mẫu 9.01 (NQ 66.19) cho QTMT.</w:t>
            </w:r>
          </w:p>
        </w:tc>
      </w:tr>
      <w:tr>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Công khai</w:t>
            </w:r>
          </w:p>
        </w:tc>
        <w:tc>
          <w:tcPr>
            <w:tcW w:type="dxa" w:w="6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Đưa phạm vi năng lực đã phê duyệt/tiếp nhận lên cổng nội bộ, website, QR để các bộ phận chỉ dùng đúng phạm vi còn hiệu lực.</w:t>
            </w:r>
          </w:p>
        </w:tc>
      </w:tr>
      <w:tr>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Điều chỉnh / Tạm dừng / Hủy bỏ</w:t>
            </w:r>
          </w:p>
        </w:tc>
        <w:tc>
          <w:tcPr>
            <w:tcW w:type="dxa" w:w="6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Thay đổi một phần / dừng sử dụng nội bộ / chấm dứt áp dụng phạm vi năng lực; đều phải đánh giá, phê duyệt và cập nhật công khai.</w:t>
            </w:r>
          </w:p>
        </w:tc>
      </w:tr>
      <w:tr>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Hậu kiểm</w:t>
            </w:r>
          </w:p>
        </w:tc>
        <w:tc>
          <w:tcPr>
            <w:tcW w:type="dxa" w:w="6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Kiểm tra, giám sát sau công bố của cơ quan thẩm quyền hoặc tự kiểm soát nội bộ.</w:t>
            </w:r>
          </w:p>
        </w:tc>
      </w:tr>
      <w:tr>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QA/QC; LOD/LOQ; U</w:t>
            </w:r>
          </w:p>
        </w:tc>
        <w:tc>
          <w:tcPr>
            <w:tcW w:type="dxa" w:w="6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Bảo đảm/kiểm soát chất lượng; giới hạn phát hiện/định lượng; độ không đảm bảo đo.</w:t>
            </w:r>
          </w:p>
        </w:tc>
      </w:tr>
    </w:tbl>
    <w:p>
      <w:pPr>
        <w:pStyle w:val="Heading1"/>
      </w:pPr>
      <w:r>
        <w:t xml:space="preserve">4. Nguyên tắc kiểm soát và số hóa</w:t>
      </w:r>
    </w:p>
    <w:p>
      <w:pPr>
        <w:pStyle w:val="ListParagraph"/>
        <w:numPr>
          <w:ilvl w:val="0"/>
          <w:numId w:val="2"/>
        </w:numPr>
        <w:spacing w:after="40"/>
      </w:pPr>
      <w:r>
        <w:rPr>
          <w:sz w:val="22"/>
          <w:szCs w:val="22"/>
        </w:rPr>
        <w:t xml:space="preserve">Chỉ công bố/thông báo đúng năng lực thực tế đã được đánh giá đạt, có bằng chứng và phê duyệt nội bộ.</w:t>
      </w:r>
    </w:p>
    <w:p>
      <w:pPr>
        <w:pStyle w:val="ListParagraph"/>
        <w:numPr>
          <w:ilvl w:val="0"/>
          <w:numId w:val="2"/>
        </w:numPr>
        <w:spacing w:after="40"/>
      </w:pPr>
      <w:r>
        <w:rPr>
          <w:sz w:val="22"/>
          <w:szCs w:val="22"/>
        </w:rPr>
        <w:t xml:space="preserve">Mọi phạm vi phải có trạng thái rõ ràng trên ManLab; không thực hiện dịch vụ ngoài phạm vi đã công khai/còn hiệu lực.</w:t>
      </w:r>
    </w:p>
    <w:p>
      <w:pPr>
        <w:pStyle w:val="ListParagraph"/>
        <w:numPr>
          <w:ilvl w:val="0"/>
          <w:numId w:val="2"/>
        </w:numPr>
        <w:spacing w:after="40"/>
      </w:pPr>
      <w:r>
        <w:rPr>
          <w:sz w:val="22"/>
          <w:szCs w:val="22"/>
        </w:rPr>
        <w:t xml:space="preserve">Menu P21 là nguồn kiểm soát trạng thái pháp lý và công bố; Danh mục Phương tiện đo chỉ là nguồn tham chiếu kỹ thuật/vận hành.</w:t>
      </w:r>
    </w:p>
    <w:p>
      <w:pPr>
        <w:pStyle w:val="ListParagraph"/>
        <w:numPr>
          <w:ilvl w:val="0"/>
          <w:numId w:val="2"/>
        </w:numPr>
        <w:spacing w:after="40"/>
      </w:pPr>
      <w:r>
        <w:rPr>
          <w:sz w:val="22"/>
          <w:szCs w:val="22"/>
        </w:rPr>
        <w:t xml:space="preserve">Mọi hành động tạo/sửa/gửi duyệt/đánh giá/phê duyệt/công khai/điều chỉnh/tạm dừng/hủy bỏ phải có nhật ký: người thực hiện, thời điểm, lý do, tài liệu kèm.</w:t>
      </w:r>
    </w:p>
    <w:p>
      <w:pPr>
        <w:pStyle w:val="ListParagraph"/>
        <w:numPr>
          <w:ilvl w:val="0"/>
          <w:numId w:val="2"/>
        </w:numPr>
        <w:spacing w:after="40"/>
      </w:pPr>
      <w:r>
        <w:rPr>
          <w:sz w:val="22"/>
          <w:szCs w:val="22"/>
        </w:rPr>
        <w:t xml:space="preserve">Hồ sơ điện tử có giá trị kiểm soát khi tạo trên tài khoản được phân quyền, ký số/xác thực; bản xuất PDF/Word chỉ là bản thể hiện tại thời điểm xuất.</w:t>
      </w:r>
    </w:p>
    <w:p>
      <w:pPr>
        <w:pStyle w:val="ListParagraph"/>
        <w:numPr>
          <w:ilvl w:val="0"/>
          <w:numId w:val="2"/>
        </w:numPr>
        <w:spacing w:after="40"/>
      </w:pPr>
      <w:r>
        <w:rPr>
          <w:sz w:val="22"/>
          <w:szCs w:val="22"/>
        </w:rPr>
        <w:t xml:space="preserve">Dữ liệu cá nhân, khách hàng, kỹ thuật, pháp lý phải được phân quyền, bảo mật, kiểm soát truy cập, sao lưu và chống sửa trái phép.</w:t>
      </w:r>
    </w:p>
    <w:p>
      <w:pPr>
        <w:pStyle w:val="ListParagraph"/>
        <w:numPr>
          <w:ilvl w:val="0"/>
          <w:numId w:val="2"/>
        </w:numPr>
        <w:spacing w:after="40"/>
      </w:pPr>
      <w:r>
        <w:rPr>
          <w:sz w:val="22"/>
          <w:szCs w:val="22"/>
        </w:rPr>
        <w:t xml:space="preserve">Khi văn bản pháp luật thay đổi, Quản lý chất lượng mở hồ sơ rà soát P21, đánh giá tác động và cập nhật thủ tục/cấu hình trước khi áp dụng.</w:t>
      </w:r>
    </w:p>
    <w:p>
      <w:pPr>
        <w:pStyle w:val="Heading1"/>
      </w:pPr>
      <w:r>
        <w:t xml:space="preserve">5. Mục tiêu nghiệp vụ, actor, đầu vào, đầu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Nhóm</w:t>
            </w:r>
          </w:p>
        </w:tc>
        <w:tc>
          <w:tcPr>
            <w:tcW w:type="dxa" w:w="76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áp dụng</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Mục tiêu</w:t>
            </w:r>
          </w:p>
        </w:tc>
        <w:tc>
          <w:tcPr>
            <w:tcW w:type="dxa" w:w="7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Thiết lập chu trình khép kín kiểm soát năng lực đo lường và QTMT trên ManLab: tạo mới, lập kế hoạch, đánh giá, phê duyệt, công bố/thông báo, công khai, duy trì, điều chỉnh, tạm dừng, khôi phục, hủy bỏ; bảo đảm truy xuất, kiểm soát trạng thái, hậu kiểm, ngăn dùng nhầm phạm vi chưa/không còn hiệu lực.</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Actor chính</w:t>
            </w:r>
          </w:p>
        </w:tc>
        <w:tc>
          <w:tcPr>
            <w:tcW w:type="dxa" w:w="7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Super Admin; Lãnh đạo Viện; Lãnh đạo phòng; Người thực hiện.</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Đầu vào</w:t>
            </w:r>
          </w:p>
        </w:tc>
        <w:tc>
          <w:tcPr>
            <w:tcW w:type="dxa" w:w="7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Nhu cầu công bố/thông báo/điều chỉnh/tạm dừng/khôi phục/hủy bỏ; dữ liệu PTĐ/chuẩn; nền mẫu, thông số; phạm vi đo; quy trình/phương pháp; thiết bị; nhân sự; điều kiện môi trường; hồ sơ hiệu chuẩn/kiểm định; QA/QC; U; LOD/LOQ; căn cứ pháp lý; biểu mẫu.</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Đầu ra</w:t>
            </w:r>
          </w:p>
        </w:tc>
        <w:tc>
          <w:tcPr>
            <w:tcW w:type="dxa" w:w="7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 hoạch; checklist; biên bản/kết luận đánh giá; bản công bố/thông báo; bằng chứng gửi/tiếp nhận; danh mục công khai; phiếu điều chỉnh/tạm dừng/khôi phục/hủy bỏ; nhật ký; cảnh báo hiệu lực; báo cáo hậu kiểm.</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Điều khoản ISO</w:t>
            </w:r>
          </w:p>
        </w:tc>
        <w:tc>
          <w:tcPr>
            <w:tcW w:type="dxa" w:w="7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ISO/IEC 17025:2017: 4.1, 4.2, 5, 6.1–6.6, 7.2, 7.5–7.8, 7.10, 7.11, 8.3–8.9. ISO 9001: 6.1, 7.5, 8.1, 9.1, 10.2 (nếu áp dụng).</w:t>
            </w:r>
          </w:p>
        </w:tc>
      </w:tr>
    </w:tbl>
    <w:p>
      <w:pPr>
        <w:pStyle w:val="Heading1"/>
      </w:pPr>
      <w:r>
        <w:t xml:space="preserve">6. Trách nhiệm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Vai trò</w:t>
            </w:r>
          </w:p>
        </w:tc>
        <w:tc>
          <w:tcPr>
            <w:tcW w:type="dxa" w:w="71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Trách nhiệm chính</w:t>
            </w:r>
          </w:p>
        </w:tc>
      </w:tr>
      <w:tr>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Super Admin</w:t>
            </w:r>
          </w:p>
        </w:tc>
        <w:tc>
          <w:tcPr>
            <w:tcW w:type="dxa" w:w="7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Cấu hình menu P21, workflow, phân quyền, biểu mẫu, trạng thái, cảnh báo, QR, chữ ký số, API, sao lưu, bảo mật, nhật ký. Không phê duyệt nội dung chuyên môn.</w:t>
            </w:r>
          </w:p>
        </w:tc>
      </w:tr>
      <w:tr>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Viện</w:t>
            </w:r>
          </w:p>
        </w:tc>
        <w:tc>
          <w:tcPr>
            <w:tcW w:type="dxa" w:w="7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Phê duyệt cuối cùng công bố/thông báo, điều chỉnh, tạm dừng, khôi phục, hủy bỏ; chịu trách nhiệm công bố đúng năng lực, đúng phạm vi.</w:t>
            </w:r>
          </w:p>
        </w:tc>
      </w:tr>
      <w:tr>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Lãnh đạo phòng</w:t>
            </w:r>
          </w:p>
        </w:tc>
        <w:tc>
          <w:tcPr>
            <w:tcW w:type="dxa" w:w="7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Xem xét đề xuất; phê duyệt/phân công kế hoạch đánh giá; kiểm tra phù hợp phương pháp, nhân sự, thiết bị, chuẩn, môi trường, U, LOD/LOQ, QA/QC; kết luận đủ/không đủ điều kiện.</w:t>
            </w:r>
          </w:p>
        </w:tc>
      </w:tr>
      <w:tr>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7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Tạo hồ sơ; nhập dữ liệu; liên kết PTĐ/chuẩn; chuẩn bị bằng chứng; lập checklist; cập nhật kết quả; lập bản công bố/thông báo; chuẩn bị hồ sơ gửi; cập nhật công khai/điều chỉnh/tạm dừng/khôi phục/hủy bỏ.</w:t>
            </w:r>
          </w:p>
        </w:tc>
      </w:tr>
    </w:tbl>
    <w:p>
      <w:pPr>
        <w:pStyle w:val="Heading2"/>
      </w:pPr>
      <w:r>
        <w:t xml:space="preserve">6.1. Nguyên tắc phân quyền</w:t>
      </w:r>
    </w:p>
    <w:p>
      <w:pPr>
        <w:spacing w:after="100"/>
      </w:pPr>
      <w:r>
        <w:rPr>
          <w:sz w:val="22"/>
          <w:szCs w:val="22"/>
        </w:rPr>
        <w:t xml:space="preserve">Vai trò hệ thống chỉ gồm: Super Admin, Lãnh đạo Viện, Lãnh đạo phòng, Người thực hiện. Các chức danh QLCL, cán bộ kỹ thuật, hồ sơ/pháp chế, người công khai là nhiệm vụ nghiệp vụ được phân công cho người dùng thuộc một trong bốn vai trò trên. Super Admin chỉ quản trị hệ thống; Lãnh đạo Viện là cấp phê duyệt cuối; Lãnh đạo phòng soát xét, đánh giá, xác nhận chuyên môn; Người thực hiện lập hồ sơ và thao tác theo phân công.</w:t>
      </w:r>
    </w:p>
    <w:p>
      <w:pPr>
        <w:pStyle w:val="Heading1"/>
      </w:pPr>
      <w:r>
        <w:t xml:space="preserve">7. Quy trình tổng quát trên ManLab</w:t>
      </w:r>
    </w:p>
    <w:p>
      <w:pPr>
        <w:spacing w:after="100"/>
      </w:pPr>
      <w:r>
        <w:rPr>
          <w:sz w:val="22"/>
          <w:szCs w:val="22"/>
        </w:rPr>
        <w:t xml:space="preserve">Luồng vận hành: Danh mục PTĐ (nguồn) → Lập kế hoạch → Đánh giá năng lực → Kết quả → Công bố/Thông báo → duy trì → điều chỉnh/tạm dừng/khôi phục/hủy bỏ → lưu trữ. Mỗi menu có 3 trạng thái (nháp/soát xét/phê duyệt); thay đổi trạng thái phải đúng phân quyền và có nhật ký.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900"/>
        <w:gridCol w:w="2500"/>
      </w:tblGrid>
      <w:tr>
        <w:trPr>
          <w:tblHeader/>
        </w:trPr>
        <w:tc>
          <w:tcPr>
            <w:tcW w:type="dxa" w:w="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Bước</w:t>
            </w:r>
          </w:p>
        </w:tc>
        <w:tc>
          <w:tcPr>
            <w:tcW w:type="dxa" w:w="4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Tên công việc</w:t>
            </w:r>
          </w:p>
        </w:tc>
        <w:tc>
          <w:tcPr>
            <w:tcW w:type="dxa" w:w="19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Actor</w:t>
            </w:r>
          </w:p>
        </w:tc>
        <w:tc>
          <w:tcPr>
            <w:tcW w:type="dxa" w:w="25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Kết quả/trạng thái</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0</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Cấu hình menu P21, biểu mẫu, workflow, phân quyền, trạng thái, cảnh báo</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Super Admin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Menu P21 sẵn sàng</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Tạo mới hồ sơ P21, nhập thông tin đối tượng năng lực/PTĐ/thông số</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Hồ sơ: Nháp; Đối tượng: Mới tạo/Đề xuất</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2</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Chuẩn bị dữ liệu và bằng chứng năng lực</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Hồ sơ: Chờ lập kế hoạch</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3</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Lập, soát xét, phê duyệt kế hoạch đánh giá</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phòng</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Hồ sơ: Đã lập kế hoạch</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4</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Đánh giá hồ sơ, kỹ thuật, đo lường/QTMT và rủi ro</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Hồ sơ: Đang đánh giá</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5</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Soát xét kết quả và kết luận chuyên môn</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phòng</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Đạt / Không đạt / Yêu cầu bổ sung</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6</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Bổ sung, khắc phục, đánh giá lại nếu cần</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Bằng chứng lưu vết; quay lại soát xét</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7</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Phê duyệt nội bộ phạm vi năng lực</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Viện</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Đã phê duyệt nội bộ; Công bố: Chờ lập/gửi</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8</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Lập, ký, gửi bản công bố/thông báo theo mẫu</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Đã gửi/Chờ tiếp nhận</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9</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Cập nhật bằng chứng tiếp nhận và công khai phạm vi</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Đã tiếp nhận/Đã công khai/Còn hiệu lực</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10</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Kiểm tra nội dung công khai và khóa phiên bản</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Lãnh đạo phòng</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Đề xuất khóa phiên bản</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11</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Phê duyệt khóa phiên bản, duy trì hiệu lực, hậu kiểm</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Viện</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Hồ sơ khóa phiên bản; theo dõi cảnh báo hiệu lực</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12</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Điều chỉnh phạm vi năng lực</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Đã điều chỉnh/Còn hiệu lực</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13</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Tạm dừng phạm vi khi có rủi ro/không đủ điều kiện</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phòng</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Đề xuất tạm dừng → Tạm dừng</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14</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Khôi phục phạm vi sau khắc phục, đánh giá lại</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Lãnh đạo phòng</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Khôi phục/Còn hiệu lực</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15</w:t>
            </w:r>
          </w:p>
        </w:tc>
        <w:tc>
          <w:tcPr>
            <w:tcW w:type="dxa" w:w="4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Hủy bỏ phạm vi năng lực</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Viện</w:t>
            </w:r>
          </w:p>
        </w:tc>
        <w:tc>
          <w:tcPr>
            <w:tcW w:type="dxa" w:w="2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Đã hủy bỏ; thu hồi công khai</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16</w:t>
            </w:r>
          </w:p>
        </w:tc>
        <w:tc>
          <w:tcPr>
            <w:tcW w:type="dxa" w:w="4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Lưu trữ hồ sơ, nhật ký, báo cáo tổng hợp</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2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Hồ sơ: Lưu trữ; truy xuất đầy đủ</w:t>
            </w:r>
          </w:p>
        </w:tc>
      </w:tr>
    </w:tbl>
    <w:p>
      <w:pPr>
        <w:pStyle w:val="Heading1"/>
      </w:pPr>
      <w:r>
        <w:t xml:space="preserve">8. Chuẩn bị và tạo mới đối tượng (Danh mục PTĐ)</w:t>
      </w:r>
    </w:p>
    <w:p>
      <w:pPr>
        <w:spacing w:after="100"/>
      </w:pPr>
      <w:r>
        <w:rPr>
          <w:sz w:val="22"/>
          <w:szCs w:val="22"/>
        </w:rPr>
        <w:t xml:space="preserve">Xác định nhu cầu và loại hồ sơ (công bố lần đầu, bổ sung, điều chỉnh, tạm dừng, khôi phục, hủy bỏ một phần/toàn bộ hoặc báo cáo duy trì); lĩnh vực; căn cứ pháp lý, tiêu chuẩn, phương pháp, tiêu chí chấp nhận; chỉ định người phụ trách và thời hạn. Đối chiếu phạm vi dự kiến với năng lực thực tế; đánh dấu “Chưa đủ điều kiện” với nội dung chưa đủ bằng chứng.</w:t>
      </w:r>
    </w:p>
    <w:p>
      <w:pPr>
        <w:spacing w:after="100"/>
      </w:pPr>
      <w:r>
        <w:rPr>
          <w:sz w:val="22"/>
          <w:szCs w:val="22"/>
        </w:rPr>
        <w:t xml:space="preserve">P21 cho phép tạo PTĐ/năng lực dự kiến độc lập với Danh mục Phương tiện đo (liên kết là tùy chọn, chỉ lấy tham chiếu và chụp snapshot). Cấu trúc cha–con: “Thông tin hồ sơ” là bảng cha; mỗi “Thông tin đối tượng” là một dòng bảng con mang đầy đủ năng lực công bố theo Mẫu 01 (NQ 66.18) hoặc Mẫu 9.01 (NQ 66.19).</w:t>
      </w:r>
    </w:p>
    <w:p>
      <w:pPr>
        <w:pStyle w:val="Heading2"/>
      </w:pPr>
      <w:r>
        <w:t xml:space="preserve">8.1. Vai trò và trách nhiệm nhập liệu Danh mục PTĐ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Vai trò</w:t>
            </w:r>
          </w:p>
        </w:tc>
        <w:tc>
          <w:tcPr>
            <w:tcW w:type="dxa" w:w="37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Trách nhiệm</w:t>
            </w:r>
          </w:p>
        </w:tc>
        <w:tc>
          <w:tcPr>
            <w:tcW w:type="dxa" w:w="3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dữ liệu phụ trách</w:t>
            </w:r>
          </w:p>
        </w:tc>
      </w:tr>
      <w:tr>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3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Tạo mới PTĐ, nhập thông tin kỹ thuật ban đầu, liên kết quy trình, nhân sự</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PTĐ (TV/TA), Lĩnh vực, Quy trình TH, Người TH, Phạm vi, CMC, MPE/LOD, Phạm vi QTMT</w:t>
            </w:r>
          </w:p>
        </w:tc>
      </w:tr>
      <w:tr>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phòng</w:t>
            </w:r>
          </w:p>
        </w:tc>
        <w:tc>
          <w:tcPr>
            <w:tcW w:type="dxa" w:w="3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Kiểm tra đầy đủ dữ liệu, gửi duyệt PTĐ, xác nhận Năng lực cung cấp</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Năng lực cung cấp, Trạng thái Thông báo QTMT (F-NEW-01), Ngày Thông báo (F-NEW-02)</w:t>
            </w:r>
          </w:p>
        </w:tc>
      </w:tr>
      <w:tr>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Lãnh đạo Viện</w:t>
            </w:r>
          </w:p>
        </w:tc>
        <w:tc>
          <w:tcPr>
            <w:tcW w:type="dxa" w:w="37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Phê duyệt cuối PTĐ – chuyển trạng thái “Đã duyệt”</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Trạng thái (PTĐ), Ngày phê duyệt (PTĐ)</w:t>
            </w:r>
          </w:p>
        </w:tc>
      </w:tr>
      <w:tr>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Super Admin</w:t>
            </w:r>
          </w:p>
        </w:tc>
        <w:tc>
          <w:tcPr>
            <w:tcW w:type="dxa" w:w="37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Cấu hình dropdown, quản trị cột dữ liệu mới (F-NEW-01…F-NEW-06)</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Cấu hình hệ thống – không nhập nội dung nghiệp vụ</w:t>
            </w:r>
          </w:p>
        </w:tc>
      </w:tr>
    </w:tbl>
    <w:p>
      <w:pPr>
        <w:pStyle w:val="Heading2"/>
      </w:pPr>
      <w:r>
        <w:t xml:space="preserve">8.2. Trường dữ liệu bắt buộc theo nhóm dịch vụ</w:t>
      </w:r>
    </w:p>
    <w:p>
      <w:pPr>
        <w:spacing w:after="100"/>
      </w:pPr>
      <w:r>
        <w:rPr>
          <w:i/>
          <w:iCs/>
          <w:sz w:val="19"/>
          <w:szCs w:val="19"/>
        </w:rPr>
        <w:t xml:space="preserve">B = Bắt buộc; K = Khuyến nghị; – = Không áp dụng. ManLab kiểm tra tất cả trường (B) trước khi cho phép gửi duyệt. (HC: hiệu chuẩn; KĐ: kiểm định; TN: thử nghiệm; QTMT: quan trắc môi trường; ĐGHT: đánh giá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700"/>
        <w:gridCol w:w="700"/>
        <w:gridCol w:w="700"/>
        <w:gridCol w:w="850"/>
        <w:gridCol w:w="850"/>
        <w:gridCol w:w="1900"/>
      </w:tblGrid>
      <w:tr>
        <w:trPr>
          <w:tblHeader/>
        </w:trPr>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w:t>
            </w:r>
          </w:p>
        </w:tc>
        <w:tc>
          <w:tcPr>
            <w:tcW w:type="dxa" w:w="30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Tên trường</w:t>
            </w:r>
          </w:p>
        </w:tc>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HC</w:t>
            </w:r>
          </w:p>
        </w:tc>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KĐ</w:t>
            </w:r>
          </w:p>
        </w:tc>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TN</w:t>
            </w:r>
          </w:p>
        </w:tc>
        <w:tc>
          <w:tcPr>
            <w:tcW w:type="dxa" w:w="85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QTMT</w:t>
            </w:r>
          </w:p>
        </w:tc>
        <w:tc>
          <w:tcPr>
            <w:tcW w:type="dxa" w:w="85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ĐGHT</w:t>
            </w:r>
          </w:p>
        </w:tc>
        <w:tc>
          <w:tcPr>
            <w:tcW w:type="dxa" w:w="19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NQ căn cứ</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đối tượng (TV)</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ISO 17025 §7.2</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Tên đối tượng (TA)</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ILAC P14</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3</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Lĩnh vực</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 §8</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4</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Dịch vụ</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 §8</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5</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Quy trình thực hiện</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NQ 66.18 PL I.3.3 / NQ 66.19 PL IX</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6</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 (chính)</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NQ 66.18 / 66.19</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7</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áp dụng (HC/KĐ/TN)</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NQ 66.18 – Mẫu 01</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8</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quan trắc (QTMT) [F-NEW-05]</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NQ 66.19 Đ.3 K.3</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9–11</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CMC (giá trị lớn nhất / lớn nhất / ĐVT)</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ILAC P14 / NQ 66.18</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12</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MPE / LOD</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ISO 17025 §7.2 / NQ 66.19</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13</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Năng lực cung cấp</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NQ 66.18 / 66.19</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14</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Trạng thái Thông báo QTMT [F-NEW-01]</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NQ 66.19 Đ.3</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15</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Ngày Thông báo QTMT [F-NEW-02]</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NQ 66.19 Đ.3</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16</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Số hồ sơ Mẫu 9.01 [F-NEW-03]</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NQ 66.19</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17</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Ngày báo cáo Mẫu 9.02 [F-NEW-04]</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NQ 66.19 Đ.5</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18–19</w:t>
            </w:r>
          </w:p>
        </w:tc>
        <w:tc>
          <w:tcPr>
            <w:tcW w:type="dxa" w:w="30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 Ngày khởi tạo (PTĐ)</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85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 §8 – tự điền</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20</w:t>
            </w:r>
          </w:p>
        </w:tc>
        <w:tc>
          <w:tcPr>
            <w:tcW w:type="dxa" w:w="30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Đơn giá (ĐM, chưa VAT)</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85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 toán ETV</w:t>
            </w:r>
          </w:p>
        </w:tc>
      </w:tr>
    </w:tbl>
    <w:p>
      <w:pPr>
        <w:pStyle w:val="Heading2"/>
      </w:pPr>
      <w:r>
        <w:t xml:space="preserve">8.3. Quy trình nhập liệu và kiểm tra PTĐ trước khi gửi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5360"/>
        <w:gridCol w:w="1600"/>
      </w:tblGrid>
      <w:tr>
        <w:trPr>
          <w:tblHeader/>
        </w:trPr>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Bước</w:t>
            </w:r>
          </w:p>
        </w:tc>
        <w:tc>
          <w:tcPr>
            <w:tcW w:type="dxa" w:w="1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Người thực hiện</w:t>
            </w:r>
          </w:p>
        </w:tc>
        <w:tc>
          <w:tcPr>
            <w:tcW w:type="dxa" w:w="5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Hành động &amp; kiểm tra hệ thống</w:t>
            </w:r>
          </w:p>
        </w:tc>
        <w:tc>
          <w:tcPr>
            <w:tcW w:type="dxa" w:w="1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Kết quả</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B8.1</w:t>
            </w:r>
          </w:p>
        </w:tc>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5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Tạo mới PTĐ; điền tối thiểu Tên (TV), Lĩnh vực, Dịch vụ, Quy trình TH, Người TH; kiểm tra định dạng tên và mã lĩnh vực</w:t>
            </w:r>
          </w:p>
        </w:tc>
        <w:tc>
          <w:tcPr>
            <w:tcW w:type="dxa" w:w="1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PTĐ: Nháp</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B8.2</w:t>
            </w:r>
          </w:p>
        </w:tc>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5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Điền trường kỹ thuật theo nhóm: HC: CMC (3 trường), Phạm vi, MPE; QTMT: Phạm vi quan trắc (F-NEW-05), LOD; KĐ/TN: Phạm vi, MPE. Kiểm tra CMC&gt;0 (HC); F-NEW-05 không rỗng (QTMT)</w:t>
            </w:r>
          </w:p>
        </w:tc>
        <w:tc>
          <w:tcPr>
            <w:tcW w:type="dxa" w:w="1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Các trường (B) đầy đủ; tính flag F-NEW-06</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B8.3</w:t>
            </w:r>
          </w:p>
        </w:tc>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thực hiện</w:t>
            </w:r>
          </w:p>
        </w:tc>
        <w:tc>
          <w:tcPr>
            <w:tcW w:type="dxa" w:w="5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Xác nhận Năng lực cung cấp (ĐK105/N383/VILAS/Giấy KHCN/NTP đủ năng lực); kiểm tra ≥1 giá trị pháp lý</w:t>
            </w:r>
          </w:p>
        </w:tc>
        <w:tc>
          <w:tcPr>
            <w:tcW w:type="dxa" w:w="1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Năng lực cung cấp được ghi nhận</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B8.4</w:t>
            </w:r>
          </w:p>
        </w:tc>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5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Gửi PTĐ để Lãnh đạo phòng kiểm tra; hệ thống chạy checklist tự động toàn bộ trường (B); thiếu → chặn gửi và hiển thị lỗi</w:t>
            </w:r>
          </w:p>
        </w:tc>
        <w:tc>
          <w:tcPr>
            <w:tcW w:type="dxa" w:w="1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PTĐ: Chờ kiểm tra (nếu đủ)</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B8.5</w:t>
            </w:r>
          </w:p>
        </w:tc>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Lãnh đạo phòng</w:t>
            </w:r>
          </w:p>
        </w:tc>
        <w:tc>
          <w:tcPr>
            <w:tcW w:type="dxa" w:w="5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Kiểm tra kỹ thuật &amp; pháp lý; xác nhận Trạng thái Thông báo QTMT (F-NEW-01) nếu QTMT; kiểm tra liên kết quy trình/nhân sự</w:t>
            </w:r>
          </w:p>
        </w:tc>
        <w:tc>
          <w:tcPr>
            <w:tcW w:type="dxa" w:w="1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PTĐ: Chờ duyệt (đạt) / trả lại (ghi lý do)</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B8.6</w:t>
            </w:r>
          </w:p>
        </w:tc>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Lãnh đạo Viện</w:t>
            </w:r>
          </w:p>
        </w:tc>
        <w:tc>
          <w:tcPr>
            <w:tcW w:type="dxa" w:w="5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Phê duyệt cuối (ký số/xác thực); kiểm tra gate G1–G7 (Mục 9); thiếu → cảnh báo, ghi audit, không chặn phê duyệt</w:t>
            </w:r>
          </w:p>
        </w:tc>
        <w:tc>
          <w:tcPr>
            <w:tcW w:type="dxa" w:w="1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PTĐ: Đã duyệt; kích hoạt cảnh báo gửi Bản Công bố/Thông báo trong 03 ngày</w:t>
            </w:r>
          </w:p>
        </w:tc>
      </w:tr>
    </w:tbl>
    <w:p>
      <w:pPr>
        <w:pStyle w:val="Heading1"/>
      </w:pPr>
      <w:r>
        <w:t xml:space="preserve">9. Lập kế hoạch đánh giá năng lực</w:t>
      </w:r>
    </w:p>
    <w:p>
      <w:pPr>
        <w:spacing w:after="100"/>
      </w:pPr>
      <w:r>
        <w:rPr>
          <w:sz w:val="22"/>
          <w:szCs w:val="22"/>
        </w:rPr>
        <w:t xml:space="preserve">Kế hoạch lập cho từng hồ sơ hoặc nhóm phạm vi tương đồng, thể hiện mục tiêu, phạm vi, tiêu chí, đoàn đánh giá, tài liệu cần xem xét, lịch, đầu ra và điều kiện dừng. Nút “Lập kế hoạch” chỉ mở khi hồ sơ đủ thông tin tối thiểu; sau khi phê duyệt, hệ thống khóa danh mục phạm vi; bổ sung phải tạo phiên bản kế hoạch mới. Với mỗi dòng có liên kết Danh mục PTĐ, ManLab tự kéo dữ liệu và chụp snapshot làm mốc so sánh ở bước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kế hoạch</w:t>
            </w:r>
          </w:p>
        </w:tc>
        <w:tc>
          <w:tcPr>
            <w:tcW w:type="dxa" w:w="6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Yêu cầu tối thiểu</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Mục tiêu</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Xác nhận phạm vi đủ điều kiện công bố/thông báo, điều chỉnh, khôi phục hoặc hủy bỏ.</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Danh mục PTĐ/chuẩn/phép thử/thông số/nền mẫu; địa điểm; quy trình; nhân sự; thiết bị; thời hạn.</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Tiêu chí</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Pháp luật; ISO/IEC 17025; ETV.QM; quy trình chuyên môn; MPE; U; LOD/LOQ; QA/QC; dữ liệu và bảo mật.</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Đoàn đánh giá</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Tối thiểu có người đánh giá kỹ thuật và người đánh giá hệ thống/hồ sơ; kiểm soát khách quan và xung đột lợi ích.</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Lịch trình &amp; Đầu ra</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Ngày bắt đầu/kết thúc, thời hạn khắc phục, ngày phê duyệt, thời hạn gửi/công khai; checklist, biên bản, kết luận, dự thảo bản công bố/thông báo.</w:t>
            </w:r>
          </w:p>
        </w:tc>
      </w:tr>
    </w:tbl>
    <w:p>
      <w:pPr>
        <w:pStyle w:val="Heading2"/>
      </w:pPr>
      <w:r>
        <w:t xml:space="preserve">9.1. Điều kiện gate (G) bắt buộc trước khi đưa vào kế hoạch</w:t>
      </w:r>
    </w:p>
    <w:p>
      <w:pPr>
        <w:spacing w:after="100"/>
      </w:pPr>
      <w:r>
        <w:rPr>
          <w:i/>
          <w:iCs/>
          <w:sz w:val="19"/>
          <w:szCs w:val="19"/>
        </w:rPr>
        <w:t xml:space="preserve">Hệ thống kiểm tra tự động; người dùng không thể bỏ qua bằng thao tác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300"/>
        <w:gridCol w:w="2300"/>
        <w:gridCol w:w="2260"/>
      </w:tblGrid>
      <w:tr>
        <w:trPr>
          <w:tblHeader/>
        </w:trPr>
        <w:tc>
          <w:tcPr>
            <w:tcW w:type="dxa" w:w="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Mã</w:t>
            </w:r>
          </w:p>
        </w:tc>
        <w:tc>
          <w:tcPr>
            <w:tcW w:type="dxa" w:w="19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Điều kiện</w:t>
            </w:r>
          </w:p>
        </w:tc>
        <w:tc>
          <w:tcPr>
            <w:tcW w:type="dxa" w:w="2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HC (NQ 66.18)</w:t>
            </w:r>
          </w:p>
        </w:tc>
        <w:tc>
          <w:tcPr>
            <w:tcW w:type="dxa" w:w="2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QTMT (NQ 66.19)</w:t>
            </w:r>
          </w:p>
        </w:tc>
        <w:tc>
          <w:tcPr>
            <w:tcW w:type="dxa" w:w="22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Xử lý khi không đạt</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G1</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Trạng thái PTĐ</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Đã duyệt</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Đã duyệt</w:t>
            </w:r>
          </w:p>
        </w:tc>
        <w:tc>
          <w:tcPr>
            <w:tcW w:type="dxa" w:w="22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Ẩn khỏi danh sách Lập kế hoạch</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G2</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CMC hợp lệ</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CMC (lớn nhất) &gt; 0 VÀ ĐVT không rỗng</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Không áp dụng</w:t>
            </w:r>
          </w:p>
        </w:tc>
        <w:tc>
          <w:tcPr>
            <w:tcW w:type="dxa" w:w="22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Ẩn + cảnh báo: thiếu CMC, không thể lập Bản Công bố NQ 66.18</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G3</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Quy trình thực hiện</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1 quy trình ĐLVN/ETV</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1 quy trình QTMT</w:t>
            </w:r>
          </w:p>
        </w:tc>
        <w:tc>
          <w:tcPr>
            <w:tcW w:type="dxa" w:w="22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Ẩn + cảnh báo: chưa liên kết quy trình</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G4</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thực hiện</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1 người TH chính</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1 người TH chính</w:t>
            </w:r>
          </w:p>
        </w:tc>
        <w:tc>
          <w:tcPr>
            <w:tcW w:type="dxa" w:w="22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Ẩn + cảnh báo: chưa có người thực hiện</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G5</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áp dụng không rỗng</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quan trắc (F-NEW-05) không rỗng</w:t>
            </w:r>
          </w:p>
        </w:tc>
        <w:tc>
          <w:tcPr>
            <w:tcW w:type="dxa" w:w="22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Ẩn + cảnh báo: thiếu Phạm vi (bắt buộc trước Thông báo NQ 66.19)</w:t>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G6</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Năng lực pháp lý</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≥1 trong ĐK105/ĐK107/N383/VILAS/Giấy KHCN</w:t>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Trạng thái TB QTMT ≠ Chưa Thông báo HOẶC thuộc NTP đủ năng lực</w:t>
            </w:r>
          </w:p>
        </w:tc>
        <w:tc>
          <w:tcPr>
            <w:tcW w:type="dxa" w:w="22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Ẩn + cảnh báo: chưa Thông báo NQ 66.19, không được cung cấp dịch vụ</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G7</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Không bị hủy/tạm dừng</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Trường Hủy rỗng VÀ Trạng thái ≠ Hủy</w:t>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Như cột HC</w:t>
            </w:r>
          </w:p>
        </w:tc>
        <w:tc>
          <w:tcPr>
            <w:tcW w:type="dxa" w:w="22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Ẩn + cảnh báo: PTĐ đang hủy/tạm dừng</w:t>
            </w:r>
          </w:p>
        </w:tc>
      </w:tr>
    </w:tbl>
    <w:p>
      <w:pPr>
        <w:pStyle w:val="Heading2"/>
      </w:pPr>
      <w:r>
        <w:t xml:space="preserve">9.2. Luồng xử lý màn hình Lập kế hoạch</w:t>
      </w:r>
    </w:p>
    <w:p>
      <w:pPr>
        <w:pStyle w:val="ListParagraph"/>
        <w:numPr>
          <w:ilvl w:val="0"/>
          <w:numId w:val="2"/>
        </w:numPr>
        <w:spacing w:after="40"/>
      </w:pPr>
      <w:r>
        <w:rPr>
          <w:sz w:val="22"/>
          <w:szCs w:val="22"/>
        </w:rPr>
        <w:t xml:space="preserve">LK1: Mở màn hình → “Thêm PTĐ”; hệ thống truy vấn Danh mục PTĐ với điều kiện chung G1 ∧ G3 ∧ G4 ∧ G7.</w:t>
      </w:r>
    </w:p>
    <w:p>
      <w:pPr>
        <w:pStyle w:val="ListParagraph"/>
        <w:numPr>
          <w:ilvl w:val="0"/>
          <w:numId w:val="2"/>
        </w:numPr>
        <w:spacing w:after="40"/>
      </w:pPr>
      <w:r>
        <w:rPr>
          <w:sz w:val="22"/>
          <w:szCs w:val="22"/>
        </w:rPr>
        <w:t xml:space="preserve">LK2: Áp thêm theo nhóm – HC: G2 + G5 + G6; QTMT: G5 + G6 (Thông báo ≠ Chưa TB).</w:t>
      </w:r>
    </w:p>
    <w:p>
      <w:pPr>
        <w:pStyle w:val="ListParagraph"/>
        <w:numPr>
          <w:ilvl w:val="0"/>
          <w:numId w:val="2"/>
        </w:numPr>
        <w:spacing w:after="40"/>
      </w:pPr>
      <w:r>
        <w:rPr>
          <w:sz w:val="22"/>
          <w:szCs w:val="22"/>
        </w:rPr>
        <w:t xml:space="preserve">LK3: PTĐ đủ điều kiện hiển thị để chọn và thêm vào kế hoạch.</w:t>
      </w:r>
    </w:p>
    <w:p>
      <w:pPr>
        <w:pStyle w:val="ListParagraph"/>
        <w:numPr>
          <w:ilvl w:val="0"/>
          <w:numId w:val="2"/>
        </w:numPr>
        <w:spacing w:after="40"/>
      </w:pPr>
      <w:r>
        <w:rPr>
          <w:sz w:val="22"/>
          <w:szCs w:val="22"/>
        </w:rPr>
        <w:t xml:space="preserve">LK4: PTĐ không đủ điều kiện bị ẩn; nút “Xem PTĐ chưa đủ điều kiện” mở panel liệt kê lý do (G nào chưa đạt).</w:t>
      </w:r>
    </w:p>
    <w:p>
      <w:pPr>
        <w:pStyle w:val="ListParagraph"/>
        <w:numPr>
          <w:ilvl w:val="0"/>
          <w:numId w:val="2"/>
        </w:numPr>
        <w:spacing w:after="40"/>
      </w:pPr>
      <w:r>
        <w:rPr>
          <w:sz w:val="22"/>
          <w:szCs w:val="22"/>
        </w:rPr>
        <w:t xml:space="preserve">LK5: Lưu kế hoạch và ghi log: “Lập kế hoạch từ [N] PTĐ đủ điều kiện, [M] PTĐ bị loại”.</w:t>
      </w:r>
    </w:p>
    <w:p>
      <w:pPr>
        <w:pStyle w:val="Heading2"/>
      </w:pPr>
      <w:r>
        <w:t xml:space="preserve">9.3. Nội dung kế hoạch bổ sung (ánh xạ từ Danh mục PTĐ)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3360"/>
        <w:gridCol w:w="1600"/>
      </w:tblGrid>
      <w:tr>
        <w:trPr>
          <w:tblHeader/>
        </w:trPr>
        <w:tc>
          <w:tcPr>
            <w:tcW w:type="dxa" w:w="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w:t>
            </w:r>
          </w:p>
        </w:tc>
        <w:tc>
          <w:tcPr>
            <w:tcW w:type="dxa" w:w="3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bổ sung</w:t>
            </w:r>
          </w:p>
        </w:tc>
        <w:tc>
          <w:tcPr>
            <w:tcW w:type="dxa" w:w="3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Nguồn dữ liệu</w:t>
            </w:r>
          </w:p>
        </w:tc>
        <w:tc>
          <w:tcPr>
            <w:tcW w:type="dxa" w:w="1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Bắt buộc</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9.8</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Danh sách PTĐ đủ điều kiện kèm CMC (HC)</w:t>
            </w:r>
          </w:p>
        </w:tc>
        <w:tc>
          <w:tcPr>
            <w:tcW w:type="dxa" w:w="3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CMC (giá trị lớn nhất) + CMC (ĐVT)</w:t>
            </w:r>
          </w:p>
        </w:tc>
        <w:tc>
          <w:tcPr>
            <w:tcW w:type="dxa" w:w="1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Có (HC)</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9.9</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Tình trạng Thông báo QTMT của từng PTĐ quan trắc</w:t>
            </w:r>
          </w:p>
        </w:tc>
        <w:tc>
          <w:tcPr>
            <w:tcW w:type="dxa" w:w="3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Trạng thái TB (F-NEW-01) + Ngày TB (F-NEW-02)</w:t>
            </w:r>
          </w:p>
        </w:tc>
        <w:tc>
          <w:tcPr>
            <w:tcW w:type="dxa" w:w="1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Có (QTMT)</w:t>
            </w:r>
          </w:p>
        </w:tc>
      </w:tr>
      <w:tr>
        <w:tc>
          <w:tcPr>
            <w:tcW w:type="dxa" w:w="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9.10</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quan trắc theo môi trường</w:t>
            </w:r>
          </w:p>
        </w:tc>
        <w:tc>
          <w:tcPr>
            <w:tcW w:type="dxa" w:w="3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quan trắc (F-NEW-05)</w:t>
            </w:r>
          </w:p>
        </w:tc>
        <w:tc>
          <w:tcPr>
            <w:tcW w:type="dxa" w:w="1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Có (QTMT)</w:t>
            </w:r>
          </w:p>
        </w:tc>
      </w:tr>
      <w:tr>
        <w:tc>
          <w:tcPr>
            <w:tcW w:type="dxa" w:w="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9.11</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Danh sách PTĐ bị loại khỏi kế hoạch và lý do</w:t>
            </w:r>
          </w:p>
        </w:tc>
        <w:tc>
          <w:tcPr>
            <w:tcW w:type="dxa" w:w="3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Tổng hợp từ bộ lọc G1–G7</w:t>
            </w:r>
          </w:p>
        </w:tc>
        <w:tc>
          <w:tcPr>
            <w:tcW w:type="dxa" w:w="1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Khuyến nghị</w:t>
            </w:r>
          </w:p>
        </w:tc>
      </w:tr>
    </w:tbl>
    <w:p>
      <w:pPr>
        <w:pStyle w:val="Heading1"/>
      </w:pPr>
      <w:r>
        <w:t xml:space="preserve">10. Đánh giá năng lực</w:t>
      </w:r>
    </w:p>
    <w:p>
      <w:pPr>
        <w:pStyle w:val="Heading2"/>
      </w:pPr>
      <w:r>
        <w:t xml:space="preserve">10.1. Kiểm tra hồ sơ/bên ngoài</w:t>
      </w:r>
    </w:p>
    <w:p>
      <w:pPr>
        <w:spacing w:after="100"/>
      </w:pPr>
      <w:r>
        <w:rPr>
          <w:sz w:val="22"/>
          <w:szCs w:val="22"/>
        </w:rPr>
        <w:t xml:space="preserve">Kiểm tra thông tin tổ chức, người đại diện, địa điểm, mã hồ sơ, phiên bản, chữ ký; sự thống nhất giữa bản công bố/thông báo, danh mục phạm vi, checklist và tài liệu kèm; tính đầy đủ của quyết định phân công, nhân sự, thiết bị/chuẩn, chứng chỉ, quy trình, hồ sơ QC, hồ sơ công nhận; thuật ngữ phù hợp cơ chế công bố/thông báo (không dùng nhầm “đăng ký/cấp giấy chứng nhận”).</w:t>
      </w:r>
    </w:p>
    <w:p>
      <w:pPr>
        <w:pStyle w:val="Heading2"/>
      </w:pPr>
      <w:r>
        <w:t xml:space="preserve">10.2. Kiểm tra kỹ thuật</w:t>
      </w:r>
    </w:p>
    <w:p>
      <w:pPr>
        <w:pStyle w:val="ListParagraph"/>
        <w:numPr>
          <w:ilvl w:val="0"/>
          <w:numId w:val="2"/>
        </w:numPr>
        <w:spacing w:after="40"/>
      </w:pPr>
      <w:r>
        <w:rPr>
          <w:sz w:val="22"/>
          <w:szCs w:val="22"/>
        </w:rPr>
        <w:t xml:space="preserve">Hệ thống quản lý theo ETV.QM, ISO/IEC 17025:2017 và pháp luật.</w:t>
      </w:r>
    </w:p>
    <w:p>
      <w:pPr>
        <w:pStyle w:val="ListParagraph"/>
        <w:numPr>
          <w:ilvl w:val="0"/>
          <w:numId w:val="2"/>
        </w:numPr>
        <w:spacing w:after="40"/>
      </w:pPr>
      <w:r>
        <w:rPr>
          <w:sz w:val="22"/>
          <w:szCs w:val="22"/>
        </w:rPr>
        <w:t xml:space="preserve">Năng lực nhân sự: đào tạo, kinh nghiệm, phân công, thẩm quyền, giám sát.</w:t>
      </w:r>
    </w:p>
    <w:p>
      <w:pPr>
        <w:pStyle w:val="ListParagraph"/>
        <w:numPr>
          <w:ilvl w:val="0"/>
          <w:numId w:val="2"/>
        </w:numPr>
        <w:spacing w:after="40"/>
      </w:pPr>
      <w:r>
        <w:rPr>
          <w:sz w:val="22"/>
          <w:szCs w:val="22"/>
        </w:rPr>
        <w:t xml:space="preserve">Thiết bị, chuẩn, vật liệu chuẩn, phần mềm: hiệu lực hiệu chuẩn/kiểm định, liên kết chuẩn, bảo trì, kiểm tra trung gian, kiểm soát truy cập và sao lưu.</w:t>
      </w:r>
    </w:p>
    <w:p>
      <w:pPr>
        <w:pStyle w:val="ListParagraph"/>
        <w:numPr>
          <w:ilvl w:val="0"/>
          <w:numId w:val="2"/>
        </w:numPr>
        <w:spacing w:after="40"/>
      </w:pPr>
      <w:r>
        <w:rPr>
          <w:sz w:val="22"/>
          <w:szCs w:val="22"/>
        </w:rPr>
        <w:t xml:space="preserve">Phương pháp: phê duyệt, xác nhận giá trị sử dụng/kiểm tra xác nhận, phiên bản, tiêu chí chấp nhận.</w:t>
      </w:r>
    </w:p>
    <w:p>
      <w:pPr>
        <w:pStyle w:val="ListParagraph"/>
        <w:numPr>
          <w:ilvl w:val="0"/>
          <w:numId w:val="2"/>
        </w:numPr>
        <w:spacing w:after="40"/>
      </w:pPr>
      <w:r>
        <w:rPr>
          <w:sz w:val="22"/>
          <w:szCs w:val="22"/>
        </w:rPr>
        <w:t xml:space="preserve">Điều kiện môi trường, an toàn, bảo mật, khách quan, xung đột lợi ích; đảm bảo hiệu lực kết quả (QC, PT/ILC, mẫu chuẩn, biểu đồ kiểm soát).</w:t>
      </w:r>
    </w:p>
    <w:p>
      <w:pPr>
        <w:pStyle w:val="ListParagraph"/>
        <w:numPr>
          <w:ilvl w:val="0"/>
          <w:numId w:val="2"/>
        </w:numPr>
        <w:spacing w:after="40"/>
      </w:pPr>
      <w:r>
        <w:rPr>
          <w:sz w:val="22"/>
          <w:szCs w:val="22"/>
        </w:rPr>
        <w:t xml:space="preserve">So sánh kế hoạch–thực tế cho từng dòng đối tượng (Đáp ứng/Không đáp ứng/Điều chỉnh), đối chiếu snapshot; Không đáp ứng/Điều chỉnh phải ghi lý do và bằng chứng.</w:t>
      </w:r>
    </w:p>
    <w:p>
      <w:pPr>
        <w:pStyle w:val="Heading2"/>
      </w:pPr>
      <w:r>
        <w:t xml:space="preserve">10.3. Kiểm tra đo lường</w:t>
      </w:r>
    </w:p>
    <w:p>
      <w:pPr>
        <w:spacing w:after="100"/>
      </w:pPr>
      <w:r>
        <w:rPr>
          <w:sz w:val="22"/>
          <w:szCs w:val="22"/>
        </w:rPr>
        <w:t xml:space="preserve">Tên PTĐ/chuẩn, phạm vi đo, đơn vị, cấp/độ chính xác, sai số cho phép, U và quy trình phải thống nhất giữa hồ sơ công bố, danh mục năng lực và quy trình chuyên môn. Chuẩn và thiết bị chính phải có liên kết chuẩn còn hiệu lực. Hồ sơ công bố thể hiện đúng năng lực thực tế, không vượt năng lực đã chứng minh.</w:t>
      </w:r>
    </w:p>
    <w:p>
      <w:pPr>
        <w:pStyle w:val="Heading2"/>
      </w:pPr>
      <w:r>
        <w:t xml:space="preserve">10.4. Kiểm tra năng lực dịch vụ quan trắc môi trường</w:t>
      </w:r>
    </w:p>
    <w:p>
      <w:pPr>
        <w:pStyle w:val="ListParagraph"/>
        <w:numPr>
          <w:ilvl w:val="0"/>
          <w:numId w:val="2"/>
        </w:numPr>
        <w:spacing w:after="40"/>
      </w:pPr>
      <w:r>
        <w:rPr>
          <w:sz w:val="22"/>
          <w:szCs w:val="22"/>
        </w:rPr>
        <w:t xml:space="preserve">Tư cách pháp nhân/chức năng phù hợp dịch vụ QTMT dự kiến thông báo.</w:t>
      </w:r>
    </w:p>
    <w:p>
      <w:pPr>
        <w:pStyle w:val="ListParagraph"/>
        <w:numPr>
          <w:ilvl w:val="0"/>
          <w:numId w:val="2"/>
        </w:numPr>
        <w:spacing w:after="40"/>
      </w:pPr>
      <w:r>
        <w:rPr>
          <w:sz w:val="22"/>
          <w:szCs w:val="22"/>
        </w:rPr>
        <w:t xml:space="preserve">Phạm vi nền mẫu và thông số rõ ràng; chỉ thông báo phạm vi đủ bằng chứng.</w:t>
      </w:r>
    </w:p>
    <w:p>
      <w:pPr>
        <w:pStyle w:val="ListParagraph"/>
        <w:numPr>
          <w:ilvl w:val="0"/>
          <w:numId w:val="2"/>
        </w:numPr>
        <w:spacing w:after="40"/>
      </w:pPr>
      <w:r>
        <w:rPr>
          <w:sz w:val="22"/>
          <w:szCs w:val="22"/>
        </w:rPr>
        <w:t xml:space="preserve">Xem xét năng lực quan trắc/lấy mẫu hiện trường và năng lực phân tích tương ứng cho mỗi nền mẫu.</w:t>
      </w:r>
    </w:p>
    <w:p>
      <w:pPr>
        <w:pStyle w:val="ListParagraph"/>
        <w:numPr>
          <w:ilvl w:val="0"/>
          <w:numId w:val="2"/>
        </w:numPr>
        <w:spacing w:after="40"/>
      </w:pPr>
      <w:r>
        <w:rPr>
          <w:sz w:val="22"/>
          <w:szCs w:val="22"/>
        </w:rPr>
        <w:t xml:space="preserve">Nhân sự hiện trường/phân tích/phụ trách kỹ thuật đáp ứng đào tạo, kinh nghiệm, giám sát, phân công.</w:t>
      </w:r>
    </w:p>
    <w:p>
      <w:pPr>
        <w:pStyle w:val="ListParagraph"/>
        <w:numPr>
          <w:ilvl w:val="0"/>
          <w:numId w:val="2"/>
        </w:numPr>
        <w:spacing w:after="40"/>
      </w:pPr>
      <w:r>
        <w:rPr>
          <w:sz w:val="22"/>
          <w:szCs w:val="22"/>
        </w:rPr>
        <w:t xml:space="preserve">Thiết bị hiện trường và PTN có hồ sơ kiểm định/hiệu chuẩn, SOP, an toàn lao động.</w:t>
      </w:r>
    </w:p>
    <w:p>
      <w:pPr>
        <w:pStyle w:val="ListParagraph"/>
        <w:numPr>
          <w:ilvl w:val="0"/>
          <w:numId w:val="2"/>
        </w:numPr>
        <w:spacing w:after="40"/>
      </w:pPr>
      <w:r>
        <w:rPr>
          <w:sz w:val="22"/>
          <w:szCs w:val="22"/>
        </w:rPr>
        <w:t xml:space="preserve">PTN phân tích phù hợp ISO/IEC 17025 trong phạm vi liên quan; đối chiếu danh mục phép thử công nhận với phạm vi thông báo.</w:t>
      </w:r>
    </w:p>
    <w:p>
      <w:pPr>
        <w:pStyle w:val="ListParagraph"/>
        <w:numPr>
          <w:ilvl w:val="0"/>
          <w:numId w:val="2"/>
        </w:numPr>
        <w:spacing w:after="40"/>
      </w:pPr>
      <w:r>
        <w:rPr>
          <w:sz w:val="22"/>
          <w:szCs w:val="22"/>
        </w:rPr>
        <w:t xml:space="preserve">Thông số có LOD/LOQ khi áp dụng; LOQ đáp ứng quy chuẩn kỹ thuật môi trường hoặc được giải trình.</w:t>
      </w:r>
    </w:p>
    <w:p>
      <w:pPr>
        <w:pStyle w:val="ListParagraph"/>
        <w:numPr>
          <w:ilvl w:val="0"/>
          <w:numId w:val="2"/>
        </w:numPr>
        <w:spacing w:after="40"/>
      </w:pPr>
      <w:r>
        <w:rPr>
          <w:sz w:val="22"/>
          <w:szCs w:val="22"/>
        </w:rPr>
        <w:t xml:space="preserve">QA/QC bao trùm lấy mẫu, bảo quản, vận chuyển, phân tích, kiểm tra dữ liệu, phát hành kết quả, lưu dữ liệu gốc.</w:t>
      </w:r>
    </w:p>
    <w:p>
      <w:pPr>
        <w:pStyle w:val="ListParagraph"/>
        <w:numPr>
          <w:ilvl w:val="0"/>
          <w:numId w:val="2"/>
        </w:numPr>
        <w:spacing w:after="40"/>
      </w:pPr>
      <w:r>
        <w:rPr>
          <w:sz w:val="22"/>
          <w:szCs w:val="22"/>
        </w:rPr>
        <w:t xml:space="preserve">Hoàn tất thông báo năng lực theo mẫu và công khai trạng thái trên ManLab TRƯỚC khi thực hiện dịch vụ.</w:t>
      </w:r>
    </w:p>
    <w:p>
      <w:pPr>
        <w:pStyle w:val="Heading2"/>
      </w:pPr>
      <w:r>
        <w:t xml:space="preserve">10.5. Kết luận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tblHeader/>
        </w:trPr>
        <w:tc>
          <w:tcPr>
            <w:tcW w:type="dxa" w:w="20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Kết luận</w:t>
            </w:r>
          </w:p>
        </w:tc>
        <w:tc>
          <w:tcPr>
            <w:tcW w:type="dxa" w:w="46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Điều kiện</w:t>
            </w:r>
          </w:p>
        </w:tc>
        <w:tc>
          <w:tcPr>
            <w:tcW w:type="dxa" w:w="2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Hành động trên ManLab</w:t>
            </w:r>
          </w:p>
        </w:tc>
      </w:tr>
      <w:tr>
        <w:tc>
          <w:tcPr>
            <w:tcW w:type="dxa" w:w="20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Đạt</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Tất cả tiêu chí bắt buộc đạt; khuyến nghị không ảnh hưởng công bố</w:t>
            </w:r>
          </w:p>
        </w:tc>
        <w:tc>
          <w:tcPr>
            <w:tcW w:type="dxa" w:w="2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Chuyển Đánh giá đạt/Chờ phê duyệt nội bộ</w:t>
            </w:r>
          </w:p>
        </w:tc>
      </w:tr>
      <w:tr>
        <w:tc>
          <w:tcPr>
            <w:tcW w:type="dxa" w:w="20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Đạt có điều kiện</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Có điểm bổ sung nhưng không ảnh hưởng trực tiếp/đã có biện pháp kiểm soát</w:t>
            </w:r>
          </w:p>
        </w:tc>
        <w:tc>
          <w:tcPr>
            <w:tcW w:type="dxa" w:w="2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Tạo yêu cầu theo dõi; chỉ phê duyệt khi lãnh đạo chấp nhận rủi ro</w:t>
            </w:r>
          </w:p>
        </w:tc>
      </w:tr>
      <w:tr>
        <w:tc>
          <w:tcPr>
            <w:tcW w:type="dxa" w:w="20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Không đạt</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Thiếu nguồn lực/bằng chứng, hết hiệu lực, phương pháp chưa duyệt, dữ liệu không truy xuất</w:t>
            </w:r>
          </w:p>
        </w:tc>
        <w:tc>
          <w:tcPr>
            <w:tcW w:type="dxa" w:w="2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Chuyển Yêu cầu bổ sung/khắc phục hoặc Không đủ điều kiện</w:t>
            </w:r>
          </w:p>
        </w:tc>
      </w:tr>
      <w:tr>
        <w:tc>
          <w:tcPr>
            <w:tcW w:type="dxa" w:w="20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Không áp dụng</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Tiêu chí không liên quan phạm vi</w:t>
            </w:r>
          </w:p>
        </w:tc>
        <w:tc>
          <w:tcPr>
            <w:tcW w:type="dxa" w:w="2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Ghi rõ lý do, người xác nhận, bằng chứng</w:t>
            </w:r>
          </w:p>
        </w:tc>
      </w:tr>
    </w:tbl>
    <w:p>
      <w:pPr>
        <w:spacing w:after="100"/>
      </w:pPr>
      <w:r>
        <w:rPr>
          <w:sz w:val="22"/>
          <w:szCs w:val="22"/>
        </w:rPr>
        <w:t xml:space="preserve">Kết luận áp dụng cho từng dòng đối tượng. ManLab cho phép công bố các dòng đạt; dòng “Không đạt” giữ trạng thái “Yêu cầu bổ sung/khắc phục”, không chặn các dòng đủ điều kiện. Hồ sơ phải có ít nhất một dòng đạt mới được công bố/thông báo.</w:t>
      </w:r>
    </w:p>
    <w:p>
      <w:pPr>
        <w:pStyle w:val="Heading1"/>
      </w:pPr>
      <w:r>
        <w:t xml:space="preserve">11. Phê duyệt nội bộ, lập và gửi bản công bố/thông báo</w:t>
      </w:r>
    </w:p>
    <w:p>
      <w:pPr>
        <w:pStyle w:val="Heading2"/>
      </w:pPr>
      <w:r>
        <w:t xml:space="preserve">11.1. Phê duyệt nội bộ</w:t>
      </w:r>
    </w:p>
    <w:p>
      <w:pPr>
        <w:spacing w:after="100"/>
      </w:pPr>
      <w:r>
        <w:rPr>
          <w:sz w:val="22"/>
          <w:szCs w:val="22"/>
        </w:rPr>
        <w:t xml:space="preserve">Người phụ trách tổng hợp kết quả đánh giá, danh mục phạm vi đạt, loại trừ, rủi ro và dự thảo bản công bố/thông báo. Trưởng bộ phận chuyên môn xác nhận phù hợp kỹ thuật; QLCL xác nhận phù hợp hệ thống và hồ sơ; Lãnh đạo Viện phê duyệt trước khi gửi/công khai. Phiên bản phê duyệt phải khóa; sửa sau phê duyệt phải tạo phiên bản điều chỉnh hoặc mở khóa có phê duyệt.</w:t>
      </w:r>
    </w:p>
    <w:p>
      <w:pPr>
        <w:pStyle w:val="Heading2"/>
      </w:pPr>
      <w:r>
        <w:t xml:space="preserve">11.2. Lập, ký, gửi bản công bố/thông báo</w:t>
      </w:r>
    </w:p>
    <w:p>
      <w:pPr>
        <w:pStyle w:val="ListParagraph"/>
        <w:numPr>
          <w:ilvl w:val="0"/>
          <w:numId w:val="2"/>
        </w:numPr>
        <w:spacing w:after="40"/>
      </w:pPr>
      <w:r>
        <w:rPr>
          <w:sz w:val="22"/>
          <w:szCs w:val="22"/>
        </w:rPr>
        <w:t xml:space="preserve">Đo lường: lập bản công bố theo Mẫu 01 Phụ lục I.3.3 (NQ 66.18), gửi Trung tâm Phục vụ hành chính công cấp tỉnh — UBND tỉnh ghi nhận trong 03 ngày làm việc.</w:t>
      </w:r>
    </w:p>
    <w:p>
      <w:pPr>
        <w:pStyle w:val="ListParagraph"/>
        <w:numPr>
          <w:ilvl w:val="0"/>
          <w:numId w:val="2"/>
        </w:numPr>
        <w:spacing w:after="40"/>
      </w:pPr>
      <w:r>
        <w:rPr>
          <w:sz w:val="22"/>
          <w:szCs w:val="22"/>
        </w:rPr>
        <w:t xml:space="preserve">Quan trắc môi trường: lập văn bản thông báo theo Mẫu 9.01 (NQ 66.19), gửi Bộ Nông nghiệp và Môi trường — BẮT BUỘC thực hiện TRƯỚC KHI cung cấp dịch vụ.</w:t>
      </w:r>
    </w:p>
    <w:p>
      <w:pPr>
        <w:pStyle w:val="ListParagraph"/>
        <w:numPr>
          <w:ilvl w:val="0"/>
          <w:numId w:val="2"/>
        </w:numPr>
        <w:spacing w:after="40"/>
      </w:pPr>
      <w:r>
        <w:rPr>
          <w:sz w:val="22"/>
          <w:szCs w:val="22"/>
        </w:rPr>
        <w:t xml:space="preserve">Bằng chứng nộp/gửi, mã hồ sơ, biên nhận, thông báo tiếp nhận và bản đã ký phải tải lên ManLab.</w:t>
      </w:r>
    </w:p>
    <w:p>
      <w:pPr>
        <w:pStyle w:val="ListParagraph"/>
        <w:numPr>
          <w:ilvl w:val="0"/>
          <w:numId w:val="2"/>
        </w:numPr>
        <w:spacing w:after="40"/>
      </w:pPr>
      <w:r>
        <w:rPr>
          <w:sz w:val="22"/>
          <w:szCs w:val="22"/>
        </w:rPr>
        <w:t xml:space="preserve">Khi bị yêu cầu bổ sung, chuyển trạng thái “Yêu cầu bổ sung từ cơ quan tiếp nhận”, phân công xử lý, thời hạn và lưu phiên bản bổ sung.</w:t>
      </w:r>
    </w:p>
    <w:p>
      <w:pPr>
        <w:pStyle w:val="Heading2"/>
      </w:pPr>
      <w:r>
        <w:t xml:space="preserve">11.3. Chữ ký số và QR</w:t>
      </w:r>
    </w:p>
    <w:p>
      <w:pPr>
        <w:spacing w:after="100"/>
      </w:pPr>
      <w:r>
        <w:rPr>
          <w:sz w:val="22"/>
          <w:szCs w:val="22"/>
        </w:rPr>
        <w:t xml:space="preserve">Bản phát hành điện tử phải có định danh phiên bản, mã hồ sơ, người ký, thời điểm ký và hàm băm/QR. QR chỉ dẫn tới trang xác thực trạng thái công bố trên ManLab/website được phê duyệt; được tạo tự động khi hồ sơ chuyển trạng thái Công khai và chỉ dẫn đến phạm vi Công khai/Còn hiệu lực.</w:t>
      </w:r>
    </w:p>
    <w:p>
      <w:pPr>
        <w:pStyle w:val="Heading1"/>
      </w:pPr>
      <w:r>
        <w:t xml:space="preserve">12. Công khai năng lực và kiểm soát áp dụng</w:t>
      </w:r>
    </w:p>
    <w:p>
      <w:pPr>
        <w:spacing w:after="100"/>
      </w:pPr>
      <w:r>
        <w:rPr>
          <w:sz w:val="22"/>
          <w:szCs w:val="22"/>
        </w:rPr>
        <w:t xml:space="preserve">Công khai là điểm kiểm soát bắt buộc trước khi phạm vi được dùng trong báo giá, hợp đồng, kế hoạch kỹ thuật, chứng chỉ, phiếu kết quả hoặc báo cáo. ManLab phải chặn/cảnh báo mạnh khi người dùng chọn phạm vi Tạm dừng/Đang điều chỉnh/Hủy bỏ/Hết hiệu lực. Danh mục công khai rà soát tối thiểu 01 lần/năm hoặc khi có thay đổi ảnh hưởng phạm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công khai</w:t>
            </w:r>
          </w:p>
        </w:tc>
        <w:tc>
          <w:tcPr>
            <w:tcW w:type="dxa" w:w="6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Yêu cầu</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Thông tin chung</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tổ chức, địa chỉ, liên hệ, lĩnh vực, mã bản công bố/thông báo, ngày phê duyệt/gửi/tiếp nhận/công khai, phiên bản.</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Danh mục phạm vi</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Tên PTĐ/chuẩn/nền mẫu/thông số, phạm vi đo, đơn vị, cấp/độ chính xác, MPE, U, LOD/LOQ, quy trình, địa điểm.</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Trạng thái &amp; Truy xuất</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Còn hiệu lực/Tạm dừng/Đang điều chỉnh/Hủy bỏ/Hết hiệu lực kèm lý do, ngày; QR/đường dẫn, mã hồ sơ, phiên bản, nhật ký.</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Giới hạn sử dụng</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Ghi rõ phạm vi không áp dụng, đang chờ điều chỉnh, điều kiện thực hiện, ghi chú thầu phụ/phối hợp.</w:t>
            </w:r>
          </w:p>
        </w:tc>
      </w:tr>
    </w:tbl>
    <w:p>
      <w:pPr>
        <w:pStyle w:val="Heading1"/>
      </w:pPr>
      <w:r>
        <w:t xml:space="preserve">13. Duy trì, giám sát, tạm dừng, điều chỉnh và hủy bỏ</w:t>
      </w:r>
    </w:p>
    <w:p>
      <w:pPr>
        <w:pStyle w:val="Heading2"/>
      </w:pPr>
      <w:r>
        <w:t xml:space="preserve">13.1. Duy trì sau công khai</w:t>
      </w:r>
    </w:p>
    <w:p>
      <w:pPr>
        <w:spacing w:after="100"/>
      </w:pPr>
      <w:r>
        <w:rPr>
          <w:sz w:val="22"/>
          <w:szCs w:val="22"/>
        </w:rPr>
        <w:t xml:space="preserve">Theo dõi hiệu lực chứng chỉ thiết bị/chuẩn, bảo trì/kiểm tra trung gian, môi trường, phần mềm; năng lực nhân sự, phân quyền ký; hiệu lực phương pháp, tiêu chuẩn, ĐLVN, phạm vi công nhận, LOD/LOQ, U; kết quả QA/QC, PT/ILC, khiếu nại, công việc không phù hợp. QTMT: lập báo cáo hằng năm theo Mẫu 9.02 (NQ 66.19), gửi Bộ NN&amp;MT trước 30/01 năm kế tiếp; lưu dữ liệu gốc theo quy định.</w:t>
      </w:r>
    </w:p>
    <w:p>
      <w:pPr>
        <w:pStyle w:val="Heading2"/>
      </w:pPr>
      <w:r>
        <w:t xml:space="preserve">13.2. Tạm dừng nội bộ</w:t>
      </w:r>
    </w:p>
    <w:p>
      <w:pPr>
        <w:spacing w:after="100"/>
      </w:pPr>
      <w:r>
        <w:rPr>
          <w:sz w:val="22"/>
          <w:szCs w:val="22"/>
        </w:rPr>
        <w:t xml:space="preserve">Áp dụng khi: thiết bị/chuẩn hết hiệu lực/hỏng/mất liên kết chuẩn; nhân sự chủ chốt không đủ năng lực/phân quyền; phương pháp thay đổi chưa xác nhận; môi trường không đáp ứng; QA/QC/PT/khiếu nại cho thấy năng lực bị ảnh hưởng; pháp luật thay đổi; có yêu cầu của lãnh đạo/cơ quan thẩm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Bước tạm dừng</w:t>
            </w:r>
          </w:p>
        </w:tc>
        <w:tc>
          <w:tcPr>
            <w:tcW w:type="dxa" w:w="71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Hành động bắt buộc</w:t>
            </w:r>
          </w:p>
        </w:tc>
      </w:tr>
      <w:tr>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 Ghi nhận</w:t>
            </w:r>
          </w:p>
        </w:tc>
        <w:tc>
          <w:tcPr>
            <w:tcW w:type="dxa" w:w="7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Tạo phiếu tạm dừng (F21.10), nêu phạm vi, lý do, bằng chứng, người đề xuất, mức ảnh hưởng.</w:t>
            </w:r>
          </w:p>
        </w:tc>
      </w:tr>
      <w:tr>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 Phê duyệt</w:t>
            </w:r>
          </w:p>
        </w:tc>
        <w:tc>
          <w:tcPr>
            <w:tcW w:type="dxa" w:w="7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Trưởng bộ phận và QLCL soát xét; Lãnh đạo Viện phê duyệt khi ảnh hưởng phạm vi công khai.</w:t>
            </w:r>
          </w:p>
        </w:tc>
      </w:tr>
      <w:tr>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3. Chặn sử dụng</w:t>
            </w:r>
          </w:p>
        </w:tc>
        <w:tc>
          <w:tcPr>
            <w:tcW w:type="dxa" w:w="7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ManLab chuyển PTĐ/Công bố sang Tạm dừng; chặn chọn phạm vi trong nghiệp vụ phát hành kết quả.</w:t>
            </w:r>
          </w:p>
        </w:tc>
      </w:tr>
      <w:tr>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4. Thông báo</w:t>
            </w:r>
          </w:p>
        </w:tc>
        <w:tc>
          <w:tcPr>
            <w:tcW w:type="dxa" w:w="7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Thông báo bộ phận liên quan; cập nhật trang công khai/QR nếu đã công khai.</w:t>
            </w:r>
          </w:p>
        </w:tc>
      </w:tr>
      <w:tr>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5. Khắc phục</w:t>
            </w:r>
          </w:p>
        </w:tc>
        <w:tc>
          <w:tcPr>
            <w:tcW w:type="dxa" w:w="7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Lập kế hoạch khắc phục, đánh giá lại, lưu bằng chứng.</w:t>
            </w:r>
          </w:p>
        </w:tc>
      </w:tr>
      <w:tr>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6. Khôi phục/chuyển tiếp</w:t>
            </w:r>
          </w:p>
        </w:tc>
        <w:tc>
          <w:tcPr>
            <w:tcW w:type="dxa" w:w="7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Chỉ khôi phục khi đánh giá đạt và được phê duyệt; nếu không khắc phục được thì điều chỉnh hoặc hủy bỏ.</w:t>
            </w:r>
          </w:p>
        </w:tc>
      </w:tr>
    </w:tbl>
    <w:p>
      <w:pPr>
        <w:pStyle w:val="Heading2"/>
      </w:pPr>
      <w:r>
        <w:t xml:space="preserve">13.3. Điều chỉnh</w:t>
      </w:r>
    </w:p>
    <w:p>
      <w:pPr>
        <w:spacing w:after="100"/>
      </w:pPr>
      <w:r>
        <w:rPr>
          <w:sz w:val="22"/>
          <w:szCs w:val="22"/>
        </w:rPr>
        <w:t xml:space="preserve">Thực hiện khi có thay đổi ảnh hưởng nội dung đã công bố/thông báo. Hồ sơ điều chỉnh (F21.09) nêu rõ nội dung thay đổi, lý do, bằng chứng năng lực sau điều chỉnh, ngày hiệu lực, phạm vi bị thay thế, kế hoạch công khai lại. Trên ManLab điều chỉnh không ghi đè bản cũ; phải tạo phiên bản mới, liên kết bản cũ, chỉ rõ tăng/giảm/sửa và ngày áp dụng.</w:t>
      </w:r>
    </w:p>
    <w:p>
      <w:pPr>
        <w:pStyle w:val="Heading2"/>
      </w:pPr>
      <w:r>
        <w:t xml:space="preserve">13.4. Hủy bỏ</w:t>
      </w:r>
    </w:p>
    <w:p>
      <w:pPr>
        <w:spacing w:after="100"/>
      </w:pPr>
      <w:r>
        <w:rPr>
          <w:sz w:val="22"/>
          <w:szCs w:val="22"/>
        </w:rPr>
        <w:t xml:space="preserve">Hủy bỏ toàn bộ/một phần khi không còn nhu cầu, không đủ điều kiện, không khắc phục được sau tạm dừng hoặc có yêu cầu của cơ quan thẩm quyền. Trước khi hủy phải rà soát hợp đồng, hồ sơ đang thực hiện, kết quả đã phát hành, QR, website. Sau hủy (F21.11): chuyển trạng thái Hủy bỏ, cập nhật công khai, thông báo, lưu hồ sơ, chặn sử dụng; không xóa dữ liệu, chỉ lưu trữ có kiểm soát.</w:t>
      </w:r>
    </w:p>
    <w:p>
      <w:pPr>
        <w:pStyle w:val="Heading1"/>
      </w:pPr>
      <w:r>
        <w:t xml:space="preserve">14. Trạng thái dữ liệu trên ManLab</w:t>
      </w:r>
    </w:p>
    <w:p>
      <w:pPr>
        <w:spacing w:after="100"/>
      </w:pPr>
      <w:r>
        <w:rPr>
          <w:sz w:val="22"/>
          <w:szCs w:val="22"/>
        </w:rPr>
        <w:t xml:space="preserve">Ba lớp trạng thái độc lập: Hồ sơ (do menu Lập kế hoạch/Đánh giá/Kết quả điều khiển), Công bố/Thông báo (do menu Công bố/Thông báo điều khiển), PTĐ (lấy từ Danh mục PTĐ, P21 chỉ đọc).</w:t>
      </w:r>
    </w:p>
    <w:p>
      <w:pPr>
        <w:pStyle w:val="Heading2"/>
      </w:pPr>
      <w:r>
        <w:t xml:space="preserve">14.1. Trạng thái Hồ sơ P21</w:t>
      </w:r>
    </w:p>
    <w:p>
      <w:pPr>
        <w:spacing w:after="100"/>
      </w:pPr>
      <w:r>
        <w:rPr>
          <w:sz w:val="22"/>
          <w:szCs w:val="22"/>
        </w:rPr>
        <w:t xml:space="preserve">Nháp → Chờ lập kế hoạch → Đã lập kế hoạch → Đang đánh giá → Yêu cầu bổ sung/Chờ soát xét → Đánh giá đạt/Không đạt → Chờ phê duyệt nội bộ → Đã phê duyệt nội bộ → Đã gửi/Đã tiếp nhận → Đã công khai/Còn hiệu lực → Đang điều chỉnh/Tạm dừng → Hủy bỏ → Lưu trữ.</w:t>
      </w:r>
    </w:p>
    <w:p>
      <w:pPr>
        <w:pStyle w:val="Heading2"/>
      </w:pPr>
      <w:r>
        <w:t xml:space="preserve">14.2. Trạng thái Công bố/Thông báo</w:t>
      </w:r>
    </w:p>
    <w:p>
      <w:pPr>
        <w:spacing w:after="100"/>
      </w:pPr>
      <w:r>
        <w:rPr>
          <w:sz w:val="22"/>
          <w:szCs w:val="22"/>
        </w:rPr>
        <w:t xml:space="preserve">Chưa lập → Đang lập → Chờ soát xét → Đã phê duyệt nội bộ → Đã gửi → Yêu cầu bổ sung → Đã tiếp nhận → Đã công khai → Còn hiệu lực → Đang điều chỉnh/Điều chỉnh đã công khai → Tạm dừng → Hủy bỏ → Hết hiệu lực.</w:t>
      </w:r>
    </w:p>
    <w:p>
      <w:pPr>
        <w:pStyle w:val="Heading2"/>
      </w:pPr>
      <w:r>
        <w:t xml:space="preserve">14.3. Trạng thái PTĐ/đối tượng năng lực</w:t>
      </w:r>
    </w:p>
    <w:p>
      <w:pPr>
        <w:spacing w:after="100"/>
      </w:pPr>
      <w:r>
        <w:rPr>
          <w:sz w:val="22"/>
          <w:szCs w:val="22"/>
        </w:rPr>
        <w:t xml:space="preserve">Mới tạo → Đề xuất → Chờ đánh giá → Đang đánh giá → Đủ/Chưa đủ điều kiện nội bộ → Chờ công bố → Đã công bố/công khai → Đang sử dụng → Tạm dừng/Đang điều chỉnh/Hủy bỏ/Hết hiệu lực. Chỉ trạng thái “Đã công bố” và công bố còn hiệu lực mới được dùng trong dịch vụ.</w:t>
      </w:r>
    </w:p>
    <w:p>
      <w:pPr>
        <w:pStyle w:val="Heading1"/>
      </w:pPr>
      <w:r>
        <w:t xml:space="preserve">15. Cấu hình Menu P21 trên ManLab</w:t>
      </w:r>
    </w:p>
    <w:p>
      <w:pPr>
        <w:spacing w:after="100"/>
      </w:pPr>
      <w:r>
        <w:rPr>
          <w:sz w:val="22"/>
          <w:szCs w:val="22"/>
        </w:rPr>
        <w:t xml:space="preserve">Menu P21 độc lập với Menu Danh mục Phương tiện đo, có bảng dữ liệu riêng cho đối tượng năng lực, hồ sơ, kế hoạch, checklist, công khai và trạng thái. Cập nhật ở Danh mục PTĐ không tự đổi trạng thái P21 (tạo cảnh báo “Cần rà soát P21”); cập nhật ở P21 không tự sửa Danh mục PTĐ trừ khi có phiếu đồng bộ được phê duyệt.</w:t>
      </w:r>
    </w:p>
    <w:p>
      <w:pPr>
        <w:pStyle w:val="Heading2"/>
      </w:pPr>
      <w:r>
        <w:t xml:space="preserve">15.1. Cấu trúc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Tab</w:t>
            </w:r>
          </w:p>
        </w:tc>
        <w:tc>
          <w:tcPr>
            <w:tcW w:type="dxa" w:w="6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chính</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Tổng quan</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loại, lĩnh vực, trạng thái, timeline, cảnh báo, người phụ trách</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Đối tượng năng lực</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PTĐ/chuẩn/nền mẫu/thông số, phạm vi đo, MPE, U, LOD/LOQ, phương pháp; snapshot</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 hoạch / Bằng chứng</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Mục tiêu, phạm vi, tiêu chí, đoàn đánh giá, lịch, checklist; nhân sự, thiết bị, chuẩn, QA/QC, công nhận, pháp lý</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Đánh giá / Phê duyệt</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Checklist Đạt/Không đạt/KAD, điểm KPH, rủi ro, kết luận; soát xét chuyên môn, QLCL, phê duyệt lãnh đạo, khóa phiên bản</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Công bố/Công khai</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Bản công bố/thông báo, bằng chứng gửi, mã hồ sơ, link/QR công khai</w:t>
            </w:r>
          </w:p>
        </w:tc>
      </w:tr>
      <w:tr>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Điều chỉnh/Tạm dừng/Hủy bỏ</w:t>
            </w:r>
          </w:p>
        </w:tc>
        <w:tc>
          <w:tcPr>
            <w:tcW w:type="dxa" w:w="6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Phiếu điều chỉnh, tạm dừng, khôi phục, hủy bỏ; phạm vi bị ảnh hưởng</w:t>
            </w:r>
          </w:p>
        </w:tc>
      </w:tr>
      <w:tr>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Nhật ký/Hậu kiểm</w:t>
            </w:r>
          </w:p>
        </w:tc>
        <w:tc>
          <w:tcPr>
            <w:tcW w:type="dxa" w:w="6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Audit trail, lịch cảnh báo, báo cáo định kỳ, đánh giá nội bộ, phản hồi cơ quan quản lý</w:t>
            </w:r>
          </w:p>
        </w:tc>
      </w:tr>
    </w:tbl>
    <w:p>
      <w:pPr>
        <w:pStyle w:val="Heading2"/>
      </w:pPr>
      <w:r>
        <w:t xml:space="preserve">15.2. Phân quyền và cảnh báo tự động</w:t>
      </w:r>
    </w:p>
    <w:p>
      <w:pPr>
        <w:spacing w:after="100"/>
      </w:pPr>
      <w:r>
        <w:rPr>
          <w:sz w:val="22"/>
          <w:szCs w:val="22"/>
        </w:rPr>
        <w:t xml:space="preserve">Phân quyền 06 nhóm: Super Admin, Lãnh đạo Viện, Lãnh đạo phòng, Người thực hiện/Public user, Người ngoài ETV (thanh tra/hậu kiểm – xem có kiểm soát), Khách hàng/Người xem (chỉ tra cứu thông tin công khai). Cảnh báo tự động: chứng chỉ thiết bị/chuẩn sắp/đã hết hạn; nhân sự chưa đào tạo/hết phân quyền; phương pháp bị thay thế/chưa duyệt; phạm vi công nhận thay đổi; LOD/LOQ/U/MPE không đáp ứng; phạm vi đang dùng bị Tạm dừng/Điều chỉnh/Hủy bỏ; đến hạn báo cáo/hậu kiểm; thay đổi dữ liệu liên kết ở Danh mục PTĐ.</w:t>
      </w:r>
    </w:p>
    <w:p>
      <w:pPr>
        <w:pStyle w:val="Heading1"/>
      </w:pPr>
      <w:r>
        <w:t xml:space="preserve">16. Hồ sơ, biểu mẫu và lưu trữ</w:t>
      </w:r>
    </w:p>
    <w:p>
      <w:pPr>
        <w:spacing w:after="100"/>
      </w:pPr>
      <w:r>
        <w:rPr>
          <w:sz w:val="22"/>
          <w:szCs w:val="22"/>
        </w:rPr>
        <w:t xml:space="preserve">Hồ sơ P21 lưu điện tử trên ManLab, có thể xuất PDF/Word. Hồ sơ công bố/thông báo, điều chỉnh, tạm dừng, hủy bỏ và bằng chứng gửi/tiếp nhận/công khai lưu tối thiểu 05 năm hoặc lâu hơn theo pháp luật, hợp đồng, ETV.QM hoặc yêu cầu công nhận. Mỗi lần sửa bản công bố phải tạo phiên bản mới; không xóa phiên bản cũ; bản xuất ngoài hệ thống phải có mã hồ sơ, phiên bản, ngày xuất và QR/đường dẫn xác thực.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rPr>
          <w:tblHeader/>
        </w:trPr>
        <w:tc>
          <w:tcPr>
            <w:tcW w:type="dxa" w:w="15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Mã biểu mẫu</w:t>
            </w:r>
          </w:p>
        </w:tc>
        <w:tc>
          <w:tcPr>
            <w:tcW w:type="dxa" w:w="54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Tên biểu mẫu</w:t>
            </w:r>
          </w:p>
        </w:tc>
        <w:tc>
          <w:tcPr>
            <w:tcW w:type="dxa" w:w="2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Nơi tạo/lưu trên ManLab</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F21.01</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Phiếu đề xuất tạo mới hồ sơ P21/PTĐ/năng lực dự kiến</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Tổng quan/Đối tượng năng lực</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F21.02</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 hoạch đánh giá năng lực công bố/thông báo</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 hoạch</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F21.03</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Checklist đánh giá hồ sơ, kỹ thuật, đo lường, QTMT và số hóa</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Đánh giá</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F21.04</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Bản công bố năng lực kiểm định/hiệu chuẩn/thử nghiệm PTĐ/chuẩn</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bố/Công khai</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F21.05</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Phiếu rà soát năng lực hoạt động dịch vụ QTMT</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Đánh giá</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F21.06</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Thông báo hoạt động dịch vụ QTMT</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bố/Công khai</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F21.07</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Báo cáo hoạt động dịch vụ QTMT hằng năm</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Hậu kiểm/Báo cáo</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F21.08</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Phiếu phê duyệt nội bộ công bố/thông báo năng lực</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Phê duyệt</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F21.09</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Phiếu điều chỉnh công bố/thông báo năng lực</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Điều chỉnh</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F21.10</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Phiếu tạm dừng/khôi phục phạm vi năng lực</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Tạm dừng</w:t>
            </w:r>
          </w:p>
        </w:tc>
      </w:tr>
      <w:tr>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F21.11</w:t>
            </w:r>
          </w:p>
        </w:tc>
        <w:tc>
          <w:tcPr>
            <w:tcW w:type="dxa" w:w="54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Phiếu hủy bỏ công bố/thông báo năng lực</w:t>
            </w:r>
          </w:p>
        </w:tc>
        <w:tc>
          <w:tcPr>
            <w:tcW w:type="dxa" w:w="2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Hủy bỏ</w:t>
            </w:r>
          </w:p>
        </w:tc>
      </w:tr>
      <w:tr>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F21.12</w:t>
            </w:r>
          </w:p>
        </w:tc>
        <w:tc>
          <w:tcPr>
            <w:tcW w:type="dxa" w:w="54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Danh mục năng lực công khai và nhật ký thay đổi</w:t>
            </w:r>
          </w:p>
        </w:tc>
        <w:tc>
          <w:tcPr>
            <w:tcW w:type="dxa" w:w="2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khai/Nhật ký</w:t>
            </w:r>
          </w:p>
        </w:tc>
      </w:tr>
    </w:tbl>
    <w:p>
      <w:r>
        <w:br w:type="page"/>
      </w:r>
    </w:p>
    <w:p>
      <w:pPr>
        <w:pStyle w:val="Heading1"/>
      </w:pPr>
      <w:r>
        <w:t xml:space="preserve">Phụ lục A. Ma trận checklist đánh giá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3700"/>
        <w:gridCol w:w="800"/>
      </w:tblGrid>
      <w:tr>
        <w:trPr>
          <w:tblHeader/>
        </w:trPr>
        <w:tc>
          <w:tcPr>
            <w:tcW w:type="dxa" w:w="1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Nhóm tiêu chí</w:t>
            </w:r>
          </w:p>
        </w:tc>
        <w:tc>
          <w:tcPr>
            <w:tcW w:type="dxa" w:w="31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 kiểm tra</w:t>
            </w:r>
          </w:p>
        </w:tc>
        <w:tc>
          <w:tcPr>
            <w:tcW w:type="dxa" w:w="37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Bằng chứng tối thiểu</w:t>
            </w:r>
          </w:p>
        </w:tc>
        <w:tc>
          <w:tcPr>
            <w:tcW w:type="dxa" w:w="8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KL</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Pháp lý/hồ sơ</w:t>
            </w:r>
          </w:p>
        </w:tc>
        <w:tc>
          <w:tcPr>
            <w:tcW w:type="dxa" w:w="3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tổ chức, địa chỉ, người đại diện, chức năng, căn cứ pháp lý</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Giấy tờ pháp nhân, quyết định chức năng, bản công bố/thông báo dự thảo</w:t>
            </w:r>
          </w:p>
        </w:tc>
        <w:tc>
          <w:tcPr>
            <w:tcW w:type="dxa" w:w="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Hệ thống quản lý</w:t>
            </w:r>
          </w:p>
        </w:tc>
        <w:tc>
          <w:tcPr>
            <w:tcW w:type="dxa" w:w="3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ETV.QM, kiểm soát tài liệu/hồ sơ/rủi ro/bảo mật/khách quan, đánh giá nội bộ</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Thủ tục, hồ sơ đánh giá, xem xét lãnh đạo, hành động khắc phục</w:t>
            </w:r>
          </w:p>
        </w:tc>
        <w:tc>
          <w:tcPr>
            <w:tcW w:type="dxa" w:w="8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Nhân sự</w:t>
            </w:r>
          </w:p>
        </w:tc>
        <w:tc>
          <w:tcPr>
            <w:tcW w:type="dxa" w:w="3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Năng lực, đào tạo, kinh nghiệm, giám sát, phân quyền</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Hồ sơ năng lực, quyết định phân công, ma trận năng lực</w:t>
            </w:r>
          </w:p>
        </w:tc>
        <w:tc>
          <w:tcPr>
            <w:tcW w:type="dxa" w:w="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Thiết bị/chuẩn</w:t>
            </w:r>
          </w:p>
        </w:tc>
        <w:tc>
          <w:tcPr>
            <w:tcW w:type="dxa" w:w="3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Hiệu lực kiểm định/hiệu chuẩn, liên kết chuẩn, bảo trì, kiểm tra trung gian</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Chứng chỉ, tem/nhãn, nhật ký, kế hoạch bảo trì</w:t>
            </w:r>
          </w:p>
        </w:tc>
        <w:tc>
          <w:tcPr>
            <w:tcW w:type="dxa" w:w="8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Phương pháp</w:t>
            </w:r>
          </w:p>
        </w:tc>
        <w:tc>
          <w:tcPr>
            <w:tcW w:type="dxa" w:w="3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Phê duyệt, xác nhận giá trị sử dụng/kiểm tra xác nhận, phiên bản</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Quy trình, biểu mẫu tính, biên bản xác nhận</w:t>
            </w:r>
          </w:p>
        </w:tc>
        <w:tc>
          <w:tcPr>
            <w:tcW w:type="dxa" w:w="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U/MPE</w:t>
            </w:r>
          </w:p>
        </w:tc>
        <w:tc>
          <w:tcPr>
            <w:tcW w:type="dxa" w:w="3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Mô hình đo, ngân sách U, hệ số phủ, tiêu chí MPE</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Bảng tính, phê duyệt kỹ thuật, kết quả kiểm tra</w:t>
            </w:r>
          </w:p>
        </w:tc>
        <w:tc>
          <w:tcPr>
            <w:tcW w:type="dxa" w:w="8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QA/QC</w:t>
            </w:r>
          </w:p>
        </w:tc>
        <w:tc>
          <w:tcPr>
            <w:tcW w:type="dxa" w:w="3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QC nội bộ, PT/ILC, mẫu chuẩn, biểu đồ kiểm soát</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 hoạch, kết quả, đánh giá xu hướng, hành động khắc phục</w:t>
            </w:r>
          </w:p>
        </w:tc>
        <w:tc>
          <w:tcPr>
            <w:tcW w:type="dxa" w:w="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QTMT</w:t>
            </w:r>
          </w:p>
        </w:tc>
        <w:tc>
          <w:tcPr>
            <w:tcW w:type="dxa" w:w="3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Nền mẫu, thông số, LOD/LOQ, hiện trường, phân tích, dữ liệu gốc</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Danh mục phép thử, hồ sơ LOD/LOQ, SOP, báo cáo QA/QC</w:t>
            </w:r>
          </w:p>
        </w:tc>
        <w:tc>
          <w:tcPr>
            <w:tcW w:type="dxa" w:w="8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Dữ liệu/ManLab</w:t>
            </w:r>
          </w:p>
        </w:tc>
        <w:tc>
          <w:tcPr>
            <w:tcW w:type="dxa" w:w="31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Snapshot, phân quyền, nhật ký, QR, trạng thái, chặn sử dụng</w:t>
            </w:r>
          </w:p>
        </w:tc>
        <w:tc>
          <w:tcPr>
            <w:tcW w:type="dxa" w:w="37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Log hệ thống, ảnh chụp công khai, cấu hình workflow</w:t>
            </w:r>
          </w:p>
        </w:tc>
        <w:tc>
          <w:tcPr>
            <w:tcW w:type="dxa" w:w="8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Đ/KĐ/KAD</w:t>
            </w:r>
          </w:p>
        </w:tc>
      </w:tr>
      <w:tr>
        <w:tc>
          <w:tcPr>
            <w:tcW w:type="dxa" w:w="1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khai</w:t>
            </w:r>
          </w:p>
        </w:tc>
        <w:tc>
          <w:tcPr>
            <w:tcW w:type="dxa" w:w="31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Nội dung, phiên bản, ngày hiệu lực, trạng thái</w:t>
            </w:r>
          </w:p>
        </w:tc>
        <w:tc>
          <w:tcPr>
            <w:tcW w:type="dxa" w:w="37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Link/QR, bản công khai, nhật ký công khai</w:t>
            </w:r>
          </w:p>
        </w:tc>
        <w:tc>
          <w:tcPr>
            <w:tcW w:type="dxa" w:w="8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Đ/KĐ/KAD</w:t>
            </w:r>
          </w:p>
        </w:tc>
      </w:tr>
    </w:tbl>
    <w:p>
      <w:pPr>
        <w:spacing w:after="100"/>
      </w:pPr>
      <w:r>
        <w:rPr>
          <w:i/>
          <w:iCs/>
          <w:sz w:val="19"/>
          <w:szCs w:val="19"/>
        </w:rPr>
        <w:t xml:space="preserve">Đ = Đạt; KĐ = Không đạt; KAD = Không áp dụng. Mỗi tiêu chí Không đạt phải mô tả sai lệch, mức ảnh hưởng, người chịu trách nhiệm và thời hạn khắc phục.</w:t>
      </w:r>
    </w:p>
    <w:p>
      <w:pPr>
        <w:pStyle w:val="Heading1"/>
      </w:pPr>
      <w:r>
        <w:t xml:space="preserve">Phụ lục B. Mô hình dữ liệu tối thiểu cho P21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Bảng dữ liệu</w:t>
            </w:r>
          </w:p>
        </w:tc>
        <w:tc>
          <w:tcPr>
            <w:tcW w:type="dxa" w:w="2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Mục đích</w:t>
            </w:r>
          </w:p>
        </w:tc>
        <w:tc>
          <w:tcPr>
            <w:tcW w:type="dxa" w:w="46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khóa/chính</w:t>
            </w:r>
          </w:p>
        </w:tc>
      </w:tr>
      <w:tr>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p21_records</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Quản lý hồ sơ P21</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record_id, record_code, record_type, field, owner_unit, status, version</w:t>
            </w:r>
          </w:p>
        </w:tc>
      </w:tr>
      <w:tr>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p21_items</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PTĐ/đối tượng năng lực</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item_id, record_id, item_name, item_type, scope, unit, mpe, uncertainty, lod, loq, method_id, catalog_ref_id, item_status</w:t>
            </w:r>
          </w:p>
        </w:tc>
      </w:tr>
      <w:tr>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p21_plans</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 hoạch đánh giá</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plan_id, record_id, criteria, assessors, start_date, due_date, plan_status</w:t>
            </w:r>
          </w:p>
        </w:tc>
      </w:tr>
      <w:tr>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p21_evidence</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Tệp và bằng chứng</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evidence_id, record_id, item_id, evidence_type, file_hash, version</w:t>
            </w:r>
          </w:p>
        </w:tc>
      </w:tr>
      <w:tr>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p21_assessments</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Checklist và kết luận</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assessment_id, record_id, criterion_id, result, finding, risk_level, corrective_action</w:t>
            </w:r>
          </w:p>
        </w:tc>
      </w:tr>
      <w:tr>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p21_publications</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Bản công bố/thông báo</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publication_id, record_id, pub_type, pub_code, pub_version, pub_status, submitted_at, public_url, qr_code</w:t>
            </w:r>
          </w:p>
        </w:tc>
      </w:tr>
      <w:tr>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p21_suspensions</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Tạm dừng/khôi phục</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suspension_id, record_id, item_id, reason, approved_by, suspended_at, restored_at</w:t>
            </w:r>
          </w:p>
        </w:tc>
      </w:tr>
      <w:tr>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p21_changes</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Điều chỉnh/hủy bỏ</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change_id, record_id, change_type, old_version, new_version, reason, effective_date</w:t>
            </w:r>
          </w:p>
        </w:tc>
      </w:tr>
      <w:tr>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p21_snapshots</w:t>
            </w:r>
          </w:p>
        </w:tc>
        <w:tc>
          <w:tcPr>
            <w:tcW w:type="dxa" w:w="2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Ảnh chụp dữ liệu tham chiếu</w:t>
            </w:r>
          </w:p>
        </w:tc>
        <w:tc>
          <w:tcPr>
            <w:tcW w:type="dxa" w:w="46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snapshot_id, record_id, source_table, source_id, snapshot_json, snapshot_at</w:t>
            </w:r>
          </w:p>
        </w:tc>
      </w:tr>
      <w:tr>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p21_audit_logs</w:t>
            </w:r>
          </w:p>
        </w:tc>
        <w:tc>
          <w:tcPr>
            <w:tcW w:type="dxa" w:w="2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Nhật ký thao tác</w:t>
            </w:r>
          </w:p>
        </w:tc>
        <w:tc>
          <w:tcPr>
            <w:tcW w:type="dxa" w:w="46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log_id, actor_id, action, object_type, object_id, old_value, new_value, reason, timestamp</w:t>
            </w:r>
          </w:p>
        </w:tc>
      </w:tr>
    </w:tbl>
    <w:p>
      <w:pPr>
        <w:spacing w:after="100"/>
      </w:pPr>
      <w:r>
        <w:rPr>
          <w:i/>
          <w:iCs/>
          <w:sz w:val="19"/>
          <w:szCs w:val="19"/>
        </w:rPr>
        <w:t xml:space="preserve">Ràng buộc: p21_items.catalog_ref_id là khóa tham chiếu tùy chọn đến Danh mục PTĐ; trạng thái pháp lý/công bố quản lý bằng item_status và pub_status của P21.</w:t>
      </w:r>
    </w:p>
    <w:p>
      <w:r>
        <w:br w:type="page"/>
      </w:r>
    </w:p>
    <w:p>
      <w:pPr>
        <w:pStyle w:val="Heading1"/>
      </w:pPr>
      <w:r>
        <w:t xml:space="preserve">Phụ lục C. Biểu mẫu áp dụng (F21.01 – F21.12)</w:t>
      </w:r>
    </w:p>
    <w:p>
      <w:pPr>
        <w:pStyle w:val="Heading2"/>
      </w:pPr>
      <w:r>
        <w:t xml:space="preserve">C.1. F21.01 – Phiếu đề xuất tạo mới hồ sơ P21/PTĐ/năng lực dự kiến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Loại hồ sơ</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bố lần đầu / Bổ sung / Điều chỉnh / Tạm dừng / Khôi phục / Hủy bỏ</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Lĩnh vực</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Đo lường / QTMT / Khác</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Tên PTĐ/nền mẫu/thông số</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đo/nền mẫu</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Cấp/Độ chính xác/MPE/U/LOD/LOQ</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Quy trình/phương pháp</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Nhân sự dự kiến</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Thiết bị/chuẩn/vật liệu chuẩn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Lý do đề xuất</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đề xuất / Ngày</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C.2. F21.02 – Kế hoạch đánh giá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Mục tiêu đánh giá</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đánh giá</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Tiêu chí đánh giá</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Đoàn đánh giá</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Tài liệu cần chuẩn bị</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Lịch đánh giá</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Thời hạn khắc phục</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Phê duyệt kế hoạch (Lãnh đạo phòng)</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C.3. F21.03 – Checklist đánh giá hồ sơ, kỹ thuật, đo lường, QTMT và số hóa</w:t>
      </w:r>
    </w:p>
    <w:p>
      <w:pPr>
        <w:spacing w:after="100"/>
      </w:pPr>
      <w:r>
        <w:rPr>
          <w:i/>
          <w:iCs/>
          <w:sz w:val="19"/>
          <w:szCs w:val="19"/>
        </w:rPr>
        <w:t xml:space="preserve">Áp dụng theo ma trận Phụ lục A; mỗi tiêu chí kết luận Đ/KĐ/KAD kèm bằng chứng và (nếu KĐ) yêu cầu khắc phục.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60"/>
        <w:gridCol w:w="2300"/>
      </w:tblGrid>
      <w:tr>
        <w:trPr>
          <w:tblHeader/>
        </w:trPr>
        <w:tc>
          <w:tcPr>
            <w:tcW w:type="dxa" w:w="2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Nhóm tiêu chí</w:t>
            </w:r>
          </w:p>
        </w:tc>
        <w:tc>
          <w:tcPr>
            <w:tcW w:type="dxa" w:w="22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Kết luận (Đ/KĐ/KAD)</w:t>
            </w:r>
          </w:p>
        </w:tc>
        <w:tc>
          <w:tcPr>
            <w:tcW w:type="dxa" w:w="25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Bằng chứng</w:t>
            </w:r>
          </w:p>
        </w:tc>
        <w:tc>
          <w:tcPr>
            <w:tcW w:type="dxa" w:w="2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Khắc phục/Thời hạn</w:t>
            </w:r>
          </w:p>
        </w:tc>
      </w:tr>
      <w:tr>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Pháp lý/hồ sơ</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Hệ thống quản lý</w:t>
            </w:r>
          </w:p>
        </w:tc>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Nhân sự</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Thiết bị/chuẩn</w:t>
            </w:r>
          </w:p>
        </w:tc>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Phương pháp</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U/MPE</w:t>
            </w:r>
          </w:p>
        </w:tc>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QA/QC</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QTMT</w:t>
            </w:r>
          </w:p>
        </w:tc>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Dữ liệu/ManLab</w:t>
            </w:r>
          </w:p>
        </w:tc>
        <w:tc>
          <w:tcPr>
            <w:tcW w:type="dxa" w:w="22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Công khai</w:t>
            </w:r>
          </w:p>
        </w:tc>
        <w:tc>
          <w:tcPr>
            <w:tcW w:type="dxa" w:w="22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5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2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C.4. F21.04 – Bản công bố năng lực kiểm định/hiệu chuẩn/thử nghiệm (Mẫu 01, NQ 66.18)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tổ chức / Địa chỉ / Liên hệ</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đại diện pháp luật</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Cơ quan tiếp nhận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Trung tâm Phục vụ hành chính công cấp tỉnh / UBND tỉnh</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Mã bản công bố / Phiên bản</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Ngày phê duyệt nội bộ / Ngày gửi</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500"/>
        <w:gridCol w:w="1400"/>
        <w:gridCol w:w="1300"/>
        <w:gridCol w:w="1360"/>
        <w:gridCol w:w="1300"/>
      </w:tblGrid>
      <w:tr>
        <w:trPr>
          <w:tblHeader/>
        </w:trPr>
        <w:tc>
          <w:tcPr>
            <w:tcW w:type="dxa" w:w="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TT</w:t>
            </w:r>
          </w:p>
        </w:tc>
        <w:tc>
          <w:tcPr>
            <w:tcW w:type="dxa" w:w="19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Tên PTĐ/chuẩn</w:t>
            </w:r>
          </w:p>
        </w:tc>
        <w:tc>
          <w:tcPr>
            <w:tcW w:type="dxa" w:w="15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Phạm vi đo</w:t>
            </w:r>
          </w:p>
        </w:tc>
        <w:tc>
          <w:tcPr>
            <w:tcW w:type="dxa" w:w="1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Cấp/ĐCX/MPE</w:t>
            </w:r>
          </w:p>
        </w:tc>
        <w:tc>
          <w:tcPr>
            <w:tcW w:type="dxa" w:w="1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U / CMC</w:t>
            </w:r>
          </w:p>
        </w:tc>
        <w:tc>
          <w:tcPr>
            <w:tcW w:type="dxa" w:w="1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Quy trình</w:t>
            </w:r>
          </w:p>
        </w:tc>
        <w:tc>
          <w:tcPr>
            <w:tcW w:type="dxa" w:w="1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Địa điểm</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w:t>
            </w:r>
          </w:p>
        </w:tc>
        <w:tc>
          <w:tcPr>
            <w:tcW w:type="dxa" w:w="19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5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3</w:t>
            </w:r>
          </w:p>
        </w:tc>
        <w:tc>
          <w:tcPr>
            <w:tcW w:type="dxa" w:w="19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5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C.5. F21.05 – Phiếu rà soát năng lực hoạt động dịch vụ QTMT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Nền mẫu / Thành phần môi trường</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Nước / Không khí / Đất / Trầm tích / Chất thải / Bùn thải / Khác</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Thông số quan trắc</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Phương pháp / SOP</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LOD / LOQ</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Năng lực hiện trường (lấy mẫu/đo nhanh)</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Đạt / Không đạt / KAD</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Năng lực phân tích PTN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Đạt / Không đạt / KAD</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Nhân sự hiện trường / phân tích / phụ trách KT</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Thiết bị hiện trường / PTN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QA/QC (lấy mẫu→phát hành→lưu dữ liệu gốc)</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Đối chiếu phạm vi công nhận ISO/IEC 17025</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Kết luận</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Đủ điều kiện thông báo / Chưa đủ</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rà soát – Lãnh đạo phòng / Ngày</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C.6. F21.06 – Thông báo hoạt động dịch vụ QTMT (Mẫu 9.01, NQ 66.19)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Tên tổ chức / Địa chỉ / Liên hệ</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đại diện pháp luật</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Cơ quan tiếp nhận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Bộ Nông nghiệp và Môi trường</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hoạt động (nền mẫu, thông số)</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Số hồ sơ Mẫu 9.01 / Ngày thông báo</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Bằng chứng gửi / tiếp nhận</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Ghi chú</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Thông báo BẮT BUỘC trước khi cung cấp dịch vụ</w:t>
            </w:r>
          </w:p>
        </w:tc>
      </w:tr>
    </w:tbl>
    <w:p>
      <w:pPr>
        <w:pStyle w:val="Heading2"/>
      </w:pPr>
      <w:r>
        <w:t xml:space="preserve">C.7. F21.07 – Báo cáo hoạt động dịch vụ QTMT hằng năm (Mẫu 9.02, NQ 66.19)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Kỳ báo cáo (năm)</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đã thông báo</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Khối lượng hoạt động đã thực hiện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Thay đổi nhân sự/thiết bị/phương pháp trong kỳ</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Kết quả QA/QC, PT/ILC</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Sự cố/khiếu nại/khắc phục</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Cơ quan nhận / Hạn gửi</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Bộ NN&amp;MT — trước 30/01 năm kế tiếp</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lập / Phê duyệt / Ngày</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C.8. F21.08 – Phiếu phê duyệt nội bộ công bố/thông báo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 / Phiên bản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đề nghị công bố/thông báo</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Danh mục phạm vi đạt / loại trừ</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Điểm rủi ro / điều kiện kèm theo</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Soát xét chuyên môn (Trưởng bộ phận)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Đồng ý / Không / Ngày / Chữ ký</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Soát xét hệ thống (QLCL)</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Đồng ý / Không / Ngày / Chữ ký</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Phê duyệt (Lãnh đạo Viện)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Phê duyệt / Trả lại / Ngày / Chữ ký</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Khóa phiên bản sau phê duyệt</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Có / Không</w:t>
            </w:r>
          </w:p>
        </w:tc>
      </w:tr>
    </w:tbl>
    <w:p>
      <w:pPr>
        <w:pStyle w:val="Heading2"/>
      </w:pPr>
      <w:r>
        <w:t xml:space="preserve">C.9. F21.09 – Phiếu điều chỉnh công bố/thông báo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 / Phiên bản cũ → mới</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Nội dung thay đổi (tăng/giảm/sửa)</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Lý do điều chỉnh</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Bằng chứng năng lực sau điều chỉnh</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Phạm vi bị thay thế</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Ngày hiệu lực / Kế hoạch công khai lại</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lập – Soát xét – Phê duyệt / Ngày</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C.10. F21.10 – Phiếu tạm dừng/khôi phục phạm vi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vi/đối tượng bị ảnh hưởng</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Lý do tạm dừng</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Mức độ ảnh hưởng</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Kết quả / Pháp lý / Công khai / Khác</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Ngày bắt đầu tạm dừng</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Biện pháp chặn sử dụng</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Chặn chọn ManLab / Cập nhật website / Thông báo nội bộ / Khác</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 hoạch khắc phục</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Kết quả đánh giá lại</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Kết luận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Khôi phục / Điều chỉnh / Hủy bỏ / Tiếp tục tạm dừng</w:t>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Người đề xuất – QLCL – Lãnh đạo phê duyệt / Ngày</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C.11. F21.11 – Phiếu hủy bỏ công bố/thông báo năng lực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Trường thông tin</w:t>
            </w:r>
          </w:p>
        </w:tc>
        <w:tc>
          <w:tcPr>
            <w:tcW w:type="dxa" w:w="59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Nội dung</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Mã hồ sơ P21 / Phiên bản</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Phạm vi hủy bỏ (một phần/toàn bộ)</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Lý do hủy bỏ</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Rà soát hợp đồng/kết quả đã phát hành/QR/website</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Đã rà soát / Ghi chú</w:t>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Biện pháp thu hồi công khai</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Ngày hiệu lực hủy bỏ</w:t>
            </w:r>
          </w:p>
        </w:tc>
        <w:tc>
          <w:tcPr>
            <w:tcW w:type="dxa" w:w="59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3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Người đề xuất – Soát xét – Lãnh đạo Viện phê duyệt / Ngày</w:t>
            </w:r>
          </w:p>
        </w:tc>
        <w:tc>
          <w:tcPr>
            <w:tcW w:type="dxa" w:w="59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2"/>
      </w:pPr>
      <w:r>
        <w:t xml:space="preserve">C.12. F21.12 – Danh mục năng lực công khai và nhật ký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300"/>
        <w:gridCol w:w="1400"/>
        <w:gridCol w:w="1300"/>
        <w:gridCol w:w="1360"/>
        <w:gridCol w:w="1300"/>
      </w:tblGrid>
      <w:tr>
        <w:trPr>
          <w:tblHeader/>
        </w:trPr>
        <w:tc>
          <w:tcPr>
            <w:tcW w:type="dxa" w:w="6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STT</w:t>
            </w:r>
          </w:p>
        </w:tc>
        <w:tc>
          <w:tcPr>
            <w:tcW w:type="dxa" w:w="21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Tên đối tượng/phạm vi</w:t>
            </w:r>
          </w:p>
        </w:tc>
        <w:tc>
          <w:tcPr>
            <w:tcW w:type="dxa" w:w="1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Mã phiên bản</w:t>
            </w:r>
          </w:p>
        </w:tc>
        <w:tc>
          <w:tcPr>
            <w:tcW w:type="dxa" w:w="14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Trạng thái</w:t>
            </w:r>
          </w:p>
        </w:tc>
        <w:tc>
          <w:tcPr>
            <w:tcW w:type="dxa" w:w="1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Ngày hiệu lực</w:t>
            </w:r>
          </w:p>
        </w:tc>
        <w:tc>
          <w:tcPr>
            <w:tcW w:type="dxa" w:w="136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Lý do thay đổi</w:t>
            </w:r>
          </w:p>
        </w:tc>
        <w:tc>
          <w:tcPr>
            <w:tcW w:type="dxa" w:w="1300"/>
            <w:tcBorders>
              <w:top w:val="single" w:color="808080" w:sz="1"/>
              <w:left w:val="single" w:color="808080" w:sz="1"/>
              <w:bottom w:val="single" w:color="808080" w:sz="1"/>
              <w:right w:val="single" w:color="808080" w:sz="1"/>
            </w:tcBorders>
            <w:shd w:fill="1F4E79" w:val="clear"/>
            <w:tcMar>
              <w:top w:type="dxa" w:w="40"/>
              <w:left w:type="dxa" w:w="90"/>
              <w:bottom w:type="dxa" w:w="40"/>
              <w:right w:type="dxa" w:w="90"/>
            </w:tcMar>
            <w:vAlign w:val="center"/>
          </w:tcPr>
          <w:p>
            <w:pPr>
              <w:spacing w:after="0"/>
            </w:pPr>
            <w:r>
              <w:rPr>
                <w:b/>
                <w:bCs/>
                <w:color w:val="FFFFFF"/>
                <w:sz w:val="19"/>
                <w:szCs w:val="19"/>
              </w:rPr>
              <w:t xml:space="preserve">Link/QR</w:t>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1</w:t>
            </w:r>
          </w:p>
        </w:tc>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r>
        <w:tc>
          <w:tcPr>
            <w:tcW w:type="dxa" w:w="6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2</w:t>
            </w:r>
          </w:p>
        </w:tc>
        <w:tc>
          <w:tcPr>
            <w:tcW w:type="dxa" w:w="21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shd w:fill="F2F6FA" w:val="clear"/>
            <w:tcMar>
              <w:top w:type="dxa" w:w="40"/>
              <w:left w:type="dxa" w:w="90"/>
              <w:bottom w:type="dxa" w:w="40"/>
              <w:right w:type="dxa" w:w="90"/>
            </w:tcMar>
            <w:vAlign w:val="top"/>
          </w:tcPr>
          <w:p>
            <w:pPr>
              <w:spacing w:after="0"/>
            </w:pPr>
            <w:r>
              <w:rPr>
                <w:sz w:val="19"/>
                <w:szCs w:val="19"/>
              </w:rPr>
              <w:t xml:space="preserve"/>
            </w:r>
          </w:p>
        </w:tc>
      </w:tr>
      <w:tr>
        <w:tc>
          <w:tcPr>
            <w:tcW w:type="dxa" w:w="6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3</w:t>
            </w:r>
          </w:p>
        </w:tc>
        <w:tc>
          <w:tcPr>
            <w:tcW w:type="dxa" w:w="21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4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6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c>
          <w:tcPr>
            <w:tcW w:type="dxa" w:w="1300"/>
            <w:tcBorders>
              <w:top w:val="single" w:color="808080" w:sz="1"/>
              <w:left w:val="single" w:color="808080" w:sz="1"/>
              <w:bottom w:val="single" w:color="808080" w:sz="1"/>
              <w:right w:val="single" w:color="808080" w:sz="1"/>
            </w:tcBorders>
            <w:tcMar>
              <w:top w:type="dxa" w:w="40"/>
              <w:left w:type="dxa" w:w="90"/>
              <w:bottom w:type="dxa" w:w="40"/>
              <w:right w:type="dxa" w:w="90"/>
            </w:tcMar>
            <w:vAlign w:val="top"/>
          </w:tcPr>
          <w:p>
            <w:pPr>
              <w:spacing w:after="0"/>
            </w:pPr>
            <w:r>
              <w:rPr>
                <w:sz w:val="19"/>
                <w:szCs w:val="19"/>
              </w:rPr>
              <w:t xml:space="preserve"/>
            </w:r>
          </w:p>
        </w:tc>
      </w:tr>
    </w:tbl>
    <w:p>
      <w:pPr>
        <w:pStyle w:val="Heading1"/>
      </w:pPr>
      <w:r>
        <w:t xml:space="preserve">Tài liệu tham khảo</w:t>
      </w:r>
    </w:p>
    <w:p>
      <w:pPr>
        <w:pStyle w:val="ListParagraph"/>
        <w:numPr>
          <w:ilvl w:val="0"/>
          <w:numId w:val="2"/>
        </w:numPr>
        <w:spacing w:after="40"/>
      </w:pPr>
      <w:r>
        <w:rPr>
          <w:sz w:val="22"/>
          <w:szCs w:val="22"/>
        </w:rPr>
        <w:t xml:space="preserve">[1] NQ 66.18/2026/NQ-CP (Bộ KH&amp;CN); [2] NQ 66.19/2026/NQ-CP (Bộ NN&amp;MT).</w:t>
      </w:r>
    </w:p>
    <w:p>
      <w:pPr>
        <w:pStyle w:val="ListParagraph"/>
        <w:numPr>
          <w:ilvl w:val="0"/>
          <w:numId w:val="2"/>
        </w:numPr>
        <w:spacing w:after="40"/>
      </w:pPr>
      <w:r>
        <w:rPr>
          <w:sz w:val="22"/>
          <w:szCs w:val="22"/>
        </w:rPr>
        <w:t xml:space="preserve">[3] NĐ 105/2016/NĐ-CP; NĐ 36/2026/NĐ-CP. [4] NĐ 107/2016/NĐ-CP. [5] TT 24/2013/TT-BKHCN.</w:t>
      </w:r>
    </w:p>
    <w:p>
      <w:pPr>
        <w:pStyle w:val="ListParagraph"/>
        <w:numPr>
          <w:ilvl w:val="0"/>
          <w:numId w:val="2"/>
        </w:numPr>
        <w:spacing w:after="40"/>
      </w:pPr>
      <w:r>
        <w:rPr>
          <w:sz w:val="22"/>
          <w:szCs w:val="22"/>
        </w:rPr>
        <w:t xml:space="preserve">[6] Luật BVMT 2020; NĐ 08/2022/NĐ-CP; NĐ 48/2026/NĐ-CP; TT 02/2022/TT-BTNMT.</w:t>
      </w:r>
    </w:p>
    <w:p>
      <w:pPr>
        <w:pStyle w:val="ListParagraph"/>
        <w:numPr>
          <w:ilvl w:val="0"/>
          <w:numId w:val="2"/>
        </w:numPr>
        <w:spacing w:after="40"/>
      </w:pPr>
      <w:r>
        <w:rPr>
          <w:sz w:val="22"/>
          <w:szCs w:val="22"/>
        </w:rPr>
        <w:t xml:space="preserve">[7] Luật Giao dịch điện tử 2023; Luật Dữ liệu 2024; các NĐ về TTHC điện tử, dịch vụ công, chia sẻ dữ liệu, bảo vệ DLCN.</w:t>
      </w:r>
    </w:p>
    <w:p>
      <w:pPr>
        <w:pStyle w:val="ListParagraph"/>
        <w:numPr>
          <w:ilvl w:val="0"/>
          <w:numId w:val="2"/>
        </w:numPr>
        <w:spacing w:after="40"/>
      </w:pPr>
      <w:r>
        <w:rPr>
          <w:sz w:val="22"/>
          <w:szCs w:val="22"/>
        </w:rPr>
        <w:t xml:space="preserve">[8] TCVN ISO/IEC 17025:2017; ISO/IEC 17000; VIM; ISO/IEC Guide 99; ISO 5725; GUM; ILAC P14.</w:t>
      </w:r>
    </w:p>
    <w:p>
      <w:pPr>
        <w:pStyle w:val="ListParagraph"/>
        <w:numPr>
          <w:ilvl w:val="0"/>
          <w:numId w:val="2"/>
        </w:numPr>
        <w:spacing w:after="40"/>
      </w:pPr>
      <w:r>
        <w:rPr>
          <w:sz w:val="22"/>
          <w:szCs w:val="22"/>
        </w:rPr>
        <w:t xml:space="preserve">[9] Sổ tay chất lượng ETV.QM và các thủ tục ETV.MP liên quan. [10] Quy định cấu hình ManLab, chữ ký số, QR.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6"/>
        <w:szCs w:val="16"/>
      </w:rPr>
      <w:t xml:space="preserve">ETV.MP 21 — Lần ban hành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4E79"/>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2E75B6"/>
      <w:sz w:val="23"/>
      <w:szCs w:val="23"/>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ETV.MP 21 - Thủ tục công bố, thông báo và kiểm soát năng lực (hợp nhất V5)</dc:title>
  <dc:creator>Viện ETV</dc:creator>
  <cp:lastModifiedBy>Un-named</cp:lastModifiedBy>
  <cp:revision>1</cp:revision>
  <dcterms:created xsi:type="dcterms:W3CDTF">2026-06-28T23:16:02.959Z</dcterms:created>
  <dcterms:modified xsi:type="dcterms:W3CDTF">2026-06-28T23:16:02.962Z</dcterms:modified>
</cp:coreProperties>
</file>

<file path=docProps/custom.xml><?xml version="1.0" encoding="utf-8"?>
<Properties xmlns="http://schemas.openxmlformats.org/officeDocument/2006/custom-properties" xmlns:vt="http://schemas.openxmlformats.org/officeDocument/2006/docPropsVTypes"/>
</file>