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6912" w:rsidRPr="00D47064" w:rsidRDefault="00621C82">
      <w:pPr>
        <w:rPr>
          <w:b/>
        </w:rPr>
      </w:pPr>
      <w:r w:rsidRPr="00D47064">
        <w:rPr>
          <w:b/>
        </w:rPr>
        <w:t>Nguyên tắc đo</w:t>
      </w:r>
    </w:p>
    <w:p w:rsidR="00621C82" w:rsidRDefault="00621C82">
      <w:r>
        <w:rPr>
          <w:noProof/>
        </w:rPr>
        <w:drawing>
          <wp:inline distT="0" distB="0" distL="0" distR="0">
            <wp:extent cx="5943600" cy="36662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66207"/>
                    </a:xfrm>
                    <a:prstGeom prst="rect">
                      <a:avLst/>
                    </a:prstGeom>
                    <a:noFill/>
                    <a:ln>
                      <a:noFill/>
                    </a:ln>
                  </pic:spPr>
                </pic:pic>
              </a:graphicData>
            </a:graphic>
          </wp:inline>
        </w:drawing>
      </w:r>
    </w:p>
    <w:p w:rsidR="00621C82" w:rsidRDefault="00621C82" w:rsidP="00621C82">
      <w:pPr>
        <w:spacing w:after="120" w:line="240" w:lineRule="auto"/>
      </w:pPr>
      <w:r>
        <w:t xml:space="preserve">Nguyên tắc đo được dựa trên sự hấp thu ánh sáng UV bởi các phân tử hữu cơ không bão hòa tại 254nm theo luật Beer-Lambert: </w:t>
      </w:r>
    </w:p>
    <w:p w:rsidR="00621C82" w:rsidRDefault="00621C82" w:rsidP="00621C82">
      <w:pPr>
        <w:spacing w:after="120" w:line="240" w:lineRule="auto"/>
      </w:pPr>
      <w:r>
        <w:t xml:space="preserve">[C] = k log (lin / </w:t>
      </w:r>
      <w:r>
        <w:t>lout</w:t>
      </w:r>
      <w:r>
        <w:t xml:space="preserve">) </w:t>
      </w:r>
    </w:p>
    <w:p w:rsidR="00621C82" w:rsidRDefault="00621C82" w:rsidP="00621C82">
      <w:pPr>
        <w:spacing w:after="120" w:line="240" w:lineRule="auto"/>
      </w:pPr>
      <w:r>
        <w:t xml:space="preserve">với: </w:t>
      </w:r>
    </w:p>
    <w:p w:rsidR="00621C82" w:rsidRDefault="00621C82" w:rsidP="00621C82">
      <w:pPr>
        <w:spacing w:after="120" w:line="240" w:lineRule="auto"/>
      </w:pPr>
      <w:r w:rsidRPr="00621C82">
        <w:rPr>
          <w:i/>
        </w:rPr>
        <w:t>[C]:</w:t>
      </w:r>
      <w:r>
        <w:t xml:space="preserve"> Nồng độ của mẫu </w:t>
      </w:r>
    </w:p>
    <w:p w:rsidR="00621C82" w:rsidRDefault="00621C82" w:rsidP="00621C82">
      <w:pPr>
        <w:spacing w:after="120" w:line="240" w:lineRule="auto"/>
      </w:pPr>
      <w:r w:rsidRPr="00621C82">
        <w:rPr>
          <w:i/>
        </w:rPr>
        <w:t>k:</w:t>
      </w:r>
      <w:r>
        <w:t xml:space="preserve"> hệ số hấp thụ (cụ thể cho từng phân tử) </w:t>
      </w:r>
    </w:p>
    <w:p w:rsidR="00621C82" w:rsidRDefault="00621C82" w:rsidP="00621C82">
      <w:pPr>
        <w:spacing w:after="120" w:line="240" w:lineRule="auto"/>
      </w:pPr>
      <w:r w:rsidRPr="00621C82">
        <w:rPr>
          <w:i/>
        </w:rPr>
        <w:t>lin</w:t>
      </w:r>
      <w:r>
        <w:t xml:space="preserve">: cường độ ánh sáng tại đầu vào của mẫu </w:t>
      </w:r>
    </w:p>
    <w:p w:rsidR="00621C82" w:rsidRDefault="00621C82" w:rsidP="00621C82">
      <w:pPr>
        <w:spacing w:after="120" w:line="240" w:lineRule="auto"/>
      </w:pPr>
      <w:r w:rsidRPr="00621C82">
        <w:rPr>
          <w:i/>
        </w:rPr>
        <w:t>lout</w:t>
      </w:r>
      <w:r>
        <w:t xml:space="preserve">: cường độ ánh sáng ở đầu ra của mẫu </w:t>
      </w:r>
    </w:p>
    <w:p w:rsidR="00621C82" w:rsidRDefault="00621C82" w:rsidP="00621C82">
      <w:pPr>
        <w:spacing w:after="120" w:line="240" w:lineRule="auto"/>
      </w:pPr>
      <w:r>
        <w:t>Tỷ lệ xấp xỉ COD / UV (ppm.abs-1.M) được đưa ra dưới đây cho một số hóa chất:</w:t>
      </w:r>
    </w:p>
    <w:p w:rsidR="00621C82" w:rsidRDefault="00621C82" w:rsidP="00621C82">
      <w:pPr>
        <w:spacing w:after="120" w:line="240" w:lineRule="auto"/>
      </w:pPr>
      <w:r>
        <w:rPr>
          <w:noProof/>
        </w:rPr>
        <w:drawing>
          <wp:inline distT="0" distB="0" distL="0" distR="0">
            <wp:extent cx="5950424" cy="170597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50833" cy="1706087"/>
                    </a:xfrm>
                    <a:prstGeom prst="rect">
                      <a:avLst/>
                    </a:prstGeom>
                    <a:noFill/>
                    <a:ln>
                      <a:noFill/>
                    </a:ln>
                  </pic:spPr>
                </pic:pic>
              </a:graphicData>
            </a:graphic>
          </wp:inline>
        </w:drawing>
      </w:r>
    </w:p>
    <w:p w:rsidR="00D47064" w:rsidRDefault="00D47064" w:rsidP="00D47064">
      <w:pPr>
        <w:spacing w:after="120" w:line="240" w:lineRule="auto"/>
      </w:pPr>
      <w:r w:rsidRPr="00D47064">
        <w:rPr>
          <w:b/>
        </w:rPr>
        <w:lastRenderedPageBreak/>
        <w:t>Nói chung</w:t>
      </w:r>
      <w:r>
        <w:t>,</w:t>
      </w:r>
      <w:r>
        <w:t xml:space="preserve"> mẫu là một hỗn hợp của nhiều phân tử khác nhau đưa ra một hệ số hấp thụ trung bình </w:t>
      </w:r>
    </w:p>
    <w:p w:rsidR="00D47064" w:rsidRDefault="00D47064" w:rsidP="00D47064">
      <w:pPr>
        <w:spacing w:after="120" w:line="240" w:lineRule="auto"/>
      </w:pPr>
      <w:r>
        <w:t xml:space="preserve">Điều đó có nghĩa rằng các thiết bị phải được hiệu chỉnh theo một đo lường trong phòng thí nghiệm CUD trước khi sử dụng. </w:t>
      </w:r>
    </w:p>
    <w:p w:rsidR="00D47064" w:rsidRDefault="00D47064" w:rsidP="00D47064">
      <w:pPr>
        <w:spacing w:after="120" w:line="240" w:lineRule="auto"/>
      </w:pPr>
      <w:r>
        <w:t xml:space="preserve">Ngoài ra, tỷ lệ của các phân tử khác nhau phải vẫn còn khoảng liên tục để giả định một tương quan tốt với phòng thí nghiệm COD. </w:t>
      </w:r>
    </w:p>
    <w:p w:rsidR="00D47064" w:rsidRDefault="00D47064" w:rsidP="00D47064">
      <w:pPr>
        <w:spacing w:after="120" w:line="240" w:lineRule="auto"/>
      </w:pPr>
      <w:r>
        <w:t>Sự hấp thụ tia cực tím có thể được coi như một phương pháp thay thế cho COD (oxy hóa chất Demand) khi đo nhanh, đáng tin cậy và không tốn kém với bảo dưỡng rất thấp là bắt buộc.</w:t>
      </w:r>
    </w:p>
    <w:p w:rsidR="00D47064" w:rsidRPr="00D47064" w:rsidRDefault="00D47064" w:rsidP="00D47064">
      <w:pPr>
        <w:spacing w:after="120" w:line="240" w:lineRule="auto"/>
        <w:rPr>
          <w:b/>
        </w:rPr>
      </w:pPr>
      <w:r w:rsidRPr="00D47064">
        <w:rPr>
          <w:b/>
        </w:rPr>
        <w:t xml:space="preserve">Ứng dụng vào nước sông </w:t>
      </w:r>
    </w:p>
    <w:p w:rsidR="00D47064" w:rsidRDefault="00D47064" w:rsidP="00D47064">
      <w:pPr>
        <w:spacing w:after="120" w:line="240" w:lineRule="auto"/>
      </w:pPr>
      <w:r>
        <w:t xml:space="preserve">Nhiều nghiên cứu đã được tiến hành trên mặt nước sông để chứng minh mối quan hệ giữa sự hấp thụ tia cực tím và COD chẳng hạn như: </w:t>
      </w:r>
    </w:p>
    <w:p w:rsidR="00D47064" w:rsidRDefault="00D47064" w:rsidP="00D47064">
      <w:pPr>
        <w:spacing w:after="120" w:line="240" w:lineRule="auto"/>
      </w:pPr>
      <w:r>
        <w:t xml:space="preserve">Hiệp hội Y tế Công cộng của Mỹ - "phương pháp tiêu chuẩn để xác định nước và Xử lý nước thải - UV hấp thụ các thành phần hữu cơ, P5-60", 7995. </w:t>
      </w:r>
    </w:p>
    <w:p w:rsidR="00D47064" w:rsidRDefault="00D47064" w:rsidP="00D47064">
      <w:pPr>
        <w:spacing w:after="120" w:line="240" w:lineRule="auto"/>
      </w:pPr>
      <w:r>
        <w:t xml:space="preserve">JC.ROSTANG, C.MOUVET - "Đóng góp của phổ UV và các chất hữu cơ hòa tan các nghiên cứu về chức năng của các hệ sinh thái nước ngọt". Khoa học de l'Eau, 5 (7986) 9-28. </w:t>
      </w:r>
    </w:p>
    <w:p w:rsidR="00D47064" w:rsidRDefault="00D47064" w:rsidP="00D47064">
      <w:pPr>
        <w:spacing w:after="120" w:line="240" w:lineRule="auto"/>
      </w:pPr>
      <w:r>
        <w:t xml:space="preserve">VLEMAUVIEL-"Việc sử dụng de la spectrometrie </w:t>
      </w:r>
    </w:p>
    <w:p w:rsidR="00D47064" w:rsidRDefault="00D47064" w:rsidP="00D47064">
      <w:pPr>
        <w:spacing w:after="120" w:line="240" w:lineRule="auto"/>
      </w:pPr>
      <w:r>
        <w:t xml:space="preserve">U Vdans I'analyse des eaux naturelles ". Thiết lập quan hệ DIREN-SEMA Basse Norman chết, 7994. </w:t>
      </w:r>
    </w:p>
    <w:p w:rsidR="00D47064" w:rsidRDefault="00D47064" w:rsidP="00D47064">
      <w:pPr>
        <w:spacing w:after="120" w:line="240" w:lineRule="auto"/>
      </w:pPr>
      <w:r>
        <w:t xml:space="preserve">Các ứng dụng mối quan tâm chủ yếu là giám sát sông để nghiên cứu môi trường và </w:t>
      </w:r>
      <w:r w:rsidR="00901FB3">
        <w:t xml:space="preserve">các </w:t>
      </w:r>
      <w:r>
        <w:t>nhà máy xử lý nướ</w:t>
      </w:r>
      <w:r w:rsidR="00901FB3">
        <w:t>c cấp</w:t>
      </w:r>
      <w:r>
        <w:t>.</w:t>
      </w:r>
    </w:p>
    <w:p w:rsidR="00D47064" w:rsidRDefault="00901FB3" w:rsidP="00D47064">
      <w:pPr>
        <w:spacing w:after="120" w:line="240" w:lineRule="auto"/>
      </w:pPr>
      <w:r>
        <w:t>Ứ</w:t>
      </w:r>
      <w:r w:rsidR="00D47064">
        <w:t>ng dụng thành công và hiệu quả chi phí cũng được báo cáo trên dùng thuốc chất kết tủa tự động.</w:t>
      </w:r>
    </w:p>
    <w:p w:rsidR="00D47064" w:rsidRDefault="00D47064" w:rsidP="00D47064">
      <w:pPr>
        <w:spacing w:after="120" w:line="240" w:lineRule="auto"/>
      </w:pPr>
      <w:r>
        <w:t>Đồ thị</w:t>
      </w:r>
      <w:r w:rsidR="00901FB3">
        <w:t xml:space="preserve"> sau</w:t>
      </w:r>
      <w:r>
        <w:t xml:space="preserve"> cho thấy một mối quan hệ điển hình giữa sự hấp thụ tia cự</w:t>
      </w:r>
      <w:r w:rsidR="00901FB3">
        <w:t>c tím và COD của nước sông:</w:t>
      </w:r>
    </w:p>
    <w:p w:rsidR="00901FB3" w:rsidRDefault="0051518F" w:rsidP="00D47064">
      <w:pPr>
        <w:spacing w:after="120" w:line="240" w:lineRule="auto"/>
        <w:rPr>
          <w:noProof/>
        </w:rPr>
      </w:pPr>
      <w:r>
        <w:rPr>
          <w:noProof/>
        </w:rPr>
        <w:lastRenderedPageBreak/>
        <w:t>b</w:t>
      </w:r>
      <w:r w:rsidR="00901FB3">
        <w:rPr>
          <w:noProof/>
        </w:rPr>
        <w:drawing>
          <wp:inline distT="0" distB="0" distL="0" distR="0">
            <wp:extent cx="5943600" cy="3619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4071" cy="3631966"/>
                    </a:xfrm>
                    <a:prstGeom prst="rect">
                      <a:avLst/>
                    </a:prstGeom>
                    <a:noFill/>
                    <a:ln>
                      <a:noFill/>
                    </a:ln>
                  </pic:spPr>
                </pic:pic>
              </a:graphicData>
            </a:graphic>
          </wp:inline>
        </w:drawing>
      </w:r>
    </w:p>
    <w:p w:rsidR="0051518F" w:rsidRDefault="0051518F" w:rsidP="00D47064">
      <w:pPr>
        <w:spacing w:after="120" w:line="240" w:lineRule="auto"/>
        <w:rPr>
          <w:b/>
          <w:noProof/>
        </w:rPr>
      </w:pPr>
      <w:r>
        <w:rPr>
          <w:b/>
          <w:noProof/>
        </w:rPr>
        <w:t>Bảng so sánh</w:t>
      </w:r>
    </w:p>
    <w:p w:rsidR="0051518F" w:rsidRDefault="0051518F" w:rsidP="00D47064">
      <w:pPr>
        <w:spacing w:after="120" w:line="240" w:lineRule="auto"/>
      </w:pPr>
      <w:r>
        <w:rPr>
          <w:noProof/>
        </w:rPr>
        <w:drawing>
          <wp:inline distT="0" distB="0" distL="0" distR="0">
            <wp:extent cx="5942542" cy="40386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39319"/>
                    </a:xfrm>
                    <a:prstGeom prst="rect">
                      <a:avLst/>
                    </a:prstGeom>
                    <a:noFill/>
                    <a:ln>
                      <a:noFill/>
                    </a:ln>
                  </pic:spPr>
                </pic:pic>
              </a:graphicData>
            </a:graphic>
          </wp:inline>
        </w:drawing>
      </w:r>
    </w:p>
    <w:p w:rsidR="0051518F" w:rsidRDefault="00746AAA" w:rsidP="00D47064">
      <w:pPr>
        <w:spacing w:after="120" w:line="240" w:lineRule="auto"/>
        <w:rPr>
          <w:b/>
        </w:rPr>
      </w:pPr>
      <w:r w:rsidRPr="00746AAA">
        <w:rPr>
          <w:b/>
        </w:rPr>
        <w:lastRenderedPageBreak/>
        <w:t>Phạm vi</w:t>
      </w:r>
    </w:p>
    <w:p w:rsidR="00746AAA" w:rsidRDefault="00746AAA" w:rsidP="00D47064">
      <w:pPr>
        <w:spacing w:after="120" w:line="240" w:lineRule="auto"/>
        <w:rPr>
          <w:b/>
        </w:rPr>
      </w:pPr>
      <w:r>
        <w:rPr>
          <w:b/>
          <w:noProof/>
        </w:rPr>
        <w:drawing>
          <wp:inline distT="0" distB="0" distL="0" distR="0">
            <wp:extent cx="2095500" cy="3524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3524250"/>
                    </a:xfrm>
                    <a:prstGeom prst="rect">
                      <a:avLst/>
                    </a:prstGeom>
                    <a:noFill/>
                    <a:ln>
                      <a:noFill/>
                    </a:ln>
                  </pic:spPr>
                </pic:pic>
              </a:graphicData>
            </a:graphic>
          </wp:inline>
        </w:drawing>
      </w:r>
    </w:p>
    <w:p w:rsidR="00746AAA" w:rsidRDefault="00746AAA" w:rsidP="00D47064">
      <w:pPr>
        <w:spacing w:after="120" w:line="240" w:lineRule="auto"/>
        <w:rPr>
          <w:b/>
        </w:rPr>
      </w:pPr>
      <w:r>
        <w:rPr>
          <w:b/>
        </w:rPr>
        <w:t>Thống số kỹ thuật</w:t>
      </w:r>
    </w:p>
    <w:p w:rsidR="00746AAA" w:rsidRPr="00746AAA" w:rsidRDefault="00746AAA" w:rsidP="00D47064">
      <w:pPr>
        <w:spacing w:after="120" w:line="240" w:lineRule="auto"/>
        <w:rPr>
          <w:b/>
        </w:rPr>
      </w:pPr>
      <w:bookmarkStart w:id="0" w:name="_GoBack"/>
      <w:r>
        <w:rPr>
          <w:b/>
          <w:noProof/>
        </w:rPr>
        <w:drawing>
          <wp:inline distT="0" distB="0" distL="0" distR="0">
            <wp:extent cx="5933715"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34712"/>
                    </a:xfrm>
                    <a:prstGeom prst="rect">
                      <a:avLst/>
                    </a:prstGeom>
                    <a:noFill/>
                    <a:ln>
                      <a:noFill/>
                    </a:ln>
                  </pic:spPr>
                </pic:pic>
              </a:graphicData>
            </a:graphic>
          </wp:inline>
        </w:drawing>
      </w:r>
      <w:bookmarkEnd w:id="0"/>
    </w:p>
    <w:sectPr w:rsidR="00746AAA" w:rsidRPr="00746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1C82"/>
    <w:rsid w:val="0051518F"/>
    <w:rsid w:val="00621C82"/>
    <w:rsid w:val="00746AAA"/>
    <w:rsid w:val="00826912"/>
    <w:rsid w:val="00901FB3"/>
    <w:rsid w:val="00D47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21C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1C8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21C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1C8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308</TotalTime>
  <Pages>4</Pages>
  <Words>280</Words>
  <Characters>1601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1878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Cail-Lab</dc:creator>
  <cp:lastModifiedBy>Cail-Lab</cp:lastModifiedBy>
  <cp:revision>1</cp:revision>
  <dcterms:created xsi:type="dcterms:W3CDTF">2014-02-10T03:04:00Z</dcterms:created>
  <dcterms:modified xsi:type="dcterms:W3CDTF">2014-02-10T08:12:00Z</dcterms:modified>
</cp:coreProperties>
</file>