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35D" w:rsidRPr="00C3035D" w:rsidRDefault="00C3035D" w:rsidP="00C303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0"/>
          <w:szCs w:val="20"/>
        </w:rPr>
      </w:pPr>
      <w:r w:rsidRPr="00C3035D">
        <w:rPr>
          <w:rFonts w:ascii="Arial" w:eastAsia="Times New Roman" w:hAnsi="Arial" w:cs="Arial"/>
          <w:color w:val="777777"/>
          <w:sz w:val="20"/>
          <w:szCs w:val="20"/>
        </w:rPr>
        <w:t>Method 8192 NO3-N_EN</w:t>
      </w:r>
      <w:bookmarkStart w:id="0" w:name="_GoBack"/>
      <w:bookmarkEnd w:id="0"/>
    </w:p>
    <w:p w:rsidR="00C3035D" w:rsidRPr="00C3035D" w:rsidRDefault="00C3035D" w:rsidP="00C3035D">
      <w:pPr>
        <w:shd w:val="clear" w:color="auto" w:fill="F5F5F5"/>
        <w:spacing w:after="120" w:line="240" w:lineRule="auto"/>
        <w:rPr>
          <w:rFonts w:ascii="Arial" w:eastAsia="Times New Roman" w:hAnsi="Arial" w:cs="Arial"/>
          <w:color w:val="777777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2.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Đổ đầy bình xi lanh với 15 mL mẫu.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3.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Thêm nội dung của một NillerVer 6 Reagent Powder Gill vào xi lanh. Đóng xi lanh.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4.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Bắt đầu hẹn giờ của thiết bị. Thời gian phản hồi 3 phút bắt đầu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5.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Lắc bình mạnh trong thời gian phản ứng. Một số bột không tan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6.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Khi bộ hẹn giờ hết hạn, hãy bắt đầu hẹn giờ lại. Thời gian phản ứng 2 phút bắt đầu.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7.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Chuẩn bị mẫu: Khi bộ đếm hết hạn, cẩn thận đổ 10 m</w:t>
      </w:r>
      <w:r>
        <w:rPr>
          <w:rFonts w:ascii="Arial" w:eastAsia="Times New Roman" w:hAnsi="Arial" w:cs="Arial"/>
          <w:color w:val="222222"/>
          <w:sz w:val="24"/>
          <w:szCs w:val="24"/>
          <w:lang w:val="vi-VN"/>
        </w:rPr>
        <w:t xml:space="preserve">L mẫu vào trong một </w:t>
      </w:r>
      <w:r>
        <w:rPr>
          <w:rFonts w:ascii="Arial" w:eastAsia="Times New Roman" w:hAnsi="Arial" w:cs="Arial"/>
          <w:color w:val="222222"/>
          <w:sz w:val="24"/>
          <w:szCs w:val="24"/>
        </w:rPr>
        <w:t>cell</w:t>
      </w:r>
      <w:r>
        <w:rPr>
          <w:rFonts w:ascii="Arial" w:eastAsia="Times New Roman" w:hAnsi="Arial" w:cs="Arial"/>
          <w:color w:val="222222"/>
          <w:sz w:val="24"/>
          <w:szCs w:val="24"/>
          <w:lang w:val="vi-VN"/>
        </w:rPr>
        <w:t>.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Không chuyển các hạt cadmium vào ô mẫu.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8.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 xml:space="preserve">Thêm nội dung của một NitriVer 3 Reagent Powder Gill vào </w:t>
      </w:r>
      <w:r>
        <w:rPr>
          <w:rFonts w:ascii="Arial" w:eastAsia="Times New Roman" w:hAnsi="Arial" w:cs="Arial"/>
          <w:color w:val="222222"/>
          <w:sz w:val="24"/>
          <w:szCs w:val="24"/>
        </w:rPr>
        <w:t>cell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 xml:space="preserve"> chuẩn bị.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9.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Bắt đầu hẹn giờ của thiết bị. Thời gian phản hồi 30 giây bắt đầu.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10.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 xml:space="preserve">Đặt nút trên ô mẫu. Lắc </w:t>
      </w:r>
      <w:r>
        <w:rPr>
          <w:rFonts w:ascii="Arial" w:eastAsia="Times New Roman" w:hAnsi="Arial" w:cs="Arial"/>
          <w:color w:val="222222"/>
          <w:sz w:val="24"/>
          <w:szCs w:val="24"/>
          <w:lang w:val="vi-VN"/>
        </w:rPr>
        <w:t>tế bào mẫu nhẹ nhàng trong suốt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30 giây. Một màu hồng cho thấy nếu nitrate có mặt trong mẫu.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11.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Bắt đầu hẹn giờ của thiết bị. Thời gian phản hồi 15 phút bắt đầu.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12. </w:t>
      </w:r>
      <w:r w:rsidRPr="00C3035D">
        <w:rPr>
          <w:rFonts w:ascii="Arial" w:eastAsia="Times New Roman" w:hAnsi="Arial" w:cs="Arial"/>
          <w:color w:val="222222"/>
          <w:sz w:val="24"/>
          <w:szCs w:val="24"/>
          <w:lang w:val="vi-VN"/>
        </w:rPr>
        <w:t>Chuẩn bị khoảng trống: Khi thời gian hết hạn, điền mẫu tế bào thứ hai với 10 mL mẫu ban đầu.</w:t>
      </w:r>
    </w:p>
    <w:p w:rsidR="00214CB1" w:rsidRDefault="00C3035D"/>
    <w:sectPr w:rsidR="00214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35D"/>
    <w:rsid w:val="00095402"/>
    <w:rsid w:val="002D419C"/>
    <w:rsid w:val="00C3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303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30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3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1648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99173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13779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3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9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179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959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10083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2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2017-04-23T04:25:00Z</dcterms:created>
  <dcterms:modified xsi:type="dcterms:W3CDTF">2017-04-23T04:31:00Z</dcterms:modified>
</cp:coreProperties>
</file>