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28D9" w:rsidRDefault="007528D9">
      <w:pPr>
        <w:rPr>
          <w:rFonts w:ascii="Verdana" w:hAnsi="Verdana"/>
          <w:color w:val="222222"/>
          <w:sz w:val="21"/>
          <w:szCs w:val="21"/>
          <w:shd w:val="clear" w:color="auto" w:fill="FFFFFF"/>
        </w:rPr>
      </w:pPr>
      <w:r>
        <w:rPr>
          <w:rFonts w:ascii="Verdana" w:hAnsi="Verdana"/>
          <w:color w:val="222222"/>
          <w:sz w:val="30"/>
          <w:szCs w:val="30"/>
          <w:shd w:val="clear" w:color="auto" w:fill="FFFFFF"/>
        </w:rPr>
        <w:t>Mối tương quan giữa BOD, COD và TOC</w:t>
      </w:r>
    </w:p>
    <w:p w:rsidR="00826912" w:rsidRDefault="007528D9">
      <w:pPr>
        <w:rPr>
          <w:rFonts w:ascii="Verdana" w:hAnsi="Verdana"/>
          <w:color w:val="222222"/>
          <w:sz w:val="21"/>
          <w:szCs w:val="21"/>
          <w:shd w:val="clear" w:color="auto" w:fill="FFFFFF"/>
        </w:rPr>
      </w:pPr>
      <w:r>
        <w:rPr>
          <w:rFonts w:ascii="Verdana" w:hAnsi="Verdana"/>
          <w:color w:val="222222"/>
          <w:sz w:val="21"/>
          <w:szCs w:val="21"/>
          <w:shd w:val="clear" w:color="auto" w:fill="FFFFFF"/>
        </w:rPr>
        <w:t xml:space="preserve">Giá trị tiêu biểu cho tỷ lệ BOD / COD đối với nước thải </w:t>
      </w:r>
      <w:r>
        <w:rPr>
          <w:rFonts w:ascii="Verdana" w:hAnsi="Verdana"/>
          <w:color w:val="222222"/>
          <w:sz w:val="21"/>
          <w:szCs w:val="21"/>
          <w:shd w:val="clear" w:color="auto" w:fill="FFFFFF"/>
        </w:rPr>
        <w:t>sinh hoạt</w:t>
      </w:r>
      <w:r>
        <w:rPr>
          <w:rFonts w:ascii="Verdana" w:hAnsi="Verdana"/>
          <w:color w:val="222222"/>
          <w:sz w:val="21"/>
          <w:szCs w:val="21"/>
          <w:shd w:val="clear" w:color="auto" w:fill="FFFFFF"/>
        </w:rPr>
        <w:t xml:space="preserve"> không được </w:t>
      </w:r>
      <w:r>
        <w:rPr>
          <w:rFonts w:ascii="Verdana" w:hAnsi="Verdana"/>
          <w:color w:val="222222"/>
          <w:sz w:val="21"/>
          <w:szCs w:val="21"/>
          <w:shd w:val="clear" w:color="auto" w:fill="FFFFFF"/>
        </w:rPr>
        <w:t>xử lý</w:t>
      </w:r>
      <w:r>
        <w:rPr>
          <w:rFonts w:ascii="Verdana" w:hAnsi="Verdana"/>
          <w:color w:val="222222"/>
          <w:sz w:val="21"/>
          <w:szCs w:val="21"/>
          <w:shd w:val="clear" w:color="auto" w:fill="FFFFFF"/>
        </w:rPr>
        <w:t xml:space="preserve"> trong khoảng 0,3-0,8 (xem bảng 3).</w:t>
      </w:r>
      <w:r>
        <w:rPr>
          <w:rStyle w:val="apple-converted-space"/>
          <w:rFonts w:ascii="Verdana" w:hAnsi="Verdana"/>
          <w:color w:val="222222"/>
          <w:sz w:val="21"/>
          <w:szCs w:val="21"/>
          <w:shd w:val="clear" w:color="auto" w:fill="FFFFFF"/>
        </w:rPr>
        <w:t> </w:t>
      </w:r>
      <w:r>
        <w:rPr>
          <w:rFonts w:ascii="Verdana" w:hAnsi="Verdana"/>
          <w:color w:val="222222"/>
          <w:sz w:val="21"/>
          <w:szCs w:val="21"/>
          <w:shd w:val="clear" w:color="auto" w:fill="FFFFFF"/>
        </w:rPr>
        <w:t xml:space="preserve">Nếu tỷ lệ BOD / COD đối với nước thải chưa qua xử lý là 0,5 hoặc cao hơn, chất thải được coi là dễ dàng có thể </w:t>
      </w:r>
      <w:r>
        <w:rPr>
          <w:rFonts w:ascii="Verdana" w:hAnsi="Verdana"/>
          <w:color w:val="222222"/>
          <w:sz w:val="21"/>
          <w:szCs w:val="21"/>
          <w:shd w:val="clear" w:color="auto" w:fill="FFFFFF"/>
        </w:rPr>
        <w:t>xử lý</w:t>
      </w:r>
      <w:r>
        <w:rPr>
          <w:rFonts w:ascii="Verdana" w:hAnsi="Verdana"/>
          <w:color w:val="222222"/>
          <w:sz w:val="21"/>
          <w:szCs w:val="21"/>
          <w:shd w:val="clear" w:color="auto" w:fill="FFFFFF"/>
        </w:rPr>
        <w:t xml:space="preserve"> bằng các phương tiện sinh học.</w:t>
      </w:r>
      <w:r>
        <w:rPr>
          <w:rStyle w:val="apple-converted-space"/>
          <w:rFonts w:ascii="Verdana" w:hAnsi="Verdana"/>
          <w:color w:val="222222"/>
          <w:sz w:val="21"/>
          <w:szCs w:val="21"/>
          <w:shd w:val="clear" w:color="auto" w:fill="FFFFFF"/>
        </w:rPr>
        <w:t> </w:t>
      </w:r>
      <w:r>
        <w:rPr>
          <w:rFonts w:ascii="Verdana" w:hAnsi="Verdana"/>
          <w:color w:val="222222"/>
          <w:sz w:val="21"/>
          <w:szCs w:val="21"/>
          <w:shd w:val="clear" w:color="auto" w:fill="FFFFFF"/>
        </w:rPr>
        <w:t xml:space="preserve">Nếu tỷ lệ này là dưới 0,3, hoặc chất thải có thể có một số thành phần độc hại hoặc </w:t>
      </w:r>
      <w:r>
        <w:rPr>
          <w:rFonts w:ascii="Verdana" w:hAnsi="Verdana"/>
          <w:color w:val="222222"/>
          <w:sz w:val="21"/>
          <w:szCs w:val="21"/>
          <w:shd w:val="clear" w:color="auto" w:fill="FFFFFF"/>
        </w:rPr>
        <w:t>vi sinh vật</w:t>
      </w:r>
      <w:r>
        <w:rPr>
          <w:rFonts w:ascii="Verdana" w:hAnsi="Verdana"/>
          <w:color w:val="222222"/>
          <w:sz w:val="21"/>
          <w:szCs w:val="21"/>
          <w:shd w:val="clear" w:color="auto" w:fill="FFFFFF"/>
        </w:rPr>
        <w:t xml:space="preserve"> thích nghi có thể được yêu cầu trong ổn định của nó.</w:t>
      </w:r>
      <w:r>
        <w:rPr>
          <w:rStyle w:val="apple-converted-space"/>
          <w:rFonts w:ascii="Verdana" w:hAnsi="Verdana"/>
          <w:color w:val="222222"/>
          <w:sz w:val="21"/>
          <w:szCs w:val="21"/>
          <w:shd w:val="clear" w:color="auto" w:fill="FFFFFF"/>
        </w:rPr>
        <w:t> </w:t>
      </w:r>
      <w:r>
        <w:rPr>
          <w:rFonts w:ascii="Verdana" w:hAnsi="Verdana"/>
          <w:color w:val="222222"/>
          <w:sz w:val="21"/>
          <w:szCs w:val="21"/>
          <w:shd w:val="clear" w:color="auto" w:fill="C9D7F1"/>
        </w:rPr>
        <w:t>Tỷ lệ BOD / TOC tương ứng đối với nước thải chưa qua xử lý khác nhau 1,2-2,0.</w:t>
      </w:r>
      <w:r>
        <w:rPr>
          <w:rStyle w:val="apple-converted-space"/>
          <w:rFonts w:ascii="Verdana" w:hAnsi="Verdana"/>
          <w:color w:val="222222"/>
          <w:sz w:val="21"/>
          <w:szCs w:val="21"/>
          <w:shd w:val="clear" w:color="auto" w:fill="C9D7F1"/>
        </w:rPr>
        <w:t> </w:t>
      </w:r>
      <w:r>
        <w:rPr>
          <w:rFonts w:ascii="Verdana" w:hAnsi="Verdana"/>
          <w:color w:val="222222"/>
          <w:sz w:val="21"/>
          <w:szCs w:val="21"/>
          <w:shd w:val="clear" w:color="auto" w:fill="FFFFFF"/>
        </w:rPr>
        <w:t>Trong việ</w:t>
      </w:r>
      <w:bookmarkStart w:id="0" w:name="_GoBack"/>
      <w:bookmarkEnd w:id="0"/>
      <w:r>
        <w:rPr>
          <w:rFonts w:ascii="Verdana" w:hAnsi="Verdana"/>
          <w:color w:val="222222"/>
          <w:sz w:val="21"/>
          <w:szCs w:val="21"/>
          <w:shd w:val="clear" w:color="auto" w:fill="FFFFFF"/>
        </w:rPr>
        <w:t>c sử dụng các chỉ số này điều quan trọng phải nhớ rằng họ sẽ thay đổi đáng kể với mức độ xử lý các chất thải đã trải qua, theo báo cáo trong Bảng 3.</w:t>
      </w:r>
    </w:p>
    <w:tbl>
      <w:tblPr>
        <w:tblW w:w="4900" w:type="pct"/>
        <w:tblCellSpacing w:w="7" w:type="dxa"/>
        <w:tblBorders>
          <w:top w:val="outset" w:sz="6" w:space="0" w:color="auto"/>
          <w:left w:val="outset" w:sz="6" w:space="0" w:color="auto"/>
          <w:bottom w:val="outset" w:sz="6" w:space="0" w:color="auto"/>
          <w:right w:val="outset" w:sz="6" w:space="0" w:color="auto"/>
        </w:tblBorders>
        <w:shd w:val="clear" w:color="auto" w:fill="FFFFFF"/>
        <w:tblCellMar>
          <w:top w:w="60" w:type="dxa"/>
          <w:left w:w="60" w:type="dxa"/>
          <w:bottom w:w="60" w:type="dxa"/>
          <w:right w:w="60" w:type="dxa"/>
        </w:tblCellMar>
        <w:tblLook w:val="04A0" w:firstRow="1" w:lastRow="0" w:firstColumn="1" w:lastColumn="0" w:noHBand="0" w:noVBand="1"/>
      </w:tblPr>
      <w:tblGrid>
        <w:gridCol w:w="3484"/>
        <w:gridCol w:w="2963"/>
        <w:gridCol w:w="2900"/>
      </w:tblGrid>
      <w:tr w:rsidR="007528D9" w:rsidRPr="007528D9" w:rsidTr="007528D9">
        <w:trPr>
          <w:tblCellSpacing w:w="7" w:type="dxa"/>
        </w:trPr>
        <w:tc>
          <w:tcPr>
            <w:tcW w:w="6" w:type="dxa"/>
            <w:tcBorders>
              <w:top w:val="outset" w:sz="6" w:space="0" w:color="auto"/>
              <w:left w:val="outset" w:sz="6" w:space="0" w:color="auto"/>
              <w:bottom w:val="outset" w:sz="6" w:space="0" w:color="auto"/>
              <w:right w:val="outset" w:sz="6" w:space="0" w:color="auto"/>
            </w:tcBorders>
            <w:shd w:val="clear" w:color="auto" w:fill="FFFFFF"/>
            <w:hideMark/>
          </w:tcPr>
          <w:p w:rsidR="007528D9" w:rsidRPr="007528D9" w:rsidRDefault="007528D9" w:rsidP="007528D9">
            <w:pPr>
              <w:spacing w:before="150" w:after="150" w:line="240" w:lineRule="auto"/>
              <w:rPr>
                <w:rFonts w:ascii="Verdana" w:eastAsia="Times New Roman" w:hAnsi="Verdana"/>
                <w:color w:val="222222"/>
                <w:sz w:val="21"/>
                <w:szCs w:val="21"/>
              </w:rPr>
            </w:pPr>
            <w:r w:rsidRPr="007528D9">
              <w:rPr>
                <w:rFonts w:ascii="Verdana" w:eastAsia="Times New Roman" w:hAnsi="Verdana"/>
                <w:b/>
                <w:bCs/>
                <w:color w:val="000000"/>
                <w:sz w:val="21"/>
                <w:szCs w:val="21"/>
              </w:rPr>
              <w:t>Type of wastewater</w:t>
            </w:r>
          </w:p>
        </w:tc>
        <w:tc>
          <w:tcPr>
            <w:tcW w:w="6" w:type="dxa"/>
            <w:tcBorders>
              <w:top w:val="outset" w:sz="6" w:space="0" w:color="auto"/>
              <w:left w:val="outset" w:sz="6" w:space="0" w:color="auto"/>
              <w:bottom w:val="outset" w:sz="6" w:space="0" w:color="auto"/>
              <w:right w:val="outset" w:sz="6" w:space="0" w:color="auto"/>
            </w:tcBorders>
            <w:shd w:val="clear" w:color="auto" w:fill="FFFFFF"/>
            <w:hideMark/>
          </w:tcPr>
          <w:p w:rsidR="007528D9" w:rsidRPr="007528D9" w:rsidRDefault="007528D9" w:rsidP="007528D9">
            <w:pPr>
              <w:spacing w:before="150" w:after="150" w:line="240" w:lineRule="auto"/>
              <w:rPr>
                <w:rFonts w:ascii="Verdana" w:eastAsia="Times New Roman" w:hAnsi="Verdana"/>
                <w:color w:val="222222"/>
                <w:sz w:val="21"/>
                <w:szCs w:val="21"/>
              </w:rPr>
            </w:pPr>
            <w:r w:rsidRPr="007528D9">
              <w:rPr>
                <w:rFonts w:ascii="Verdana" w:eastAsia="Times New Roman" w:hAnsi="Verdana"/>
                <w:b/>
                <w:bCs/>
                <w:color w:val="000000"/>
                <w:sz w:val="21"/>
                <w:szCs w:val="21"/>
              </w:rPr>
              <w:t>BOD/COD</w:t>
            </w:r>
          </w:p>
        </w:tc>
        <w:tc>
          <w:tcPr>
            <w:tcW w:w="6" w:type="dxa"/>
            <w:tcBorders>
              <w:top w:val="outset" w:sz="6" w:space="0" w:color="auto"/>
              <w:left w:val="outset" w:sz="6" w:space="0" w:color="auto"/>
              <w:bottom w:val="outset" w:sz="6" w:space="0" w:color="auto"/>
              <w:right w:val="outset" w:sz="6" w:space="0" w:color="auto"/>
            </w:tcBorders>
            <w:shd w:val="clear" w:color="auto" w:fill="FFFFFF"/>
            <w:hideMark/>
          </w:tcPr>
          <w:p w:rsidR="007528D9" w:rsidRPr="007528D9" w:rsidRDefault="007528D9" w:rsidP="007528D9">
            <w:pPr>
              <w:spacing w:before="150" w:after="150" w:line="240" w:lineRule="auto"/>
              <w:rPr>
                <w:rFonts w:ascii="Verdana" w:eastAsia="Times New Roman" w:hAnsi="Verdana"/>
                <w:color w:val="222222"/>
                <w:sz w:val="21"/>
                <w:szCs w:val="21"/>
              </w:rPr>
            </w:pPr>
            <w:r w:rsidRPr="007528D9">
              <w:rPr>
                <w:rFonts w:ascii="Verdana" w:eastAsia="Times New Roman" w:hAnsi="Verdana"/>
                <w:b/>
                <w:bCs/>
                <w:color w:val="000000"/>
                <w:sz w:val="21"/>
                <w:szCs w:val="21"/>
              </w:rPr>
              <w:t>BOD/TOC</w:t>
            </w:r>
          </w:p>
        </w:tc>
      </w:tr>
      <w:tr w:rsidR="007528D9" w:rsidRPr="007528D9" w:rsidTr="007528D9">
        <w:trPr>
          <w:tblCellSpacing w:w="7" w:type="dxa"/>
        </w:trPr>
        <w:tc>
          <w:tcPr>
            <w:tcW w:w="6" w:type="dxa"/>
            <w:tcBorders>
              <w:top w:val="outset" w:sz="6" w:space="0" w:color="auto"/>
              <w:left w:val="outset" w:sz="6" w:space="0" w:color="auto"/>
              <w:bottom w:val="outset" w:sz="6" w:space="0" w:color="auto"/>
              <w:right w:val="outset" w:sz="6" w:space="0" w:color="auto"/>
            </w:tcBorders>
            <w:shd w:val="clear" w:color="auto" w:fill="FFFFFF"/>
            <w:hideMark/>
          </w:tcPr>
          <w:p w:rsidR="007528D9" w:rsidRPr="007528D9" w:rsidRDefault="007528D9" w:rsidP="007528D9">
            <w:pPr>
              <w:spacing w:before="150" w:after="150" w:line="240" w:lineRule="auto"/>
              <w:rPr>
                <w:rFonts w:ascii="Verdana" w:eastAsia="Times New Roman" w:hAnsi="Verdana"/>
                <w:color w:val="222222"/>
                <w:sz w:val="21"/>
                <w:szCs w:val="21"/>
              </w:rPr>
            </w:pPr>
            <w:r w:rsidRPr="007528D9">
              <w:rPr>
                <w:rFonts w:ascii="Verdana" w:eastAsia="Times New Roman" w:hAnsi="Verdana"/>
                <w:color w:val="222222"/>
                <w:sz w:val="21"/>
                <w:szCs w:val="21"/>
              </w:rPr>
              <w:t>Untreated</w:t>
            </w:r>
          </w:p>
        </w:tc>
        <w:tc>
          <w:tcPr>
            <w:tcW w:w="6" w:type="dxa"/>
            <w:tcBorders>
              <w:top w:val="outset" w:sz="6" w:space="0" w:color="auto"/>
              <w:left w:val="outset" w:sz="6" w:space="0" w:color="auto"/>
              <w:bottom w:val="outset" w:sz="6" w:space="0" w:color="auto"/>
              <w:right w:val="outset" w:sz="6" w:space="0" w:color="auto"/>
            </w:tcBorders>
            <w:shd w:val="clear" w:color="auto" w:fill="FFFFFF"/>
            <w:hideMark/>
          </w:tcPr>
          <w:p w:rsidR="007528D9" w:rsidRPr="007528D9" w:rsidRDefault="007528D9" w:rsidP="007528D9">
            <w:pPr>
              <w:spacing w:before="150" w:after="150" w:line="240" w:lineRule="auto"/>
              <w:rPr>
                <w:rFonts w:ascii="Verdana" w:eastAsia="Times New Roman" w:hAnsi="Verdana"/>
                <w:color w:val="222222"/>
                <w:sz w:val="21"/>
                <w:szCs w:val="21"/>
              </w:rPr>
            </w:pPr>
            <w:r w:rsidRPr="007528D9">
              <w:rPr>
                <w:rFonts w:ascii="Verdana" w:eastAsia="Times New Roman" w:hAnsi="Verdana"/>
                <w:color w:val="222222"/>
                <w:sz w:val="21"/>
                <w:szCs w:val="21"/>
              </w:rPr>
              <w:t>0.3 – 0.8</w:t>
            </w:r>
          </w:p>
        </w:tc>
        <w:tc>
          <w:tcPr>
            <w:tcW w:w="6" w:type="dxa"/>
            <w:tcBorders>
              <w:top w:val="outset" w:sz="6" w:space="0" w:color="auto"/>
              <w:left w:val="outset" w:sz="6" w:space="0" w:color="auto"/>
              <w:bottom w:val="outset" w:sz="6" w:space="0" w:color="auto"/>
              <w:right w:val="outset" w:sz="6" w:space="0" w:color="auto"/>
            </w:tcBorders>
            <w:shd w:val="clear" w:color="auto" w:fill="FFFFFF"/>
            <w:hideMark/>
          </w:tcPr>
          <w:p w:rsidR="007528D9" w:rsidRPr="007528D9" w:rsidRDefault="007528D9" w:rsidP="007528D9">
            <w:pPr>
              <w:spacing w:before="150" w:after="150" w:line="240" w:lineRule="auto"/>
              <w:rPr>
                <w:rFonts w:ascii="Verdana" w:eastAsia="Times New Roman" w:hAnsi="Verdana"/>
                <w:color w:val="222222"/>
                <w:sz w:val="21"/>
                <w:szCs w:val="21"/>
              </w:rPr>
            </w:pPr>
            <w:r w:rsidRPr="007528D9">
              <w:rPr>
                <w:rFonts w:ascii="Verdana" w:eastAsia="Times New Roman" w:hAnsi="Verdana"/>
                <w:color w:val="222222"/>
                <w:sz w:val="21"/>
                <w:szCs w:val="21"/>
              </w:rPr>
              <w:t>1.2 – 2.0</w:t>
            </w:r>
          </w:p>
        </w:tc>
      </w:tr>
      <w:tr w:rsidR="007528D9" w:rsidRPr="007528D9" w:rsidTr="007528D9">
        <w:trPr>
          <w:tblCellSpacing w:w="7" w:type="dxa"/>
        </w:trPr>
        <w:tc>
          <w:tcPr>
            <w:tcW w:w="6" w:type="dxa"/>
            <w:tcBorders>
              <w:top w:val="outset" w:sz="6" w:space="0" w:color="auto"/>
              <w:left w:val="outset" w:sz="6" w:space="0" w:color="auto"/>
              <w:bottom w:val="outset" w:sz="6" w:space="0" w:color="auto"/>
              <w:right w:val="outset" w:sz="6" w:space="0" w:color="auto"/>
            </w:tcBorders>
            <w:shd w:val="clear" w:color="auto" w:fill="FFFFFF"/>
            <w:hideMark/>
          </w:tcPr>
          <w:p w:rsidR="007528D9" w:rsidRPr="007528D9" w:rsidRDefault="007528D9" w:rsidP="007528D9">
            <w:pPr>
              <w:spacing w:before="150" w:after="150" w:line="240" w:lineRule="auto"/>
              <w:rPr>
                <w:rFonts w:ascii="Verdana" w:eastAsia="Times New Roman" w:hAnsi="Verdana"/>
                <w:color w:val="222222"/>
                <w:sz w:val="21"/>
                <w:szCs w:val="21"/>
              </w:rPr>
            </w:pPr>
            <w:r w:rsidRPr="007528D9">
              <w:rPr>
                <w:rFonts w:ascii="Verdana" w:eastAsia="Times New Roman" w:hAnsi="Verdana"/>
                <w:color w:val="222222"/>
                <w:sz w:val="21"/>
                <w:szCs w:val="21"/>
              </w:rPr>
              <w:t>After primary settling</w:t>
            </w:r>
          </w:p>
        </w:tc>
        <w:tc>
          <w:tcPr>
            <w:tcW w:w="6" w:type="dxa"/>
            <w:tcBorders>
              <w:top w:val="outset" w:sz="6" w:space="0" w:color="auto"/>
              <w:left w:val="outset" w:sz="6" w:space="0" w:color="auto"/>
              <w:bottom w:val="outset" w:sz="6" w:space="0" w:color="auto"/>
              <w:right w:val="outset" w:sz="6" w:space="0" w:color="auto"/>
            </w:tcBorders>
            <w:shd w:val="clear" w:color="auto" w:fill="FFFFFF"/>
            <w:hideMark/>
          </w:tcPr>
          <w:p w:rsidR="007528D9" w:rsidRPr="007528D9" w:rsidRDefault="007528D9" w:rsidP="007528D9">
            <w:pPr>
              <w:spacing w:before="150" w:after="150" w:line="240" w:lineRule="auto"/>
              <w:rPr>
                <w:rFonts w:ascii="Verdana" w:eastAsia="Times New Roman" w:hAnsi="Verdana"/>
                <w:color w:val="222222"/>
                <w:sz w:val="21"/>
                <w:szCs w:val="21"/>
              </w:rPr>
            </w:pPr>
            <w:r w:rsidRPr="007528D9">
              <w:rPr>
                <w:rFonts w:ascii="Verdana" w:eastAsia="Times New Roman" w:hAnsi="Verdana"/>
                <w:color w:val="222222"/>
                <w:sz w:val="21"/>
                <w:szCs w:val="21"/>
              </w:rPr>
              <w:t>0.4 – 0.6</w:t>
            </w:r>
          </w:p>
        </w:tc>
        <w:tc>
          <w:tcPr>
            <w:tcW w:w="6" w:type="dxa"/>
            <w:tcBorders>
              <w:top w:val="outset" w:sz="6" w:space="0" w:color="auto"/>
              <w:left w:val="outset" w:sz="6" w:space="0" w:color="auto"/>
              <w:bottom w:val="outset" w:sz="6" w:space="0" w:color="auto"/>
              <w:right w:val="outset" w:sz="6" w:space="0" w:color="auto"/>
            </w:tcBorders>
            <w:shd w:val="clear" w:color="auto" w:fill="FFFFFF"/>
            <w:hideMark/>
          </w:tcPr>
          <w:p w:rsidR="007528D9" w:rsidRPr="007528D9" w:rsidRDefault="007528D9" w:rsidP="007528D9">
            <w:pPr>
              <w:spacing w:before="150" w:after="150" w:line="240" w:lineRule="auto"/>
              <w:rPr>
                <w:rFonts w:ascii="Verdana" w:eastAsia="Times New Roman" w:hAnsi="Verdana"/>
                <w:color w:val="222222"/>
                <w:sz w:val="21"/>
                <w:szCs w:val="21"/>
              </w:rPr>
            </w:pPr>
            <w:r w:rsidRPr="007528D9">
              <w:rPr>
                <w:rFonts w:ascii="Verdana" w:eastAsia="Times New Roman" w:hAnsi="Verdana"/>
                <w:color w:val="222222"/>
                <w:sz w:val="21"/>
                <w:szCs w:val="21"/>
              </w:rPr>
              <w:t>0.8 – 1.2</w:t>
            </w:r>
          </w:p>
        </w:tc>
      </w:tr>
      <w:tr w:rsidR="007528D9" w:rsidRPr="007528D9" w:rsidTr="007528D9">
        <w:trPr>
          <w:tblCellSpacing w:w="7" w:type="dxa"/>
        </w:trPr>
        <w:tc>
          <w:tcPr>
            <w:tcW w:w="6" w:type="dxa"/>
            <w:tcBorders>
              <w:top w:val="outset" w:sz="6" w:space="0" w:color="auto"/>
              <w:left w:val="outset" w:sz="6" w:space="0" w:color="auto"/>
              <w:bottom w:val="outset" w:sz="6" w:space="0" w:color="auto"/>
              <w:right w:val="outset" w:sz="6" w:space="0" w:color="auto"/>
            </w:tcBorders>
            <w:shd w:val="clear" w:color="auto" w:fill="FFFFFF"/>
            <w:hideMark/>
          </w:tcPr>
          <w:p w:rsidR="007528D9" w:rsidRPr="007528D9" w:rsidRDefault="007528D9" w:rsidP="007528D9">
            <w:pPr>
              <w:spacing w:before="150" w:after="150" w:line="240" w:lineRule="auto"/>
              <w:rPr>
                <w:rFonts w:ascii="Verdana" w:eastAsia="Times New Roman" w:hAnsi="Verdana"/>
                <w:color w:val="222222"/>
                <w:sz w:val="21"/>
                <w:szCs w:val="21"/>
              </w:rPr>
            </w:pPr>
            <w:r w:rsidRPr="007528D9">
              <w:rPr>
                <w:rFonts w:ascii="Verdana" w:eastAsia="Times New Roman" w:hAnsi="Verdana"/>
                <w:color w:val="222222"/>
                <w:sz w:val="21"/>
                <w:szCs w:val="21"/>
              </w:rPr>
              <w:t>Final effluent</w:t>
            </w:r>
          </w:p>
        </w:tc>
        <w:tc>
          <w:tcPr>
            <w:tcW w:w="6" w:type="dxa"/>
            <w:tcBorders>
              <w:top w:val="outset" w:sz="6" w:space="0" w:color="auto"/>
              <w:left w:val="outset" w:sz="6" w:space="0" w:color="auto"/>
              <w:bottom w:val="outset" w:sz="6" w:space="0" w:color="auto"/>
              <w:right w:val="outset" w:sz="6" w:space="0" w:color="auto"/>
            </w:tcBorders>
            <w:shd w:val="clear" w:color="auto" w:fill="FFFFFF"/>
            <w:hideMark/>
          </w:tcPr>
          <w:p w:rsidR="007528D9" w:rsidRPr="007528D9" w:rsidRDefault="007528D9" w:rsidP="007528D9">
            <w:pPr>
              <w:spacing w:before="150" w:after="150" w:line="240" w:lineRule="auto"/>
              <w:rPr>
                <w:rFonts w:ascii="Verdana" w:eastAsia="Times New Roman" w:hAnsi="Verdana"/>
                <w:color w:val="222222"/>
                <w:sz w:val="21"/>
                <w:szCs w:val="21"/>
              </w:rPr>
            </w:pPr>
            <w:r w:rsidRPr="007528D9">
              <w:rPr>
                <w:rFonts w:ascii="Verdana" w:eastAsia="Times New Roman" w:hAnsi="Verdana"/>
                <w:color w:val="222222"/>
                <w:sz w:val="21"/>
                <w:szCs w:val="21"/>
              </w:rPr>
              <w:t>0.1 – 0.3</w:t>
            </w:r>
          </w:p>
        </w:tc>
        <w:tc>
          <w:tcPr>
            <w:tcW w:w="6" w:type="dxa"/>
            <w:tcBorders>
              <w:top w:val="outset" w:sz="6" w:space="0" w:color="auto"/>
              <w:left w:val="outset" w:sz="6" w:space="0" w:color="auto"/>
              <w:bottom w:val="outset" w:sz="6" w:space="0" w:color="auto"/>
              <w:right w:val="outset" w:sz="6" w:space="0" w:color="auto"/>
            </w:tcBorders>
            <w:shd w:val="clear" w:color="auto" w:fill="FFFFFF"/>
            <w:hideMark/>
          </w:tcPr>
          <w:p w:rsidR="007528D9" w:rsidRPr="007528D9" w:rsidRDefault="007528D9" w:rsidP="007528D9">
            <w:pPr>
              <w:spacing w:before="150" w:after="150" w:line="240" w:lineRule="auto"/>
              <w:rPr>
                <w:rFonts w:ascii="Verdana" w:eastAsia="Times New Roman" w:hAnsi="Verdana"/>
                <w:color w:val="222222"/>
                <w:sz w:val="21"/>
                <w:szCs w:val="21"/>
              </w:rPr>
            </w:pPr>
            <w:r w:rsidRPr="007528D9">
              <w:rPr>
                <w:rFonts w:ascii="Verdana" w:eastAsia="Times New Roman" w:hAnsi="Verdana"/>
                <w:color w:val="222222"/>
                <w:sz w:val="21"/>
                <w:szCs w:val="21"/>
              </w:rPr>
              <w:t>0.2 – 0.5</w:t>
            </w:r>
          </w:p>
        </w:tc>
      </w:tr>
    </w:tbl>
    <w:p w:rsidR="007528D9" w:rsidRPr="007528D9" w:rsidRDefault="007528D9" w:rsidP="007528D9">
      <w:pPr>
        <w:shd w:val="clear" w:color="auto" w:fill="FFFFFF"/>
        <w:spacing w:before="150" w:after="150" w:line="240" w:lineRule="auto"/>
        <w:rPr>
          <w:rFonts w:ascii="Verdana" w:eastAsia="Times New Roman" w:hAnsi="Verdana"/>
          <w:color w:val="222222"/>
          <w:sz w:val="21"/>
          <w:szCs w:val="21"/>
        </w:rPr>
      </w:pPr>
      <w:r w:rsidRPr="007528D9">
        <w:rPr>
          <w:rFonts w:ascii="Verdana" w:eastAsia="Times New Roman" w:hAnsi="Verdana"/>
          <w:i/>
          <w:iCs/>
          <w:color w:val="222222"/>
          <w:sz w:val="21"/>
          <w:szCs w:val="21"/>
        </w:rPr>
        <w:t>Table </w:t>
      </w:r>
      <w:r w:rsidRPr="007528D9">
        <w:rPr>
          <w:rFonts w:ascii="Verdana" w:eastAsia="Times New Roman" w:hAnsi="Verdana"/>
          <w:color w:val="222222"/>
          <w:sz w:val="21"/>
          <w:szCs w:val="21"/>
        </w:rPr>
        <w:t>3</w:t>
      </w:r>
      <w:r w:rsidRPr="007528D9">
        <w:rPr>
          <w:rFonts w:ascii="Verdana" w:eastAsia="Times New Roman" w:hAnsi="Verdana"/>
          <w:i/>
          <w:iCs/>
          <w:color w:val="222222"/>
          <w:sz w:val="21"/>
          <w:szCs w:val="21"/>
        </w:rPr>
        <w:t>: Comparison of ratios of various parameters used to characterize wastewater</w:t>
      </w:r>
    </w:p>
    <w:p w:rsidR="007528D9" w:rsidRDefault="007528D9">
      <w:r>
        <w:rPr>
          <w:rStyle w:val="ilcemph"/>
          <w:rFonts w:ascii="Verdana" w:hAnsi="Verdana"/>
          <w:i/>
          <w:iCs/>
          <w:color w:val="222222"/>
          <w:sz w:val="21"/>
          <w:szCs w:val="21"/>
          <w:shd w:val="clear" w:color="auto" w:fill="FFFFFF"/>
        </w:rPr>
        <w:t>Bảng</w:t>
      </w:r>
      <w:r>
        <w:rPr>
          <w:rStyle w:val="apple-converted-space"/>
          <w:rFonts w:ascii="Verdana" w:hAnsi="Verdana"/>
          <w:color w:val="222222"/>
          <w:sz w:val="21"/>
          <w:szCs w:val="21"/>
          <w:shd w:val="clear" w:color="auto" w:fill="FFFFFF"/>
        </w:rPr>
        <w:t> </w:t>
      </w:r>
      <w:r>
        <w:rPr>
          <w:rFonts w:ascii="Verdana" w:hAnsi="Verdana"/>
          <w:color w:val="222222"/>
          <w:sz w:val="21"/>
          <w:szCs w:val="21"/>
          <w:shd w:val="clear" w:color="auto" w:fill="FFFFFF"/>
        </w:rPr>
        <w:t>3</w:t>
      </w:r>
      <w:r>
        <w:rPr>
          <w:rStyle w:val="apple-converted-space"/>
          <w:rFonts w:ascii="Verdana" w:hAnsi="Verdana"/>
          <w:color w:val="222222"/>
          <w:sz w:val="21"/>
          <w:szCs w:val="21"/>
          <w:shd w:val="clear" w:color="auto" w:fill="FFFFFF"/>
        </w:rPr>
        <w:t> </w:t>
      </w:r>
      <w:r>
        <w:rPr>
          <w:rStyle w:val="ilcemph"/>
          <w:rFonts w:ascii="Verdana" w:hAnsi="Verdana"/>
          <w:i/>
          <w:iCs/>
          <w:color w:val="222222"/>
          <w:sz w:val="21"/>
          <w:szCs w:val="21"/>
          <w:shd w:val="clear" w:color="auto" w:fill="FFFFFF"/>
        </w:rPr>
        <w:t>:</w:t>
      </w:r>
      <w:r>
        <w:rPr>
          <w:rStyle w:val="apple-converted-space"/>
          <w:rFonts w:ascii="Verdana" w:hAnsi="Verdana"/>
          <w:i/>
          <w:iCs/>
          <w:color w:val="222222"/>
          <w:sz w:val="21"/>
          <w:szCs w:val="21"/>
          <w:shd w:val="clear" w:color="auto" w:fill="FFFFFF"/>
        </w:rPr>
        <w:t> </w:t>
      </w:r>
      <w:r>
        <w:rPr>
          <w:rStyle w:val="ilcemph"/>
          <w:rFonts w:ascii="Verdana" w:hAnsi="Verdana"/>
          <w:i/>
          <w:iCs/>
          <w:color w:val="222222"/>
          <w:sz w:val="21"/>
          <w:szCs w:val="21"/>
          <w:shd w:val="clear" w:color="auto" w:fill="FFFFFF"/>
        </w:rPr>
        <w:t>So sánh tỷ lệ của các thông số khác nhau được sử dụng để mô tả nước thải</w:t>
      </w:r>
    </w:p>
    <w:sectPr w:rsidR="007528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28D9"/>
    <w:rsid w:val="007528D9"/>
    <w:rsid w:val="008269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528D9"/>
  </w:style>
  <w:style w:type="character" w:customStyle="1" w:styleId="ilcemph">
    <w:name w:val="ilc_emph"/>
    <w:basedOn w:val="DefaultParagraphFont"/>
    <w:rsid w:val="007528D9"/>
  </w:style>
  <w:style w:type="paragraph" w:customStyle="1" w:styleId="ilcstandard">
    <w:name w:val="ilc_standard"/>
    <w:basedOn w:val="Normal"/>
    <w:rsid w:val="007528D9"/>
    <w:pPr>
      <w:spacing w:before="100" w:beforeAutospacing="1" w:after="100" w:afterAutospacing="1" w:line="240" w:lineRule="auto"/>
    </w:pPr>
    <w:rPr>
      <w:rFonts w:eastAsia="Times New Roman"/>
      <w:sz w:val="24"/>
      <w:szCs w:val="24"/>
    </w:rPr>
  </w:style>
  <w:style w:type="character" w:customStyle="1" w:styleId="ilcstrong">
    <w:name w:val="ilc_strong"/>
    <w:basedOn w:val="DefaultParagraphFont"/>
    <w:rsid w:val="007528D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imes New Roman"/>
        <w:sz w:val="26"/>
        <w:szCs w:val="26"/>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7528D9"/>
  </w:style>
  <w:style w:type="character" w:customStyle="1" w:styleId="ilcemph">
    <w:name w:val="ilc_emph"/>
    <w:basedOn w:val="DefaultParagraphFont"/>
    <w:rsid w:val="007528D9"/>
  </w:style>
  <w:style w:type="paragraph" w:customStyle="1" w:styleId="ilcstandard">
    <w:name w:val="ilc_standard"/>
    <w:basedOn w:val="Normal"/>
    <w:rsid w:val="007528D9"/>
    <w:pPr>
      <w:spacing w:before="100" w:beforeAutospacing="1" w:after="100" w:afterAutospacing="1" w:line="240" w:lineRule="auto"/>
    </w:pPr>
    <w:rPr>
      <w:rFonts w:eastAsia="Times New Roman"/>
      <w:sz w:val="24"/>
      <w:szCs w:val="24"/>
    </w:rPr>
  </w:style>
  <w:style w:type="character" w:customStyle="1" w:styleId="ilcstrong">
    <w:name w:val="ilc_strong"/>
    <w:basedOn w:val="DefaultParagraphFont"/>
    <w:rsid w:val="007528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5338324">
      <w:bodyDiv w:val="1"/>
      <w:marLeft w:val="0"/>
      <w:marRight w:val="0"/>
      <w:marTop w:val="0"/>
      <w:marBottom w:val="0"/>
      <w:divBdr>
        <w:top w:val="none" w:sz="0" w:space="0" w:color="auto"/>
        <w:left w:val="none" w:sz="0" w:space="0" w:color="auto"/>
        <w:bottom w:val="none" w:sz="0" w:space="0" w:color="auto"/>
        <w:right w:val="none" w:sz="0" w:space="0" w:color="auto"/>
      </w:divBdr>
    </w:div>
    <w:div w:id="1781098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149</Words>
  <Characters>850</Characters>
  <Application>Microsoft Office Word</Application>
  <DocSecurity>0</DocSecurity>
  <Lines>7</Lines>
  <Paragraphs>1</Paragraphs>
  <ScaleCrop>false</ScaleCrop>
  <Company>Hewlett-Packard Company</Company>
  <LinksUpToDate>false</LinksUpToDate>
  <CharactersWithSpaces>998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Cail-Lab</dc:creator>
  <cp:lastModifiedBy>Cail-Lab</cp:lastModifiedBy>
  <cp:revision>1</cp:revision>
  <dcterms:created xsi:type="dcterms:W3CDTF">2014-02-10T09:25:00Z</dcterms:created>
  <dcterms:modified xsi:type="dcterms:W3CDTF">2014-02-10T09:41:00Z</dcterms:modified>
</cp:coreProperties>
</file>