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F6CB" w14:textId="77777777" w:rsidR="00C21C08" w:rsidRDefault="005B59C4">
      <w:pPr>
        <w:pStyle w:val="Heading1"/>
        <w:jc w:val="center"/>
      </w:pPr>
      <w:r>
        <w:t>Lab: Text Processing</w:t>
      </w:r>
    </w:p>
    <w:p w14:paraId="23F2AC53" w14:textId="04F5AA20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0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ECFD" w14:textId="77777777" w:rsidR="00BC3FE9" w:rsidRDefault="00BC3FE9">
      <w:pPr>
        <w:spacing w:before="0" w:after="0" w:line="240" w:lineRule="auto"/>
      </w:pPr>
      <w:r>
        <w:separator/>
      </w:r>
    </w:p>
  </w:endnote>
  <w:endnote w:type="continuationSeparator" w:id="0">
    <w:p w14:paraId="52F61F01" w14:textId="77777777" w:rsidR="00BC3FE9" w:rsidRDefault="00BC3F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46F6" w14:textId="77777777" w:rsidR="00BC3FE9" w:rsidRDefault="00BC3FE9">
      <w:pPr>
        <w:spacing w:before="0" w:after="0" w:line="240" w:lineRule="auto"/>
      </w:pPr>
      <w:r>
        <w:separator/>
      </w:r>
    </w:p>
  </w:footnote>
  <w:footnote w:type="continuationSeparator" w:id="0">
    <w:p w14:paraId="127D68C0" w14:textId="77777777" w:rsidR="00BC3FE9" w:rsidRDefault="00BC3F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162753"/>
    <w:rsid w:val="00380E62"/>
    <w:rsid w:val="005B59C4"/>
    <w:rsid w:val="005B76FD"/>
    <w:rsid w:val="009D6E9E"/>
    <w:rsid w:val="00A0561A"/>
    <w:rsid w:val="00AB7415"/>
    <w:rsid w:val="00BC3FE9"/>
    <w:rsid w:val="00BE257E"/>
    <w:rsid w:val="00C21C08"/>
    <w:rsid w:val="00D119C5"/>
    <w:rsid w:val="00D75B6E"/>
    <w:rsid w:val="00D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8A56-8292-414A-A55A-D61906DA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2021-12-22T17:39:00Z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