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42"/>
        </w:rPr>
        <w:t>Nb252纳米抗体BL21表达量优化阶段报告</w:t>
      </w:r>
    </w:p>
    <w:p>
      <w:pPr>
        <w:pStyle w:val="Subtitle"/>
        <w:jc w:val="center"/>
      </w:pPr>
      <w:r>
        <w:rPr>
          <w:rFonts w:ascii="Microsoft YaHei" w:hAnsi="Microsoft YaHei" w:eastAsia="Microsoft YaHei" w:cs="Microsoft YaHei"/>
          <w:color w:val="000000"/>
          <w:sz w:val="24"/>
        </w:rPr>
        <w:t>结构与天然保守性约束下的19条单突和11条双突候选</w:t>
      </w:r>
    </w:p>
    <w:p/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 w:space="0"/>
          <w:bottom w:val="single" w:sz="12" w:color="000000" w:space="0"/>
          <w:left w:val="nil" w:sz="0" w:color="000000" w:space="0"/>
          <w:right w:val="nil" w:sz="0" w:color="000000" w:space="0"/>
          <w:insideH w:val="nil" w:sz="0" w:color="000000" w:space="0"/>
          <w:insideV w:val="nil" w:sz="0" w:color="000000" w:space="0"/>
        </w:tblBorders>
      </w:tblPr>
      <w:tblGrid>
        <w:gridCol w:w="1973"/>
        <w:gridCol w:w="7527"/>
      </w:tblGrid>
      <w:tr>
        <w:trPr>
          <w:tblHeader w:val="true"/>
        </w:trPr>
        <w:tc>
          <w:tcPr>
            <w:tcW w:type="dxa" w:w="19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当前结果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设计目标</w:t>
            </w:r>
          </w:p>
        </w:tc>
        <w:tc>
          <w:tcPr>
            <w:tcW w:type="dxa" w:w="7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提高Nb252在BL21体系中的表达相关性质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权威亲本</w:t>
            </w:r>
          </w:p>
        </w:tc>
        <w:tc>
          <w:tcPr>
            <w:tcW w:type="dxa" w:w="7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128 aa；末端SSGS保持不变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完整单突空间</w:t>
            </w:r>
          </w:p>
        </w:tc>
        <w:tc>
          <w:tcPr>
            <w:tcW w:type="dxa" w:w="7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847条允许单突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最终候选面板</w:t>
            </w:r>
          </w:p>
        </w:tc>
        <w:tc>
          <w:tcPr>
            <w:tcW w:type="dxa" w:w="7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19条单突＋11条双突，共30条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实验对照</w:t>
            </w:r>
          </w:p>
        </w:tc>
        <w:tc>
          <w:tcPr>
            <w:tcW w:type="dxa" w:w="7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WT独立设置，不占30条候选名额</w:t>
            </w:r>
          </w:p>
        </w:tc>
      </w:tr>
    </w:tbl>
    <w:p>
      <w:r>
        <w:br w:type="page"/>
      </w:r>
    </w:p>
    <w:p>
      <w:pPr>
        <w:pStyle w:val="Heading1"/>
      </w:pPr>
      <w:r>
        <w:t>执行摘要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全部候选首先满足实验界面、天然高保守位点、Cys22/Cys95及末端SSGS保护规则。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847条允许单突已完成NetSolP、NanoMelt和AntiFold统一评价，并按预定义幅度档而非同档小数差异筛选。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原30条单突试选进一步收缩为19条父单突：F30、Q1、T27各3条，其余10个位点各1条。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19条父单突产生171个理论无序对；去除9个同位点互斥组合后，162条有效双突均重新计算完整序列的NetSolP和NanoMelt结果。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84条双突通过无硬风险、无中等或明显性质恶化、且至少一个预测器家族中等或明显有利的资格门。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全局分类优化选择11条双突：A层3条、B层4条、C层4条；最终形成19条单突＋11条双突的30条候选面板。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 w:space="0"/>
          <w:bottom w:val="single" w:sz="12" w:color="000000" w:space="0"/>
          <w:left w:val="nil" w:sz="0" w:color="000000" w:space="0"/>
          <w:right w:val="nil" w:sz="0" w:color="000000" w:space="0"/>
          <w:insideH w:val="nil" w:sz="0" w:color="000000" w:space="0"/>
          <w:insideV w:val="nil" w:sz="0" w:color="000000" w:space="0"/>
        </w:tblBorders>
      </w:tblPr>
      <w:tblGrid>
        <w:gridCol w:w="2338"/>
        <w:gridCol w:w="1169"/>
        <w:gridCol w:w="5993"/>
      </w:tblGrid>
      <w:tr>
        <w:trPr>
          <w:tblHeader w:val="true"/>
        </w:trPr>
        <w:tc>
          <w:tcPr>
            <w:tcW w:type="dxa" w:w="2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5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含义</w:t>
            </w:r>
          </w:p>
        </w:tc>
      </w:tr>
      <w:tr>
        <w:tc>
          <w:tcPr>
            <w:tcW w:type="dxa" w:w="2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允许单突空间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847</w:t>
            </w:r>
          </w:p>
        </w:tc>
        <w:tc>
          <w:tcPr>
            <w:tcW w:type="dxa" w:w="5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完整预测空间</w:t>
            </w:r>
          </w:p>
        </w:tc>
      </w:tr>
      <w:tr>
        <w:tc>
          <w:tcPr>
            <w:tcW w:type="dxa" w:w="2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父单突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5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作为独立候选和双突组成项</w:t>
            </w:r>
          </w:p>
        </w:tc>
      </w:tr>
      <w:tr>
        <w:tc>
          <w:tcPr>
            <w:tcW w:type="dxa" w:w="2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有效双突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162</w:t>
            </w:r>
          </w:p>
        </w:tc>
        <w:tc>
          <w:tcPr>
            <w:tcW w:type="dxa" w:w="5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不同位置的全部可实现组合</w:t>
            </w:r>
          </w:p>
        </w:tc>
      </w:tr>
      <w:tr>
        <w:tc>
          <w:tcPr>
            <w:tcW w:type="dxa" w:w="2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双突资格门通过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5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进入全局组合选择</w:t>
            </w:r>
          </w:p>
        </w:tc>
      </w:tr>
      <w:tr>
        <w:tc>
          <w:tcPr>
            <w:tcW w:type="dxa" w:w="2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最终面板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5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19条单突＋11条双突</w:t>
            </w:r>
          </w:p>
        </w:tc>
      </w:tr>
    </w:tbl>
    <w:p>
      <w:r>
        <w:br w:type="page"/>
      </w:r>
    </w:p>
    <w:p>
      <w:pPr>
        <w:pStyle w:val="Heading1"/>
      </w:pPr>
      <w:r>
        <w:t>1. 设计目标与不可变约束</w:t>
      </w:r>
    </w:p>
    <w:p>
      <w:r>
        <w:t>本项目以Nb252在BL21体系中的表达量优化为目标。当前计算不显式优化亲和力，也不使用Rosetta类评分。实验复合物中定义的界面、天然高保守位点、二硫键和末端构建体序列在候选生成前即被冻结。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 w:space="0"/>
          <w:bottom w:val="single" w:sz="12" w:color="000000" w:space="0"/>
          <w:left w:val="nil" w:sz="0" w:color="000000" w:space="0"/>
          <w:right w:val="nil" w:sz="0" w:color="000000" w:space="0"/>
          <w:insideH w:val="nil" w:sz="0" w:color="000000" w:space="0"/>
          <w:insideV w:val="nil" w:sz="0" w:color="000000" w:space="0"/>
        </w:tblBorders>
      </w:tblPr>
      <w:tblGrid>
        <w:gridCol w:w="2119"/>
        <w:gridCol w:w="7381"/>
      </w:tblGrid>
      <w:tr>
        <w:trPr>
          <w:tblHeader w:val="true"/>
        </w:trP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约束</w:t>
            </w:r>
          </w:p>
        </w:tc>
        <w:tc>
          <w:tcPr>
            <w:tcW w:type="dxa" w:w="7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执行规则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实验界面</w:t>
            </w:r>
          </w:p>
        </w:tc>
        <w:tc>
          <w:tcPr>
            <w:tcW w:type="dxa" w:w="7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24个实验复合物界面位置全部不突变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天然保守性</w:t>
            </w:r>
          </w:p>
        </w:tc>
        <w:tc>
          <w:tcPr>
            <w:tcW w:type="dxa" w:w="7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Nb252自身等于全局/邻域天然优势残基的高置信位置冻结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共识回变</w:t>
            </w:r>
          </w:p>
        </w:tc>
        <w:tc>
          <w:tcPr>
            <w:tcW w:type="dxa" w:w="7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Q5不开放任意扫描，仅允许Q5V天然共识回变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构建体</w:t>
            </w:r>
          </w:p>
        </w:tc>
        <w:tc>
          <w:tcPr>
            <w:tcW w:type="dxa" w:w="7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保持128 aa、Cys22/Cys95及末端SSGS，不引入新Cys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组合范围</w:t>
            </w:r>
          </w:p>
        </w:tc>
        <w:tc>
          <w:tcPr>
            <w:tcW w:type="dxa" w:w="7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双突只能由批准的19条父单突在不同位置组合，不生成三突或更高阶突变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1071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constra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071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 w:cs="Microsoft YaHei"/>
          <w:color w:val="000000"/>
          <w:sz w:val="18"/>
        </w:rPr>
        <w:t>图1  Nb252天然保守性与设计约束轨道。</w:t>
      </w:r>
    </w:p>
    <w:p>
      <w:r>
        <w:br w:type="page"/>
      </w:r>
    </w:p>
    <w:p>
      <w:pPr>
        <w:pStyle w:val="Heading1"/>
      </w:pPr>
      <w:r>
        <w:t>2. 天然VHH保守性参照</w:t>
      </w:r>
    </w:p>
    <w:p>
      <w:r>
        <w:t>保守性参照来自4,059条公开非冗余天然VHH。经IMGT编号、完整性审核和90% identity去冗余后得到3,784个有效簇；其中Nb252邻域包含1,532个有效簇。邻域用于避免远离Nb252框架背景的VHH主导位置频率。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位置覆盖率不低于0.80，有效簇数不少于50。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邻域优势残基频率不低于0.90，全局优势残基频率不低于0.80，且两者一致。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只有Nb252自身残基等于该优势残基时，位置才因天然保守性完全冻结。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若Nb252偏离高保守共识，仅开放到共识残基的单一回变，并继续服从其他硬约束。</w:t>
      </w:r>
    </w:p>
    <w:p>
      <w:pPr>
        <w:pStyle w:val="Heading1"/>
      </w:pPr>
      <w:r>
        <w:t>3. 工具验证与使用边界</w:t>
      </w:r>
    </w:p>
    <w:p>
      <w:r>
        <w:t>47条BL21产量记录用于判断预测指标的适用边界。连续相关、来源分层分析和序列簇外分类表明，现有工具不能被解释为经过外部验证的mg/L预测器，但可作为相互独立的性质证据与风险约束。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860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60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 w:cs="Microsoft YaHei"/>
          <w:color w:val="000000"/>
          <w:sz w:val="18"/>
        </w:rPr>
        <w:t>图2  多种预测指标与47条BL21产量记录的连续关联和展示性分类结果。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 w:space="0"/>
          <w:bottom w:val="single" w:sz="12" w:color="000000" w:space="0"/>
          <w:left w:val="nil" w:sz="0" w:color="000000" w:space="0"/>
          <w:right w:val="nil" w:sz="0" w:color="000000" w:space="0"/>
          <w:insideH w:val="nil" w:sz="0" w:color="000000" w:space="0"/>
          <w:insideV w:val="nil" w:sz="0" w:color="000000" w:space="0"/>
        </w:tblBorders>
      </w:tblPr>
      <w:tblGrid>
        <w:gridCol w:w="1754"/>
        <w:gridCol w:w="3581"/>
        <w:gridCol w:w="4165"/>
      </w:tblGrid>
      <w:tr>
        <w:trPr>
          <w:tblHeader w:val="true"/>
        </w:trPr>
        <w:tc>
          <w:tcPr>
            <w:tcW w:type="dxa" w:w="17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工具</w:t>
            </w:r>
          </w:p>
        </w:tc>
        <w:tc>
          <w:tcPr>
            <w:tcW w:type="dxa" w:w="3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本项目中的角色</w:t>
            </w:r>
          </w:p>
        </w:tc>
        <w:tc>
          <w:tcPr>
            <w:tcW w:type="dxa" w:w="4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不作何种解释</w:t>
            </w:r>
          </w:p>
        </w:tc>
      </w:tr>
      <w:tr>
        <w:tc>
          <w:tcPr>
            <w:tcW w:type="dxa" w:w="17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NetSolP U/S</w:t>
            </w:r>
          </w:p>
        </w:tc>
        <w:tc>
          <w:tcPr>
            <w:tcW w:type="dxa" w:w="3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可用性和可溶性软偏好</w:t>
            </w:r>
          </w:p>
        </w:tc>
        <w:tc>
          <w:tcPr>
            <w:tcW w:type="dxa" w:w="4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不直接换算为mg/L</w:t>
            </w:r>
          </w:p>
        </w:tc>
      </w:tr>
      <w:tr>
        <w:tc>
          <w:tcPr>
            <w:tcW w:type="dxa" w:w="17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NanoMelt Tm</w:t>
            </w:r>
          </w:p>
        </w:tc>
        <w:tc>
          <w:tcPr>
            <w:tcW w:type="dxa" w:w="3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避免明显热稳定性退化</w:t>
            </w:r>
          </w:p>
        </w:tc>
        <w:tc>
          <w:tcPr>
            <w:tcW w:type="dxa" w:w="4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不作为独立产量排序器</w:t>
            </w:r>
          </w:p>
        </w:tc>
      </w:tr>
      <w:tr>
        <w:tc>
          <w:tcPr>
            <w:tcW w:type="dxa" w:w="17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AntiFold</w:t>
            </w:r>
          </w:p>
        </w:tc>
        <w:tc>
          <w:tcPr>
            <w:tcW w:type="dxa" w:w="3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结构环境下逐位点氨基酸兼容性</w:t>
            </w:r>
          </w:p>
        </w:tc>
        <w:tc>
          <w:tcPr>
            <w:tcW w:type="dxa" w:w="41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不等同于表达量或双突上位性</w:t>
            </w:r>
          </w:p>
        </w:tc>
      </w:tr>
    </w:tbl>
    <w:p>
      <w:r>
        <w:br w:type="page"/>
      </w:r>
    </w:p>
    <w:p>
      <w:pPr>
        <w:pStyle w:val="Heading1"/>
      </w:pPr>
      <w:r>
        <w:t>4. 847条允许单突与幅度分档</w:t>
      </w:r>
    </w:p>
    <w:p>
      <w:r>
        <w:t>硬约束合并后，47个常规可扫位置产生846条非Cys替换，加上Q5V共识回变，共847条。NetSolP和NanoMelt覆盖全部候选；AntiFold优先采用实验复合物视图，实验坐标不可评价位置以独立AF3 VHH单体视图补充并保留来源标记。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963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6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 w:cs="Microsoft YaHei"/>
          <w:color w:val="000000"/>
          <w:sz w:val="18"/>
        </w:rPr>
        <w:t>图3  847条单突的NetSolP ΔU、NetSolP ΔS、NanoMelt ΔTm和AntiFold ΔlogP景观。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 w:space="0"/>
          <w:bottom w:val="single" w:sz="12" w:color="000000" w:space="0"/>
          <w:left w:val="nil" w:sz="0" w:color="000000" w:space="0"/>
          <w:right w:val="nil" w:sz="0" w:color="000000" w:space="0"/>
          <w:insideH w:val="nil" w:sz="0" w:color="000000" w:space="0"/>
          <w:insideV w:val="nil" w:sz="0" w:color="000000" w:space="0"/>
        </w:tblBorders>
      </w:tblPr>
      <w:tblGrid>
        <w:gridCol w:w="2485"/>
        <w:gridCol w:w="7015"/>
      </w:tblGrid>
      <w:tr>
        <w:trPr>
          <w:tblHeader w:val="true"/>
        </w:trPr>
        <w:tc>
          <w:tcPr>
            <w:tcW w:type="dxa" w:w="2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7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近似中性/轻度/中等/明显分界</w:t>
            </w:r>
          </w:p>
        </w:tc>
      </w:tr>
      <w:tr>
        <w:tc>
          <w:tcPr>
            <w:tcW w:type="dxa" w:w="2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NetSolP ΔU</w:t>
            </w:r>
          </w:p>
        </w:tc>
        <w:tc>
          <w:tcPr>
            <w:tcW w:type="dxa" w:w="7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0.005 / 0.010 / 0.015</w:t>
            </w:r>
          </w:p>
        </w:tc>
      </w:tr>
      <w:tr>
        <w:tc>
          <w:tcPr>
            <w:tcW w:type="dxa" w:w="2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NetSolP ΔS</w:t>
            </w:r>
          </w:p>
        </w:tc>
        <w:tc>
          <w:tcPr>
            <w:tcW w:type="dxa" w:w="7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0.010 / 0.020 / 0.030</w:t>
            </w:r>
          </w:p>
        </w:tc>
      </w:tr>
      <w:tr>
        <w:tc>
          <w:tcPr>
            <w:tcW w:type="dxa" w:w="2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NanoMelt ΔTm</w:t>
            </w:r>
          </w:p>
        </w:tc>
        <w:tc>
          <w:tcPr>
            <w:tcW w:type="dxa" w:w="7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0.5 / 1.0 / 1.5 °C</w:t>
            </w:r>
          </w:p>
        </w:tc>
      </w:tr>
      <w:tr>
        <w:tc>
          <w:tcPr>
            <w:tcW w:type="dxa" w:w="2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AntiFold ΔlogP</w:t>
            </w:r>
          </w:p>
        </w:tc>
        <w:tc>
          <w:tcPr>
            <w:tcW w:type="dxa" w:w="7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0.5 / 1.5 / 3.0</w:t>
            </w:r>
          </w:p>
        </w:tc>
      </w:tr>
    </w:tbl>
    <w:p>
      <w:r>
        <w:t>原始连续值完整保留用于追溯，但同一幅度档内部的小数差异不参与候选排序，避免微小模型波动主导实验面板。</w:t>
      </w:r>
    </w:p>
    <w:p>
      <w:r>
        <w:br w:type="page"/>
      </w:r>
    </w:p>
    <w:p>
      <w:pPr>
        <w:pStyle w:val="Heading1"/>
      </w:pPr>
      <w:r>
        <w:t>5. 从30条单突试选到19条父单突</w:t>
      </w:r>
    </w:p>
    <w:p>
      <w:r>
        <w:t>已有30条单突试选保持为冻结上游结果。当前面板按位点覆盖要求选出19条父单突：F30、Q1、T27各保留3条，用于比较同一位置不同理化替换；其余10个位点各保留1条，以扩大位置与机制覆盖。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3466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arent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 w:cs="Microsoft YaHei"/>
          <w:color w:val="000000"/>
          <w:sz w:val="18"/>
        </w:rPr>
        <w:t>图4  19条父单突的位点配额。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 w:space="0"/>
          <w:bottom w:val="single" w:sz="12" w:color="000000" w:space="0"/>
          <w:left w:val="nil" w:sz="0" w:color="000000" w:space="0"/>
          <w:right w:val="nil" w:sz="0" w:color="000000" w:space="0"/>
          <w:insideH w:val="nil" w:sz="0" w:color="000000" w:space="0"/>
          <w:insideV w:val="nil" w:sz="0" w:color="000000" w:space="0"/>
        </w:tblBorders>
      </w:tblPr>
      <w:tblGrid>
        <w:gridCol w:w="485"/>
        <w:gridCol w:w="763"/>
        <w:gridCol w:w="763"/>
        <w:gridCol w:w="971"/>
        <w:gridCol w:w="971"/>
        <w:gridCol w:w="1040"/>
        <w:gridCol w:w="4507"/>
      </w:tblGrid>
      <w:tr>
        <w:trPr>
          <w:tblHeader w:val="true"/>
        </w:trP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序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单突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区段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S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Tm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AntiFold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保留依据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F30S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明显有利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轻度不利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NetSolP S明显改善，U和AntiFold中等支持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F30A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NetSolP U/S与AntiFold均为中等支持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F30R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轻度有利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轻度有利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U和AntiFold中等支持，并保留带正电替换假设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Q1M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轻度有利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明显有利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AntiFold明显支持，保留N端疏水替换假设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Q1H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轻度有利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NetSolP S中等支持，Tm轻度有利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Q1D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NetSolP S中等支持，保留酸性替换假设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T27F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轻度不利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明显有利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AntiFold明显支持，显式接受S轻度不利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T27D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AntiFold中等支持，无中等或明显性质恶化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T27S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AntiFold中等支持，无中等或明显性质恶化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Q5V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明显有利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天然优势残基共识回变，Tm明显、AntiFold中等支持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A23S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轻度有利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中等不利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F30/Q1/T27外位置各留一条；U与AntiFold提供支持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F29T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轻度有利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保留F29替换，并避开F29S的Tm轻度不利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Y32L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CDR1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中等不利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F30/Q1/T27外位置各留一条；Tm中等支持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E44G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FR2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明显有利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AntiFold明显支持，并避开E44A的U轻度不利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S55G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CDR2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明显有利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Tm明显、AntiFold中等支持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K86R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FR3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轻度有利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保守碱性替换，AntiFold中等支持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P87T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FR3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中等不利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AntiFold中等支持；Tm中等不利作为显式权衡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V97S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CDR3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轻度不利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AntiFold中等支持；Tm仅轻度不利</w:t>
            </w:r>
          </w:p>
        </w:tc>
      </w:tr>
      <w:tr>
        <w:tc>
          <w:tcPr>
            <w:tcW w:type="dxa" w:w="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T99F</w:t>
            </w:r>
          </w:p>
        </w:tc>
        <w:tc>
          <w:tcPr>
            <w:tcW w:type="dxa" w:w="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CDR3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轻度不利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轻度不利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轻度不利</w:t>
            </w:r>
          </w:p>
        </w:tc>
        <w:tc>
          <w:tcPr>
            <w:tcW w:type="dxa" w:w="45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新增稳定词的探索性单突，不作为多工具改善候选</w:t>
            </w:r>
          </w:p>
        </w:tc>
      </w:tr>
    </w:tbl>
    <w:p>
      <w:r>
        <w:br w:type="page"/>
      </w:r>
    </w:p>
    <w:p>
      <w:pPr>
        <w:pStyle w:val="Heading1"/>
      </w:pPr>
      <w:r>
        <w:t>6. 162条双突的完整序列评价</w:t>
      </w:r>
    </w:p>
    <w:p>
      <w:r>
        <w:t>19条父单突理论上形成171个无序组合。F30、Q1、T27各自的不同替换不能同时出现在同一序列中，共去除9个同位点互斥组合，得到162条有效双突。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2506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double_sel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5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 w:cs="Microsoft YaHei"/>
          <w:color w:val="000000"/>
          <w:sz w:val="18"/>
        </w:rPr>
        <w:t>图5  从理论组合到最终11条双突的数量漏斗。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NetSolP U/S和NanoMelt Tm均使用完整双突序列重新计算。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双突U/S与两个单突简单相加只呈中等一致性，因此不能用父单突分数直接拼接。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AntiFold没有进行双突结构重建；仅保留两个组成位置中较弱的单突兼容性档，不能据此声称双突上位性。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每条双突重新检查完整序列风险、稳定词变化和末端/二硫键合同。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 w:space="0"/>
          <w:bottom w:val="single" w:sz="12" w:color="000000" w:space="0"/>
          <w:left w:val="nil" w:sz="0" w:color="000000" w:space="0"/>
          <w:right w:val="nil" w:sz="0" w:color="000000" w:space="0"/>
          <w:insideH w:val="nil" w:sz="0" w:color="000000" w:space="0"/>
          <w:insideV w:val="nil" w:sz="0" w:color="000000" w:space="0"/>
        </w:tblBorders>
      </w:tblPr>
      <w:tblGrid>
        <w:gridCol w:w="2119"/>
        <w:gridCol w:w="7381"/>
      </w:tblGrid>
      <w:tr>
        <w:trPr>
          <w:tblHeader w:val="true"/>
        </w:trP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资格门</w:t>
            </w:r>
          </w:p>
        </w:tc>
        <w:tc>
          <w:tcPr>
            <w:tcW w:type="dxa" w:w="7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要求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序列风险</w:t>
            </w:r>
          </w:p>
        </w:tc>
        <w:tc>
          <w:tcPr>
            <w:tcW w:type="dxa" w:w="7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硬序列风险数为0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不利性质</w:t>
            </w:r>
          </w:p>
        </w:tc>
        <w:tc>
          <w:tcPr>
            <w:tcW w:type="dxa" w:w="7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U、S、Tm和AntiFold均不得出现中等或明显不利档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有利证据</w:t>
            </w:r>
          </w:p>
        </w:tc>
        <w:tc>
          <w:tcPr>
            <w:tcW w:type="dxa" w:w="7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至少一个预测器家族达到中等或明显有利</w:t>
            </w:r>
          </w:p>
        </w:tc>
      </w:tr>
      <w:tr>
        <w:tc>
          <w:tcPr>
            <w:tcW w:type="dxa" w:w="21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稳定词</w:t>
            </w:r>
          </w:p>
        </w:tc>
        <w:tc>
          <w:tcPr>
            <w:tcW w:type="dxa" w:w="7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仅作后置软偏好，不能挽救明显性质恶化</w:t>
            </w:r>
          </w:p>
        </w:tc>
      </w:tr>
    </w:tbl>
    <w:p>
      <w:r>
        <w:br w:type="page"/>
      </w:r>
    </w:p>
    <w:p>
      <w:pPr>
        <w:pStyle w:val="Heading1"/>
      </w:pPr>
      <w:r>
        <w:t>7. 11条双突的证据分层与全局选择</w:t>
      </w:r>
    </w:p>
    <w:p>
      <w:r>
        <w:t>84条双突通过资格门后，采用按优先级逐项固定最优值的分类优化。该过程选择的是整体实验面板，而不是把某个连续总分最高的11条依次取出。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 w:space="0"/>
          <w:bottom w:val="single" w:sz="12" w:color="000000" w:space="0"/>
          <w:left w:val="nil" w:sz="0" w:color="000000" w:space="0"/>
          <w:right w:val="nil" w:sz="0" w:color="000000" w:space="0"/>
          <w:insideH w:val="nil" w:sz="0" w:color="000000" w:space="0"/>
          <w:insideV w:val="nil" w:sz="0" w:color="000000" w:space="0"/>
        </w:tblBorders>
      </w:tblPr>
      <w:tblGrid>
        <w:gridCol w:w="1023"/>
        <w:gridCol w:w="7162"/>
        <w:gridCol w:w="1315"/>
      </w:tblGrid>
      <w:tr>
        <w:trPr>
          <w:tblHeader w:val="true"/>
        </w:trPr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证据层</w:t>
            </w:r>
          </w:p>
        </w:tc>
        <w:tc>
          <w:tcPr>
            <w:tcW w:type="dxa" w:w="7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定义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7"/>
              </w:rPr>
              <w:t>终选数</w:t>
            </w:r>
          </w:p>
        </w:tc>
      </w:tr>
      <w:tr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A层</w:t>
            </w:r>
          </w:p>
        </w:tc>
        <w:tc>
          <w:tcPr>
            <w:tcW w:type="dxa" w:w="7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NetSolP、NanoMelt、AntiFold三个家族均中等或明显有利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3</w:t>
            </w:r>
          </w:p>
        </w:tc>
      </w:tr>
      <w:tr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B层</w:t>
            </w:r>
          </w:p>
        </w:tc>
        <w:tc>
          <w:tcPr>
            <w:tcW w:type="dxa" w:w="7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两个家族中等或明显有利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4</w:t>
            </w:r>
          </w:p>
        </w:tc>
      </w:tr>
      <w:tr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C层</w:t>
            </w:r>
          </w:p>
        </w:tc>
        <w:tc>
          <w:tcPr>
            <w:tcW w:type="dxa" w:w="7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一个家族中等或明显有利，用于补充位置和机制多样性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4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优先增加A层和B层候选，再增加明显有利家族数。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随后减少软序列风险和中等/明显不利的非加和残差。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最后增加不同组成单突和不同位置覆盖；每个位置对最多1条、每个确切单突最多使用2次、每个位置最多出现3次。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11条双突覆盖13种组成单突和10个reported位置；没有双突稳定词净新增，稳定词假设由单突T99F保留。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 w:space="0"/>
          <w:bottom w:val="single" w:sz="12" w:color="000000" w:space="0"/>
          <w:left w:val="nil" w:sz="0" w:color="000000" w:space="0"/>
          <w:right w:val="nil" w:sz="0" w:color="000000" w:space="0"/>
          <w:insideH w:val="nil" w:sz="0" w:color="000000" w:space="0"/>
          <w:insideV w:val="nil" w:sz="0" w:color="000000" w:space="0"/>
        </w:tblBorders>
      </w:tblPr>
      <w:tblGrid>
        <w:gridCol w:w="419"/>
        <w:gridCol w:w="1257"/>
        <w:gridCol w:w="419"/>
        <w:gridCol w:w="768"/>
        <w:gridCol w:w="768"/>
        <w:gridCol w:w="908"/>
        <w:gridCol w:w="1118"/>
        <w:gridCol w:w="3843"/>
      </w:tblGrid>
      <w:tr>
        <w:trPr>
          <w:tblHeader w:val="true"/>
        </w:trPr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序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双突</w:t>
            </w:r>
          </w:p>
        </w:tc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层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ΔU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ΔS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ΔTm °C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AntiFold</w:t>
            </w:r>
          </w:p>
        </w:tc>
        <w:tc>
          <w:tcPr>
            <w:tcW w:type="dxa" w:w="3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5"/>
              </w:rPr>
              <w:t>入选说明</w:t>
            </w:r>
          </w:p>
        </w:tc>
      </w:tr>
      <w:tr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F30R;Q5V</w:t>
            </w:r>
          </w:p>
        </w:tc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+0.014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+0.035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+2.86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3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3个家族支持；无中等/明显不利残差</w:t>
            </w:r>
          </w:p>
        </w:tc>
      </w:tr>
      <w:tr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F30S;S55G</w:t>
            </w:r>
          </w:p>
        </w:tc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+0.002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+0.033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+1.56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3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3个家族支持；1项不利非加和残差，但双突实际值仍通过硬门</w:t>
            </w:r>
          </w:p>
        </w:tc>
      </w:tr>
      <w:tr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Q5V;E44G</w:t>
            </w:r>
          </w:p>
        </w:tc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A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+0.011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+0.022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+1.86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3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3个家族支持；无中等/明显不利残差</w:t>
            </w:r>
          </w:p>
        </w:tc>
      </w:tr>
      <w:tr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F30R;Q1H</w:t>
            </w:r>
          </w:p>
        </w:tc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B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+0.017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+0.042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+1.38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3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2个家族支持；无中等/明显不利残差</w:t>
            </w:r>
          </w:p>
        </w:tc>
      </w:tr>
      <w:tr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E44G;V97S</w:t>
            </w:r>
          </w:p>
        </w:tc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B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+0.011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+0.006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-0.70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3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2个家族支持；无中等/明显不利残差</w:t>
            </w:r>
          </w:p>
        </w:tc>
      </w:tr>
      <w:tr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S55G;P87T</w:t>
            </w:r>
          </w:p>
        </w:tc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B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+0.010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+0.007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+0.69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3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2个家族支持；无中等/明显不利残差</w:t>
            </w:r>
          </w:p>
        </w:tc>
      </w:tr>
      <w:tr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T27D;V97S</w:t>
            </w:r>
          </w:p>
        </w:tc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B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-0.008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+0.020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-0.34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3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2个家族支持；无中等/明显不利残差</w:t>
            </w:r>
          </w:p>
        </w:tc>
      </w:tr>
      <w:tr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Q1D;T27D</w:t>
            </w:r>
          </w:p>
        </w:tc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+0.004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+0.037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+0.16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3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1个家族支持；无中等/明显不利残差</w:t>
            </w:r>
          </w:p>
        </w:tc>
      </w:tr>
      <w:tr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Q1H;F29T</w:t>
            </w:r>
          </w:p>
        </w:tc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-0.009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+0.031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+0.44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近似中性</w:t>
            </w:r>
          </w:p>
        </w:tc>
        <w:tc>
          <w:tcPr>
            <w:tcW w:type="dxa" w:w="3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1个家族支持；1项不利非加和残差，但双突实际值仍通过硬门</w:t>
            </w:r>
          </w:p>
        </w:tc>
      </w:tr>
      <w:tr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F29T;K86R</w:t>
            </w:r>
          </w:p>
        </w:tc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-0.002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+0.001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+0.25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3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1个家族支持；无中等/明显不利残差</w:t>
            </w:r>
          </w:p>
        </w:tc>
      </w:tr>
      <w:tr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T27S;K86R</w:t>
            </w:r>
          </w:p>
        </w:tc>
        <w:tc>
          <w:tcPr>
            <w:tcW w:type="dxa" w:w="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C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-0.008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-0.006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+0.64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中等有利</w:t>
            </w:r>
          </w:p>
        </w:tc>
        <w:tc>
          <w:tcPr>
            <w:tcW w:type="dxa" w:w="3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5"/>
              </w:rPr>
              <w:t>1个家族支持；无中等/明显不利残差</w:t>
            </w:r>
          </w:p>
        </w:tc>
      </w:tr>
    </w:tbl>
    <w:p>
      <w:r>
        <w:br w:type="page"/>
      </w:r>
    </w:p>
    <w:p>
      <w:pPr>
        <w:pStyle w:val="Heading1"/>
      </w:pPr>
      <w:r>
        <w:t>8. 最终30条候选面板</w:t>
      </w:r>
    </w:p>
    <w:p>
      <w:r>
        <w:t>最终面板包含19条单突和11条双突。单突用于直接估计组成替换的实验效应；双突用于检验两个受支持替换在同一完整序列中的累积、拮抗或非加和表现。WT作为独立实验对照。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20686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68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 w:cs="Microsoft YaHei"/>
          <w:color w:val="000000"/>
          <w:sz w:val="18"/>
        </w:rPr>
        <w:t>图6  最终19条单突和11条双突的分类证据、选择漏斗与位置覆盖。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 w:space="0"/>
          <w:bottom w:val="single" w:sz="12" w:color="000000" w:space="0"/>
          <w:left w:val="nil" w:sz="0" w:color="000000" w:space="0"/>
          <w:right w:val="nil" w:sz="0" w:color="000000" w:space="0"/>
          <w:insideH w:val="nil" w:sz="0" w:color="000000" w:space="0"/>
          <w:insideV w:val="nil" w:sz="0" w:color="000000" w:space="0"/>
        </w:tblBorders>
      </w:tblPr>
      <w:tblGrid>
        <w:gridCol w:w="1973"/>
        <w:gridCol w:w="1023"/>
        <w:gridCol w:w="6504"/>
      </w:tblGrid>
      <w:tr>
        <w:trPr>
          <w:tblHeader w:val="true"/>
        </w:trPr>
        <w:tc>
          <w:tcPr>
            <w:tcW w:type="dxa" w:w="19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面板组成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6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主要用途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父单突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6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测量每个组成替换的独立表达效应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A层双突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检验三家族一致支持的组合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B层双突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检验双家族支持的组合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C层双突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补充位置与机制多样性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WT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独立对照，不计入30条候选</w:t>
            </w:r>
          </w:p>
        </w:tc>
      </w:tr>
    </w:tbl>
    <w:p>
      <w:r>
        <w:br w:type="page"/>
      </w:r>
    </w:p>
    <w:p>
      <w:pPr>
        <w:pStyle w:val="Heading1"/>
      </w:pPr>
      <w:r>
        <w:t>9. 解释边界与实验建议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所有30条均为计算优先候选，不代表表达量已经实验提高。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双突AntiFold证据来自两个组成位点的保守汇总，没有直接评价双突结构上位性。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F30S+S55G和Q1H+F29T各存在1项中等或明显不利的非加和残差；其双突实际性质仍未达到排除档，应作为实验判读重点。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建议WT与30条候选采用相同载体、信号肽、标签、培养、诱导、裂解、纯化和定量流程。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建议至少设置3个独立生物重复，以纯化后mg/L为主要终点，并同步记录总表达、可溶比例和纯化回收。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000000"/>
          <w:sz w:val="21"/>
        </w:rPr>
        <w:t>双突结果应与两个对应单突同时比较，以区分简单累积、非加和改善和组合拮抗。</w:t>
      </w:r>
    </w:p>
    <w:p>
      <w:r>
        <w:br w:type="page"/>
      </w:r>
    </w:p>
    <w:p>
      <w:pPr>
        <w:pStyle w:val="Heading1"/>
      </w:pPr>
      <w:r>
        <w:t>附录A  19条父单突索引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 w:space="0"/>
          <w:bottom w:val="single" w:sz="12" w:color="000000" w:space="0"/>
          <w:left w:val="nil" w:sz="0" w:color="000000" w:space="0"/>
          <w:right w:val="nil" w:sz="0" w:color="000000" w:space="0"/>
          <w:insideH w:val="nil" w:sz="0" w:color="000000" w:space="0"/>
          <w:insideV w:val="nil" w:sz="0" w:color="000000" w:space="0"/>
        </w:tblBorders>
      </w:tblPr>
      <w:tblGrid>
        <w:gridCol w:w="512"/>
        <w:gridCol w:w="1169"/>
        <w:gridCol w:w="1169"/>
        <w:gridCol w:w="1462"/>
        <w:gridCol w:w="5188"/>
      </w:tblGrid>
      <w:tr>
        <w:trPr>
          <w:tblHeader w:val="true"/>
        </w:trP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序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单突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区段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证据层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主要依据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F30S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NetSolP S明显改善，U和AntiFold中等支持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F30A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NetSolP U/S与AntiFold均为中等支持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F30R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U和AntiFold中等支持，并保留带正电替换假设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Q1M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AntiFold明显支持，保留N端疏水替换假设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Q1H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NetSolP S中等支持，Tm轻度有利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Q1D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NetSolP S中等支持，保留酸性替换假设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T27F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AntiFold明显支持，显式接受S轻度不利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T27D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AntiFold中等支持，无中等或明显性质恶化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T27S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AntiFold中等支持，无中等或明显性质恶化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Q5V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天然优势残基共识回变，Tm明显、AntiFold中等支持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A23S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F30/Q1/T27外位置各留一条；U与AntiFold提供支持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F29T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保留F29替换，并避开F29S的Tm轻度不利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Y32L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F30/Q1/T27外位置各留一条；Tm中等支持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E44G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FR2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AntiFold明显支持，并避开E44A的U轻度不利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S55G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CDR2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Tm明显、AntiFold中等支持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K86R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FR3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保守碱性替换，AntiFold中等支持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P87T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FR3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AntiFold中等支持；Tm中等不利作为显式权衡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V97S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CDR3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AntiFold中等支持；Tm仅轻度不利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T99F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CDR3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父单突</w:t>
            </w:r>
          </w:p>
        </w:tc>
        <w:tc>
          <w:tcPr>
            <w:tcW w:type="dxa" w:w="5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新增稳定词的探索性单突，不作为多工具改善候选</w:t>
            </w:r>
          </w:p>
        </w:tc>
      </w:tr>
    </w:tbl>
    <w:p>
      <w:r>
        <w:br w:type="page"/>
      </w:r>
    </w:p>
    <w:p/>
    <w:p>
      <w:pPr>
        <w:pStyle w:val="Heading1"/>
      </w:pPr>
      <w:r>
        <w:t>附录B  11条双突索引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 w:space="0"/>
          <w:bottom w:val="single" w:sz="12" w:color="000000" w:space="0"/>
          <w:left w:val="nil" w:sz="0" w:color="000000" w:space="0"/>
          <w:right w:val="nil" w:sz="0" w:color="000000" w:space="0"/>
          <w:insideH w:val="nil" w:sz="0" w:color="000000" w:space="0"/>
          <w:insideV w:val="nil" w:sz="0" w:color="000000" w:space="0"/>
        </w:tblBorders>
      </w:tblPr>
      <w:tblGrid>
        <w:gridCol w:w="512"/>
        <w:gridCol w:w="1315"/>
        <w:gridCol w:w="1315"/>
        <w:gridCol w:w="1169"/>
        <w:gridCol w:w="5189"/>
      </w:tblGrid>
      <w:tr>
        <w:trPr>
          <w:tblHeader w:val="true"/>
        </w:trP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序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双突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区段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证据层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bottom w:val="single" w:sz="8" w:color="000000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6"/>
              </w:rPr>
              <w:t>主要依据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F30R;Q5V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CDR1;FR1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A层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3个预测器家族达到中等或明显有利，其中2个家族明显有利；无中等或明显性质恶化，并通过多样性约束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F30S;S55G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CDR1;CDR2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A层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3个预测器家族达到中等或明显有利，其中2个家族明显有利；无中等或明显性质恶化，并通过多样性约束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Q5V;E44G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FR1;FR2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A层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3个预测器家族达到中等或明显有利，其中1个家族明显有利；无中等或明显性质恶化，并通过多样性约束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F30R;Q1H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CDR1;FR1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B层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2个预测器家族达到中等或明显有利，其中1个家族明显有利；无中等或明显性质恶化，并通过多样性约束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E44G;V97S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FR2;CDR3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B层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2个预测器家族达到中等或明显有利；无中等或明显性质恶化，并通过多样性约束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S55G;P87T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CDR2;FR3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B层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2个预测器家族达到中等或明显有利；无中等或明显性质恶化，并通过多样性约束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T27D;V97S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CDR1;CDR3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B层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2个预测器家族达到中等或明显有利；无中等或明显性质恶化，并通过多样性约束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Q1D;T27D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FR1;CDR1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C层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1个预测器家族达到中等或明显有利，其中1个家族明显有利；无中等或明显性质恶化，并通过多样性约束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Q1H;F29T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FR1;CDR1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C层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1个预测器家族达到中等或明显有利，其中1个家族明显有利；无中等或明显性质恶化，并通过多样性约束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F29T;K86R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CDR1;FR3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C层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1个预测器家族达到中等或明显有利；无中等或明显性质恶化，并通过多样性约束</w:t>
            </w:r>
          </w:p>
        </w:tc>
      </w:tr>
      <w:tr>
        <w:tc>
          <w:tcPr>
            <w:tcW w:type="dxa" w:w="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T27S;K86R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CDR1;FR3</w:t>
            </w:r>
          </w:p>
        </w:tc>
        <w:tc>
          <w:tcPr>
            <w:tcW w:type="dxa" w:w="1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C层</w:t>
            </w:r>
          </w:p>
        </w:tc>
        <w:tc>
          <w:tcPr>
            <w:tcW w:type="dxa" w:w="51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1个预测器家族达到中等或明显有利；无中等或明显性质恶化，并通过多样性约束</w:t>
            </w:r>
          </w:p>
        </w:tc>
      </w:tr>
    </w:tbl>
    <w:p>
      <w:r>
        <w:t>完整128-aa序列及原始机器可读字段随交付CSV和FASTA提供。</w:t>
      </w:r>
    </w:p>
    <w:sectPr w:rsidR="00FC693F" w:rsidRPr="0006063C" w:rsidSect="00034616">
      <w:footerReference w:type="default" r:id="rId15"/>
      <w:pgSz w:w="11906" w:h="16838"/>
      <w:pgMar w:top="1077" w:right="1191" w:bottom="964" w:left="1191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555555"/>
        <w:sz w:val="16"/>
      </w:rPr>
      <w:t>Nb252 BL21表达量优化阶段报告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00" w:lineRule="auto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5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 w:line="25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8" w:lineRule="auto"/>
      <w:ind w:left="369" w:hanging="181"/>
      <w:contextualSpacing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20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Nb252纳米抗体BL21表达量优化阶段报告</dc:title>
  <dc:subject>19条单突和11条双突最终候选面板</dc:subject>
  <dc:creator>Antibody_optimization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