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42"/>
        </w:rPr>
        <w:t>Nb252纳米抗体BL21表达优化阶段报告</w:t>
      </w:r>
    </w:p>
    <w:p/>
    <w:p>
      <w:pPr>
        <w:jc w:val="center"/>
      </w:pPr>
      <w:r>
        <w:rPr>
          <w:rFonts w:ascii="Microsoft YaHei" w:hAnsi="Microsoft YaHei" w:eastAsia="Microsoft YaHei" w:cs="Microsoft YaHei"/>
          <w:b/>
          <w:color w:val="000000"/>
          <w:sz w:val="26"/>
        </w:rPr>
        <w:t>当前版本聚焦表达量优化：冻结实验界面、避开天然保守位点、仅交付单突假设。</w:t>
      </w:r>
    </w:p>
    <w:p/>
    <w:p>
      <w:pPr>
        <w:spacing w:after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6217920" cy="1363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urrent_rou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63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00"/>
        <w:jc w:val="center"/>
      </w:pPr>
      <w:r>
        <w:rPr>
          <w:rFonts w:ascii="Microsoft YaHei" w:hAnsi="Microsoft YaHei" w:eastAsia="Microsoft YaHei" w:cs="Microsoft YaHei"/>
          <w:color w:val="000000"/>
          <w:sz w:val="17"/>
        </w:rPr>
        <w:t>图1  Nb252表达优化的约束、评价与单突试选流程。</w:t>
      </w:r>
    </w:p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执行摘要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目标：在不突变实验界面、关键保守位点、二硫键Cys22/Cys95及末端SSGS的前提下，提出30条Nb252单突序列用于BL21表达实验。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设计空间：天然VHH保守性和结构保护规则联合冻结完整序列中的80个位置；47个常规可扫位置产生846条非Cys单突，另加Q5V共识回变，共847条。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工具：NetSolP提供S/U，NanoMelt提供预测表观Tm，AntiFold提供结构条件下的逐位点氨基酸兼容性。三者均是预测信号，不等同于实测产量。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筛选：原始小数保留用于追溯，但候选选择只使用预定义幅度档位。847条中40条进入幅度短名单，排除2条序列风险和2条多重中等恶化后得到36条规则候选；另加入T99F稳定词假设对照，形成37条可选池，最终试选30条、候补7条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当前结论：30条仍是计算试选而非最终实验释放。F30（9条）、Q1（5条）和T27（4条）存在明显位点集中，需由项目负责人确认是否接受该探索密度。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当前试选面板概览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149"/>
        <w:gridCol w:w="7709"/>
      </w:tblGrid>
      <w:tr>
        <w:tc>
          <w:tcPr>
            <w:tcW w:type="dxa" w:w="214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7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214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候选形式</w:t>
            </w:r>
          </w:p>
        </w:tc>
        <w:tc>
          <w:tcPr>
            <w:tcW w:type="dxa" w:w="77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30条单氨基酸替换；均为128 aa并保留末端SSGS</w:t>
            </w:r>
          </w:p>
        </w:tc>
      </w:tr>
      <w:tr>
        <w:tc>
          <w:tcPr>
            <w:tcW w:type="dxa" w:w="214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候选构成</w:t>
            </w:r>
          </w:p>
        </w:tc>
        <w:tc>
          <w:tcPr>
            <w:tcW w:type="dxa" w:w="77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26条严格核心 + 3条受控权衡 + 1条稳定词探索（T99F）</w:t>
            </w:r>
          </w:p>
        </w:tc>
      </w:tr>
      <w:tr>
        <w:tc>
          <w:tcPr>
            <w:tcW w:type="dxa" w:w="214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位点覆盖</w:t>
            </w:r>
          </w:p>
        </w:tc>
        <w:tc>
          <w:tcPr>
            <w:tcW w:type="dxa" w:w="77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13个完整序列位置；CDR 19条，FR 11条</w:t>
            </w:r>
          </w:p>
        </w:tc>
      </w:tr>
      <w:tr>
        <w:tc>
          <w:tcPr>
            <w:tcW w:type="dxa" w:w="214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AntiFold证据</w:t>
            </w:r>
          </w:p>
        </w:tc>
        <w:tc>
          <w:tcPr>
            <w:tcW w:type="dxa" w:w="77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24条采用实验复合物视图；6条实验缺失坐标位置采用独立AF3单体补充视图</w:t>
            </w:r>
          </w:p>
        </w:tc>
      </w:tr>
      <w:tr>
        <w:tc>
          <w:tcPr>
            <w:tcW w:type="dxa" w:w="214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释放状态</w:t>
            </w:r>
          </w:p>
        </w:tc>
        <w:tc>
          <w:tcPr>
            <w:tcW w:type="dxa" w:w="77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待用户/导师复核，尚未称为最终实验面板</w:t>
            </w:r>
          </w:p>
        </w:tc>
      </w:tr>
    </w:tbl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1. 项目目标与设计原则</w:t>
      </w:r>
    </w:p>
    <w:p>
      <w:r>
        <w:rPr>
          <w:rFonts w:ascii="Microsoft YaHei" w:hAnsi="Microsoft YaHei" w:eastAsia="Microsoft YaHei" w:cs="Microsoft YaHei"/>
          <w:color w:val="000000"/>
        </w:rPr>
        <w:t>本项目以Nb252在BL21体系中的表达量优化为目标。在保持实验界面、天然保守位点、二硫键和末端SSGS不变的前提下，对允许位置的完整单突空间进行表达相关性质评价，并形成可解释、可实验验证的30条单突试选。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1.1 当前设计原则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实验结构中定义的全部VHH界面残基冻结，不因其他预测性质而开放。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不把FR与CDR机械划分为表达区和结合区；只要不属于硬冻结集合，FR/CDR均可被评价。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最终实验阶段先测试单突；任何组合突变均等待单突实验结果。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工具信号以互补证据和风险约束使用，不以简单加权总分或微小小数差异驱动选择。</w:t>
      </w:r>
    </w:p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2. 权威输入与结构保护边界</w:t>
      </w:r>
    </w:p>
    <w:p>
      <w:r>
        <w:rPr>
          <w:rFonts w:ascii="Microsoft YaHei" w:hAnsi="Microsoft YaHei" w:eastAsia="Microsoft YaHei" w:cs="Microsoft YaHei"/>
          <w:color w:val="000000"/>
        </w:rPr>
        <w:t>设计亲本为合作者确认的128-aa Nb252完整序列。末端SSGS不是连接肽，而是构建体组成部分；完整序列位置125–128在所有候选中保持不变。实验复合物NK2R–Nb252是结合姿态和界面保护的主要结构证据；AF3 VHH仅补充实验未建模区的预测视图。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315"/>
        <w:gridCol w:w="3734"/>
        <w:gridCol w:w="3809"/>
      </w:tblGrid>
      <w:tr>
        <w:tc>
          <w:tcPr>
            <w:tcW w:type="dxa" w:w="231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输入/证据</w:t>
            </w:r>
          </w:p>
        </w:tc>
        <w:tc>
          <w:tcPr>
            <w:tcW w:type="dxa" w:w="373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本项目用途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不能据此声称</w:t>
            </w:r>
          </w:p>
        </w:tc>
      </w:tr>
      <w:tr>
        <w:tc>
          <w:tcPr>
            <w:tcW w:type="dxa" w:w="231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Nb252 128-aa亲本</w:t>
            </w:r>
          </w:p>
        </w:tc>
        <w:tc>
          <w:tcPr>
            <w:tcW w:type="dxa" w:w="373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定义WT、候选序列与末端SSGS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不能自行裁剪或改写构建体</w:t>
            </w:r>
          </w:p>
        </w:tc>
      </w:tr>
      <w:tr>
        <w:tc>
          <w:tcPr>
            <w:tcW w:type="dxa" w:w="231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实验NK2R–Nb252复合物</w:t>
            </w:r>
          </w:p>
        </w:tc>
        <w:tc>
          <w:tcPr>
            <w:tcW w:type="dxa" w:w="373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界面保护、实验坐标可评价范围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界面残基不是能量热点排名</w:t>
            </w:r>
          </w:p>
        </w:tc>
      </w:tr>
      <w:tr>
        <w:tc>
          <w:tcPr>
            <w:tcW w:type="dxa" w:w="231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AF3 VHH预测</w:t>
            </w:r>
          </w:p>
        </w:tc>
        <w:tc>
          <w:tcPr>
            <w:tcW w:type="dxa" w:w="373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实验缺失区的独立结构兼容性参考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不能替代实验CDR3或受体接触</w:t>
            </w:r>
          </w:p>
        </w:tc>
      </w:tr>
      <w:tr>
        <w:tc>
          <w:tcPr>
            <w:tcW w:type="dxa" w:w="231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47条BL21产量序列</w:t>
            </w:r>
          </w:p>
        </w:tc>
        <w:tc>
          <w:tcPr>
            <w:tcW w:type="dxa" w:w="373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验证预测指标是否与产量有关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不能训练高容量、可外推的表达模型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2.1 不可突变集合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24个实验界面残基：由严格&lt;4.0 Å聚合物重原子中心距离定义复现。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54个Nb252自身等于天然优势残基的高置信保守位点。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Cys22/Cys95、末端SSGS以及其他合同规定的不可变位置。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Q5不称为亲本保守位点：天然共识为V，因此只开放Q5V共识回变。</w:t>
      </w:r>
    </w:p>
    <w:p>
      <w:pPr>
        <w:spacing w:after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6217920" cy="3134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ident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34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00"/>
        <w:jc w:val="center"/>
      </w:pPr>
      <w:r>
        <w:rPr>
          <w:rFonts w:ascii="Microsoft YaHei" w:hAnsi="Microsoft YaHei" w:eastAsia="Microsoft YaHei" w:cs="Microsoft YaHei"/>
          <w:color w:val="000000"/>
          <w:sz w:val="17"/>
        </w:rPr>
        <w:t>图2  序列、实验坐标覆盖、AF3坐标覆盖及实验界面位置基线。灰色代表实验坐标不可评价，不等同于序列缺失。</w:t>
      </w:r>
    </w:p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3. 天然VHH保守性与可变位置</w:t>
      </w:r>
    </w:p>
    <w:p>
      <w:r>
        <w:rPr>
          <w:rFonts w:ascii="Microsoft YaHei" w:hAnsi="Microsoft YaHei" w:eastAsia="Microsoft YaHei" w:cs="Microsoft YaHei"/>
          <w:color w:val="000000"/>
        </w:rPr>
        <w:t>保守性参考采用TNP研究公开的4,059条非冗余天然VHH序列。ANARCII按照IMGT抗体标准编号体系完成位置对应与完整性审核，4,057条通过；先把完整IMGT域相似度达到90%的近重复序列归为同一簇，得到3,784个有效簇，再依据框架区序列相似度和覆盖率定义Nb252邻域。邻域包含1,564条序列、1,532个有效簇。按簇等权可避免大量近重复序列放大某一克隆家族。FR表示相对保守的框架区，CDR表示互补决定区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3.1 高置信保守位点的定义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邻域优势残基频率≥0.90、位置覆盖率≥0.80、有效簇数≥50。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全局与邻域优势残基一致，且全局优势频率≥0.80。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只有当Nb252自身残基等于该共同优势残基时，才因天然保守性完全冻结。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满足统计保守性但Nb252偏离共识的位置不任意开放；仅允许共识回变。</w:t>
      </w:r>
    </w:p>
    <w:p>
      <w:pPr>
        <w:spacing w:after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6217920" cy="1141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constraint_trac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4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00"/>
        <w:jc w:val="center"/>
      </w:pPr>
      <w:r>
        <w:rPr>
          <w:rFonts w:ascii="Microsoft YaHei" w:hAnsi="Microsoft YaHei" w:eastAsia="Microsoft YaHei" w:cs="Microsoft YaHei"/>
          <w:color w:val="000000"/>
          <w:sz w:val="17"/>
        </w:rPr>
        <w:t>图3  Nb252天然保守性与设计约束轨道。硬保守、界面、二硫键和末端构成设计禁区。</w:t>
      </w:r>
    </w:p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3.2 序列Logo提供的两类参照</w:t>
      </w:r>
    </w:p>
    <w:p>
      <w:r>
        <w:rPr>
          <w:rFonts w:ascii="Microsoft YaHei" w:hAnsi="Microsoft YaHei" w:eastAsia="Microsoft YaHei" w:cs="Microsoft YaHei"/>
          <w:color w:val="000000"/>
        </w:rPr>
        <w:t>天然邻域Logo反映经过簇权重校正的Nb252邻近VHH序列规律；项目47条表达序列Logo反映现有样本集合内部的残基分布。后者不能替代天然保守性合同，因为样本来源、构建体范围和序列完整性并不完全一致，且样本量较小。</w:t>
      </w:r>
    </w:p>
    <w:p>
      <w:pPr>
        <w:spacing w:after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6126480" cy="3812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natural_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00"/>
        <w:jc w:val="center"/>
      </w:pPr>
      <w:r>
        <w:rPr>
          <w:rFonts w:ascii="Microsoft YaHei" w:hAnsi="Microsoft YaHei" w:eastAsia="Microsoft YaHei" w:cs="Microsoft YaHei"/>
          <w:color w:val="000000"/>
          <w:sz w:val="17"/>
        </w:rPr>
        <w:t>图4  Nb252天然邻域序列Logo，按IMGT FR/CDR区域标注。</w:t>
      </w:r>
    </w:p>
    <w:p>
      <w:pPr>
        <w:spacing w:after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6126480" cy="3812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project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00"/>
        <w:jc w:val="center"/>
      </w:pPr>
      <w:r>
        <w:rPr>
          <w:rFonts w:ascii="Microsoft YaHei" w:hAnsi="Microsoft YaHei" w:eastAsia="Microsoft YaHei" w:cs="Microsoft YaHei"/>
          <w:color w:val="000000"/>
          <w:sz w:val="17"/>
        </w:rPr>
        <w:t>图5  项目47条表达序列中的可编号H链Logo，仅用于描述项目样本序列空间。</w:t>
      </w:r>
    </w:p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4. 847条约束单突空间</w:t>
      </w:r>
    </w:p>
    <w:p>
      <w:r>
        <w:rPr>
          <w:rFonts w:ascii="Microsoft YaHei" w:hAnsi="Microsoft YaHei" w:eastAsia="Microsoft YaHei" w:cs="Microsoft YaHei"/>
          <w:color w:val="000000"/>
        </w:rPr>
        <w:t>约束合并后，完整128-aa序列中有80个位置不可常规突变。其余47个位置对除Cys外的19种替换进行完整枚举，共846条；加上Q5V共识回变，总计847条。每条候选均为唯一单突、长度128 aa、保留末端SSGS、不引入新Cys。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539"/>
        <w:gridCol w:w="1494"/>
        <w:gridCol w:w="5825"/>
      </w:tblGrid>
      <w:tr>
        <w:tc>
          <w:tcPr>
            <w:tcW w:type="dxa" w:w="253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149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58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53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完整序列位置</w:t>
            </w:r>
          </w:p>
        </w:tc>
        <w:tc>
          <w:tcPr>
            <w:tcW w:type="dxa" w:w="149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58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权威亲本序列索引</w:t>
            </w:r>
          </w:p>
        </w:tc>
      </w:tr>
      <w:tr>
        <w:tc>
          <w:tcPr>
            <w:tcW w:type="dxa" w:w="253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联合冻结位置</w:t>
            </w:r>
          </w:p>
        </w:tc>
        <w:tc>
          <w:tcPr>
            <w:tcW w:type="dxa" w:w="149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58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界面、天然保守、二硫键、末端及合同保护</w:t>
            </w:r>
          </w:p>
        </w:tc>
      </w:tr>
      <w:tr>
        <w:tc>
          <w:tcPr>
            <w:tcW w:type="dxa" w:w="253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常规可扫描位置</w:t>
            </w:r>
          </w:p>
        </w:tc>
        <w:tc>
          <w:tcPr>
            <w:tcW w:type="dxa" w:w="149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58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每个位置19种非Cys替换</w:t>
            </w:r>
          </w:p>
        </w:tc>
      </w:tr>
      <w:tr>
        <w:tc>
          <w:tcPr>
            <w:tcW w:type="dxa" w:w="253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常规单突</w:t>
            </w:r>
          </w:p>
        </w:tc>
        <w:tc>
          <w:tcPr>
            <w:tcW w:type="dxa" w:w="149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846</w:t>
            </w:r>
          </w:p>
        </w:tc>
        <w:tc>
          <w:tcPr>
            <w:tcW w:type="dxa" w:w="58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47×19，全部为单突</w:t>
            </w:r>
          </w:p>
        </w:tc>
      </w:tr>
      <w:tr>
        <w:tc>
          <w:tcPr>
            <w:tcW w:type="dxa" w:w="253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共识回变</w:t>
            </w:r>
          </w:p>
        </w:tc>
        <w:tc>
          <w:tcPr>
            <w:tcW w:type="dxa" w:w="149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8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Q5V，仅此一条</w:t>
            </w:r>
          </w:p>
        </w:tc>
      </w:tr>
      <w:tr>
        <w:tc>
          <w:tcPr>
            <w:tcW w:type="dxa" w:w="253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完整评价空间</w:t>
            </w:r>
          </w:p>
        </w:tc>
        <w:tc>
          <w:tcPr>
            <w:tcW w:type="dxa" w:w="1494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847</w:t>
            </w:r>
          </w:p>
        </w:tc>
        <w:tc>
          <w:tcPr>
            <w:tcW w:type="dxa" w:w="58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进入统一性质计算，不是最终候选数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4.1 为什么不先按FR/CDR切割</w:t>
      </w:r>
    </w:p>
    <w:p>
      <w:r>
        <w:rPr>
          <w:rFonts w:ascii="Microsoft YaHei" w:hAnsi="Microsoft YaHei" w:eastAsia="Microsoft YaHei" w:cs="Microsoft YaHei"/>
          <w:color w:val="000000"/>
        </w:rPr>
        <w:t>表达量可能同时受表面电荷、疏水性、局部构象稳定和折叠兼容性影响，这些因素跨越FR/CDR边界。因此本轮只使用结构界面和保守性作为硬约束；其余可变位置统一进入同一性质评价框架。</w:t>
      </w:r>
    </w:p>
    <w:p>
      <w:pPr>
        <w:spacing w:after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5760720" cy="26468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election_fun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00"/>
        <w:jc w:val="center"/>
      </w:pPr>
      <w:r>
        <w:rPr>
          <w:rFonts w:ascii="Microsoft YaHei" w:hAnsi="Microsoft YaHei" w:eastAsia="Microsoft YaHei" w:cs="Microsoft YaHei"/>
          <w:color w:val="000000"/>
          <w:sz w:val="17"/>
        </w:rPr>
        <w:t>图6  完整约束空间到计算试选的数量漏斗。</w:t>
      </w:r>
    </w:p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5. 工具选择与证据角色</w:t>
      </w:r>
    </w:p>
    <w:p>
      <w:r>
        <w:rPr>
          <w:rFonts w:ascii="Microsoft YaHei" w:hAnsi="Microsoft YaHei" w:eastAsia="Microsoft YaHei" w:cs="Microsoft YaHei"/>
          <w:color w:val="000000"/>
        </w:rPr>
        <w:t>47条序列的BL21产量数据用于判断工具指标是否具备项目内解释价值。验证同时查看连续关联和预设方向下的样本外分类表现；没有任何工具被证明可直接预测未测Nb252突变体的mg/L产量。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867"/>
        <w:gridCol w:w="3809"/>
        <w:gridCol w:w="4182"/>
      </w:tblGrid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工具/指标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含义与方向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当前证据角色</w:t>
            </w:r>
          </w:p>
        </w:tc>
      </w:tr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NetSolP S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预测可溶性得分；越高通常越有利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有限产量关联；作为可溶性软偏好</w:t>
            </w:r>
          </w:p>
        </w:tc>
      </w:tr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NetSolP U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模型定义的综合可用性得分；0–1，越高通常越有利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与S同属一个模型家族，不重复计票</w:t>
            </w:r>
          </w:p>
        </w:tc>
      </w:tr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NanoMelt Tm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预测表观熔解温度（°C）；越高通常代表更稳定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作为稳定性约束，不称为产量排序器</w:t>
            </w:r>
          </w:p>
        </w:tc>
      </w:tr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AntiFold ΔlogP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结构条件下突变残基相对WT的对数概率变化；越高越兼容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实验复合物视图优先；实验缺失位置用独立AF3单体补充</w:t>
            </w:r>
          </w:p>
        </w:tc>
      </w:tr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稳定词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简并字母表下新增连续片段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未验证为产量指标，仅保留一个探索对照T99F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5.1 多工具与产量数据的验证</w:t>
      </w:r>
    </w:p>
    <w:p>
      <w:r>
        <w:rPr>
          <w:rFonts w:ascii="Microsoft YaHei" w:hAnsi="Microsoft YaHei" w:eastAsia="Microsoft YaHei" w:cs="Microsoft YaHei"/>
          <w:color w:val="000000"/>
        </w:rPr>
        <w:t>连续分析优先使用来源分层Spearman秩相关：先在各数据来源内按相对次序计算关联，再合并来源证据，以降低LTT和WCC两组数据来源差异的混杂。Spearman ρ范围为−1至1，正值表示指标随产量总体上升。固定5 mg/L的分类图只纳入31条具有个体数值产量的序列；把相似度达到90%的近重复序列归为同一簇，每次完整留出一个序列簇，可减少近同源序列同时出现在训练和测试中的信息泄漏。每个外层训练折内按最大MCC选择预测阈值，再在留出的序列簇上评价。NanoMelt因有效数值样本为27条且采用来源内中位数标签，单独报告，不能与固定5 mg/L面板直接横向比较。</w:t>
      </w:r>
    </w:p>
    <w:p>
      <w:pPr>
        <w:spacing w:after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6309360" cy="41761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ool_yield_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7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00"/>
        <w:jc w:val="center"/>
      </w:pPr>
      <w:r>
        <w:rPr>
          <w:rFonts w:ascii="Microsoft YaHei" w:hAnsi="Microsoft YaHei" w:eastAsia="Microsoft YaHei" w:cs="Microsoft YaHei"/>
          <w:color w:val="000000"/>
          <w:sz w:val="17"/>
        </w:rPr>
        <w:t>图7  已测试工具指标与BL21原始记录产量的连续关联、展示性分类性能及当前证据角色。A为来源分层Spearman秩相关；B/C为固定5 mg/L、序列簇留一结果；D说明保留NetSolP、NanoMelt和AntiFold的不同理由。</w:t>
      </w:r>
    </w:p>
    <w:p>
      <w:r>
        <w:rPr>
          <w:rFonts w:ascii="Microsoft YaHei" w:hAnsi="Microsoft YaHei" w:eastAsia="Microsoft YaHei" w:cs="Microsoft YaHei"/>
          <w:color w:val="000000"/>
        </w:rPr>
        <w:t>分类指标中，ROC-AUC和PR-AUC分别概括不同阈值下的受试者工作特征和精确率-召回率表现，越接近1越好；MCC综合真阳性、真阴性、假阳性和假阴性，范围为−1至1，0附近相当于无稳定判别；平衡准确率是灵敏度与特异度的平均值。图中的nanoBERT PLL表示抗体语言模型对序列自然性的对数似然，TNP PSH表示预测表面疏水性，RP3Net表示大肠杆菌表达概率，PLM_Sol表示预测可溶性得分。</w:t>
      </w:r>
    </w:p>
    <w:p>
      <w:r>
        <w:rPr>
          <w:rFonts w:ascii="Microsoft YaHei" w:hAnsi="Microsoft YaHei" w:eastAsia="Microsoft YaHei" w:cs="Microsoft YaHei"/>
          <w:color w:val="000000"/>
        </w:rPr>
        <w:t>NetSolP U/S与产量呈有限正关联，且固定5 mg/L展示中S的序列簇留一ROC-AUC为0.777、MCC为0.411；因此NetSolP保留为可溶性软偏好，而不是mg/L预测器。NanoMelt的来源分层Spearman为0.040，来源内中位数分类ROC-AUC为0.571、MCC为0.408，连续证据不支持产量排序，但其Tm指标仍提供与可溶性不同的稳定性约束。AntiFold无法在47条数据上进行公平的产量相关或分类验证，因为只有Nb252具有匹配实验复合物；它保留的依据是对目标复合物逐位点突变的结构相容性约束。</w:t>
      </w:r>
    </w:p>
    <w:p>
      <w:r>
        <w:rPr>
          <w:rFonts w:ascii="Microsoft YaHei" w:hAnsi="Microsoft YaHei" w:eastAsia="Microsoft YaHei" w:cs="Microsoft YaHei"/>
          <w:color w:val="000000"/>
        </w:rPr>
        <w:t>PLM_Sol的来源分层Spearman为0.473，确实高于NetSolP U的0.394和NetSolP S的0.376；但这只是同一批31条数值记录上的单变量相关，不能单独决定工具取舍。两种可溶性工具的输出高度重叠：PLM_Sol与NetSolP U/S在47条序列上的Spearman分别为0.793和0.640，在31条数值记录中进一步升至0.926和0.715。因此把两者同时用于筛选，主要是在重复计算同类证据，而不是增加独立信息。</w:t>
      </w:r>
    </w:p>
    <w:p>
      <w:r>
        <w:rPr>
          <w:rFonts w:ascii="Microsoft YaHei" w:hAnsi="Microsoft YaHei" w:eastAsia="Microsoft YaHei" w:cs="Microsoft YaHei"/>
          <w:color w:val="000000"/>
        </w:rPr>
        <w:t>更关键的是样本外比较没有显示PLM_Sol优于NetSolP。固定5 mg/L的序列簇留一结果中，PLM_Sol的ROC-AUC为0.761，低于NetSolP S的0.777；二者MCC均为0.411、平衡准确率均为0.697。连续产量预测中，NetSolP S单独的序列簇外Spearman为0.455，加入PLM_Sol后反而降至0.315，独立增量为−0.140。也就是说，PLM_Sol较高的来源分层相关没有转化为更好的近同源外泛化，也没有给NetSolP增加有效补充。项目因此保留部署更直接、已覆盖完整单突空间的NetSolP作为可溶性代表，而不让两个高度相关的可溶性模型重复投票；这不表示PLM_Sol本身无效，只表示当前47条数据不支持其替代或叠加NetSolP。</w:t>
      </w:r>
    </w:p>
    <w:p>
      <w:r>
        <w:rPr>
          <w:rFonts w:ascii="Microsoft YaHei" w:hAnsi="Microsoft YaHei" w:eastAsia="Microsoft YaHei" w:cs="Microsoft YaHei"/>
          <w:color w:val="000000"/>
        </w:rPr>
        <w:t>RP3Net、nanoBERT和TNP虽已测试，也没有显示可独立外推到Nb252单突空间的稳定样本外增量，因此不进入本轮847条候选排序。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5.2 为什么保留三种工具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NetSolP：在现有数据中提供最直接但有限的可溶性/产量相关信号；S与U视为同一工具家族。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NanoMelt：不作为产量预测器，而用于阻止预测稳定性明显下降的候选；其证据角色与NetSolP不同。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AntiFold：不参与产量分类，而利用目标实验复合物判断突变残基是否与当前VHH结构环境相容。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5.3 幅度分档而非小数排序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保留所有原始S/U/Tm/AntiFold数值，但先映射为强有利、中等有利、弱/近中性、中等不利、强不利。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同一档内的小数差异不用于决定先后，避免模型噪声和微小波动主导候选。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NetSolP S与U计作一个预测家族；AntiFold与NanoMelt分别代表结构兼容性与稳定性。</w:t>
      </w:r>
    </w:p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6. 847条候选的统一性质评价</w:t>
      </w:r>
    </w:p>
    <w:p>
      <w:r>
        <w:rPr>
          <w:rFonts w:ascii="Microsoft YaHei" w:hAnsi="Microsoft YaHei" w:eastAsia="Microsoft YaHei" w:cs="Microsoft YaHei"/>
          <w:color w:val="000000"/>
        </w:rPr>
        <w:t>NetSolP和NanoMelt覆盖全部847条。AntiFold中，721条候选所在位置在实验VHH复合物坐标中可评价，优先使用实验复合物视图；126条位于实验结构缺失区，在实验视图中明确标记为“实验坐标不可评价”，并单独使用AF3单体预测结果作为补充。两种来源在图表和候选清单中明确区分。</w:t>
      </w:r>
    </w:p>
    <w:p>
      <w:pPr>
        <w:spacing w:after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6309360" cy="42620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landscap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6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00"/>
        <w:jc w:val="center"/>
      </w:pPr>
      <w:r>
        <w:rPr>
          <w:rFonts w:ascii="Microsoft YaHei" w:hAnsi="Microsoft YaHei" w:eastAsia="Microsoft YaHei" w:cs="Microsoft YaHei"/>
          <w:color w:val="000000"/>
          <w:sz w:val="17"/>
        </w:rPr>
        <w:t>图8  847条约束单突的四指标热图。AntiFold面板中126条实验坐标不可评价项以AF3单体预测结果补充，并保留来源标记。</w:t>
      </w:r>
    </w:p>
    <w:p>
      <w:r>
        <w:rPr>
          <w:rFonts w:ascii="Microsoft YaHei" w:hAnsi="Microsoft YaHei" w:eastAsia="Microsoft YaHei" w:cs="Microsoft YaHei"/>
          <w:color w:val="000000"/>
        </w:rPr>
        <w:t>热图显示，大多数单突的NetSolP S/U和NanoMelt Tm变化很小。当前流程因此不把极小变化解释为真实改善；只有达到预定义中等或强幅度时才形成主要入选证据。</w:t>
      </w:r>
    </w:p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6.1 指标之间的关系</w:t>
      </w:r>
    </w:p>
    <w:p>
      <w:r>
        <w:rPr>
          <w:rFonts w:ascii="Microsoft YaHei" w:hAnsi="Microsoft YaHei" w:eastAsia="Microsoft YaHei" w:cs="Microsoft YaHei"/>
          <w:color w:val="000000"/>
        </w:rPr>
        <w:t>NetSolP S/U、NanoMelt Tm和AntiFold ΔlogP描述不同方面，并不要求同步变化。散点图用于识别明显权衡、孤立极端值和实验坐标缺失位置，而不是拟合一条统一最优线。</w:t>
      </w:r>
    </w:p>
    <w:p>
      <w:pPr>
        <w:spacing w:after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6217920" cy="28186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scat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1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00"/>
        <w:jc w:val="center"/>
      </w:pPr>
      <w:r>
        <w:rPr>
          <w:rFonts w:ascii="Microsoft YaHei" w:hAnsi="Microsoft YaHei" w:eastAsia="Microsoft YaHei" w:cs="Microsoft YaHei"/>
          <w:color w:val="000000"/>
          <w:sz w:val="17"/>
        </w:rPr>
        <w:t>图9  四指标关键组合散点图。点形区分AntiFold实验复合物视图与AF3单体补充视图；星号标记稳定词新增。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6.2 稳定词作为探索性软偏好</w:t>
      </w:r>
    </w:p>
    <w:p>
      <w:r>
        <w:rPr>
          <w:rFonts w:ascii="Microsoft YaHei" w:hAnsi="Microsoft YaHei" w:eastAsia="Microsoft YaHei" w:cs="Microsoft YaHei"/>
          <w:color w:val="000000"/>
        </w:rPr>
        <w:t>1,336条稳定词按固定12符号简并字母表进行大小写敏感、允许重叠的精确连续子串匹配。847条单突中22条新增24个命中，825条不变，没有减少项。但在47条产量数据中，稳定词特征未显示稳定正相关或可靠分类能力，因此不作为硬筛选器，只保留T99F用于实验检验该假设。</w:t>
      </w:r>
    </w:p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7. 从847条到30条：幅度分档筛选</w:t>
      </w:r>
    </w:p>
    <w:p>
      <w:r>
        <w:rPr>
          <w:rFonts w:ascii="Microsoft YaHei" w:hAnsi="Microsoft YaHei" w:eastAsia="Microsoft YaHei" w:cs="Microsoft YaHei"/>
          <w:color w:val="000000"/>
        </w:rPr>
        <w:t>筛选先看幅度和风险，再看位点与机制多样性。847条中40条满足“无明显恶化且至少一个预测家族达到中等改善”。其中2条引入明确序列风险，2条同时出现两个中等不利指标，均不进入可释放池。剩余36条由26条严格核心和10条受控权衡组成；另将不在40条短名单中的T99F作为稳定词探索例外加入，形成37条可供试选，最终选择30条、保留7条候补。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060"/>
        <w:gridCol w:w="1177"/>
        <w:gridCol w:w="6621"/>
      </w:tblGrid>
      <w:tr>
        <w:tc>
          <w:tcPr>
            <w:tcW w:type="dxa" w:w="2060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17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662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判定</w:t>
            </w:r>
          </w:p>
        </w:tc>
      </w:tr>
      <w:tr>
        <w:tc>
          <w:tcPr>
            <w:tcW w:type="dxa" w:w="2060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完整约束空间</w:t>
            </w:r>
          </w:p>
        </w:tc>
        <w:tc>
          <w:tcPr>
            <w:tcW w:type="dxa" w:w="117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847</w:t>
            </w:r>
          </w:p>
        </w:tc>
        <w:tc>
          <w:tcPr>
            <w:tcW w:type="dxa" w:w="662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全部满足序列与硬约束</w:t>
            </w:r>
          </w:p>
        </w:tc>
      </w:tr>
      <w:tr>
        <w:tc>
          <w:tcPr>
            <w:tcW w:type="dxa" w:w="2060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幅度短名单</w:t>
            </w:r>
          </w:p>
        </w:tc>
        <w:tc>
          <w:tcPr>
            <w:tcW w:type="dxa" w:w="117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662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至少一个中等/强改善，且无明显恶化</w:t>
            </w:r>
          </w:p>
        </w:tc>
      </w:tr>
      <w:tr>
        <w:tc>
          <w:tcPr>
            <w:tcW w:type="dxa" w:w="2060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规则合格</w:t>
            </w:r>
          </w:p>
        </w:tc>
        <w:tc>
          <w:tcPr>
            <w:tcW w:type="dxa" w:w="117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662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排除2条序列风险和2条多重中等不利</w:t>
            </w:r>
          </w:p>
        </w:tc>
      </w:tr>
      <w:tr>
        <w:tc>
          <w:tcPr>
            <w:tcW w:type="dxa" w:w="2060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探索例外</w:t>
            </w:r>
          </w:p>
        </w:tc>
        <w:tc>
          <w:tcPr>
            <w:tcW w:type="dxa" w:w="117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62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T99F新增稳定词；仅弱/近中性性质证据</w:t>
            </w:r>
          </w:p>
        </w:tc>
      </w:tr>
      <w:tr>
        <w:tc>
          <w:tcPr>
            <w:tcW w:type="dxa" w:w="2060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计算试选</w:t>
            </w:r>
          </w:p>
        </w:tc>
        <w:tc>
          <w:tcPr>
            <w:tcW w:type="dxa" w:w="117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662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26严格核心 + 3受控权衡 + T99F</w:t>
            </w:r>
          </w:p>
        </w:tc>
      </w:tr>
      <w:tr>
        <w:tc>
          <w:tcPr>
            <w:tcW w:type="dxa" w:w="2060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候补</w:t>
            </w:r>
          </w:p>
        </w:tc>
        <w:tc>
          <w:tcPr>
            <w:tcW w:type="dxa" w:w="117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62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受控权衡备选</w:t>
            </w:r>
          </w:p>
        </w:tc>
      </w:tr>
    </w:tbl>
    <w:p>
      <w:pPr>
        <w:spacing w:after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6309360" cy="47437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sele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43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00"/>
        <w:jc w:val="center"/>
      </w:pPr>
      <w:r>
        <w:rPr>
          <w:rFonts w:ascii="Microsoft YaHei" w:hAnsi="Microsoft YaHei" w:eastAsia="Microsoft YaHei" w:cs="Microsoft YaHei"/>
          <w:color w:val="000000"/>
          <w:sz w:val="17"/>
        </w:rPr>
        <w:t>图10  当前30条计算试选：漏斗、位点分布和四指标幅度档位。空心三角表示AntiFold采用AF3单体补充视图；金色星号表示T99F稳定词探索候选。</w:t>
      </w:r>
    </w:p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8. 当前30条计算试选</w:t>
      </w:r>
    </w:p>
    <w:p>
      <w:r>
        <w:rPr>
          <w:rFonts w:ascii="Microsoft YaHei" w:hAnsi="Microsoft YaHei" w:eastAsia="Microsoft YaHei" w:cs="Microsoft YaHei"/>
          <w:color w:val="000000"/>
        </w:rPr>
        <w:t>30条覆盖13个位置，分为A–E五类。A/B/C为严格核心，D为受控权衡，E为稳定词探索。表格从上到下体现分层优先级：A优先于B，B优先于C，随后是D和E；但同一层内部不是1–30的精确效力排名，同档小数差异没有用于排序。完整序列与原始预测值见交付FASTA、CSV和附录。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861"/>
        <w:gridCol w:w="1095"/>
        <w:gridCol w:w="861"/>
        <w:gridCol w:w="548"/>
        <w:gridCol w:w="1643"/>
        <w:gridCol w:w="4850"/>
      </w:tblGrid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展示顺序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单突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区段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层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AntiFold来源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主要入选理由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Q5V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至少两个预测家族达到中等/强改善，且无中等以上恶化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F30S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至少两个预测家族达到中等/强改善，且无中等以上恶化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S55G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CDR2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至少两个预测家族达到中等/强改善，且无中等以上恶化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F30A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至少两个预测家族达到中等/强改善，且无中等以上恶化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F30R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至少两个预测家族达到中等/强改善，且无中等以上恶化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E44A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FR2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一个预测家族强改善，其余指标未出现明确恶化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E44G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FR2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一个预测家族强改善，其余指标未出现明确恶化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Q1M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一个预测家族强改善，其余指标未出现明确恶化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F30N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一个预测家族强改善，其余指标未出现明确恶化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T27F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AF3单体补充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一个预测家族强改善，其余指标未出现明确恶化</w:t>
            </w:r>
          </w:p>
        </w:tc>
      </w:tr>
    </w:tbl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8. 当前30条计算试选（续：11–20）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861"/>
        <w:gridCol w:w="1095"/>
        <w:gridCol w:w="861"/>
        <w:gridCol w:w="548"/>
        <w:gridCol w:w="1643"/>
        <w:gridCol w:w="4850"/>
      </w:tblGrid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展示顺序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单突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区段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层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AntiFold来源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主要入选理由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Q1A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Q1D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Q1G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Q1H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F30E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F30K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F30Q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F30T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K86R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FR3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V97S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CDR3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</w:tbl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8. 当前30条计算试选（续：21–30）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861"/>
        <w:gridCol w:w="1095"/>
        <w:gridCol w:w="861"/>
        <w:gridCol w:w="548"/>
        <w:gridCol w:w="1643"/>
        <w:gridCol w:w="4850"/>
      </w:tblGrid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展示顺序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单突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区段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层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AntiFold来源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主要入选理由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F30D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T27D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AF3单体补充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T27S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AF3单体补充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T27Y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AF3单体补充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F29S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AF3单体补充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F29T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AF3单体补充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一个预测家族中等改善，其余指标整体可接受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A23S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存在单项中等恶化，但有独立中等改善并保留机制多样性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Y32L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CDR1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存在单项中等恶化，但有独立中等改善并保留机制多样性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P87T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FR3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存在单项中等恶化，但有独立中等改善并保留机制多样性</w:t>
            </w:r>
          </w:p>
        </w:tc>
      </w:tr>
      <w:tr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095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T99F</w:t>
            </w:r>
          </w:p>
        </w:tc>
        <w:tc>
          <w:tcPr>
            <w:tcW w:type="dxa" w:w="861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CDR3</w:t>
            </w:r>
          </w:p>
        </w:tc>
        <w:tc>
          <w:tcPr>
            <w:tcW w:type="dxa" w:w="548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643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实验复合物</w:t>
            </w:r>
          </w:p>
        </w:tc>
        <w:tc>
          <w:tcPr>
            <w:tcW w:type="dxa" w:w="4850"/>
            <w:vAlign w:val="center"/>
            <w:tcMar>
              <w:top w:w="105" w:type="dxa"/>
              <w:bottom w:w="10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稳定词新增假设对照；四项性质仅弱/近中性证据</w:t>
            </w:r>
          </w:p>
        </w:tc>
      </w:tr>
    </w:tbl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9. 位点集中、风险与不确定性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867"/>
        <w:gridCol w:w="3809"/>
        <w:gridCol w:w="4182"/>
      </w:tblGrid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观察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当前解释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需要的决策/实验</w:t>
            </w:r>
          </w:p>
        </w:tc>
      </w:tr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F30占9条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该位置在NetSolP/AntiFold中出现较多可接受替换，规则筛选自然集中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确认是否接受同一位点的广泛替换探索；若实验容量有限，可保留化学性质差异最大的子集</w:t>
            </w:r>
          </w:p>
        </w:tc>
      </w:tr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Q1占5条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N端替换主要由单一预测家族支持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关注起始端加工及表达构建体上下文，实验中保持同一载体和标签</w:t>
            </w:r>
          </w:p>
        </w:tc>
      </w:tr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T27占4条、F29占2条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实验结构缺失，AntiFold使用AF3单体补充视图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解释时降低结构证据等级；不可称为实验复合物支持</w:t>
            </w:r>
          </w:p>
        </w:tc>
      </w:tr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T99F稳定词探索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新增长度5稳定词，但四项性质无中等改善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作为机制对照，不与A–C层等价</w:t>
            </w:r>
          </w:p>
        </w:tc>
      </w:tr>
      <w:tr>
        <w:tc>
          <w:tcPr>
            <w:tcW w:type="dxa" w:w="1867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工具与产量相关有限</w:t>
            </w:r>
          </w:p>
        </w:tc>
        <w:tc>
          <w:tcPr>
            <w:tcW w:type="dxa" w:w="3809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预测可减少明显风险，但不能保证mg/L提高</w:t>
            </w:r>
          </w:p>
        </w:tc>
        <w:tc>
          <w:tcPr>
            <w:tcW w:type="dxa" w:w="41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WT同批、多重复、保留全部阴性/中性结果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9.1 风险控制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所有30条均未触碰界面、硬保守位置、Cys22/Cys95和末端SSGS，也未引入新Cys。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筛选检查新Pro、局部疏水/电荷变化、N-糖基化、脱酰胺/异构化和氧化易感残基等序列风险。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受控权衡候选最多允许单项中等不利；同时出现两个中等不利的候选不进入面板。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AntiFold的AF3单体视图只补充结构兼容性参考，不把实验缺失区转化为实验可评价区。</w:t>
      </w:r>
    </w:p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10. 下一步实验与决策计划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10.1 面板释放前复核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确认30条中F30/Q1/T27的位点集中度是否符合本轮探索目的。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确认3条受控权衡和T99F探索对照是否占用实验名额；必要时从7条候补中一对一替换。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冻结最终FASTA版本后，不再因同档内小数差异调整顺序。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10.2 BL21表达实验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WT与30条单突使用相同载体、信号肽、标签、诱导、培养、裂解、纯化和定量流程。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建议至少3个独立生物重复；主终点为纯化后mg/L产量，并记录总表达、可溶上清、沉淀与纯化回收。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预先定义成功标准，例如相对WT提高幅度、重复一致性和不低于WT的可溶比例。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保留全部阴性、中性和失败结果，用于下一轮局部规则更新。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10.3 组合突变的阶段门</w:t>
      </w:r>
    </w:p>
    <w:p>
      <w:r>
        <w:rPr>
          <w:rFonts w:ascii="Microsoft YaHei" w:hAnsi="Microsoft YaHei" w:eastAsia="Microsoft YaHei" w:cs="Microsoft YaHei"/>
          <w:color w:val="000000"/>
        </w:rPr>
        <w:t>本轮不生成或提交组合突变。只有当两个或多个单突在相同实验条件下分别显示可重复改善，且无明显共同风险时，才进入组合设计；组合后需要重新评价NetSolP、NanoMelt和AntiFold，并重新检查界面/保守/末端合同。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883"/>
        <w:gridCol w:w="5975"/>
      </w:tblGrid>
      <w:tr>
        <w:tc>
          <w:tcPr>
            <w:tcW w:type="dxa" w:w="388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阶段门</w:t>
            </w:r>
          </w:p>
        </w:tc>
        <w:tc>
          <w:tcPr>
            <w:tcW w:type="dxa" w:w="597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当前状态</w:t>
            </w:r>
          </w:p>
        </w:tc>
      </w:tr>
      <w:tr>
        <w:tc>
          <w:tcPr>
            <w:tcW w:type="dxa" w:w="388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结构与界面身份</w:t>
            </w:r>
          </w:p>
        </w:tc>
        <w:tc>
          <w:tcPr>
            <w:tcW w:type="dxa" w:w="597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88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天然VHH保守性合同</w:t>
            </w:r>
          </w:p>
        </w:tc>
        <w:tc>
          <w:tcPr>
            <w:tcW w:type="dxa" w:w="597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88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847条单突性质矩阵</w:t>
            </w:r>
          </w:p>
        </w:tc>
        <w:tc>
          <w:tcPr>
            <w:tcW w:type="dxa" w:w="597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88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30条计算试选</w:t>
            </w:r>
          </w:p>
        </w:tc>
        <w:tc>
          <w:tcPr>
            <w:tcW w:type="dxa" w:w="597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已生成，待人工复核</w:t>
            </w:r>
          </w:p>
        </w:tc>
      </w:tr>
      <w:tr>
        <w:tc>
          <w:tcPr>
            <w:tcW w:type="dxa" w:w="388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最终实验面板释放</w:t>
            </w:r>
          </w:p>
        </w:tc>
        <w:tc>
          <w:tcPr>
            <w:tcW w:type="dxa" w:w="597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未通过</w:t>
            </w:r>
          </w:p>
        </w:tc>
      </w:tr>
      <w:tr>
        <w:tc>
          <w:tcPr>
            <w:tcW w:type="dxa" w:w="388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组合突变设计</w:t>
            </w:r>
          </w:p>
        </w:tc>
        <w:tc>
          <w:tcPr>
            <w:tcW w:type="dxa" w:w="597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阻断，等待单突实验</w:t>
            </w:r>
          </w:p>
        </w:tc>
      </w:tr>
    </w:tbl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附录A 30条试选的原始变化值</w:t>
      </w:r>
    </w:p>
    <w:p>
      <w:r>
        <w:rPr>
          <w:rFonts w:ascii="Microsoft YaHei" w:hAnsi="Microsoft YaHei" w:eastAsia="Microsoft YaHei" w:cs="Microsoft YaHei"/>
          <w:color w:val="000000"/>
        </w:rPr>
        <w:t>下表保留原始模型变化值用于追溯。候选选择采用幅度档位，表内小数不用于同档内精细排序。AntiFold ΔlogP为突变残基相对WT的对数概率变化；正值为预测兼容性提高。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256"/>
        <w:gridCol w:w="1063"/>
        <w:gridCol w:w="1063"/>
        <w:gridCol w:w="1063"/>
        <w:gridCol w:w="1256"/>
        <w:gridCol w:w="1933"/>
        <w:gridCol w:w="1546"/>
        <w:gridCol w:w="678"/>
      </w:tblGrid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单突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区段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ΔU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ΔS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ΔTm °C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AntiFold ΔlogP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稳定词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层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Q5V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-0.003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0.001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2.04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1.638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F30S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0.014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0.032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-0.51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1.824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S55G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CDR2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0.005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-0.005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1.98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2.403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F30A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0.014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0.023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-0.48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2.613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F30R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0.013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0.016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0.66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1.797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E44A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FR2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-0.005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0.004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-0.15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4.411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B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E44G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FR2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-0.004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-0.007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-0.12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6.271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B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Q1M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-0.003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0.94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5.863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B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F30N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0.017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0.024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-0.13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0.090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B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T27F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-0.015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0.19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5.893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B</w:t>
            </w:r>
          </w:p>
        </w:tc>
      </w:tr>
    </w:tbl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附录A（续：11–20）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256"/>
        <w:gridCol w:w="1063"/>
        <w:gridCol w:w="1063"/>
        <w:gridCol w:w="1063"/>
        <w:gridCol w:w="1256"/>
        <w:gridCol w:w="1933"/>
        <w:gridCol w:w="1546"/>
        <w:gridCol w:w="678"/>
      </w:tblGrid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单突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区段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ΔU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ΔS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ΔTm °C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AntiFold ΔlogP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稳定词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层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Q1A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-0.007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-0.009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1.05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1.017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Q1D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0.006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0.024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0.12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0.410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Q1G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0.019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0.17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1.879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Q1H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0.005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0.022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0.84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-0.363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F30E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0.013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0.49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2.106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F30K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0.004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0.026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-0.02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0.603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F30Q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0.008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0.025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-0.10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-0.041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F30T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0.013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0.018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-0.43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1.290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K86R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FR3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-0.003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0.61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1.529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V97S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CDR3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-0.004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0.005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-0.62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1.782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</w:tbl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附录A（续：21–30）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256"/>
        <w:gridCol w:w="1063"/>
        <w:gridCol w:w="1063"/>
        <w:gridCol w:w="1063"/>
        <w:gridCol w:w="1256"/>
        <w:gridCol w:w="1933"/>
        <w:gridCol w:w="1546"/>
        <w:gridCol w:w="678"/>
      </w:tblGrid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单突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区段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ΔU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ΔS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ΔTm °C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AntiFold ΔlogP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稳定词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层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F30D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0.022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0.45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1.420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T27D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-0.002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0.007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0.24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1.748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T27S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-0.003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-0.003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0.08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2.209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T27Y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-0.003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-0.013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0.10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2.610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F29S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-0.004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0.006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-0.57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1.734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F29T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0.003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0.015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-0.37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1.596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A23S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0.013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0.020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0.40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-2.333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D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Y32L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-0.004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-0.004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1.05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-1.539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D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P87T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FR3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-0.002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0.005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-1.26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1.619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不变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D</w:t>
            </w:r>
          </w:p>
        </w:tc>
      </w:tr>
      <w:tr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T99F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CDR3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-0.000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-0.011</w:t>
            </w:r>
          </w:p>
        </w:tc>
        <w:tc>
          <w:tcPr>
            <w:tcW w:type="dxa" w:w="125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-0.50</w:t>
            </w:r>
          </w:p>
        </w:tc>
        <w:tc>
          <w:tcPr>
            <w:tcW w:type="dxa" w:w="193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-1.335</w:t>
            </w:r>
          </w:p>
        </w:tc>
        <w:tc>
          <w:tcPr>
            <w:tcW w:type="dxa" w:w="154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新增</w:t>
            </w:r>
          </w:p>
        </w:tc>
        <w:tc>
          <w:tcPr>
            <w:tcW w:type="dxa" w:w="678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E</w:t>
            </w:r>
          </w:p>
        </w:tc>
      </w:tr>
    </w:tbl>
    <w:p>
      <w:r>
        <w:rPr>
          <w:rFonts w:ascii="Microsoft YaHei" w:hAnsi="Microsoft YaHei" w:eastAsia="Microsoft YaHei" w:cs="Microsoft YaHei"/>
          <w:color w:val="000000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附录B 7条候补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042"/>
        <w:gridCol w:w="882"/>
        <w:gridCol w:w="882"/>
        <w:gridCol w:w="882"/>
        <w:gridCol w:w="1042"/>
        <w:gridCol w:w="1603"/>
        <w:gridCol w:w="3525"/>
      </w:tblGrid>
      <w:tr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单突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区段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ΔU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ΔS</w:t>
            </w:r>
          </w:p>
        </w:tc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ΔTm °C</w:t>
            </w:r>
          </w:p>
        </w:tc>
        <w:tc>
          <w:tcPr>
            <w:tcW w:type="dxa" w:w="160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AntiFold ΔlogP</w:t>
            </w:r>
          </w:p>
        </w:tc>
        <w:tc>
          <w:tcPr>
            <w:tcW w:type="dxa" w:w="35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候补理由</w:t>
            </w:r>
          </w:p>
        </w:tc>
      </w:tr>
      <w:tr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Y32M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-0.004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-0.004</w:t>
            </w:r>
          </w:p>
        </w:tc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1.17</w:t>
            </w:r>
          </w:p>
        </w:tc>
        <w:tc>
          <w:tcPr>
            <w:tcW w:type="dxa" w:w="160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-1.558</w:t>
            </w:r>
          </w:p>
        </w:tc>
        <w:tc>
          <w:tcPr>
            <w:tcW w:type="dxa" w:w="35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受控权衡；用于替换位点集中或探索名额</w:t>
            </w:r>
          </w:p>
        </w:tc>
      </w:tr>
      <w:tr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S55T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CDR2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0.010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-0.021</w:t>
            </w:r>
          </w:p>
        </w:tc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-0.45</w:t>
            </w:r>
          </w:p>
        </w:tc>
        <w:tc>
          <w:tcPr>
            <w:tcW w:type="dxa" w:w="160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-0.677</w:t>
            </w:r>
          </w:p>
        </w:tc>
        <w:tc>
          <w:tcPr>
            <w:tcW w:type="dxa" w:w="35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受控权衡；用于替换位点集中或探索名额</w:t>
            </w:r>
          </w:p>
        </w:tc>
      </w:tr>
      <w:tr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K86Q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FR3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-0.000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-0.017</w:t>
            </w:r>
          </w:p>
        </w:tc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1.20</w:t>
            </w:r>
          </w:p>
        </w:tc>
        <w:tc>
          <w:tcPr>
            <w:tcW w:type="dxa" w:w="160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-2.572</w:t>
            </w:r>
          </w:p>
        </w:tc>
        <w:tc>
          <w:tcPr>
            <w:tcW w:type="dxa" w:w="35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受控权衡；用于替换位点集中或探索名额</w:t>
            </w:r>
          </w:p>
        </w:tc>
      </w:tr>
      <w:tr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F29Q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0.004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0.024</w:t>
            </w:r>
          </w:p>
        </w:tc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-0.19</w:t>
            </w:r>
          </w:p>
        </w:tc>
        <w:tc>
          <w:tcPr>
            <w:tcW w:type="dxa" w:w="160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-1.724</w:t>
            </w:r>
          </w:p>
        </w:tc>
        <w:tc>
          <w:tcPr>
            <w:tcW w:type="dxa" w:w="35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受控权衡；用于替换位点集中或探索名额</w:t>
            </w:r>
          </w:p>
        </w:tc>
      </w:tr>
      <w:tr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T27L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0.002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-0.026</w:t>
            </w:r>
          </w:p>
        </w:tc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0.50</w:t>
            </w:r>
          </w:p>
        </w:tc>
        <w:tc>
          <w:tcPr>
            <w:tcW w:type="dxa" w:w="160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1.696</w:t>
            </w:r>
          </w:p>
        </w:tc>
        <w:tc>
          <w:tcPr>
            <w:tcW w:type="dxa" w:w="35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受控权衡；用于替换位点集中或探索名额</w:t>
            </w:r>
          </w:p>
        </w:tc>
      </w:tr>
      <w:tr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F30G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0.007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0.024</w:t>
            </w:r>
          </w:p>
        </w:tc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-1.11</w:t>
            </w:r>
          </w:p>
        </w:tc>
        <w:tc>
          <w:tcPr>
            <w:tcW w:type="dxa" w:w="160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1.337</w:t>
            </w:r>
          </w:p>
        </w:tc>
        <w:tc>
          <w:tcPr>
            <w:tcW w:type="dxa" w:w="35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受控权衡；用于替换位点集中或探索名额</w:t>
            </w:r>
          </w:p>
        </w:tc>
      </w:tr>
      <w:tr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T99N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CDR3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-0.001</w:t>
            </w:r>
          </w:p>
        </w:tc>
        <w:tc>
          <w:tcPr>
            <w:tcW w:type="dxa" w:w="88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0.024</w:t>
            </w:r>
          </w:p>
        </w:tc>
        <w:tc>
          <w:tcPr>
            <w:tcW w:type="dxa" w:w="1042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-0.88</w:t>
            </w:r>
          </w:p>
        </w:tc>
        <w:tc>
          <w:tcPr>
            <w:tcW w:type="dxa" w:w="1603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-2.246</w:t>
            </w:r>
          </w:p>
        </w:tc>
        <w:tc>
          <w:tcPr>
            <w:tcW w:type="dxa" w:w="3525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受控权衡；用于替换位点集中或探索名额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附录C 术语边界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计算试选：通过当前计算规则、推荐进入人工复核的实验假设。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最终实验面板：经项目负责人确认并冻结用于实际构建/表达的序列集合。当前尚未达到该状态。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预测改善：模型输出方向有利，不等同于实测产量、溶解度或Tm提高。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AF3单体补充视图：实验坐标缺失位置的独立预测结构参考，不是实验复合物证据。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稳定词探索：用户指定的可解释软偏好，尚未被47条产量数据验证。</w:t>
      </w:r>
    </w:p>
    <w:sectPr w:rsidR="00FC693F" w:rsidRPr="0006063C" w:rsidSect="00034616">
      <w:footerReference w:type="default" r:id="rId19"/>
      <w:headerReference w:type="default" r:id="rId20"/>
      <w:pgSz w:w="12240" w:h="15840"/>
      <w:pgMar w:top="1077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6"/>
      </w:rPr>
      <w:t>Nb252 BL21表达优化阶段报告｜计算结果仅用于实验优先级排序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100"/>
      <w:outlineLvl w:val="1"/>
    </w:pPr>
    <w:rPr>
      <w:rFonts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b w:val="0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Relationship Id="rId2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Nb252纳米抗体BL21表达优化阶段报告</dc:title>
  <dc:subject>Nb252 BL21表达优化阶段结果</dc:subject>
  <dc:creator>Antibody_optimization project</dc:creator>
  <cp:keywords>Nb252, BL21, expression, NetSolP, NanoMelt, AntiFold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