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 w:cs="Microsoft YaHei"/>
          <w:b/>
          <w:color w:val="000000"/>
          <w:sz w:val="42"/>
        </w:rPr>
        <w:t>Nb252候选指标与筛选说明</w:t>
      </w:r>
    </w:p>
    <w:p>
      <w:pPr>
        <w:pStyle w:val="Subtitle"/>
        <w:jc w:val="center"/>
      </w:pPr>
      <w:r>
        <w:rPr>
          <w:rFonts w:ascii="Microsoft YaHei" w:hAnsi="Microsoft YaHei" w:eastAsia="Microsoft YaHei" w:cs="Microsoft YaHei"/>
          <w:color w:val="000000"/>
          <w:sz w:val="23"/>
        </w:rPr>
        <w:t>一页速览｜用于阅读30条试选清单</w:t>
      </w:r>
    </w:p>
    <w:tbl>
      <w:tblPr>
        <w:tblW w:type="dxa" w:w="985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12" w:space="0" w:color="000000"/>
          <w:bottom w:val="single" w:sz="12" w:space="0" w:color="000000"/>
          <w:left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631"/>
        <w:gridCol w:w="1631"/>
        <w:gridCol w:w="6596"/>
      </w:tblGrid>
      <w:tr>
        <w:tc>
          <w:tcPr>
            <w:tcW w:type="dxa" w:w="1631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指标</w:t>
            </w:r>
          </w:p>
        </w:tc>
        <w:tc>
          <w:tcPr>
            <w:tcW w:type="dxa" w:w="1631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方向</w:t>
            </w:r>
          </w:p>
        </w:tc>
        <w:tc>
          <w:tcPr>
            <w:tcW w:type="dxa" w:w="659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  <w:tcBorders>
              <w:bottom w:val="single" w:sz="8" w:space="0" w:color="000000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在本项目中的正确解释</w:t>
            </w:r>
          </w:p>
        </w:tc>
      </w:tr>
      <w:tr>
        <w:tc>
          <w:tcPr>
            <w:tcW w:type="dxa" w:w="1631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NetSolP U</w:t>
            </w:r>
          </w:p>
        </w:tc>
        <w:tc>
          <w:tcPr>
            <w:tcW w:type="dxa" w:w="1631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越高通常越有利</w:t>
            </w:r>
          </w:p>
        </w:tc>
        <w:tc>
          <w:tcPr>
            <w:tcW w:type="dxa" w:w="659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0–1的综合可用性模型输出；与S同属一个工具家族，不双重计票</w:t>
            </w:r>
          </w:p>
        </w:tc>
      </w:tr>
      <w:tr>
        <w:tc>
          <w:tcPr>
            <w:tcW w:type="dxa" w:w="1631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NetSolP S</w:t>
            </w:r>
          </w:p>
        </w:tc>
        <w:tc>
          <w:tcPr>
            <w:tcW w:type="dxa" w:w="1631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越高通常越有利</w:t>
            </w:r>
          </w:p>
        </w:tc>
        <w:tc>
          <w:tcPr>
            <w:tcW w:type="dxa" w:w="659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预测可溶性得分；PLM_Sol分层相关虽较高，但簇外验证不优且无独立增量，故保留NetSolP作为同类代表</w:t>
            </w:r>
          </w:p>
        </w:tc>
      </w:tr>
      <w:tr>
        <w:tc>
          <w:tcPr>
            <w:tcW w:type="dxa" w:w="1631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NanoMelt Tm</w:t>
            </w:r>
          </w:p>
        </w:tc>
        <w:tc>
          <w:tcPr>
            <w:tcW w:type="dxa" w:w="1631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越高通常越稳定</w:t>
            </w:r>
          </w:p>
        </w:tc>
        <w:tc>
          <w:tcPr>
            <w:tcW w:type="dxa" w:w="659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预测表观Tm（°C）；作为稳定性约束，不是mg/L预测</w:t>
            </w:r>
          </w:p>
        </w:tc>
      </w:tr>
      <w:tr>
        <w:tc>
          <w:tcPr>
            <w:tcW w:type="dxa" w:w="1631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AntiFold ΔlogP</w:t>
            </w:r>
          </w:p>
        </w:tc>
        <w:tc>
          <w:tcPr>
            <w:tcW w:type="dxa" w:w="1631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正值更兼容</w:t>
            </w:r>
          </w:p>
        </w:tc>
        <w:tc>
          <w:tcPr>
            <w:tcW w:type="dxa" w:w="659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突变残基相对WT的结构条件对数概率变化；实验复合物优先，缺失区用AF3单体补充视图</w:t>
            </w:r>
          </w:p>
        </w:tc>
      </w:tr>
      <w:tr>
        <w:tc>
          <w:tcPr>
            <w:tcW w:type="dxa" w:w="1631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稳定词</w:t>
            </w:r>
          </w:p>
        </w:tc>
        <w:tc>
          <w:tcPr>
            <w:tcW w:type="dxa" w:w="1631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新增仅作探索</w:t>
            </w:r>
          </w:p>
        </w:tc>
        <w:tc>
          <w:tcPr>
            <w:tcW w:type="dxa" w:w="6596"/>
            <w:vAlign w:val="center"/>
            <w:tcMar>
              <w:top w:w="55" w:type="dxa"/>
              <w:bottom w:w="55" w:type="dxa"/>
              <w:start w:w="85" w:type="dxa"/>
              <w:end w:w="8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简并片段新增；未验证为产量指标，仅T99F作为对照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筛选逻辑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先硬排除：24界面位置、天然硬保守位置、Cys22/Cys95、末端SSGS及其他不可变位置。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再按幅度档位：强/中等有利、弱/近中性、中等/强不利；同档内小数不排序。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A–C层为严格核心；D层为单项中等不利的受控权衡；E层T99F是稳定词假设对照。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表格顺序表示A→B→C→D→E的分层优先级；同层内部不是精确效力排名。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空心三角：AntiFold使用AF3单体补充视图；金色星号：稳定词探索候选。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color w:val="000000"/>
          <w:sz w:val="20"/>
        </w:rPr>
        <w:t>当前30条是计算试选，需人工确认位点集中后才能冻结为实验面板。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实验判读</w:t>
      </w:r>
    </w:p>
    <w:p>
      <w:r>
        <w:rPr>
          <w:rFonts w:ascii="Microsoft YaHei" w:hAnsi="Microsoft YaHei" w:eastAsia="Microsoft YaHei" w:cs="Microsoft YaHei"/>
          <w:color w:val="000000"/>
          <w:sz w:val="18"/>
        </w:rPr>
        <w:t>所有预测均不是实验结果。建议WT与30条单突同批、至少3个生物重复，以纯化后mg/L为主终点，同时记录总表达、可溶比例和纯化回收；单突结果返回前不组合。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09" w:right="1191" w:bottom="68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 w:cs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40"/>
      <w:outlineLvl w:val="0"/>
    </w:pPr>
    <w:rPr>
      <w:rFonts w:ascii="Microsoft YaHei" w:hAnsi="Microsoft YaHei" w:eastAsia="Microsoft YaHei" w:cs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100"/>
      <w:outlineLvl w:val="1"/>
    </w:pPr>
    <w:rPr>
      <w:rFonts w:ascii="Microsoft YaHei" w:hAnsi="Microsoft YaHei" w:eastAsia="Microsoft YaHei" w:cs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icrosoft YaHei" w:hAnsi="Microsoft YaHei" w:eastAsia="Microsoft YaHei" w:cs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YaHei" w:hAnsi="Microsoft YaHei" w:eastAsia="Microsoft YaHei" w:cs="Microsoft YaHei"/>
      <w:b w:val="0"/>
      <w:i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