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20"/>
        <w:jc w:val="center"/>
      </w:pPr>
      <w:r>
        <w:rPr>
          <w:rFonts w:ascii="Calibri" w:hAnsi="Calibri" w:eastAsia="Microsoft YaHei"/>
          <w:b/>
          <w:color w:val="000000"/>
          <w:sz w:val="24"/>
        </w:rPr>
        <w:t>阶段研究周报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color w:val="000000"/>
          <w:sz w:val="56"/>
        </w:rPr>
        <w:t>NK2R纳米抗体Nb252</w:t>
        <w:br/>
        <w:t>多目标计算优化</w:t>
      </w:r>
    </w:p>
    <w:p>
      <w:pPr>
        <w:spacing w:after="840"/>
        <w:jc w:val="center"/>
      </w:pPr>
      <w:r>
        <w:rPr>
          <w:rFonts w:ascii="Calibri" w:hAnsi="Calibri" w:eastAsia="Microsoft YaHei"/>
          <w:b w:val="0"/>
          <w:color w:val="000000"/>
          <w:sz w:val="30"/>
        </w:rPr>
        <w:t>从实验结构基线到30条实验测试候选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24D"/>
          <w:bottom w:val="single" w:sz="10" w:color="17324D"/>
          <w:insideH w:val="nil"/>
          <w:insideV w:val="nil"/>
          <w:left w:val="nil"/>
          <w:right w:val="nil"/>
        </w:tblBorders>
      </w:tblPr>
      <w:tblGrid>
        <w:gridCol w:w="3000"/>
        <w:gridCol w:w="3360"/>
        <w:gridCol w:w="3000"/>
      </w:tblGrid>
      <w:tr>
        <w:trPr>
          <w:tblHeader w:val="true"/>
        </w:trPr>
        <w:tc>
          <w:tcPr>
            <w:tcW w:type="dxa" w:w="30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报告周期</w:t>
            </w:r>
          </w:p>
        </w:tc>
        <w:tc>
          <w:tcPr>
            <w:tcW w:type="dxa" w:w="336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项目状态</w:t>
            </w:r>
          </w:p>
        </w:tc>
        <w:tc>
          <w:tcPr>
            <w:tcW w:type="dxa" w:w="30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报告日期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2026-W31—W34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计算设计闭环完成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2026-08-18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Calibri" w:hAnsi="Calibri" w:eastAsia="Microsoft YaHei"/>
          <w:b w:val="0"/>
          <w:color w:val="000000"/>
          <w:sz w:val="18"/>
        </w:rPr>
        <w:t>项目阶段交流材料｜所有候选均为计算优先级，不代表实验验证</w:t>
      </w:r>
    </w:p>
    <w:p>
      <w:r>
        <w:br w:type="page"/>
      </w:r>
    </w:p>
    <w:p>
      <w:pPr>
        <w:keepNext/>
        <w:spacing w:before="320" w:after="160"/>
      </w:pPr>
      <w:r>
        <w:rPr>
          <w:rFonts w:ascii="Calibri" w:hAnsi="Calibri" w:eastAsia="Microsoft YaHei"/>
          <w:b/>
          <w:color w:val="000000"/>
          <w:sz w:val="32"/>
        </w:rPr>
        <w:t>目录与阅读导航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24D"/>
          <w:bottom w:val="single" w:sz="10" w:color="17324D"/>
          <w:insideH w:val="nil"/>
          <w:insideV w:val="nil"/>
          <w:left w:val="nil"/>
          <w:right w:val="nil"/>
        </w:tblBorders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章节</w:t>
            </w:r>
          </w:p>
        </w:tc>
        <w:tc>
          <w:tcPr>
            <w:tcW w:type="dxa" w:w="816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执行摘要与项目结论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科学背景、目标与输入基线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结构与界面证据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计算优化总体路线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PyRosetta协议与亲和力轨道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表达、稳定性与可开发性工具验证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统一单突空间、专家审查与双突组合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终审能量来源与最终30条面板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局限性、风险与实验建议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附录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最终候选、储备/排除项、工具角色与完整序列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3F6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阅读建议  </w:t>
            </w: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建议先阅读执行摘要与图2证据漏斗，再重点查看第5—8节的筛选逻辑、最终面板和实验建议；附录列出候选概览、关键决策和完整序列。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60"/>
      </w:pPr>
      <w:r>
        <w:rPr>
          <w:rFonts w:ascii="Calibri" w:hAnsi="Calibri" w:eastAsia="Microsoft YaHei"/>
          <w:b/>
          <w:color w:val="000000"/>
          <w:sz w:val="32"/>
        </w:rPr>
        <w:t>1. 执行摘要与项目结论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BF5F0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阶段结论  </w:t>
            </w: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项目已完成结构身份冻结、亲和力单突扫描、多构象复核、统一性质评价、双突组合、结构/化学风险审查和显式终审，形成30条互不重复的实验测试候选，另保留3条储备。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color w:val="000000"/>
          <w:sz w:val="21"/>
        </w:rPr>
        <w:t>本项目以实验解析的NK2R–Nb252复合物为结合构象主证据，在保持当前表位、构象和末端SSGS不变的前提下，同时探索亲和力、稳定性、表达相关性质与可开发性。计算流程没有把单一模型作为真值，而是将PyRosetta、Flex ddG、AntiFold、NetSolP、NanoMelt、TNP和序列语言模型证据分层使用。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最终30条面板由6条亲和力导向单突、6条性质导向单突、17条平衡组合和1条亲和力支持双突组成。WT作为独立实验对照，不占30条候选名额。所有序列均保持128 aa、Cys22/Cys95及末端SSGS。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E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解释边界  </w:t>
            </w: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最终面板的状态是“建议实验测试”，不是“已获得30条优化抗体”。计算能量、Tm、溶解性、序列兼容性和表面风险均不能替代实测KD、表达量、SEC单体比例或热稳定性。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24D"/>
          <w:bottom w:val="single" w:sz="10" w:color="17324D"/>
          <w:insideH w:val="nil"/>
          <w:insideV w:val="nil"/>
          <w:left w:val="nil"/>
          <w:right w:val="nil"/>
        </w:tblBorders>
      </w:tblPr>
      <w:tblGrid>
        <w:gridCol w:w="2800"/>
        <w:gridCol w:w="3700"/>
        <w:gridCol w:w="2860"/>
      </w:tblGrid>
      <w:tr>
        <w:trPr>
          <w:tblHeader w:val="true"/>
        </w:trPr>
        <w:tc>
          <w:tcPr>
            <w:tcW w:type="dxa" w:w="28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阶段指标</w:t>
            </w:r>
          </w:p>
        </w:tc>
        <w:tc>
          <w:tcPr>
            <w:tcW w:type="dxa" w:w="37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结果</w:t>
            </w:r>
          </w:p>
        </w:tc>
        <w:tc>
          <w:tcPr>
            <w:tcW w:type="dxa" w:w="286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状态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表达序列审核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46成功 / 1失败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完成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亲和力全扫描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456候选 × 3重复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完成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Flex ddG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50候选 / 1000任务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完成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统一性质单突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1962候选 + 1 WT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完成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双突联合分析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86候选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完成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最终面板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30候选 + 3储备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建议进入实验测试</w:t>
            </w:r>
          </w:p>
        </w:tc>
      </w:tr>
    </w:tbl>
    <w:p>
      <w:pPr>
        <w:spacing w:after="20"/>
      </w:pPr>
    </w:p>
    <w:p>
      <w:pPr>
        <w:keepNext/>
        <w:spacing w:before="320" w:after="160"/>
      </w:pPr>
      <w:r>
        <w:rPr>
          <w:rFonts w:ascii="Calibri" w:hAnsi="Calibri" w:eastAsia="Microsoft YaHei"/>
          <w:b/>
          <w:color w:val="000000"/>
          <w:sz w:val="32"/>
        </w:rPr>
        <w:t>2. 科学背景、目标与输入基线</w:t>
      </w:r>
    </w:p>
    <w:p>
      <w:r>
        <w:rPr>
          <w:rFonts w:ascii="Calibri" w:hAnsi="Calibri" w:eastAsia="Microsoft YaHei"/>
          <w:b w:val="0"/>
          <w:color w:val="000000"/>
          <w:sz w:val="21"/>
        </w:rPr>
        <w:t>Nb252是针对NK2R的实验筛选纳米抗体。本项目的目标不是仅追求某一个计算分数，而是在维持实验观察表位与结合构象的基础上，提高亲和力，同时避免明显损害稳定性、表达和可开发性，并给出具有机制多样性的实验面板。</w:t>
      </w:r>
    </w:p>
    <w:p>
      <w:pPr>
        <w:keepNext/>
        <w:spacing w:before="240" w:after="120"/>
      </w:pPr>
      <w:r>
        <w:rPr>
          <w:rFonts w:ascii="Calibri" w:hAnsi="Calibri" w:eastAsia="Microsoft YaHei"/>
          <w:b/>
          <w:color w:val="000000"/>
          <w:sz w:val="26"/>
        </w:rPr>
        <w:t>2.1 三类结构证据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1"/>
        </w:rPr>
        <w:t>NK2R-252.pdb：实验解析的NK2R–Nb252结合构象，是界面和表位的主要结构证据。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1"/>
        </w:rPr>
        <w:t>NK2R-NKA：提供NKA结合背景，不直接证明Nb252突变效应或功能机制。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1"/>
        </w:rPr>
        <w:t>fold_2r_252_nomg_model_0.cif：AF3预测的Nb252结构，只用于补充未解析区域和独立构象参考。</w:t>
      </w:r>
    </w:p>
    <w:p>
      <w:pPr>
        <w:keepNext/>
        <w:spacing w:before="240" w:after="120"/>
      </w:pPr>
      <w:r>
        <w:rPr>
          <w:rFonts w:ascii="Calibri" w:hAnsi="Calibri" w:eastAsia="Microsoft YaHei"/>
          <w:b/>
          <w:color w:val="000000"/>
          <w:sz w:val="26"/>
        </w:rPr>
        <w:t>2.2 序列与实验约束</w:t>
      </w:r>
    </w:p>
    <w:p>
      <w:r>
        <w:rPr>
          <w:rFonts w:ascii="Calibri" w:hAnsi="Calibri" w:eastAsia="Microsoft YaHei"/>
          <w:b w:val="0"/>
          <w:color w:val="000000"/>
          <w:sz w:val="21"/>
        </w:rPr>
        <w:t>合作者确认完整128-aa reported Nb252为权威设计母本；末端SSGS不是linker，候选设计时不得替换或删除。47条产量序列来自BL21体系，且不同来源数据可直接比较；但LLJ记录保留分组/删失语义，不将其虚构为个体精确点估计。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ANARCII provisional IMGT审核中，46条成功，WCC__4-28因模型分数低于识别阈值而失败。Nb252前126 aa被编号，末端GS未获IMGT编号，但仍属于权威构建体并受SSGS冻结规则保护。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880781"/>
            <wp:docPr id="1" name="Picture 1" descr="图1  Nb252输入身份、编号与覆盖基线" title="图1  Nb252输入身份、编号与覆盖基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01_input_bas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0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b/>
          <w:color w:val="000000"/>
          <w:sz w:val="17"/>
        </w:rPr>
        <w:t>图1  Nb252输入身份、编号与覆盖基线</w:t>
      </w:r>
    </w:p>
    <w:p>
      <w:pPr>
        <w:keepNext/>
        <w:spacing w:before="320" w:after="160"/>
      </w:pPr>
      <w:r>
        <w:rPr>
          <w:rFonts w:ascii="Calibri" w:hAnsi="Calibri" w:eastAsia="Microsoft YaHei"/>
          <w:b/>
          <w:color w:val="000000"/>
          <w:sz w:val="32"/>
        </w:rPr>
        <w:t>3. 结构与界面证据</w:t>
      </w:r>
    </w:p>
    <w:p>
      <w:r>
        <w:rPr>
          <w:rFonts w:ascii="Calibri" w:hAnsi="Calibri" w:eastAsia="Microsoft YaHei"/>
          <w:b w:val="0"/>
          <w:color w:val="000000"/>
          <w:sz w:val="21"/>
        </w:rPr>
        <w:t>ChimeraX会话中的三个模型已分别导出为可追溯mmCIF，并由Gemmi读回。链角色经人工确认：实验复合物C链为Nb252、R链为NK2R；NKA模型L链为NKA、R链为NK2R；AF3模型A链为Nb252。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实验VHH存在未解析坐标，关键缺失位置已经固化为reported indices 9–15、24–29；这些位置在实验界面分析中保持not_evaluable，而不是被解释为非界面。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24D"/>
          <w:bottom w:val="single" w:sz="10" w:color="17324D"/>
          <w:insideH w:val="nil"/>
          <w:insideV w:val="nil"/>
          <w:left w:val="nil"/>
          <w:right w:val="nil"/>
        </w:tblBorders>
      </w:tblPr>
      <w:tblGrid>
        <w:gridCol w:w="2300"/>
        <w:gridCol w:w="2500"/>
        <w:gridCol w:w="4560"/>
      </w:tblGrid>
      <w:tr>
        <w:trPr>
          <w:tblHeader w:val="true"/>
        </w:trPr>
        <w:tc>
          <w:tcPr>
            <w:tcW w:type="dxa" w:w="23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比较项</w:t>
            </w:r>
          </w:p>
        </w:tc>
        <w:tc>
          <w:tcPr>
            <w:tcW w:type="dxa" w:w="25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结果</w:t>
            </w:r>
          </w:p>
        </w:tc>
        <w:tc>
          <w:tcPr>
            <w:tcW w:type="dxa" w:w="456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解释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框架拟合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82个共同framework Cα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CDR3不参与框架拟合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框架RMSD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0.631994 Å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实验与AF3框架总体一致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CDR3 RMSD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6.490853 Å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CDR3构象差异显著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CDR3最大位移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10.733119 Å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AF3不作为实验CDR3真值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color w:val="000000"/>
          <w:sz w:val="21"/>
        </w:rPr>
        <w:t>界面采用同一实验复合物内VHH与NK2R聚合物重原子的严格中心距离&lt;4.0 Å定义，排除氢/氘、非正occupancy、水、配体、糖、离子、晶体/NCS副本，并遵守altloc兼容性。重算得到24个VHH界面残基、246对原子接触，与合作者橙色标注完全一致。界面位点是“谨慎突变区”，不是绝对禁区或能量热点清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E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AF3使用原则  </w:t>
            </w: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由于WT的AF3 CDR3与实验结合构象偏差较大，AF3未用于常规亲和力排序；它只作为缺失区和独立局部包装敏感性证据。</w:t>
            </w:r>
          </w:p>
        </w:tc>
      </w:tr>
    </w:tbl>
    <w:p>
      <w:pPr>
        <w:spacing w:after="40"/>
      </w:pPr>
    </w:p>
    <w:p>
      <w:pPr>
        <w:keepNext/>
        <w:spacing w:before="320" w:after="160"/>
      </w:pPr>
      <w:r>
        <w:rPr>
          <w:rFonts w:ascii="Calibri" w:hAnsi="Calibri" w:eastAsia="Microsoft YaHei"/>
          <w:b/>
          <w:color w:val="000000"/>
          <w:sz w:val="32"/>
        </w:rPr>
        <w:t>4. 计算优化总体路线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110945"/>
            <wp:docPr id="2" name="Picture 2" descr="图2  从输入基线到最终30条序列的证据漏斗" title="图2  从输入基线到最终30条序列的证据漏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2_evidence_fun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10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b/>
          <w:color w:val="000000"/>
          <w:sz w:val="17"/>
        </w:rPr>
        <w:t>图2  从输入基线到最终30条序列的证据漏斗</w:t>
      </w:r>
    </w:p>
    <w:p>
      <w:r>
        <w:rPr>
          <w:rFonts w:ascii="Calibri" w:hAnsi="Calibri" w:eastAsia="Microsoft YaHei"/>
          <w:b w:val="0"/>
          <w:color w:val="000000"/>
          <w:sz w:val="21"/>
        </w:rPr>
        <w:t>路线采用“宽空间计算、统一证据筛选、显式专家终审”。亲和力与性质并非严格按CDR/FR分区：界面和非界面均可提出候选，但每个突变都必须同时接受结构、亲和力、性质和化学风险审查。</w:t>
      </w:r>
    </w:p>
    <w:p>
      <w:pPr>
        <w:keepNext/>
        <w:spacing w:before="320" w:after="160"/>
      </w:pPr>
      <w:r>
        <w:rPr>
          <w:rFonts w:ascii="Calibri" w:hAnsi="Calibri" w:eastAsia="Microsoft YaHei"/>
          <w:b/>
          <w:color w:val="000000"/>
          <w:sz w:val="32"/>
        </w:rPr>
        <w:t>5. PyRosetta协议与亲和力轨道</w:t>
      </w:r>
    </w:p>
    <w:p>
      <w:pPr>
        <w:keepNext/>
        <w:spacing w:before="240" w:after="120"/>
      </w:pPr>
      <w:r>
        <w:rPr>
          <w:rFonts w:ascii="Calibri" w:hAnsi="Calibri" w:eastAsia="Microsoft YaHei"/>
          <w:b/>
          <w:color w:val="000000"/>
          <w:sz w:val="26"/>
        </w:rPr>
        <w:t>5.1 评分协议校准</w:t>
      </w:r>
    </w:p>
    <w:p>
      <w:r>
        <w:rPr>
          <w:rFonts w:ascii="Calibri" w:hAnsi="Calibri" w:eastAsia="Microsoft YaHei"/>
          <w:b w:val="0"/>
          <w:color w:val="000000"/>
          <w:sz w:val="21"/>
        </w:rPr>
        <w:t>实验结构直接使用ref2015时总分较高，主要源于输入侧链缺原子、局部rotamer与Rosetta统计势不完全匹配以及未优化的界面排斥。项目没有把该绝对分数用于候选结论，而是校准并固定interface_repack_constrained_min协议，以同一prepared WT、相同局部约束和配对WT为参照比较突变体。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interface_repack_constrained_min是本项目对局部结构准备流程的命名：先只在界面邻域重新选择侧链rotamer，再对同一邻域的主链和侧链做坐标约束下的有限能量最小化；其余残基及链间刚体位置不动。它用于缓解实验模型中的局部碰撞，同时尽量维持已解析的结合构象，不是全局relax或重新对接。WT与突变体使用相同的可动范围、约束和评分设置，因此比较的是同一实验构象附近的配对相对能量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所选协议在8次重复中得到稳定的负dG_separated和跨界面能，并把界面fa_rep相对raw结构显著降低，同时保持很小的界面Cα位移。由于本项目关注同一实验构象附近的相对排序，未切换RosettaMP、未全局relax，也未花费大量计算补全远离已解析界面的缺失主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能量解释  </w:t>
            </w: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Rosetta ΔdG、跨界面能和total score均为模型内排序信号。尤其是负ΔdG可能由分离态被惩罚而产生，不能直接等价于实验亲和力提高。</w:t>
            </w:r>
          </w:p>
        </w:tc>
      </w:tr>
    </w:tbl>
    <w:p>
      <w:pPr>
        <w:spacing w:after="40"/>
      </w:pPr>
    </w:p>
    <w:p>
      <w:pPr>
        <w:keepNext/>
        <w:spacing w:before="240" w:after="120"/>
      </w:pPr>
      <w:r>
        <w:rPr>
          <w:rFonts w:ascii="Calibri" w:hAnsi="Calibri" w:eastAsia="Microsoft YaHei"/>
          <w:b/>
          <w:color w:val="000000"/>
          <w:sz w:val="26"/>
        </w:rPr>
        <w:t>5.2 456条单突全扫描</w:t>
      </w:r>
    </w:p>
    <w:p>
      <w:r>
        <w:rPr>
          <w:rFonts w:ascii="Calibri" w:hAnsi="Calibri" w:eastAsia="Microsoft YaHei"/>
          <w:b w:val="0"/>
          <w:color w:val="000000"/>
          <w:sz w:val="21"/>
        </w:rPr>
        <w:t>界面24个位点形成456条氨基酸替换候选，每条运行3次配对重复，共1368次突变体评价。扫描阶段不设置提前筛选，456条均完成并通过运行完整性门。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878036"/>
            <wp:docPr id="3" name="Picture 3" descr="图3  456条PyRosetta亲和力单突全扫描质量控制" title="图3  456条PyRosetta亲和力单突全扫描质量控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02_affinity_sc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78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b/>
          <w:color w:val="000000"/>
          <w:sz w:val="17"/>
        </w:rPr>
        <w:t>图3  456条PyRosetta亲和力单突全扫描质量控制</w:t>
      </w:r>
    </w:p>
    <w:p>
      <w:r>
        <w:rPr>
          <w:rFonts w:ascii="Calibri" w:hAnsi="Calibri" w:eastAsia="Microsoft YaHei"/>
          <w:b w:val="0"/>
          <w:color w:val="000000"/>
          <w:sz w:val="21"/>
        </w:rPr>
        <w:t>全扫描完成后才统一分层。分层同时考虑两项能量方向、三次重复的一致性、接触保持、局部排斥和界面骨架稳定性，而不是按单一最低分截取。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24D"/>
          <w:bottom w:val="single" w:sz="10" w:color="17324D"/>
          <w:insideH w:val="nil"/>
          <w:insideV w:val="nil"/>
          <w:left w:val="nil"/>
          <w:right w:val="nil"/>
        </w:tblBorders>
      </w:tblPr>
      <w:tblGrid>
        <w:gridCol w:w="950"/>
        <w:gridCol w:w="850"/>
        <w:gridCol w:w="4900"/>
        <w:gridCol w:w="2660"/>
      </w:tblGrid>
      <w:tr>
        <w:trPr>
          <w:tblHeader w:val="true"/>
        </w:trPr>
        <w:tc>
          <w:tcPr>
            <w:tcW w:type="dxa" w:w="95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  <w:t>层级</w:t>
            </w:r>
          </w:p>
        </w:tc>
        <w:tc>
          <w:tcPr>
            <w:tcW w:type="dxa" w:w="85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  <w:t>数量</w:t>
            </w:r>
          </w:p>
        </w:tc>
        <w:tc>
          <w:tcPr>
            <w:tcW w:type="dxa" w:w="49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  <w:t>进入该层的主要依据</w:t>
            </w:r>
          </w:p>
        </w:tc>
        <w:tc>
          <w:tcPr>
            <w:tcW w:type="dxa" w:w="266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  <w:t>后续用途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Tier 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3/3重复中ΔdG与跨界面能均有利；VHH/NK2R接触完全保持；局部fa_rep不升高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严格复核池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Tier 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30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3/3重复中两项能量均有利且受体表位接触保持，但局部包装或VHH接触仍需复核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严格复核池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Tier 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39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两项能量中位数均有利，但重复一致性弱于Tier 1/2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仅作补充来源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Tier 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82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ΔdG与跨界面能方向不一致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不进入本轮Flex ddG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Tier 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287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两项能量中位数未同时有利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不进入本轮Flex ddG</w:t>
            </w:r>
          </w:p>
        </w:tc>
      </w:tr>
    </w:tbl>
    <w:p>
      <w:pPr>
        <w:spacing w:after="20"/>
      </w:pPr>
    </w:p>
    <w:p>
      <w:pPr>
        <w:keepNext/>
        <w:spacing w:before="240" w:after="120"/>
      </w:pPr>
      <w:r>
        <w:rPr>
          <w:rFonts w:ascii="Calibri" w:hAnsi="Calibri" w:eastAsia="Microsoft YaHei"/>
          <w:b/>
          <w:color w:val="000000"/>
          <w:sz w:val="26"/>
        </w:rPr>
        <w:t>5.3 Flex ddG多构象复核</w:t>
      </w:r>
    </w:p>
    <w:p>
      <w:r>
        <w:rPr>
          <w:rFonts w:ascii="Calibri" w:hAnsi="Calibri" w:eastAsia="Microsoft YaHei"/>
          <w:b w:val="0"/>
          <w:color w:val="000000"/>
          <w:sz w:val="21"/>
        </w:rPr>
        <w:t>50条复核对象由48条严格复核层候选——全部Tier 1/2（18+30=48条）——和两条位置多样性Tier 3补充候选D33N、Y115F组成。后两条用于避免复核池只覆盖最强能量位点，并不代表它们优于其余Tier 3；其余37条Tier 3本轮不进入高成本复核。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每条候选运行20个独立Backrub样本，共1000个任务。Backrub在突变位点周围8 Å局部主链邻域采样构象，并在同一主链样本上成对比较WT与突变体，从而检验三重复单一prepared结构上的有利方向能否在构象扰动下保持。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1694554"/>
            <wp:docPr id="4" name="Picture 4" descr="图4  50条候选Flex ddG多构象复核" title="图4  50条候选Flex ddG多构象复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03_flex_dd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94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b/>
          <w:color w:val="000000"/>
          <w:sz w:val="17"/>
        </w:rPr>
        <w:t>图4  50条候选Flex ddG多构象复核</w:t>
      </w:r>
    </w:p>
    <w:p>
      <w:pPr>
        <w:keepNext/>
        <w:spacing w:before="240" w:after="120"/>
      </w:pPr>
      <w:r>
        <w:rPr>
          <w:rFonts w:ascii="Calibri" w:hAnsi="Calibri" w:eastAsia="Microsoft YaHei"/>
          <w:b/>
          <w:color w:val="000000"/>
          <w:sz w:val="26"/>
        </w:rPr>
        <w:t>5.4 从50条Flex ddG候选到亲和力单突</w:t>
      </w:r>
    </w:p>
    <w:p>
      <w:r>
        <w:rPr>
          <w:rFonts w:ascii="Calibri" w:hAnsi="Calibri" w:eastAsia="Microsoft YaHei"/>
          <w:b w:val="0"/>
          <w:color w:val="000000"/>
          <w:sz w:val="21"/>
        </w:rPr>
        <w:t>亲和力核心门要求ΔdG和跨界面能各自在至少18/20个样本中为负，且两项中位数均为负。50条中共有8条通过，分布在6个位点；这是多构象方向一致性证据，不是实测亲和力。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随后进行结构与化学专家审查：新增未配对Cys的R45C被直接移出，较低风险且具补充支持的R45T作为同位点替代假设加入。由此形成8条活跃亲和力单突：R45T、R45V、D101W、I103W、E105F、E105L、N107A和S114M。终审又因D101W和I103W的突变体复合物在三次配对重复中均不利、且同时具有暴露Trp/接触/局部排斥风险而排除，最终保留6条亲和力导向单突。</w:t>
      </w:r>
    </w:p>
    <w:p>
      <w:pPr>
        <w:keepNext/>
        <w:spacing w:before="320" w:after="160"/>
      </w:pPr>
      <w:r>
        <w:rPr>
          <w:rFonts w:ascii="Calibri" w:hAnsi="Calibri" w:eastAsia="Microsoft YaHei"/>
          <w:b/>
          <w:color w:val="000000"/>
          <w:sz w:val="32"/>
        </w:rPr>
        <w:t>6. 表达、稳定性与可开发性工具验证</w:t>
      </w:r>
    </w:p>
    <w:p>
      <w:pPr>
        <w:keepNext/>
        <w:spacing w:before="240" w:after="120"/>
      </w:pPr>
      <w:r>
        <w:rPr>
          <w:rFonts w:ascii="Calibri" w:hAnsi="Calibri" w:eastAsia="Microsoft YaHei"/>
          <w:b/>
          <w:color w:val="000000"/>
          <w:sz w:val="26"/>
        </w:rPr>
        <w:t>6.1 工具与真实产量的关系</w:t>
      </w:r>
    </w:p>
    <w:p>
      <w:r>
        <w:rPr>
          <w:rFonts w:ascii="Calibri" w:hAnsi="Calibri" w:eastAsia="Microsoft YaHei"/>
          <w:b w:val="0"/>
          <w:color w:val="000000"/>
          <w:sz w:val="21"/>
        </w:rPr>
        <w:t>项目首先在47条BL21产量序列上验证可用工具与真实产量之间的关系。nanoBERT、NetSolP、TNP和NanoMelt均未提供足够稳健、可迁移的产量排序能力，因此没有训练47样本局部模型，也没有用任一预测器替代实验产量。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24D"/>
          <w:bottom w:val="single" w:sz="10" w:color="17324D"/>
          <w:insideH w:val="nil"/>
          <w:insideV w:val="nil"/>
          <w:left w:val="nil"/>
          <w:right w:val="nil"/>
        </w:tblBorders>
      </w:tblPr>
      <w:tblGrid>
        <w:gridCol w:w="1450"/>
        <w:gridCol w:w="2100"/>
        <w:gridCol w:w="2700"/>
        <w:gridCol w:w="3110"/>
      </w:tblGrid>
      <w:tr>
        <w:trPr>
          <w:tblHeader w:val="true"/>
        </w:trPr>
        <w:tc>
          <w:tcPr>
            <w:tcW w:type="dxa" w:w="145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工具</w:t>
            </w:r>
          </w:p>
        </w:tc>
        <w:tc>
          <w:tcPr>
            <w:tcW w:type="dxa" w:w="21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评价对象</w:t>
            </w:r>
          </w:p>
        </w:tc>
        <w:tc>
          <w:tcPr>
            <w:tcW w:type="dxa" w:w="27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项目内用途</w:t>
            </w:r>
          </w:p>
        </w:tc>
        <w:tc>
          <w:tcPr>
            <w:tcW w:type="dxa" w:w="311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证据限制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nanoBERT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抗体序列语言合理性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背景关联验证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不支持候选产量排序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NetSolP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Solubility / Usability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兼容性与极端风险过滤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变化幅度通常较小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NanoMelt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预测表观Tm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稳定性辅助排序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不是实测Tm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TNP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PSH/PPC/PNC与flag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表面疏水/电荷风险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flag只作辅助风险证据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AntiFold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结构条件下序列兼容性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三结构视图一致性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不单独决定候选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PyRosetta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复合物/分离态相对能量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亲和力及局部结构风险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REU不能跨协议直接比较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color w:val="000000"/>
          <w:sz w:val="21"/>
        </w:rPr>
        <w:t>本报告后续使用的四项核心性质指标均以候选相对WT的变化解释；对以下四项而言，正向变化表示模型预测更有利，但不等于实验改善。</w:t>
      </w:r>
    </w:p>
    <w:tbl>
      <w:tblPr>
        <w:tblStyle w:val="TableGrid"/>
        <w:tblW w:type="dxa" w:w="109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24D"/>
          <w:bottom w:val="single" w:sz="10" w:color="17324D"/>
          <w:insideH w:val="nil"/>
          <w:insideV w:val="nil"/>
          <w:left w:val="nil"/>
          <w:right w:val="nil"/>
        </w:tblBorders>
      </w:tblPr>
      <w:tblGrid>
        <w:gridCol w:w="1900"/>
        <w:gridCol w:w="3500"/>
        <w:gridCol w:w="5560"/>
      </w:tblGrid>
      <w:tr>
        <w:trPr>
          <w:tblHeader w:val="true"/>
        </w:trPr>
        <w:tc>
          <w:tcPr>
            <w:tcW w:type="dxa" w:w="19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指标</w:t>
            </w:r>
          </w:p>
        </w:tc>
        <w:tc>
          <w:tcPr>
            <w:tcW w:type="dxa" w:w="35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简要含义</w:t>
            </w:r>
          </w:p>
        </w:tc>
        <w:tc>
          <w:tcPr>
            <w:tcW w:type="dxa" w:w="556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本项目中的方向与边界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NetSolP U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NetSolP给出的Usability（综合可用性）0–1模型分数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越高越有利；仅作可开发性相容信号，不等于BL21产量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NetSolP 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NetSolP给出的Solubility（溶解性）0–1模型分数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越高表示预测溶解性倾向越好；不等于实测溶解度或回收率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NanoMelt预测Tm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由VHH序列预测的表观熔解温度，单位为°C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越高表示预测热稳定性越好；属于计算预测，不是DSF等实验Tm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实验复合物视图AntiFold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在实验NK2R–Nb252复合物结构背景下，比较突变氨基酸与WT的条件对数概率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ΔlogP&gt;0表示突变与该固定结构背景更兼容；不是结合自由能、亲和力或表达量</w:t>
            </w:r>
          </w:p>
        </w:tc>
      </w:tr>
    </w:tbl>
    <w:p>
      <w:pPr>
        <w:spacing w:after="20"/>
      </w:pPr>
    </w:p>
    <w:p>
      <w:pPr>
        <w:keepNext/>
        <w:spacing w:before="240" w:after="120"/>
      </w:pPr>
      <w:r>
        <w:rPr>
          <w:rFonts w:ascii="Calibri" w:hAnsi="Calibri" w:eastAsia="Microsoft YaHei"/>
          <w:b/>
          <w:color w:val="000000"/>
          <w:sz w:val="26"/>
        </w:rPr>
        <w:t>6.2 性质候选如何从全空间选出</w:t>
      </w:r>
    </w:p>
    <w:p>
      <w:r>
        <w:rPr>
          <w:rFonts w:ascii="Calibri" w:hAnsi="Calibri" w:eastAsia="Microsoft YaHei"/>
          <w:b w:val="0"/>
          <w:color w:val="000000"/>
          <w:sz w:val="21"/>
        </w:rPr>
        <w:t>性质路线首先在122个可变reported位置枚举19种非WT替换，共2318条。随后一次性应用硬约束：122条因新增未配对Cys阻断，234条因实验结构缺失坐标而推迟，最终1962条进入统一评分。该评分集包括432条已存在的非Cys界面候选和1530条非界面性质发现候选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在1530条性质发现候选中，以NetSolP U、NetSolP S、NanoMelt预测Tm和实验复合物视图AntiFold兼容性进行同轨道Pareto分层，得到49条Pareto 1。Pareto 1仅表示没有另一条候选在全部指标上同时更优，并不表示四项指标都改善。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24D"/>
          <w:bottom w:val="single" w:sz="10" w:color="17324D"/>
          <w:insideH w:val="nil"/>
          <w:insideV w:val="nil"/>
          <w:left w:val="nil"/>
          <w:right w:val="nil"/>
        </w:tblBorders>
      </w:tblPr>
      <w:tblGrid>
        <w:gridCol w:w="2500"/>
        <w:gridCol w:w="1050"/>
        <w:gridCol w:w="5810"/>
      </w:tblGrid>
      <w:tr>
        <w:trPr>
          <w:tblHeader w:val="true"/>
        </w:trPr>
        <w:tc>
          <w:tcPr>
            <w:tcW w:type="dxa" w:w="25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性质筛选阶段</w:t>
            </w:r>
          </w:p>
        </w:tc>
        <w:tc>
          <w:tcPr>
            <w:tcW w:type="dxa" w:w="105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候选数</w:t>
            </w:r>
          </w:p>
        </w:tc>
        <w:tc>
          <w:tcPr>
            <w:tcW w:type="dxa" w:w="581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筛选规则或作用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全序列枚举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2318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122个可变位置 × 19种非WT替换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统一可评分集合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1962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排除新增未配对Cys；缺失坐标候选本轮暂缓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性质发现Pareto 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49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四项性质信号的非支配集合；不直接等于入选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幅度感知复核池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至少1项U/S/Tm达到非微小改善；无非微小恶化；无新增化学风险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PyRosetta方向有利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两项能量中位数均有利，且各至少2/3重复有利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最终活跃性质单突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综合亲和力、接触、AntiFold、缺失区局部包装和化学风险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color w:val="000000"/>
          <w:sz w:val="21"/>
        </w:rPr>
        <w:t>49条Pareto 1先接受TNP表面风险复核；TNP没有作为加分器或硬排序器。幅度感知门随后选出30条、覆盖10个位点的性质复核池：必须至少有一项U/S/Tm达到预设的非微小改善，同时三项均不得出现非微小恶化，且不得新增糖基化、脱酰胺、异构化或额外M/W等化学风险。AntiFold与TNP保留为独立证据列，不参与这一30条的硬门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30条再进行3次配对PyRosetta亲和力非劣复核，结果为9条方向有利、12条混合、9条方向不利。结合接触保持、暴露疏水/强负AntiFold、实验缺失区邻近位点的AF3局部包装及不可补偿Pro风险，先形成22条活跃性质假设，再剔除16条负向证据更强的候选，保留Q1D、A23S、F30A、F30S、F30T和S55G共6条性质单突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被剔除的16条主要原因可归为：4条受体接触变化、3条AF3局部非劣门未通过、2条配对亲和力方向不利、3条强负AntiFold并伴随暴露疏水风险，以及4条其他强负AntiFold复合物信号。各原因按主阻断项计数，避免同一候选重复统计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4183512"/>
            <wp:docPr id="5" name="Picture 5" descr="图5  统一单突性质景观与分层结果" title="图5  统一单突性质景观与分层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04_property_landscap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83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b/>
          <w:color w:val="000000"/>
          <w:sz w:val="17"/>
        </w:rPr>
        <w:t>图5  统一单突性质景观与分层结果</w:t>
      </w:r>
    </w:p>
    <w:p>
      <w:pPr>
        <w:keepNext/>
        <w:spacing w:before="320" w:after="160"/>
      </w:pPr>
      <w:r>
        <w:rPr>
          <w:rFonts w:ascii="Calibri" w:hAnsi="Calibri" w:eastAsia="Microsoft YaHei"/>
          <w:b/>
          <w:color w:val="000000"/>
          <w:sz w:val="32"/>
        </w:rPr>
        <w:t>7. 统一单突空间、专家审查与双突组合</w:t>
      </w:r>
    </w:p>
    <w:p>
      <w:pPr>
        <w:keepNext/>
        <w:spacing w:before="240" w:after="120"/>
      </w:pPr>
      <w:r>
        <w:rPr>
          <w:rFonts w:ascii="Calibri" w:hAnsi="Calibri" w:eastAsia="Microsoft YaHei"/>
          <w:b/>
          <w:color w:val="000000"/>
          <w:sz w:val="26"/>
        </w:rPr>
        <w:t>7.1 统一候选合同</w:t>
      </w:r>
    </w:p>
    <w:p>
      <w:r>
        <w:rPr>
          <w:rFonts w:ascii="Calibri" w:hAnsi="Calibri" w:eastAsia="Microsoft YaHei"/>
          <w:b w:val="0"/>
          <w:color w:val="000000"/>
          <w:sz w:val="21"/>
        </w:rPr>
        <w:t>设计合同不再冻结整个框架区，也不把CDR和FR简单划分为亲和力区与性质区。亲和力候选可容许性质指标轻微负向，但阻止明确且一致的恶化；性质候选至少需要一个非微小改善，且不能出现明显的亲和力或结构破坏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经过前述多构象、性质幅度和专家安全门后，活跃单突固定为14条：8条亲和力来源和6条性质来源。它们既是可独立测试的假设，也是解释双突组合效应所需的组成单突对照。</w:t>
      </w:r>
    </w:p>
    <w:p>
      <w:pPr>
        <w:keepNext/>
        <w:spacing w:before="240" w:after="120"/>
      </w:pPr>
      <w:r>
        <w:rPr>
          <w:rFonts w:ascii="Calibri" w:hAnsi="Calibri" w:eastAsia="Microsoft YaHei"/>
          <w:b/>
          <w:color w:val="000000"/>
          <w:sz w:val="26"/>
        </w:rPr>
        <w:t>7.2 专家化风险审查</w:t>
      </w:r>
    </w:p>
    <w:p>
      <w:r>
        <w:rPr>
          <w:rFonts w:ascii="Calibri" w:hAnsi="Calibri" w:eastAsia="Microsoft YaHei"/>
          <w:b w:val="0"/>
          <w:color w:val="000000"/>
          <w:sz w:val="21"/>
        </w:rPr>
        <w:t>所有核心单突从结构和可开发性角度复核异常二硫键、新生糖基化motif、暴露疏水替换、致密疏水窗口、氧化风险、CDR柔性变化、保守位点、局部fa_rep、接触改变和对结构准备的敏感性。F30P等具有难以弥补的骨架风险突变直接移出候选空间，避免重复计算低价值假设。</w:t>
      </w:r>
    </w:p>
    <w:p>
      <w:pPr>
        <w:keepNext/>
        <w:spacing w:before="240" w:after="120"/>
      </w:pPr>
      <w:r>
        <w:rPr>
          <w:rFonts w:ascii="Calibri" w:hAnsi="Calibri" w:eastAsia="Microsoft YaHei"/>
          <w:b/>
          <w:color w:val="000000"/>
          <w:sz w:val="26"/>
        </w:rPr>
        <w:t>7.3 86条双突联合分析</w:t>
      </w:r>
    </w:p>
    <w:p>
      <w:r>
        <w:rPr>
          <w:rFonts w:ascii="Calibri" w:hAnsi="Calibri" w:eastAsia="Microsoft YaHei"/>
          <w:b w:val="0"/>
          <w:color w:val="000000"/>
          <w:sz w:val="21"/>
        </w:rPr>
        <w:t>双突并非只将一个亲和力突变与一个性质突变组合，而是对14条活跃单突进行完整两两组合。理论上14选2为91组；去除同一位置不能同时发生的5组互斥替换（R45的1组、E105的1组、F30的3组）后，得到86条可实现双突，并全部在统一协议下重新评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24D"/>
          <w:bottom w:val="single" w:sz="10" w:color="17324D"/>
          <w:insideH w:val="nil"/>
          <w:insideV w:val="nil"/>
          <w:left w:val="nil"/>
          <w:right w:val="nil"/>
        </w:tblBorders>
      </w:tblPr>
      <w:tblGrid>
        <w:gridCol w:w="3900"/>
        <w:gridCol w:w="1300"/>
        <w:gridCol w:w="4160"/>
      </w:tblGrid>
      <w:tr>
        <w:trPr>
          <w:tblHeader w:val="true"/>
        </w:trPr>
        <w:tc>
          <w:tcPr>
            <w:tcW w:type="dxa" w:w="39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联合证据类别</w:t>
            </w:r>
          </w:p>
        </w:tc>
        <w:tc>
          <w:tcPr>
            <w:tcW w:type="dxa" w:w="13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数量</w:t>
            </w:r>
          </w:p>
        </w:tc>
        <w:tc>
          <w:tcPr>
            <w:tcW w:type="dxa" w:w="416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含义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亲和力与性质共同支持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28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优先的平衡候选来源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亲和力支持、性质非不利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偏亲和力候选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性质支持、亲和力非不利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偏性质候选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权衡或无清晰联合支持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44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保留审计但不直接优先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color w:val="000000"/>
          <w:sz w:val="21"/>
        </w:rPr>
        <w:t>86/86均通过PyRosetta结构安全门；40条相对配对WT发生接触集合变化，46条不变。接触集合并不要求逐原子精确一致，而是结合表位保持、变化规模和能量方向判断。57条对实验参考定义敏感，29条相对稳健。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1739348"/>
            <wp:docPr id="6" name="Picture 6" descr="图6  86条双突的亲和力—性质联合证据" title="图6  86条双突的亲和力—性质联合证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05_double_muta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39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b/>
          <w:color w:val="000000"/>
          <w:sz w:val="17"/>
        </w:rPr>
        <w:t>图6  86条双突的亲和力—性质联合证据</w:t>
      </w:r>
    </w:p>
    <w:p>
      <w:pPr>
        <w:keepNext/>
        <w:spacing w:before="320" w:after="160"/>
      </w:pPr>
      <w:r>
        <w:rPr>
          <w:rFonts w:ascii="Calibri" w:hAnsi="Calibri" w:eastAsia="Microsoft YaHei"/>
          <w:b/>
          <w:color w:val="000000"/>
          <w:sz w:val="32"/>
        </w:rPr>
        <w:t>8. 终审能量来源与最终30条面板</w:t>
      </w:r>
    </w:p>
    <w:p>
      <w:pPr>
        <w:keepNext/>
        <w:spacing w:before="240" w:after="120"/>
      </w:pPr>
      <w:r>
        <w:rPr>
          <w:rFonts w:ascii="Calibri" w:hAnsi="Calibri" w:eastAsia="Microsoft YaHei"/>
          <w:b/>
          <w:color w:val="000000"/>
          <w:sz w:val="26"/>
        </w:rPr>
        <w:t>8.1 从100条审查记录到36条终审候选</w:t>
      </w:r>
    </w:p>
    <w:p>
      <w:r>
        <w:rPr>
          <w:rFonts w:ascii="Calibri" w:hAnsi="Calibri" w:eastAsia="Microsoft YaHei"/>
          <w:b w:val="0"/>
          <w:color w:val="000000"/>
          <w:sz w:val="21"/>
        </w:rPr>
        <w:t>这里的100条不是新生成的额外序列，而是前一步已经固定的14条活跃单突加86条可实现双突。14条单突全部进入主证据池，因为它们既是独立候选，也是解释组合所必需的组成对照；86条双突中，只有联合证据属于“亲和力与性质共同支持”“亲和力支持且性质非不利”或“性质支持且亲和力非不利”，并同时通过结构安全与硬约束的42条进入主证据池。因而主证据池为14+42=56条，其余44条权衡或证据不清晰双突仅保留审计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42条支持双突分为28条平衡支持、12条亲和力支持且性质非不利、2条性质支持且亲和力非不利。初步面板保留全部14条组成单突，并从28条平衡支持双突中选择16条；选择顺序先比较同一双突协议内的四项目标Pareto层——ΔdG、跨界面能、非微小性质改善项数和AntiFold兼容性——再用突变与位置对多样性打破同层排序。任何组成突变最多进入5条、任何位置对最多进入2条，防止R45或30/45等单一假设垄断面板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这样形成30条初步面板（14条单突+16条平衡双突）。同时按三类联合证据各保留2条储备：2条平衡双突、2条亲和力支持双突和2条性质支持双突，共6条。初步30条与6条储备合并为36条终审候选；随后复用既有三重复PyRosetta结果进行能量来源分解，没有新增PyRosetta或AF3计算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24D"/>
          <w:bottom w:val="single" w:sz="10" w:color="17324D"/>
          <w:insideH w:val="nil"/>
          <w:insideV w:val="nil"/>
          <w:left w:val="nil"/>
          <w:right w:val="nil"/>
        </w:tblBorders>
      </w:tblPr>
      <w:tblGrid>
        <w:gridCol w:w="2300"/>
        <w:gridCol w:w="950"/>
        <w:gridCol w:w="6110"/>
      </w:tblGrid>
      <w:tr>
        <w:trPr>
          <w:tblHeader w:val="true"/>
        </w:trPr>
        <w:tc>
          <w:tcPr>
            <w:tcW w:type="dxa" w:w="23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漏斗阶段</w:t>
            </w:r>
          </w:p>
        </w:tc>
        <w:tc>
          <w:tcPr>
            <w:tcW w:type="dxa" w:w="95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数量</w:t>
            </w:r>
          </w:p>
        </w:tc>
        <w:tc>
          <w:tcPr>
            <w:tcW w:type="dxa" w:w="611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组成与去向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统一审查全集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14条活跃单突 + 86条双突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主证据池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56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14条单突 + 42条支持双突；44条权衡/不清晰双突留档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初步面板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全部14条单突 + 16条多样化平衡双突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分层储备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平衡/亲和力支持/性质支持双突各2条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能量来源终审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36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初步30条 + 6条储备，逐条显式决定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24D"/>
          <w:bottom w:val="single" w:sz="10" w:color="17324D"/>
          <w:insideH w:val="nil"/>
          <w:insideV w:val="nil"/>
          <w:left w:val="nil"/>
          <w:right w:val="nil"/>
        </w:tblBorders>
      </w:tblPr>
      <w:tblGrid>
        <w:gridCol w:w="4550"/>
        <w:gridCol w:w="1300"/>
        <w:gridCol w:w="3510"/>
      </w:tblGrid>
      <w:tr>
        <w:trPr>
          <w:tblHeader w:val="true"/>
        </w:trPr>
        <w:tc>
          <w:tcPr>
            <w:tcW w:type="dxa" w:w="455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能量来源类别</w:t>
            </w:r>
          </w:p>
        </w:tc>
        <w:tc>
          <w:tcPr>
            <w:tcW w:type="dxa" w:w="13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数量</w:t>
            </w:r>
          </w:p>
        </w:tc>
        <w:tc>
          <w:tcPr>
            <w:tcW w:type="dxa" w:w="351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终审解释</w:t>
            </w:r>
          </w:p>
        </w:tc>
      </w:tr>
      <w:tr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复合物与分离态均有利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相对更直接的双态支持</w:t>
            </w:r>
          </w:p>
        </w:tc>
      </w:tr>
      <w:tr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表观结合改善由分离态惩罚驱动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不得单独声称亲和力提高</w:t>
            </w:r>
          </w:p>
        </w:tc>
      </w:tr>
      <w:tr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一致分离态谨慎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19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结合其他证据审查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1904273"/>
            <wp:docPr id="7" name="Picture 7" descr="图7  36条终审候选的配对Rosetta能量来源审查" title="图7  36条终审候选的配对Rosetta能量来源审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06_finalist_energ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04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b/>
          <w:color w:val="000000"/>
          <w:sz w:val="17"/>
        </w:rPr>
        <w:t>图7  36条终审候选的配对Rosetta能量来源审查</w:t>
      </w:r>
    </w:p>
    <w:p>
      <w:pPr>
        <w:keepNext/>
        <w:spacing w:before="240" w:after="120"/>
      </w:pPr>
      <w:r>
        <w:rPr>
          <w:rFonts w:ascii="Calibri" w:hAnsi="Calibri" w:eastAsia="Microsoft YaHei"/>
          <w:b/>
          <w:color w:val="000000"/>
          <w:sz w:val="26"/>
        </w:rPr>
        <w:t>8.2 最终候选确定</w:t>
      </w:r>
    </w:p>
    <w:p>
      <w:r>
        <w:rPr>
          <w:rFonts w:ascii="Calibri" w:hAnsi="Calibri" w:eastAsia="Microsoft YaHei"/>
          <w:b w:val="0"/>
          <w:color w:val="000000"/>
          <w:sz w:val="21"/>
        </w:rPr>
        <w:t>终审逐条结合直接复合物能量、跨界面能、分离态来源、接触/表位保持、AntiFold、U/S/Tm、TNP、化学风险、组成单突对照价值和面板多样性。最终排除D101W、I103W和Q1D;R45V；保留F30S;E105L、R45T;E105L、S55G;E105F为储备；从原储备提升A23S;R45V、F30T;E105F、R45T;E105F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24D"/>
          <w:bottom w:val="single" w:sz="10" w:color="17324D"/>
          <w:insideH w:val="nil"/>
          <w:insideV w:val="nil"/>
          <w:left w:val="nil"/>
          <w:right w:val="nil"/>
        </w:tblBorders>
      </w:tblPr>
      <w:tblGrid>
        <w:gridCol w:w="3300"/>
        <w:gridCol w:w="1200"/>
        <w:gridCol w:w="4860"/>
      </w:tblGrid>
      <w:tr>
        <w:trPr>
          <w:tblHeader w:val="true"/>
        </w:trPr>
        <w:tc>
          <w:tcPr>
            <w:tcW w:type="dxa" w:w="33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最终类别</w:t>
            </w:r>
          </w:p>
        </w:tc>
        <w:tc>
          <w:tcPr>
            <w:tcW w:type="dxa" w:w="12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数量</w:t>
            </w:r>
          </w:p>
        </w:tc>
        <w:tc>
          <w:tcPr>
            <w:tcW w:type="dxa" w:w="486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实验作用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亲和力导向单突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检验单点界面假设与组合组成效应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性质导向单突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检验稳定性/可开发性假设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平衡组合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17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联合亲和力与性质证据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亲和力支持双突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补充直接亲和力组合假设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1805750"/>
            <wp:docPr id="8" name="Picture 8" descr="图8  最终30条候选的类别、能量来源与风险构成" title="图8  最终30条候选的类别、能量来源与风险构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07_final_pan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b/>
          <w:color w:val="000000"/>
          <w:sz w:val="17"/>
        </w:rPr>
        <w:t>图8  最终30条候选的类别、能量来源与风险构成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BF5F0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终审结论  </w:t>
            </w: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最终确定30条互不重复的建议测试序列，另保留3条储备并排除3条风险或证据不足的候选。所有候选均为计算优先结果，尚需实验验证。</w:t>
            </w:r>
          </w:p>
        </w:tc>
      </w:tr>
    </w:tbl>
    <w:p>
      <w:pPr>
        <w:spacing w:after="40"/>
      </w:pPr>
    </w:p>
    <w:p>
      <w:pPr>
        <w:keepNext/>
        <w:spacing w:before="320" w:after="160"/>
      </w:pPr>
      <w:r>
        <w:rPr>
          <w:rFonts w:ascii="Calibri" w:hAnsi="Calibri" w:eastAsia="Microsoft YaHei"/>
          <w:b/>
          <w:color w:val="000000"/>
          <w:sz w:val="32"/>
        </w:rPr>
        <w:t>9. 局限性、风险与实验建议</w:t>
      </w:r>
    </w:p>
    <w:p>
      <w:pPr>
        <w:keepNext/>
        <w:spacing w:before="240" w:after="120"/>
      </w:pPr>
      <w:r>
        <w:rPr>
          <w:rFonts w:ascii="Calibri" w:hAnsi="Calibri" w:eastAsia="Microsoft YaHei"/>
          <w:b/>
          <w:color w:val="000000"/>
          <w:sz w:val="26"/>
        </w:rPr>
        <w:t>9.1 当前局限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1"/>
        </w:rPr>
        <w:t>尚无候选的实测亲和力、表达量、稳定性、SEC或功能数据。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1"/>
        </w:rPr>
        <w:t>AF3对WT CDR3的构象偏差较大，不能用作结合构象真值。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1"/>
        </w:rPr>
        <w:t>部分负ΔdG由分离态惩罚驱动；最终面板仍保留少量低置信机制/性质假设以维持实验信息量。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1"/>
        </w:rPr>
        <w:t>NetSolP、NanoMelt、TNP、nanoBERT与47条BL21产量的关系较弱，均不具备实测产量替代能力。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1"/>
        </w:rPr>
        <w:t>双突效应可能存在非加和性；计算排序只能确定测试优先级。</w:t>
      </w:r>
    </w:p>
    <w:p>
      <w:pPr>
        <w:keepNext/>
        <w:spacing w:before="240" w:after="120"/>
      </w:pPr>
      <w:r>
        <w:rPr>
          <w:rFonts w:ascii="Calibri" w:hAnsi="Calibri" w:eastAsia="Microsoft YaHei"/>
          <w:b/>
          <w:color w:val="000000"/>
          <w:sz w:val="26"/>
        </w:rPr>
        <w:t>9.2 推荐实验设计</w:t>
      </w:r>
    </w:p>
    <w:p>
      <w:r>
        <w:rPr>
          <w:rFonts w:ascii="Calibri" w:hAnsi="Calibri" w:eastAsia="Microsoft YaHei"/>
          <w:b w:val="0"/>
          <w:color w:val="000000"/>
          <w:sz w:val="21"/>
        </w:rPr>
        <w:t>建议将30条候选与WT放在同一构建体、表达和纯化流程中测试。第一轮优先采用小规模BL21表达和统一亲和力测定，以最小成本识别明确失败和有价值信号；第二轮再对表现优良候选开展更完整的稳定性、聚集和功能表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24D"/>
          <w:bottom w:val="single" w:sz="10" w:color="17324D"/>
          <w:insideH w:val="nil"/>
          <w:insideV w:val="nil"/>
          <w:left w:val="nil"/>
          <w:right w:val="nil"/>
        </w:tblBorders>
      </w:tblPr>
      <w:tblGrid>
        <w:gridCol w:w="1700"/>
        <w:gridCol w:w="3300"/>
        <w:gridCol w:w="4360"/>
      </w:tblGrid>
      <w:tr>
        <w:trPr>
          <w:tblHeader w:val="true"/>
        </w:trPr>
        <w:tc>
          <w:tcPr>
            <w:tcW w:type="dxa" w:w="17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实验模块</w:t>
            </w:r>
          </w:p>
        </w:tc>
        <w:tc>
          <w:tcPr>
            <w:tcW w:type="dxa" w:w="33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主要读出</w:t>
            </w:r>
          </w:p>
        </w:tc>
        <w:tc>
          <w:tcPr>
            <w:tcW w:type="dxa" w:w="436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关键对照/判定目的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BL21表达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总表达、可溶比例、纯化回收率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WT同批；验证真实产量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纯度与聚集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SDS-PAGE、SEC单体比例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排除聚集与异常构象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稳定性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DSF/DSC Tm、应力后单体比例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验证NanoMelt等预测方向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结合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KD、kon、koff或统一替代读出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WT与单突组成对照；验证亲和力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表位/功能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竞争、细胞或功能实验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确认表位与作用模式保持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3F6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预定义决策原则  </w:t>
            </w: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优先保留亲和力改善且表达/单体比例不明显下降的候选；性质改善候选必须证明不损害结合。所有阴性、近中性与失败结果也应保留，用于反向评估计算路线。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60"/>
      </w:pPr>
      <w:r>
        <w:rPr>
          <w:rFonts w:ascii="Calibri" w:hAnsi="Calibri" w:eastAsia="Microsoft YaHei"/>
          <w:b/>
          <w:color w:val="000000"/>
          <w:sz w:val="32"/>
        </w:rPr>
        <w:t>附录A  最终30条候选概览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24D"/>
          <w:bottom w:val="single" w:sz="10" w:color="17324D"/>
          <w:insideH w:val="nil"/>
          <w:insideV w:val="nil"/>
          <w:left w:val="nil"/>
          <w:right w:val="nil"/>
        </w:tblBorders>
      </w:tblPr>
      <w:tblGrid>
        <w:gridCol w:w="600"/>
        <w:gridCol w:w="1200"/>
        <w:gridCol w:w="1300"/>
        <w:gridCol w:w="800"/>
        <w:gridCol w:w="2200"/>
        <w:gridCol w:w="3260"/>
      </w:tblGrid>
      <w:tr>
        <w:trPr>
          <w:tblHeader w:val="true"/>
        </w:trPr>
        <w:tc>
          <w:tcPr>
            <w:tcW w:type="dxa" w:w="6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序号</w:t>
            </w:r>
          </w:p>
        </w:tc>
        <w:tc>
          <w:tcPr>
            <w:tcW w:type="dxa" w:w="12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突变</w:t>
            </w:r>
          </w:p>
        </w:tc>
        <w:tc>
          <w:tcPr>
            <w:tcW w:type="dxa" w:w="13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类别</w:t>
            </w:r>
          </w:p>
        </w:tc>
        <w:tc>
          <w:tcPr>
            <w:tcW w:type="dxa" w:w="8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风险</w:t>
            </w:r>
          </w:p>
        </w:tc>
        <w:tc>
          <w:tcPr>
            <w:tcW w:type="dxa" w:w="22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能量来源</w:t>
            </w:r>
          </w:p>
        </w:tc>
        <w:tc>
          <w:tcPr>
            <w:tcW w:type="dxa" w:w="326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入选要点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R45T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亲和力单突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中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表观结合改善主要由分离态惩罚驱动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表观结合改善主要由分离态惩罚驱动；局部接触保持；性质非微小改善0项、明显不利0项；检验单点亲和力假设。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R45V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亲和力单突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高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表观结合改善主要由分离态惩罚驱动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表观结合改善主要由分离态惩罚驱动；局部接触保持；性质非微小改善1项、明显不利0项；检验单点亲和力假设。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E105F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亲和力单突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高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复合物与分离态均有利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复合物与分离态均有利；局部接触保持；性质非微小改善1项、明显不利0项；检验单点亲和力假设。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E105L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亲和力单突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高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复合物与分离态均有利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复合物与分离态均有利；局部接触保持；性质非微小改善0项、明显不利1项；检验单点亲和力假设。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N107A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亲和力单突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高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分离态持续不利，需谨慎解释；局部接触保持；性质非微小改善0项、明显不利0项；检验单点亲和力假设。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S114M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亲和力单突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高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分离态持续不利，需谨慎解释；局部接触保持；性质非微小改善0项、明显不利0项；检验单点亲和力假设。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F30T;E105F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亲和力双突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未见接触变化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分离态持续不利，需谨慎解释；局部接触保持；性质非微小改善0项、明显不利0项；检验双位点亲和力协同。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A23S;E105F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需关注局部接触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复合物与分离态均有利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复合物与分离态均有利；存在已审查的局部接触变化；性质非微小改善1项、明显不利0项；检验亲和力与性质的联合改善。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A23S;E105L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需关注局部接触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复合物与分离态均有利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复合物与分离态均有利；存在已审查的局部接触变化；性质非微小改善1项、明显不利0项；检验亲和力与性质的联合改善。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A23S;R45V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未见接触变化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分离态持续不利，需谨慎解释；局部接触保持；性质非微小改善2项、明显不利0项；检验亲和力与性质的联合改善。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F30A;E105L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未见接触变化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分离态持续不利，需谨慎解释；局部接触保持；性质非微小改善1项、明显不利0项；检验亲和力与性质的联合改善。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12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F30A;R45V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未见接触变化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表观结合改善主要由分离态惩罚驱动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表观结合改善主要由分离态惩罚驱动；局部接触保持；性质非微小改善3项、明显不利0项；检验亲和力与性质的联合改善。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13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F30T;R45T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未见接触变化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表观结合改善主要由分离态惩罚驱动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表观结合改善主要由分离态惩罚驱动；局部接触保持；性质非微小改善2项、明显不利0项；检验亲和力与性质的联合改善。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Q1D;E105F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未见接触变化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分离态持续不利，需谨慎解释；局部接触保持；性质非微小改善1项、明显不利0项；检验亲和力与性质的联合改善。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15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Q1D;E105L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未见接触变化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分离态持续不利，需谨慎解释；局部接触保持；性质非微小改善1项、明显不利0项；检验亲和力与性质的联合改善。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16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Q1D;F30T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未见接触变化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分离态持续不利，需谨慎解释；局部接触保持；性质非微小改善1项、明显不利0项；检验亲和力与性质的联合改善。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17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R45T;E105F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未见接触变化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分离态持续不利，需谨慎解释；局部接触保持；性质非微小改善1项、明显不利0项；检验亲和力与性质的联合改善。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18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R45T;N107A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未见接触变化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表观结合改善主要由分离态惩罚驱动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表观结合改善主要由分离态惩罚驱动；局部接触保持；性质非微小改善1项、明显不利0项；检验亲和力与性质的联合改善。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19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R45T;S55G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未见接触变化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表观结合改善主要由分离态惩罚驱动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表观结合改善主要由分离态惩罚驱动；局部接触保持；性质非微小改善1项、明显不利0项；检验亲和力与性质的联合改善。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R45V;E105F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未见接触变化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分离态持续不利，需谨慎解释；局部接触保持；性质非微小改善1项、明显不利0项；检验亲和力与性质的联合改善。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21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R45V;E105L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未见接触变化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分离态持续不利，需谨慎解释；局部接触保持；性质非微小改善1项、明显不利0项；检验亲和力与性质的联合改善。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22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R45V;N107A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需关注局部接触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分离态持续不利，需谨慎解释；存在已审查的局部接触变化；性质非微小改善2项、明显不利0项；检验亲和力与性质的联合改善。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23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S55G;E105L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未见接触变化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表观结合改善主要由分离态惩罚驱动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表观结合改善主要由分离态惩罚驱动；局部接触保持；性质非微小改善1项、明显不利0项；检验亲和力与性质的联合改善。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24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S55G;N107A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未见接触变化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表观结合改善主要由分离态惩罚驱动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表观结合改善主要由分离态惩罚驱动；局部接触保持；性质非微小改善1项、明显不利0项；检验亲和力与性质的联合改善。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25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Q1D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性质单突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低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表观结合改善主要由分离态惩罚驱动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表观结合改善主要由分离态惩罚驱动；局部接触保持；性质非微小改善1项、明显不利0项；检验性质改善及组合组成效应。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26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A23S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性质单突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中高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复合物与分离态均有利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复合物与分离态均有利；局部接触保持；性质非微小改善1项、明显不利0项；检验性质改善及组合组成效应。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27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F30A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性质单突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中高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分离态持续不利，需谨慎解释；局部接触保持；性质非微小改善2项、明显不利0项；检验性质改善及组合组成效应。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F30S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性质单突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中高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分离态持续不利，需谨慎解释；局部接触保持；性质非微小改善2项、明显不利0项；检验性质改善及组合组成效应。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29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F30T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性质单突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中高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分离态持续不利，需谨慎解释；局部接触保持；性质非微小改善1项、明显不利0项；检验性质改善及组合组成效应。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S55G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性质单突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中高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分离态持续不利，需谨慎解释；局部接触保持；性质非微小改善1项、明显不利0项；检验性质改善及组合组成效应。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color w:val="000000"/>
          <w:sz w:val="21"/>
        </w:rPr>
        <w:t>说明：风险等级和能量来源均为计算审查标签，不是实验表型。完整128-aa序列见附录D；WT为面板外独立对照。</w:t>
      </w:r>
    </w:p>
    <w:p>
      <w:pPr>
        <w:keepNext/>
        <w:spacing w:before="320" w:after="160"/>
      </w:pPr>
      <w:r>
        <w:rPr>
          <w:rFonts w:ascii="Calibri" w:hAnsi="Calibri" w:eastAsia="Microsoft YaHei"/>
          <w:b/>
          <w:color w:val="000000"/>
          <w:sz w:val="32"/>
        </w:rPr>
        <w:t>附录B  储备、排除与关键决策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24D"/>
          <w:bottom w:val="single" w:sz="10" w:color="17324D"/>
          <w:insideH w:val="nil"/>
          <w:insideV w:val="nil"/>
          <w:left w:val="nil"/>
          <w:right w:val="nil"/>
        </w:tblBorders>
      </w:tblPr>
      <w:tblGrid>
        <w:gridCol w:w="2000"/>
        <w:gridCol w:w="1200"/>
        <w:gridCol w:w="6160"/>
      </w:tblGrid>
      <w:tr>
        <w:trPr>
          <w:tblHeader w:val="true"/>
        </w:trPr>
        <w:tc>
          <w:tcPr>
            <w:tcW w:type="dxa" w:w="20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候选</w:t>
            </w:r>
          </w:p>
        </w:tc>
        <w:tc>
          <w:tcPr>
            <w:tcW w:type="dxa" w:w="12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决定</w:t>
            </w:r>
          </w:p>
        </w:tc>
        <w:tc>
          <w:tcPr>
            <w:tcW w:type="dxa" w:w="616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核心理由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F30S;E105L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储备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复合物能量和AntiFold方向有利，但性质变化未达到非微小改善标准，且E105L已达到预设多样性上限。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R45T;E105L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储备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复合物和结合能量证据较强，但有一项性质指标明显不利，且E105L已达到预设多样性上限。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S55G;E105F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储备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复合物及跨界面能量改善，但有一项性质指标明显不利，且E105F已有更强的互补组合。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D101W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排除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三次配对重复中突变体复合物均不利，表观结合改善完全由分离态惩罚驱动，并伴随暴露Trp、氧化、接触变化和局部排斥风险。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I103W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排除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三次配对重复中突变体复合物均不利，表观结合改善完全由分离态惩罚驱动，并伴随Trp氧化、接触变化、局部排斥和AntiFold负向证据。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Q1D;R45V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排除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突变体复合物明显不利，表观结合改善完全由分离态惩罚驱动；A23S;R45V提供了直接证据更好的同位点替代方案。</w:t>
            </w:r>
          </w:p>
        </w:tc>
      </w:tr>
    </w:tbl>
    <w:p>
      <w:pPr>
        <w:spacing w:after="20"/>
      </w:pPr>
    </w:p>
    <w:p>
      <w:pPr>
        <w:keepNext/>
        <w:spacing w:before="320" w:after="160"/>
      </w:pPr>
      <w:r>
        <w:rPr>
          <w:rFonts w:ascii="Calibri" w:hAnsi="Calibri" w:eastAsia="Microsoft YaHei"/>
          <w:b/>
          <w:color w:val="000000"/>
          <w:sz w:val="32"/>
        </w:rPr>
        <w:t>附录C  软件与证据角色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24D"/>
          <w:bottom w:val="single" w:sz="10" w:color="17324D"/>
          <w:insideH w:val="nil"/>
          <w:insideV w:val="nil"/>
          <w:left w:val="nil"/>
          <w:right w:val="nil"/>
        </w:tblBorders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工具</w:t>
            </w:r>
          </w:p>
        </w:tc>
        <w:tc>
          <w:tcPr>
            <w:tcW w:type="dxa" w:w="43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在本项目中的作用</w:t>
            </w:r>
          </w:p>
        </w:tc>
        <w:tc>
          <w:tcPr>
            <w:tcW w:type="dxa" w:w="316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不能据此声称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PyRosetta / Flex ddG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同一实验构象附近的配对相对能量、局部构象与重复稳健性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实验KD、kon、koff或真实自由能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AntiFold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在既定结构背景下评价序列兼容性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表达量或热稳定性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NetSolP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溶解性与usability的辅助方向信号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BL21实测产量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NanoMelt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相对WT的预测表观Tm方向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实测Tm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TNP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表面疏水/电荷与可开发性风险提示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产量排序或单独淘汰依据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nanoBERT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验证语言模型分数与现有产量数据的关系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候选产量预测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AF3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补充实验缺失区与条件性局部包装复核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实验CDR3构象或亲和力排序</w:t>
            </w:r>
          </w:p>
        </w:tc>
      </w:tr>
    </w:tbl>
    <w:p>
      <w:pPr>
        <w:spacing w:after="20"/>
      </w:pPr>
    </w:p>
    <w:p>
      <w:pPr>
        <w:keepNext/>
        <w:spacing w:before="320" w:after="160"/>
      </w:pPr>
      <w:r>
        <w:rPr>
          <w:rFonts w:ascii="Calibri" w:hAnsi="Calibri" w:eastAsia="Microsoft YaHei"/>
          <w:b/>
          <w:color w:val="000000"/>
          <w:sz w:val="32"/>
        </w:rPr>
        <w:t>附录D  最终30条完整序列</w:t>
      </w:r>
    </w:p>
    <w:p>
      <w:r>
        <w:rPr>
          <w:rFonts w:ascii="Calibri" w:hAnsi="Calibri" w:eastAsia="Microsoft YaHei"/>
          <w:b w:val="0"/>
          <w:color w:val="000000"/>
          <w:sz w:val="21"/>
        </w:rPr>
        <w:t>以下序列按最终面板顺序列出。每条均为128 aa并保留末端SSGS；这些序列属于建议实验测试候选，尚未经实验验证。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000000"/>
          <w:sz w:val="16"/>
        </w:rPr>
        <w:t>1. R45T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000000"/>
          <w:sz w:val="14"/>
        </w:rPr>
        <w:t>QVQLQESGGGLVQAGGSLRLSCAASGTIFFGYDMGWYRQAPGKETEFVASITTGSNTNYADSVKGRFTISRDNAKNTVYLQMNSLKPEDTAVYYCAVDTIDYIIEWNVYYYIFSYWGQGTQVTVSSGS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000000"/>
          <w:sz w:val="16"/>
        </w:rPr>
        <w:t>2. R45V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000000"/>
          <w:sz w:val="14"/>
        </w:rPr>
        <w:t>QVQLQESGGGLVQAGGSLRLSCAASGTIFFGYDMGWYRQAPGKEVEFVASITTGSNTNYADSVKGRFTISRDNAKNTVYLQMNSLKPEDTAVYYCAVDTIDYIIEWNVYYYIFSYWGQGTQVTVSSGS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000000"/>
          <w:sz w:val="16"/>
        </w:rPr>
        <w:t>3. E105F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000000"/>
          <w:sz w:val="14"/>
        </w:rPr>
        <w:t>QVQLQESGGGLVQAGGSLRLSCAASGTIFFGYDMGWYRQAPGKEREFVASITTGSNTNYADSVKGRFTISRDNAKNTVYLQMNSLKPEDTAVYYCAVDTIDYIIFWNVYYYIFSYWGQGTQVTVSSGS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000000"/>
          <w:sz w:val="16"/>
        </w:rPr>
        <w:t>4. E105L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000000"/>
          <w:sz w:val="14"/>
        </w:rPr>
        <w:t>QVQLQESGGGLVQAGGSLRLSCAASGTIFFGYDMGWYRQAPGKEREFVASITTGSNTNYADSVKGRFTISRDNAKNTVYLQMNSLKPEDTAVYYCAVDTIDYIILWNVYYYIFSYWGQGTQVTVSSGS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000000"/>
          <w:sz w:val="16"/>
        </w:rPr>
        <w:t>5. N107A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000000"/>
          <w:sz w:val="14"/>
        </w:rPr>
        <w:t>QVQLQESGGGLVQAGGSLRLSCAASGTIFFGYDMGWYRQAPGKEREFVASITTGSNTNYADSVKGRFTISRDNAKNTVYLQMNSLKPEDTAVYYCAVDTIDYIIEWAVYYYIFSYWGQGTQVTVSSGS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000000"/>
          <w:sz w:val="16"/>
        </w:rPr>
        <w:t>6. S114M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000000"/>
          <w:sz w:val="14"/>
        </w:rPr>
        <w:t>QVQLQESGGGLVQAGGSLRLSCAASGTIFFGYDMGWYRQAPGKEREFVASITTGSNTNYADSVKGRFTISRDNAKNTVYLQMNSLKPEDTAVYYCAVDTIDYIIEWNVYYYIFMYWGQGTQVTVSSGS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000000"/>
          <w:sz w:val="16"/>
        </w:rPr>
        <w:t>7. F30T;E105F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000000"/>
          <w:sz w:val="14"/>
        </w:rPr>
        <w:t>QVQLQESGGGLVQAGGSLRLSCAASGTIFTGYDMGWYRQAPGKEREFVASITTGSNTNYADSVKGRFTISRDNAKNTVYLQMNSLKPEDTAVYYCAVDTIDYIIFWNVYYYIFSYWGQGTQVTVSSGS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000000"/>
          <w:sz w:val="16"/>
        </w:rPr>
        <w:t>8. A23S;E105F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000000"/>
          <w:sz w:val="14"/>
        </w:rPr>
        <w:t>QVQLQESGGGLVQAGGSLRLSCSASGTIFFGYDMGWYRQAPGKEREFVASITTGSNTNYADSVKGRFTISRDNAKNTVYLQMNSLKPEDTAVYYCAVDTIDYIIFWNVYYYIFSYWGQGTQVTVSSGS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000000"/>
          <w:sz w:val="16"/>
        </w:rPr>
        <w:t>9. A23S;E105L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000000"/>
          <w:sz w:val="14"/>
        </w:rPr>
        <w:t>QVQLQESGGGLVQAGGSLRLSCSASGTIFFGYDMGWYRQAPGKEREFVASITTGSNTNYADSVKGRFTISRDNAKNTVYLQMNSLKPEDTAVYYCAVDTIDYIILWNVYYYIFSYWGQGTQVTVSSGS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000000"/>
          <w:sz w:val="16"/>
        </w:rPr>
        <w:t>10. A23S;R45V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000000"/>
          <w:sz w:val="14"/>
        </w:rPr>
        <w:t>QVQLQESGGGLVQAGGSLRLSCSASGTIFFGYDMGWYRQAPGKEVEFVASITTGSNTNYADSVKGRFTISRDNAKNTVYLQMNSLKPEDTAVYYCAVDTIDYIIEWNVYYYIFSYWGQGTQVTVSSGS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000000"/>
          <w:sz w:val="16"/>
        </w:rPr>
        <w:t>11. F30A;E105L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000000"/>
          <w:sz w:val="14"/>
        </w:rPr>
        <w:t>QVQLQESGGGLVQAGGSLRLSCAASGTIFAGYDMGWYRQAPGKEREFVASITTGSNTNYADSVKGRFTISRDNAKNTVYLQMNSLKPEDTAVYYCAVDTIDYIILWNVYYYIFSYWGQGTQVTVSSGS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000000"/>
          <w:sz w:val="16"/>
        </w:rPr>
        <w:t>12. F30A;R45V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000000"/>
          <w:sz w:val="14"/>
        </w:rPr>
        <w:t>QVQLQESGGGLVQAGGSLRLSCAASGTIFAGYDMGWYRQAPGKEVEFVASITTGSNTNYADSVKGRFTISRDNAKNTVYLQMNSLKPEDTAVYYCAVDTIDYIIEWNVYYYIFSYWGQGTQVTVSSGS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000000"/>
          <w:sz w:val="16"/>
        </w:rPr>
        <w:t>13. F30T;R45T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000000"/>
          <w:sz w:val="14"/>
        </w:rPr>
        <w:t>QVQLQESGGGLVQAGGSLRLSCAASGTIFTGYDMGWYRQAPGKETEFVASITTGSNTNYADSVKGRFTISRDNAKNTVYLQMNSLKPEDTAVYYCAVDTIDYIIEWNVYYYIFSYWGQGTQVTVSSGS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000000"/>
          <w:sz w:val="16"/>
        </w:rPr>
        <w:t>14. Q1D;E105F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000000"/>
          <w:sz w:val="14"/>
        </w:rPr>
        <w:t>DVQLQESGGGLVQAGGSLRLSCAASGTIFFGYDMGWYRQAPGKEREFVASITTGSNTNYADSVKGRFTISRDNAKNTVYLQMNSLKPEDTAVYYCAVDTIDYIIFWNVYYYIFSYWGQGTQVTVSSGS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000000"/>
          <w:sz w:val="16"/>
        </w:rPr>
        <w:t>15. Q1D;E105L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000000"/>
          <w:sz w:val="14"/>
        </w:rPr>
        <w:t>DVQLQESGGGLVQAGGSLRLSCAASGTIFFGYDMGWYRQAPGKEREFVASITTGSNTNYADSVKGRFTISRDNAKNTVYLQMNSLKPEDTAVYYCAVDTIDYIILWNVYYYIFSYWGQGTQVTVSSGS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000000"/>
          <w:sz w:val="16"/>
        </w:rPr>
        <w:t>16. Q1D;F30T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000000"/>
          <w:sz w:val="14"/>
        </w:rPr>
        <w:t>DVQLQESGGGLVQAGGSLRLSCAASGTIFTGYDMGWYRQAPGKEREFVASITTGSNTNYADSVKGRFTISRDNAKNTVYLQMNSLKPEDTAVYYCAVDTIDYIIEWNVYYYIFSYWGQGTQVTVSSGS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000000"/>
          <w:sz w:val="16"/>
        </w:rPr>
        <w:t>17. R45T;E105F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000000"/>
          <w:sz w:val="14"/>
        </w:rPr>
        <w:t>QVQLQESGGGLVQAGGSLRLSCAASGTIFFGYDMGWYRQAPGKETEFVASITTGSNTNYADSVKGRFTISRDNAKNTVYLQMNSLKPEDTAVYYCAVDTIDYIIFWNVYYYIFSYWGQGTQVTVSSGS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000000"/>
          <w:sz w:val="16"/>
        </w:rPr>
        <w:t>18. R45T;N107A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000000"/>
          <w:sz w:val="14"/>
        </w:rPr>
        <w:t>QVQLQESGGGLVQAGGSLRLSCAASGTIFFGYDMGWYRQAPGKETEFVASITTGSNTNYADSVKGRFTISRDNAKNTVYLQMNSLKPEDTAVYYCAVDTIDYIIEWAVYYYIFSYWGQGTQVTVSSGS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000000"/>
          <w:sz w:val="16"/>
        </w:rPr>
        <w:t>19. R45T;S55G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000000"/>
          <w:sz w:val="14"/>
        </w:rPr>
        <w:t>QVQLQESGGGLVQAGGSLRLSCAASGTIFFGYDMGWYRQAPGKETEFVASITTGGNTNYADSVKGRFTISRDNAKNTVYLQMNSLKPEDTAVYYCAVDTIDYIIEWNVYYYIFSYWGQGTQVTVSSGS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000000"/>
          <w:sz w:val="16"/>
        </w:rPr>
        <w:t>20. R45V;E105F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000000"/>
          <w:sz w:val="14"/>
        </w:rPr>
        <w:t>QVQLQESGGGLVQAGGSLRLSCAASGTIFFGYDMGWYRQAPGKEVEFVASITTGSNTNYADSVKGRFTISRDNAKNTVYLQMNSLKPEDTAVYYCAVDTIDYIIFWNVYYYIFSYWGQGTQVTVSSGS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000000"/>
          <w:sz w:val="16"/>
        </w:rPr>
        <w:t>21. R45V;E105L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000000"/>
          <w:sz w:val="14"/>
        </w:rPr>
        <w:t>QVQLQESGGGLVQAGGSLRLSCAASGTIFFGYDMGWYRQAPGKEVEFVASITTGSNTNYADSVKGRFTISRDNAKNTVYLQMNSLKPEDTAVYYCAVDTIDYIILWNVYYYIFSYWGQGTQVTVSSGS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000000"/>
          <w:sz w:val="16"/>
        </w:rPr>
        <w:t>22. R45V;N107A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000000"/>
          <w:sz w:val="14"/>
        </w:rPr>
        <w:t>QVQLQESGGGLVQAGGSLRLSCAASGTIFFGYDMGWYRQAPGKEVEFVASITTGSNTNYADSVKGRFTISRDNAKNTVYLQMNSLKPEDTAVYYCAVDTIDYIIEWAVYYYIFSYWGQGTQVTVSSGS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000000"/>
          <w:sz w:val="16"/>
        </w:rPr>
        <w:t>23. S55G;E105L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000000"/>
          <w:sz w:val="14"/>
        </w:rPr>
        <w:t>QVQLQESGGGLVQAGGSLRLSCAASGTIFFGYDMGWYRQAPGKEREFVASITTGGNTNYADSVKGRFTISRDNAKNTVYLQMNSLKPEDTAVYYCAVDTIDYIILWNVYYYIFSYWGQGTQVTVSSGS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000000"/>
          <w:sz w:val="16"/>
        </w:rPr>
        <w:t>24. S55G;N107A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000000"/>
          <w:sz w:val="14"/>
        </w:rPr>
        <w:t>QVQLQESGGGLVQAGGSLRLSCAASGTIFFGYDMGWYRQAPGKEREFVASITTGGNTNYADSVKGRFTISRDNAKNTVYLQMNSLKPEDTAVYYCAVDTIDYIIEWAVYYYIFSYWGQGTQVTVSSGS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000000"/>
          <w:sz w:val="16"/>
        </w:rPr>
        <w:t>25. Q1D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000000"/>
          <w:sz w:val="14"/>
        </w:rPr>
        <w:t>DVQLQESGGGLVQAGGSLRLSCAASGTIFFGYDMGWYRQAPGKEREFVASITTGSNTNYADSVKGRFTISRDNAKNTVYLQMNSLKPEDTAVYYCAVDTIDYIIEWNVYYYIFSYWGQGTQVTVSSGS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000000"/>
          <w:sz w:val="16"/>
        </w:rPr>
        <w:t>26. A23S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000000"/>
          <w:sz w:val="14"/>
        </w:rPr>
        <w:t>QVQLQESGGGLVQAGGSLRLSCSASGTIFFGYDMGWYRQAPGKEREFVASITTGSNTNYADSVKGRFTISRDNAKNTVYLQMNSLKPEDTAVYYCAVDTIDYIIEWNVYYYIFSYWGQGTQVTVSSGS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000000"/>
          <w:sz w:val="16"/>
        </w:rPr>
        <w:t>27. F30A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000000"/>
          <w:sz w:val="14"/>
        </w:rPr>
        <w:t>QVQLQESGGGLVQAGGSLRLSCAASGTIFAGYDMGWYRQAPGKEREFVASITTGSNTNYADSVKGRFTISRDNAKNTVYLQMNSLKPEDTAVYYCAVDTIDYIIEWNVYYYIFSYWGQGTQVTVSSGS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000000"/>
          <w:sz w:val="16"/>
        </w:rPr>
        <w:t>28. F30S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000000"/>
          <w:sz w:val="14"/>
        </w:rPr>
        <w:t>QVQLQESGGGLVQAGGSLRLSCAASGTIFSGYDMGWYRQAPGKEREFVASITTGSNTNYADSVKGRFTISRDNAKNTVYLQMNSLKPEDTAVYYCAVDTIDYIIEWNVYYYIFSYWGQGTQVTVSSGS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000000"/>
          <w:sz w:val="16"/>
        </w:rPr>
        <w:t>29. F30T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000000"/>
          <w:sz w:val="14"/>
        </w:rPr>
        <w:t>QVQLQESGGGLVQAGGSLRLSCAASGTIFTGYDMGWYRQAPGKEREFVASITTGSNTNYADSVKGRFTISRDNAKNTVYLQMNSLKPEDTAVYYCAVDTIDYIIEWNVYYYIFSYWGQGTQVTVSSGS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000000"/>
          <w:sz w:val="16"/>
        </w:rPr>
        <w:t>30. S55G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000000"/>
          <w:sz w:val="14"/>
        </w:rPr>
        <w:t>QVQLQESGGGLVQAGGSLRLSCAASGTIFFGYDMGWYRQAPGKEREFVASITTGGNTNYADSVKGRFTISRDNAKNTVYLQMNSLKPEDTAVYYCAVDTIDYIIEWNVYYYIFSYWGQGTQVTVSSGS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000000"/>
        <w:sz w:val="17"/>
      </w:rPr>
      <w:t xml:space="preserve">第 </w:t>
    </w:r>
    <w:fldSimple w:instr="PAGE"/>
    <w:r>
      <w:rPr>
        <w:rFonts w:ascii="Calibri" w:hAnsi="Calibri" w:eastAsia="Microsoft YaHei"/>
        <w:b w:val="0"/>
        <w:color w:val="00000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000000"/>
        <w:sz w:val="17"/>
      </w:rPr>
      <w:t>Nb252多目标计算优化 | 阶段周报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0" w:lineRule="auto"/>
      <w:ind w:left="720" w:hanging="360"/>
      <w:contextualSpacing/>
    </w:pPr>
    <w:rPr>
      <w:rFonts w:ascii="Calibri" w:hAnsi="Calibri" w:eastAsia="Microsoft Ya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0" w:lineRule="auto"/>
      <w:ind w:left="720" w:hanging="360"/>
      <w:contextualSpacing/>
    </w:pPr>
    <w:rPr>
      <w:rFonts w:ascii="Calibri" w:hAnsi="Calibri" w:eastAsia="Microsoft Ya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NK2R纳米抗体Nb252多目标计算优化阶段周报</dc:title>
  <dc:subject>2026-W31—W34项目阶段总结</dc:subject>
  <dc:creator>Antibody_optimization project</dc:creator>
  <cp:keywords>Nb252, NK2R, nanobody, affinity, stability, expression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