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B78628"/>
          <w:sz w:val="24"/>
        </w:rPr>
        <w:t>阶段研究周报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17324D"/>
          <w:sz w:val="56"/>
        </w:rPr>
        <w:t>NK2R纳米抗体Nb252</w:t>
        <w:br/>
        <w:t>多目标计算优化</w:t>
      </w:r>
    </w:p>
    <w:p>
      <w:pPr>
        <w:spacing w:after="840"/>
        <w:jc w:val="center"/>
      </w:pPr>
      <w:r>
        <w:rPr>
          <w:rFonts w:ascii="Calibri" w:hAnsi="Calibri" w:eastAsia="Microsoft YaHei"/>
          <w:b w:val="0"/>
          <w:color w:val="2E5D7B"/>
          <w:sz w:val="30"/>
        </w:rPr>
        <w:t>从实验结构基线到30条实验测试候选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000"/>
        <w:gridCol w:w="3360"/>
        <w:gridCol w:w="3000"/>
      </w:tblGrid>
      <w:tr>
        <w:trPr>
          <w:tblHeader w:val="true"/>
        </w:trPr>
        <w:tc>
          <w:tcPr>
            <w:tcW w:type="dxa" w:w="3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报告周期</w:t>
            </w:r>
          </w:p>
        </w:tc>
        <w:tc>
          <w:tcPr>
            <w:tcW w:type="dxa" w:w="33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项目状态</w:t>
            </w:r>
          </w:p>
        </w:tc>
        <w:tc>
          <w:tcPr>
            <w:tcW w:type="dxa" w:w="3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报告日期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2026-W31—W34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计算设计闭环完成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2026-08-17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rFonts w:ascii="Calibri" w:hAnsi="Calibri" w:eastAsia="Microsoft YaHei"/>
          <w:b w:val="0"/>
          <w:color w:val="66727D"/>
          <w:sz w:val="18"/>
        </w:rPr>
        <w:t>内部研究资料｜所有候选均为计算优先级，不代表实验验证</w:t>
      </w:r>
    </w:p>
    <w:p>
      <w:r>
        <w:br w:type="page"/>
      </w:r>
    </w:p>
    <w:p>
      <w:pPr>
        <w:pStyle w:val="Heading1"/>
      </w:pPr>
      <w:r>
        <w:t>目录与阅读导航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章节</w:t>
            </w:r>
          </w:p>
        </w:tc>
        <w:tc>
          <w:tcPr>
            <w:tcW w:type="dxa" w:w="8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内容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1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执行摘要与项目结论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科学背景、目标与输入基线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3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结构与界面证据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4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计算优化总体路线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5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PyRosetta协议与亲和力轨道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6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表达、稳定性与可开发性工具验证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7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统一单突空间、专家审查与双突组合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8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终审能量来源与最终30条面板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9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局限性、风险与实验建议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附录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最终候选、储备/排除项与证据索引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3F6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E5D7B"/>
                <w:sz w:val="20"/>
              </w:rPr>
              <w:t xml:space="preserve">阅读建议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课题负责人可重点阅读执行摘要、最终面板和实验建议；计算复现人员可进一步查看工具验证、协议限制及附录中的制品索引。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执行摘要与项目结论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BF5F0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D6A4F"/>
                <w:sz w:val="20"/>
              </w:rPr>
              <w:t xml:space="preserve">阶段结论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项目已完成结构身份冻结、亲和力单突扫描、多构象复核、统一性质评价、双突组合、结构/化学风险审查和显式终审，形成30条互不重复的实验测试候选，另保留3条储备。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color w:val="1D252C"/>
          <w:sz w:val="21"/>
        </w:rPr>
        <w:t>本项目以实验解析的NK2R–Nb252复合物为结合构象主证据，在保持当前表位、构象和末端SSGS不变的前提下，同时探索亲和力、稳定性、表达相关性质与可开发性。计算流程没有把单一模型作为真值，而是将PyRosetta、Flex ddG、AntiFold、NetSolP、NanoMelt、TNP和序列语言模型证据分层使用。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最终30条面板由6条亲和力导向单突、6条性质导向单突、17条平衡组合和1条亲和力支持双突组成。WT作为独立实验对照，不占30条候选名额。所有序列均保持128 aa、Cys22/Cys95及末端SSGS。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E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B78628"/>
                <w:sz w:val="20"/>
              </w:rPr>
              <w:t xml:space="preserve">解释边界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最终面板的状态是“建议实验测试”，不是“已获得30条优化抗体”。计算能量、Tm、溶解性、序列兼容性和表面风险均不能替代实测KD、表达量、SEC单体比例或热稳定性。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800"/>
        <w:gridCol w:w="3700"/>
        <w:gridCol w:w="2860"/>
      </w:tblGrid>
      <w:tr>
        <w:trPr>
          <w:tblHeader w:val="true"/>
        </w:trPr>
        <w:tc>
          <w:tcPr>
            <w:tcW w:type="dxa" w:w="28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阶段指标</w:t>
            </w:r>
          </w:p>
        </w:tc>
        <w:tc>
          <w:tcPr>
            <w:tcW w:type="dxa" w:w="3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结果</w:t>
            </w:r>
          </w:p>
        </w:tc>
        <w:tc>
          <w:tcPr>
            <w:tcW w:type="dxa" w:w="28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状态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表达序列审核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46成功 / 1失败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亲和力全扫描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456候选 × 3重复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Flex ddG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50候选 / 1000任务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统一性质单突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1962候选 + 1 WT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双突联合分析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86候选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最终面板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30候选 + 3储备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ready_for_experimental_submission</w:t>
            </w:r>
          </w:p>
        </w:tc>
      </w:tr>
    </w:tbl>
    <w:p>
      <w:pPr>
        <w:spacing w:after="20"/>
      </w:pPr>
    </w:p>
    <w:p>
      <w:pPr>
        <w:pStyle w:val="Heading1"/>
      </w:pPr>
      <w:r>
        <w:t>2. 科学背景、目标与输入基线</w:t>
      </w:r>
    </w:p>
    <w:p>
      <w:r>
        <w:rPr>
          <w:rFonts w:ascii="Calibri" w:hAnsi="Calibri" w:eastAsia="Microsoft YaHei"/>
          <w:b w:val="0"/>
          <w:color w:val="1D252C"/>
          <w:sz w:val="21"/>
        </w:rPr>
        <w:t>Nb252是针对NK2R的实验筛选纳米抗体。本项目的目标不是仅追求某一个计算分数，而是在维持实验观察表位与结合构象的基础上，提高亲和力，同时避免明显损害稳定性、表达和可开发性，并给出具有机制多样性的实验面板。</w:t>
      </w:r>
    </w:p>
    <w:p>
      <w:pPr>
        <w:pStyle w:val="Heading2"/>
      </w:pPr>
      <w:r>
        <w:t>2.1 三类结构证据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NK2R-252.pdb：实验解析的NK2R–Nb252结合构象，是界面和表位的主要结构证据。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NK2R-NKA：提供NKA结合背景，不直接证明Nb252突变效应或功能机制。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fold_2r_252_nomg_model_0.cif：AF3预测的Nb252结构，只用于补充未解析区域和独立构象参考。</w:t>
      </w:r>
    </w:p>
    <w:p>
      <w:pPr>
        <w:pStyle w:val="Heading2"/>
      </w:pPr>
      <w:r>
        <w:t>2.2 序列与实验约束</w:t>
      </w:r>
    </w:p>
    <w:p>
      <w:r>
        <w:rPr>
          <w:rFonts w:ascii="Calibri" w:hAnsi="Calibri" w:eastAsia="Microsoft YaHei"/>
          <w:b w:val="0"/>
          <w:color w:val="1D252C"/>
          <w:sz w:val="21"/>
        </w:rPr>
        <w:t>合作者确认完整128-aa reported Nb252为权威设计母本；末端SSGS不是linker，候选设计时不得替换或删除。47条产量序列来自BL21体系，且不同来源数据可直接比较；但LLJ记录保留分组/删失语义，不将其虚构为个体精确点估计。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ANARCII provisional IMGT审核中，46条成功，WCC__4-28因模型分数低于识别阈值而失败。Nb252前126 aa被编号，末端GS未获IMGT编号，但仍属于权威构建体并受SSGS冻结规则保护。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80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1_input_bas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8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图1  Nb252输入身份、编号与覆盖基线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数据来源：input_baseline/summary/input_baseline_qc.png</w:t>
      </w:r>
    </w:p>
    <w:p>
      <w:pPr>
        <w:pStyle w:val="Heading1"/>
      </w:pPr>
      <w:r>
        <w:t>3. 结构与界面证据</w:t>
      </w:r>
    </w:p>
    <w:p>
      <w:r>
        <w:rPr>
          <w:rFonts w:ascii="Calibri" w:hAnsi="Calibri" w:eastAsia="Microsoft YaHei"/>
          <w:b w:val="0"/>
          <w:color w:val="1D252C"/>
          <w:sz w:val="21"/>
        </w:rPr>
        <w:t>ChimeraX会话中的三个模型已分别导出为可追溯mmCIF，并由Gemmi读回。链角色经人工确认：实验复合物C链为Nb252、R链为NK2R；NKA模型L链为NKA、R链为NK2R；AF3模型A链为Nb252。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实验VHH存在未解析坐标，关键缺失位置已经固化为reported indices 9–15、24–29；这些位置在实验界面分析中保持not_evaluable，而不是被解释为非界面。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300"/>
        <w:gridCol w:w="2500"/>
        <w:gridCol w:w="4560"/>
      </w:tblGrid>
      <w:tr>
        <w:trPr>
          <w:tblHeader w:val="true"/>
        </w:trPr>
        <w:tc>
          <w:tcPr>
            <w:tcW w:type="dxa" w:w="2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比较项</w:t>
            </w:r>
          </w:p>
        </w:tc>
        <w:tc>
          <w:tcPr>
            <w:tcW w:type="dxa" w:w="25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结果</w:t>
            </w:r>
          </w:p>
        </w:tc>
        <w:tc>
          <w:tcPr>
            <w:tcW w:type="dxa" w:w="45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解释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框架拟合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82个共同framework Cα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CDR3不参与框架拟合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框架RMSD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0.631994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实验与AF3框架总体一致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 RMSD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6.490853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CDR3构象差异显著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CDR3最大位移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10.733119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AF3不作为实验CDR3真值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界面采用同一实验复合物内VHH与NK2R聚合物重原子的严格中心距离&lt;4.0 Å定义，排除氢/氘、非正occupancy、水、配体、糖、离子、晶体/NCS副本，并遵守altloc兼容性。重算得到24个VHH界面残基、246对原子接触，与合作者橙色标注完全一致。界面位点是“谨慎突变区”，不是绝对禁区或能量热点清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E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B78628"/>
                <w:sz w:val="20"/>
              </w:rPr>
              <w:t xml:space="preserve">AF3使用原则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由于WT的AF3 CDR3与实验结合构象偏差较大，AF3未用于常规亲和力排序；它只作为缺失区和独立局部包装敏感性证据。</w:t>
            </w:r>
          </w:p>
        </w:tc>
      </w:tr>
    </w:tbl>
    <w:p>
      <w:pPr>
        <w:spacing w:after="40"/>
      </w:pPr>
    </w:p>
    <w:p>
      <w:pPr>
        <w:pStyle w:val="Heading1"/>
      </w:pPr>
      <w:r>
        <w:t>4. 计算优化总体路线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110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evidence_fun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1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图2  从输入基线到最终30条序列的证据漏斗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数据来源：本报告由各阶段run summary确定性汇总</w:t>
      </w:r>
    </w:p>
    <w:p>
      <w:r>
        <w:rPr>
          <w:rFonts w:ascii="Calibri" w:hAnsi="Calibri" w:eastAsia="Microsoft YaHei"/>
          <w:b w:val="0"/>
          <w:color w:val="1D252C"/>
          <w:sz w:val="21"/>
        </w:rPr>
        <w:t>路线采用“宽空间计算、统一证据筛选、显式专家终审”。亲和力与性质并非严格按CDR/FR分区：界面和非界面均可提出候选，但每个突变都必须同时接受结构、亲和力、性质和化学风险审查。</w:t>
      </w:r>
    </w:p>
    <w:p>
      <w:pPr>
        <w:pStyle w:val="Heading1"/>
      </w:pPr>
      <w:r>
        <w:t>5. PyRosetta协议与亲和力轨道</w:t>
      </w:r>
    </w:p>
    <w:p>
      <w:pPr>
        <w:pStyle w:val="Heading2"/>
      </w:pPr>
      <w:r>
        <w:t>5.1 评分协议校准</w:t>
      </w:r>
    </w:p>
    <w:p>
      <w:r>
        <w:rPr>
          <w:rFonts w:ascii="Calibri" w:hAnsi="Calibri" w:eastAsia="Microsoft YaHei"/>
          <w:b w:val="0"/>
          <w:color w:val="1D252C"/>
          <w:sz w:val="21"/>
        </w:rPr>
        <w:t>实验结构直接使用ref2015时总分较高，主要源于输入侧链缺原子、局部rotamer与Rosetta统计势不完全匹配以及未优化的界面排斥。项目没有把该绝对分数用于候选结论，而是校准并固定interface_repack_constrained_min协议，以同一prepared WT、相同局部约束和配对WT为参照比较突变体。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所选协议在8次重复中得到稳定的负dG_separated和跨界面能，并把界面fa_rep相对raw结构显著降低，同时保持很小的界面Cα位移。由于本项目关注同一实验构象附近的相对排序，未切换RosettaMP、未全局relax，也未花费大量计算补全远离已解析界面的缺失主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BECE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2C2C"/>
                <w:sz w:val="20"/>
              </w:rPr>
              <w:t xml:space="preserve">能量解释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Rosetta ΔdG、跨界面能和total score均为模型内排序信号。尤其是负ΔdG可能由分离态被惩罚而产生，不能直接等价于实验亲和力提高。</w:t>
            </w:r>
          </w:p>
        </w:tc>
      </w:tr>
    </w:tbl>
    <w:p>
      <w:pPr>
        <w:spacing w:after="40"/>
      </w:pPr>
    </w:p>
    <w:p>
      <w:pPr>
        <w:pStyle w:val="Heading2"/>
      </w:pPr>
      <w:r>
        <w:t>5.2 456条单突全扫描</w:t>
      </w:r>
    </w:p>
    <w:p>
      <w:r>
        <w:rPr>
          <w:rFonts w:ascii="Calibri" w:hAnsi="Calibri" w:eastAsia="Microsoft YaHei"/>
          <w:b w:val="0"/>
          <w:color w:val="1D252C"/>
          <w:sz w:val="21"/>
        </w:rPr>
        <w:t>界面24个位点形成456条氨基酸替换候选，每条运行3次配对重复，共1368次突变体评价。扫描阶段不设置提前筛选，456条均完成并通过运行完整性门。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8780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2_affinity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78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图3  456条PyRosetta亲和力单突全扫描质量控制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数据来源：affinity_pyrosetta_full_scan_20260811</w:t>
      </w:r>
    </w:p>
    <w:p>
      <w:pPr>
        <w:pStyle w:val="Heading2"/>
      </w:pPr>
      <w:r>
        <w:t>5.3 Flex ddG多构象复核</w:t>
      </w:r>
    </w:p>
    <w:p>
      <w:r>
        <w:rPr>
          <w:rFonts w:ascii="Calibri" w:hAnsi="Calibri" w:eastAsia="Microsoft YaHei"/>
          <w:b w:val="0"/>
          <w:color w:val="1D252C"/>
          <w:sz w:val="21"/>
        </w:rPr>
        <w:t>根据全扫描分层和多样性，50条候选进入Flex ddG生产复核，共1000个任务。Backrub在局部主链邻域采样多个构象，并在同一主链样本上成对比较WT与突变体，从而评估单一prepared结构上的排序是否稳健。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6945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3_flex_dd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94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图4  50条候选Flex ddG多构象复核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数据来源：flex_ddg_production_result_20260812</w:t>
      </w:r>
    </w:p>
    <w:p>
      <w:pPr>
        <w:pStyle w:val="Heading1"/>
      </w:pPr>
      <w:r>
        <w:t>6. 表达、稳定性与可开发性工具验证</w:t>
      </w:r>
    </w:p>
    <w:p>
      <w:r>
        <w:rPr>
          <w:rFonts w:ascii="Calibri" w:hAnsi="Calibri" w:eastAsia="Microsoft YaHei"/>
          <w:b w:val="0"/>
          <w:color w:val="1D252C"/>
          <w:sz w:val="21"/>
        </w:rPr>
        <w:t>项目首先在47条BL21产量序列上验证可用工具与真实产量之间的关系。nanoBERT、NetSolP、TNP和NanoMelt均未提供足够稳健、可迁移的产量排序能力，因此没有训练47样本局部模型，也没有用任一预测器替代实验产量。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450"/>
        <w:gridCol w:w="2100"/>
        <w:gridCol w:w="2700"/>
        <w:gridCol w:w="3110"/>
      </w:tblGrid>
      <w:tr>
        <w:trPr>
          <w:tblHeader w:val="true"/>
        </w:trPr>
        <w:tc>
          <w:tcPr>
            <w:tcW w:type="dxa" w:w="14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工具</w:t>
            </w:r>
          </w:p>
        </w:tc>
        <w:tc>
          <w:tcPr>
            <w:tcW w:type="dxa" w:w="21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评价对象</w:t>
            </w:r>
          </w:p>
        </w:tc>
        <w:tc>
          <w:tcPr>
            <w:tcW w:type="dxa" w:w="2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项目内用途</w:t>
            </w:r>
          </w:p>
        </w:tc>
        <w:tc>
          <w:tcPr>
            <w:tcW w:type="dxa" w:w="31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证据限制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nanoBERT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抗体序列语言合理性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背景关联验证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不支持候选产量排序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Solubility / Usability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兼容性与极端风险过滤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变化幅度通常较小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NanoMelt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预测表观Tm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稳定性辅助排序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不是实测Tm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TNP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PSH/PPC/PNC与flag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表面疏水/电荷风险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flag只作辅助风险证据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AntiFold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结构条件下序列兼容性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三结构视图一致性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不单独决定候选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PyRosetta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复合物/分离态相对能量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亲和力及局部结构风险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REU不能跨协议直接比较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统一性质空间最终对1962个候选和1个WT完成NetSolP、NanoMelt及AntiFold等证据联接。原始Pareto层被完整保留，但增加近似中性/非微小有利/明显不利幅度分级，避免极小数值波动驱动候选选择。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835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4_property_landscap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8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图5  统一单突性质景观与分层结果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数据来源：unified_property_scoring_result_20260815</w:t>
      </w:r>
    </w:p>
    <w:p>
      <w:pPr>
        <w:pStyle w:val="Heading1"/>
      </w:pPr>
      <w:r>
        <w:t>7. 统一单突空间、专家审查与双突组合</w:t>
      </w:r>
    </w:p>
    <w:p>
      <w:pPr>
        <w:pStyle w:val="Heading2"/>
      </w:pPr>
      <w:r>
        <w:t>7.1 统一候选合同</w:t>
      </w:r>
    </w:p>
    <w:p>
      <w:r>
        <w:rPr>
          <w:rFonts w:ascii="Calibri" w:hAnsi="Calibri" w:eastAsia="Microsoft YaHei"/>
          <w:b w:val="0"/>
          <w:color w:val="1D252C"/>
          <w:sz w:val="21"/>
        </w:rPr>
        <w:t>设计合同不再冻结整个框架区，也不把CDR和FR简单划分为亲和力区与性质区。亲和力候选可容许性质指标轻微负向，但阻止明确且一致的恶化；性质候选至少需要一个非微小改善，且不能出现明显的亲和力或结构破坏。</w:t>
      </w:r>
    </w:p>
    <w:p>
      <w:pPr>
        <w:pStyle w:val="Heading2"/>
      </w:pPr>
      <w:r>
        <w:t>7.2 专家化风险审查</w:t>
      </w:r>
    </w:p>
    <w:p>
      <w:r>
        <w:rPr>
          <w:rFonts w:ascii="Calibri" w:hAnsi="Calibri" w:eastAsia="Microsoft YaHei"/>
          <w:b w:val="0"/>
          <w:color w:val="1D252C"/>
          <w:sz w:val="21"/>
        </w:rPr>
        <w:t>所有核心单突从结构和可开发性角度复核异常二硫键、新生糖基化motif、暴露疏水替换、致密疏水窗口、氧化风险、CDR柔性变化、保守位点、局部fa_rep、接触改变和对结构准备的敏感性。F30P等具有难以弥补的骨架风险突变直接移出候选空间，避免重复计算低价值假设。</w:t>
      </w:r>
    </w:p>
    <w:p>
      <w:pPr>
        <w:pStyle w:val="Heading2"/>
      </w:pPr>
      <w:r>
        <w:t>7.3 86条双突联合分析</w:t>
      </w:r>
    </w:p>
    <w:p>
      <w:r>
        <w:rPr>
          <w:rFonts w:ascii="Calibri" w:hAnsi="Calibri" w:eastAsia="Microsoft YaHei"/>
          <w:b w:val="0"/>
          <w:color w:val="1D252C"/>
          <w:sz w:val="21"/>
        </w:rPr>
        <w:t>双突并非只将一个亲和力突变与一个性质突变组合，而是允许经审核的活跃单突之间形成完整组合，再在统一协议下重新计算和筛选。最终完成86条双突。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900"/>
        <w:gridCol w:w="1300"/>
        <w:gridCol w:w="4160"/>
      </w:tblGrid>
      <w:tr>
        <w:trPr>
          <w:tblHeader w:val="true"/>
        </w:trPr>
        <w:tc>
          <w:tcPr>
            <w:tcW w:type="dxa" w:w="3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联合证据类别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4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含义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亲和力与性质共同支持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28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优先的平衡候选来源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亲和力支持、性质非不利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偏亲和力候选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性质支持、亲和力非不利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偏性质候选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权衡或无清晰联合支持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保留审计但不直接优先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86/86均通过PyRosetta结构安全门；40条相对配对WT发生接触集合变化，46条不变。接触集合并不要求逐原子精确一致，而是结合表位保持、变化规模和能量方向判断。57条对实验参考定义敏感，29条相对稳健。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739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5_double_muta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3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图6  86条双突的亲和力—性质联合证据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数据来源：double_mutant_scan_review_v2_1_20260816</w:t>
      </w:r>
    </w:p>
    <w:p>
      <w:pPr>
        <w:pStyle w:val="Heading1"/>
      </w:pPr>
      <w:r>
        <w:t>8. 终审能量来源与最终30条面板</w:t>
      </w:r>
    </w:p>
    <w:p>
      <w:pPr>
        <w:pStyle w:val="Heading2"/>
      </w:pPr>
      <w:r>
        <w:t>8.1 从100条审查记录到36条finalist</w:t>
      </w:r>
    </w:p>
    <w:p>
      <w:r>
        <w:rPr>
          <w:rFonts w:ascii="Calibri" w:hAnsi="Calibri" w:eastAsia="Microsoft YaHei"/>
          <w:b w:val="0"/>
          <w:color w:val="1D252C"/>
          <w:sz w:val="21"/>
        </w:rPr>
        <w:t>统一审查覆盖100条单/双突，其中56条进入主证据池，形成初步30条和6条储备。随后对36条finalist复用既有三重复PyRosetta原始结果，进行能量来源分解，没有新增PyRosetta或AF3计算。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4550"/>
        <w:gridCol w:w="1300"/>
        <w:gridCol w:w="3510"/>
      </w:tblGrid>
      <w:tr>
        <w:trPr>
          <w:tblHeader w:val="true"/>
        </w:trPr>
        <w:tc>
          <w:tcPr>
            <w:tcW w:type="dxa" w:w="45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能量来源类别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35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终审解释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复合物与分离态均有利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5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相对更直接的双态支持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表观结合改善由分离态惩罚驱动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12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不得单独声称亲和力提高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一致分离态谨慎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19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结合其他证据审查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904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6_finalist_energ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0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图7  36条finalist的配对Rosetta能量来源审计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数据来源：finalist_energy_review_20260817</w:t>
      </w:r>
    </w:p>
    <w:p>
      <w:pPr>
        <w:pStyle w:val="Heading2"/>
      </w:pPr>
      <w:r>
        <w:t>8.2 显式最终冻结</w:t>
      </w:r>
    </w:p>
    <w:p>
      <w:r>
        <w:rPr>
          <w:rFonts w:ascii="Calibri" w:hAnsi="Calibri" w:eastAsia="Microsoft YaHei"/>
          <w:b w:val="0"/>
          <w:color w:val="1D252C"/>
          <w:sz w:val="21"/>
        </w:rPr>
        <w:t>终审逐条结合直接复合物能量、跨界面能、分离态来源、接触/表位保持、AntiFold、U/S/Tm、TNP、化学风险、组成单突对照价值和面板多样性。最终排除D101W、I103W和Q1D;R45V；保留F30S;E105L、R45T;E105L、S55G;E105F为储备；从原储备提升A23S;R45V、F30T;E105F、R45T;E105F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300"/>
        <w:gridCol w:w="1200"/>
        <w:gridCol w:w="4860"/>
      </w:tblGrid>
      <w:tr>
        <w:trPr>
          <w:tblHeader w:val="true"/>
        </w:trPr>
        <w:tc>
          <w:tcPr>
            <w:tcW w:type="dxa" w:w="3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最终类别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48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实验作用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亲和力导向单突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检验单点界面假设与组合组成效应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性质导向单突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检验稳定性/可开发性假设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平衡组合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17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联合亲和力与性质证据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亲和力支持双突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补充直接亲和力组合假设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80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7_final_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0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图8  最终30条候选的类别、能量来源与风险构成</w:t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color w:val="66727D"/>
          <w:sz w:val="15"/>
        </w:rPr>
        <w:t>数据来源：final_candidate_panel_20260817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BF5F0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D6A4F"/>
                <w:sz w:val="20"/>
              </w:rPr>
              <w:t xml:space="preserve">终审状态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gate=pass，release=ready_for_experimental_submission；30条序列唯一，另有3条储备和3条排除项。其解释固定为：Computationally prioritized for testing; not experimentally validated optimization.</w:t>
            </w:r>
          </w:p>
        </w:tc>
      </w:tr>
    </w:tbl>
    <w:p>
      <w:pPr>
        <w:spacing w:after="40"/>
      </w:pPr>
    </w:p>
    <w:p>
      <w:pPr>
        <w:pStyle w:val="Heading1"/>
      </w:pPr>
      <w:r>
        <w:t>9. 局限性、风险与实验建议</w:t>
      </w:r>
    </w:p>
    <w:p>
      <w:pPr>
        <w:pStyle w:val="Heading2"/>
      </w:pPr>
      <w:r>
        <w:t>9.1 当前局限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尚无候选的实测亲和力、表达量、稳定性、SEC或功能数据。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AF3对WT CDR3的构象偏差较大，不能用作结合构象真值。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部分负ΔdG由分离态惩罚驱动；最终面板仍保留少量低置信机制/性质假设以维持实验信息量。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NetSolP、NanoMelt、TNP、nanoBERT与47条BL21产量的关系较弱，均不具备实测产量替代能力。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双突效应可能存在非加和性；计算排序只能确定测试优先级。</w:t>
      </w:r>
    </w:p>
    <w:p>
      <w:pPr>
        <w:pStyle w:val="Heading2"/>
      </w:pPr>
      <w:r>
        <w:t>9.2 推荐实验设计</w:t>
      </w:r>
    </w:p>
    <w:p>
      <w:r>
        <w:rPr>
          <w:rFonts w:ascii="Calibri" w:hAnsi="Calibri" w:eastAsia="Microsoft YaHei"/>
          <w:b w:val="0"/>
          <w:color w:val="1D252C"/>
          <w:sz w:val="21"/>
        </w:rPr>
        <w:t>建议将30条候选与WT放在同一构建体、表达和纯化流程中测试。第一轮优先采用小规模BL21表达和统一亲和力测定，以最小成本识别明确失败和有价值信号；第二轮再对表现优良候选开展更完整的稳定性、聚集和功能表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实验模块</w:t>
            </w:r>
          </w:p>
        </w:tc>
        <w:tc>
          <w:tcPr>
            <w:tcW w:type="dxa" w:w="3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主要读出</w:t>
            </w:r>
          </w:p>
        </w:tc>
        <w:tc>
          <w:tcPr>
            <w:tcW w:type="dxa" w:w="43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关键对照/判定目的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BL21表达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总表达、可溶比例、纯化回收率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WT同批；验证真实产量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纯度与聚集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SDS-PAGE、SEC单体比例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排除聚集与异常构象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稳定性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DSF/DSC Tm、应力后单体比例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验证NanoMelt等预测方向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结合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KD、kon、koff或统一替代读出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WT与单突组成对照；验证亲和力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表位/功能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竞争、细胞或功能实验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确认表位与作用模式保持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3F6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E5D7B"/>
                <w:sz w:val="20"/>
              </w:rPr>
              <w:t xml:space="preserve">预定义决策原则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优先保留亲和力改善且表达/单体比例不明显下降的候选；性质改善候选必须证明不损害结合。所有阴性、近中性与失败结果也应保留，用于反向评估计算路线。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附录A  最终30条候选概览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600"/>
        <w:gridCol w:w="1200"/>
        <w:gridCol w:w="1300"/>
        <w:gridCol w:w="800"/>
        <w:gridCol w:w="2200"/>
        <w:gridCol w:w="3260"/>
      </w:tblGrid>
      <w:tr>
        <w:trPr>
          <w:tblHeader w:val="true"/>
        </w:trPr>
        <w:tc>
          <w:tcPr>
            <w:tcW w:type="dxa" w:w="6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序号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突变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类别</w:t>
            </w:r>
          </w:p>
        </w:tc>
        <w:tc>
          <w:tcPr>
            <w:tcW w:type="dxa" w:w="8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风险</w:t>
            </w:r>
          </w:p>
        </w:tc>
        <w:tc>
          <w:tcPr>
            <w:tcW w:type="dxa" w:w="2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能量来源</w:t>
            </w:r>
          </w:p>
        </w:tc>
        <w:tc>
          <w:tcPr>
            <w:tcW w:type="dxa" w:w="32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入选要点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the lower-risk R45 component control for selected combinations; sta…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the required component control for several directly supported R45V 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complex and separated state 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strong affinity hypothesis with favorable complex, separated-stat…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complex and separated state 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the complementary E105 affinity hypothesis with favorable complex, 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component control and distinct affinity hypothesis because comple…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S114M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unique position-114 affinity hypothesis with favorable complex an…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亲和力双突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Promote from reserve because complex, binding, and cross-interface 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contact_review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complex and separated state 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Select because complex, separated-state, binding, and cross-interfa…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contact_review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complex and separated state 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Select because both complex and separated-state scores improve with…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Promote from reserve because complex and direct binding signals imp…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balanced property-affinity hypothesis: the complex and cross-inte…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F30A;R45V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deliberately property-led combination with three material propert…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F30T;R45T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property-led and mechanistically distinct combination with two pr…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Select because the complex and cross-interface signals improve and 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property-affinity combination with favorable binding, cross-inter…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Q1D;F30T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Select only as a lower-confidence property-combination hypothesis t…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Promote from reserve as a strong direct affinity combination with f…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distinct two-affinity-component hypothesis with strong binding an…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R45T;S55G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property-led combination with favorable AntiFold, unchanged conta…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one of the strongest direct complex and cross-interface combination…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the complementary E105L combination with strong complex, binding, c…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contact_review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Select because the complex and direct binding signals improve and t…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property-compatible E105L combination with strongly favorable Ant…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no_contact_change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non-E105 property-combination hypothesis with retained controls a…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low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apparent binding gain driven by separated destabilization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low-risk property single and component control for selected combi…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medium_high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complex and separated state stabilization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 single and component control with favorable complex and 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medium_high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 single with two material improvements and favorable Anti…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medium_high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distinct property single with two material improvements and favor…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medium_high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 single and component control for selected F30T combinati…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30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medium_high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consistent separated destabilization caution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 property single and component control with favorable AntiFold; bi…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说明：风险等级和能量来源均为计算审查标签，不是实验表型。完整128-aa序列见附录D；WT为面板外独立对照。</w:t>
      </w:r>
    </w:p>
    <w:p>
      <w:pPr>
        <w:pStyle w:val="Heading1"/>
      </w:pPr>
      <w:r>
        <w:t>附录B  储备、排除与关键决策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000"/>
        <w:gridCol w:w="1200"/>
        <w:gridCol w:w="6160"/>
      </w:tblGrid>
      <w:tr>
        <w:trPr>
          <w:tblHeader w:val="true"/>
        </w:trPr>
        <w:tc>
          <w:tcPr>
            <w:tcW w:type="dxa" w:w="2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候选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决定</w:t>
            </w:r>
          </w:p>
        </w:tc>
        <w:tc>
          <w:tcPr>
            <w:tcW w:type="dxa" w:w="6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核心理由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F30S;E105L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reserve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Keep as a reserve because complex and AntiFold signals are favorable, but no property change reaches the material threshold and E105L is already represented at the predefined diversity cap.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R45T;E105L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reserve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Keep as a reserve despite strong complex and binding evidence because one material property signal is adverse and adding it would exceed the predefined E105L component-diversity cap.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S55G;E105F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reserve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Keep as a reserve because complex and cross-interface energies improve, but one material property signal is adverse and E105F is already represented at the predefined diversity cap by stronger complementary combinations.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D101W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 because the mutant complex is unfavorable in all three paired repeats and the apparent binding gain is entirely separated-state-driven, while exposed Trp, oxidation, contact-change, repulsion, and preparation-sensitivity risks are high.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I103W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 because the mutant complex is unfavorable in all three paired repeats and the apparent binding gain is entirely separated-state-driven, with added Trp oxidation, contact-change, repulsion, preparation-sensitivity, and negative AntiFold evidence.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Q1D;R45V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Exclude because the mutant complex is strongly unfavorable and the apparent binding gain is entirely separated-state-driven while carrying the high-risk R45V substitution; A23S;R45V supplies a better directly supported alternative.</w:t>
            </w:r>
          </w:p>
        </w:tc>
      </w:tr>
    </w:tbl>
    <w:p>
      <w:pPr>
        <w:spacing w:after="20"/>
      </w:pPr>
    </w:p>
    <w:p>
      <w:pPr>
        <w:pStyle w:val="Heading1"/>
      </w:pPr>
      <w:r>
        <w:t>附录C  软件与证据角色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环境/工具</w:t>
            </w:r>
          </w:p>
        </w:tc>
        <w:tc>
          <w:tcPr>
            <w:tcW w:type="dxa" w:w="41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固定信息</w:t>
            </w:r>
          </w:p>
        </w:tc>
        <w:tc>
          <w:tcPr>
            <w:tcW w:type="dxa" w:w="33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用途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本地ab_optim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Python 3.11.15; ANARCII 2.0.8; Gemmi 0.7.5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编号、结构清单、本地分析与报告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PyRosetta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2026.03; Rosetta commit 5e498f1…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配对相对能量与局部结构评价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nanoBERT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NaturalAntibody/nanoBERT; revision edc8182…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产量相关性验证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Distilled; SU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Solubility/Usability辅助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TNP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0.0.1; ImmuneBuilder 1.2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纳米抗体表面风险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NanoMelt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1.4.0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预测表观Tm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AntiFold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0.3.1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结构条件序列兼容性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AF3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服务器部署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预测结构补充与条件性局部复核</w:t>
            </w:r>
          </w:p>
        </w:tc>
      </w:tr>
    </w:tbl>
    <w:p>
      <w:pPr>
        <w:spacing w:after="20"/>
      </w:pPr>
    </w:p>
    <w:p>
      <w:pPr>
        <w:pStyle w:val="Heading1"/>
      </w:pPr>
      <w:r>
        <w:t>附录D  最终30条完整序列</w:t>
      </w:r>
    </w:p>
    <w:p>
      <w:r>
        <w:rPr>
          <w:rFonts w:ascii="Calibri" w:hAnsi="Calibri" w:eastAsia="Microsoft YaHei"/>
          <w:b w:val="0"/>
          <w:color w:val="1D252C"/>
          <w:sz w:val="21"/>
        </w:rPr>
        <w:t>以下序列按最终面板顺序从权威final_candidates_30.csv确定性写入。每条均为128 aa并保留末端SSGS；序列属于计算测试候选，不是实验验证结果。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1. R45T  |  Nb252_aff_seq045_R45T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2. R45V  |  Nb252_aff_seq045_R45V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3. E105F  |  Nb252_aff_seq105_E105F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4. E105L  |  Nb252_aff_seq105_E105L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5. N107A  |  Nb252_aff_seq107_N107A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6. S114M  |  Nb252_aff_seq114_S114M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QVQLQESGGGLVQAGGSLRLSCAASGTIFFGYDMGWYRQAPGKEREFVASITTGSNTNYADSVKGRFTISRDNAKNTVYLQMNSLKPEDTAVYYCAVDTIDYIIEWNVYYYIFMYWGQGTQVTVSSGS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7. F30T;E105F  |  Nb252_double_F30T__E105F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8. A23S;E105F  |  Nb252_double_A23S__E105F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9. A23S;E105L  |  Nb252_double_A23S__E105L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10. A23S;R45V  |  Nb252_double_A23S__R45V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11. F30A;E105L  |  Nb252_double_F30A__E105L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12. F30A;R45V  |  Nb252_double_F30A__R45V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13. F30T;R45T  |  Nb252_double_F30T__R45T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QVQLQESGGGLVQAGGSLRLSCAASGTIFTGYDMGWYRQAPGKETEFVASITTGSNTNYADSVKGRFTISRDNAKNTVYLQMNSLKPEDTAVYYCAVDTIDYIIEWNVYYYIFSYWGQGTQVTVSSGS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14. Q1D;E105F  |  Nb252_double_Q1D__E105F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15. Q1D;E105L  |  Nb252_double_Q1D__E105L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16. Q1D;F30T  |  Nb252_double_Q1D__F30T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DVQLQESGGGLVQAGGSLRLSCAASGTIFTGYDMGWYRQAPGKEREFVASITTGSNTNYADSVKGRFTISRDNAKNTVYLQMNSLKPEDTAVYYCAVDTIDYIIEWNVYYYIFSYWGQGTQVTVSSGS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17. R45T;E105F  |  Nb252_double_R45T__E105F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18. R45T;N107A  |  Nb252_double_R45T__N107A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19. R45T;S55G  |  Nb252_double_R45T__S55G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QVQLQESGGGLVQAGGSLRLSCAASGTIFFGYDMGWYRQAPGKETEFVASITTGGNTNYADSVKGRFTISRDNAKNTVYLQMNSLKPEDTAVYYCAVDTIDYIIEWNVYYYIFSYWGQGTQVTVSSGS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20. R45V;E105F  |  Nb252_double_R45V__E105F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21. R45V;E105L  |  Nb252_double_R45V__E105L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22. R45V;N107A  |  Nb252_double_R45V__N107A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23. S55G;E105L  |  Nb252_double_S55G__E105L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24. S55G;N107A  |  Nb252_double_S55G__N107A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25. Q1D  |  Nb252_uni_seq001_Q1D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26. A23S  |  Nb252_uni_seq023_A23S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27. F30A  |  Nb252_uni_seq030_F30A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28. F30S  |  Nb252_uni_seq030_F30S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QVQLQESGGGLVQAGGSLRLSCAASGTIFSGYDMGWYRQAPGKEREFVASITTGSNTNYADSVKGRFTISRDNAKNTVYLQMNSLKPEDTAVYYCAVDTIDYIIEWNVYYYIFSYWGQGTQVTVSSGS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29. F30T  |  Nb252_uni_seq030_F30T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30. S55G  |  Nb252_uni_seq055_S55G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QVQLQESGGGLVQAGGSLRLSCAASGTIFFGYDMGWYRQAPGKEREFVASITTGGNTNYADSVKGRFTISRDNAKNTVYLQMNSLKPEDTAVYYCAVDTIDYIIEWNVYYYIFSYWGQGTQVTVSSGS</w:t>
      </w:r>
    </w:p>
    <w:p>
      <w:pPr>
        <w:pStyle w:val="Heading1"/>
      </w:pPr>
      <w:r>
        <w:t>附录E  权威数据与制品索引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docs/run_summaries/input_baseline/sequence_numbering.json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docs/result_artifacts/input_baseline/structure_released_20260810/structure_alignment_summary.json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docs/result_artifacts/input_baseline/interface_released_20260810/interface_manifest.json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docs/run_summaries/candidate_design/affinity_pyrosetta_full_scan_20260811.json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docs/run_summaries/candidate_design/flex_ddg_production_result_20260812.json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docs/run_summaries/candidate_design/unified_property_scoring_result_20260815.json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docs/run_summaries/candidate_design/double_mutant_scan_review_v2_1_20260816.json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docs/result_artifacts/candidate_design/finalist_energy_review_20260817/finalist_energy_review_gate.json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docs/result_artifacts/candidate_design/final_candidate_panel_20260817/final_candidate_panel_gate.json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docs/result_artifacts/candidate_design/final_candidate_panel_20260817/final_candidates_30.csv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docs/result_artifacts/candidate_design/final_candidate_panel_20260817/final_candidates_30.fasta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docs/history/2026-W31.md; 2026-W32.md; 2026-W33.md; 2026-W34.md</w:t>
      </w:r>
    </w:p>
    <w:p>
      <w:r>
        <w:rPr>
          <w:rFonts w:ascii="Calibri" w:hAnsi="Calibri" w:eastAsia="Microsoft YaHei"/>
          <w:b w:val="0"/>
          <w:color w:val="1D252C"/>
          <w:sz w:val="21"/>
        </w:rPr>
        <w:t>报告生成原则：所有数字均从上述机器可读制品或权威项目记录读取；预测、推断与实验观察保持分离。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27D"/>
        <w:sz w:val="17"/>
      </w:rPr>
      <w:t xml:space="preserve">第 </w:t>
    </w:r>
    <w:fldSimple w:instr="PAGE"/>
    <w:r>
      <w:rPr>
        <w:rFonts w:ascii="Calibri" w:hAnsi="Calibri" w:eastAsia="Microsoft YaHei"/>
        <w:b w:val="0"/>
        <w:color w:val="66727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6727D"/>
        <w:sz w:val="17"/>
      </w:rPr>
      <w:t>Nb252多目标计算优化 | 阶段周报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5D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5D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0" w:lineRule="auto"/>
      <w:ind w:left="720" w:hanging="360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0" w:lineRule="auto"/>
      <w:ind w:left="720" w:hanging="360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NK2R纳米抗体Nb252多目标计算优化阶段周报</dc:title>
  <dc:subject>2026-W31—W34项目阶段总结</dc:subject>
  <dc:creator>Antibody_optimization project</dc:creator>
  <cp:keywords>Nb252, NK2R, nanobody, affinity, stability, expression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