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美式标准师 22275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机械化骑兵侦查营719人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营部56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营部连83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侦查连一145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侦查连四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3662人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3662人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3662人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补充营三</w:t>
      </w:r>
    </w:p>
    <w:p>
      <w:pPr>
        <w:pStyle w:val="5"/>
        <w:bidi w:val="0"/>
        <w:ind w:firstLine="42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步兵团四  3162人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3535人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155自行火炮营 640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A92852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D65F6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9C68DA"/>
    <w:rsid w:val="08B1511D"/>
    <w:rsid w:val="08D1243D"/>
    <w:rsid w:val="08D51769"/>
    <w:rsid w:val="090543C9"/>
    <w:rsid w:val="090A20FE"/>
    <w:rsid w:val="092E6CC0"/>
    <w:rsid w:val="09483977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843B6D"/>
    <w:rsid w:val="1EC34C0E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3831E1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A77E2F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35954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0C783E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33B4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056287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7B618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04CA9"/>
    <w:rsid w:val="513B7B33"/>
    <w:rsid w:val="514C4E14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7D2172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982B09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6A0BFE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7D50F18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1505B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80905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52B51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3B2796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15282</Words>
  <Characters>18600</Characters>
  <Lines>0</Lines>
  <Paragraphs>0</Paragraphs>
  <TotalTime>8</TotalTime>
  <ScaleCrop>false</ScaleCrop>
  <LinksUpToDate>false</LinksUpToDate>
  <CharactersWithSpaces>18932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2024-06-17T07:42:14Z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