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7045" w14:textId="0ABE9F78" w:rsidR="00B32D44" w:rsidRPr="003354BC" w:rsidRDefault="00CD7D78" w:rsidP="002F62CF">
      <w:pPr>
        <w:spacing w:after="3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4DF88447" wp14:editId="03FB1C10">
                <wp:simplePos x="0" y="0"/>
                <wp:positionH relativeFrom="column">
                  <wp:posOffset>1541213</wp:posOffset>
                </wp:positionH>
                <wp:positionV relativeFrom="paragraph">
                  <wp:posOffset>5691520</wp:posOffset>
                </wp:positionV>
                <wp:extent cx="997200" cy="25560"/>
                <wp:effectExtent l="76200" t="76200" r="69850" b="76200"/>
                <wp:wrapNone/>
                <wp:docPr id="1518980700"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997200" cy="25560"/>
                      </w14:xfrm>
                    </w14:contentPart>
                  </a:graphicData>
                </a:graphic>
              </wp:anchor>
            </w:drawing>
          </mc:Choice>
          <mc:Fallback>
            <w:pict>
              <v:shapetype w14:anchorId="54C04F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8.55pt;margin-top:445.35pt;width:84.15pt;height:7.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">
                <v:imagedata r:id="rId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5E37A64" wp14:editId="7AE1EB30">
                <wp:simplePos x="0" y="0"/>
                <wp:positionH relativeFrom="column">
                  <wp:posOffset>3672413</wp:posOffset>
                </wp:positionH>
                <wp:positionV relativeFrom="paragraph">
                  <wp:posOffset>1814453</wp:posOffset>
                </wp:positionV>
                <wp:extent cx="380880" cy="9360"/>
                <wp:effectExtent l="76200" t="76200" r="51435" b="80010"/>
                <wp:wrapNone/>
                <wp:docPr id="977677964"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80880" cy="9360"/>
                      </w14:xfrm>
                    </w14:contentPart>
                  </a:graphicData>
                </a:graphic>
              </wp:anchor>
            </w:drawing>
          </mc:Choice>
          <mc:Fallback>
            <w:pict>
              <v:shape w14:anchorId="38ACE1BB" id="Ink 3" o:spid="_x0000_s1026" type="#_x0000_t75" style="position:absolute;margin-left:286.3pt;margin-top:140pt;width:35.7pt;height:6.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">
                <v:imagedata r:id="rId11" o:title=""/>
              </v:shape>
            </w:pict>
          </mc:Fallback>
        </mc:AlternateContent>
      </w:r>
      <w:r w:rsidR="00B32D44" w:rsidRPr="003354BC">
        <w:rPr>
          <w:rFonts w:ascii="Times New Roman" w:hAnsi="Times New Roman" w:cs="Times New Roman"/>
          <w:noProof/>
          <w:sz w:val="24"/>
          <w:szCs w:val="24"/>
        </w:rPr>
        <w:drawing>
          <wp:inline distT="0" distB="0" distL="0" distR="0" wp14:anchorId="316D8901" wp14:editId="45F98658">
            <wp:extent cx="5220429" cy="6115904"/>
            <wp:effectExtent l="0" t="0" r="0" b="0"/>
            <wp:docPr id="8409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607" name=""/>
                    <pic:cNvPicPr/>
                  </pic:nvPicPr>
                  <pic:blipFill>
                    <a:blip r:embed="rId12"/>
                    <a:stretch>
                      <a:fillRect/>
                    </a:stretch>
                  </pic:blipFill>
                  <pic:spPr>
                    <a:xfrm>
                      <a:off x="0" y="0"/>
                      <a:ext cx="5220429" cy="6115904"/>
                    </a:xfrm>
                    <a:prstGeom prst="rect">
                      <a:avLst/>
                    </a:prstGeom>
                  </pic:spPr>
                </pic:pic>
              </a:graphicData>
            </a:graphic>
          </wp:inline>
        </w:drawing>
      </w:r>
    </w:p>
    <w:p w14:paraId="5271A6A6" w14:textId="77777777" w:rsidR="00634F3B" w:rsidRPr="003354BC" w:rsidRDefault="00634F3B" w:rsidP="002F62CF">
      <w:pPr>
        <w:spacing w:after="30"/>
        <w:rPr>
          <w:rFonts w:ascii="Times New Roman" w:hAnsi="Times New Roman" w:cs="Times New Roman"/>
          <w:sz w:val="24"/>
          <w:szCs w:val="24"/>
        </w:rPr>
      </w:pPr>
    </w:p>
    <w:p w14:paraId="0DBC2A29" w14:textId="77777777" w:rsidR="00634F3B" w:rsidRPr="003354BC" w:rsidRDefault="00634F3B" w:rsidP="002F62CF">
      <w:pPr>
        <w:spacing w:after="30"/>
        <w:rPr>
          <w:rFonts w:ascii="Times New Roman" w:hAnsi="Times New Roman" w:cs="Times New Roman"/>
          <w:sz w:val="24"/>
          <w:szCs w:val="24"/>
        </w:rPr>
      </w:pPr>
    </w:p>
    <w:p w14:paraId="47CAF449" w14:textId="77777777" w:rsidR="00634F3B" w:rsidRDefault="00634F3B" w:rsidP="002F62CF">
      <w:pPr>
        <w:spacing w:after="30"/>
        <w:rPr>
          <w:rFonts w:ascii="Times New Roman" w:hAnsi="Times New Roman" w:cs="Times New Roman"/>
          <w:sz w:val="24"/>
          <w:szCs w:val="24"/>
        </w:rPr>
      </w:pPr>
    </w:p>
    <w:p w14:paraId="7BE19B55" w14:textId="77777777" w:rsidR="00461426" w:rsidRDefault="00461426" w:rsidP="002F62CF">
      <w:pPr>
        <w:spacing w:after="30"/>
        <w:rPr>
          <w:rFonts w:ascii="Times New Roman" w:hAnsi="Times New Roman" w:cs="Times New Roman"/>
          <w:sz w:val="24"/>
          <w:szCs w:val="24"/>
        </w:rPr>
      </w:pPr>
    </w:p>
    <w:p w14:paraId="3E0C332C" w14:textId="77777777" w:rsidR="00461426" w:rsidRDefault="00461426" w:rsidP="002F62CF">
      <w:pPr>
        <w:spacing w:after="30"/>
        <w:rPr>
          <w:rFonts w:ascii="Times New Roman" w:hAnsi="Times New Roman" w:cs="Times New Roman"/>
          <w:sz w:val="24"/>
          <w:szCs w:val="24"/>
        </w:rPr>
      </w:pPr>
    </w:p>
    <w:p w14:paraId="198E3037" w14:textId="77777777" w:rsidR="00461426" w:rsidRDefault="00461426" w:rsidP="002F62CF">
      <w:pPr>
        <w:spacing w:after="30"/>
        <w:rPr>
          <w:rFonts w:ascii="Times New Roman" w:hAnsi="Times New Roman" w:cs="Times New Roman"/>
          <w:sz w:val="24"/>
          <w:szCs w:val="24"/>
        </w:rPr>
      </w:pPr>
    </w:p>
    <w:p w14:paraId="6AB2B339" w14:textId="77777777" w:rsidR="00461426" w:rsidRPr="003354BC" w:rsidRDefault="00461426" w:rsidP="002F62CF">
      <w:pPr>
        <w:spacing w:after="30"/>
        <w:rPr>
          <w:rFonts w:ascii="Times New Roman" w:hAnsi="Times New Roman" w:cs="Times New Roman"/>
          <w:sz w:val="24"/>
          <w:szCs w:val="24"/>
        </w:rPr>
      </w:pPr>
    </w:p>
    <w:p w14:paraId="3BD3CA1C" w14:textId="77777777" w:rsidR="00634F3B" w:rsidRPr="003354BC" w:rsidRDefault="00634F3B" w:rsidP="002F62CF">
      <w:pPr>
        <w:spacing w:after="30"/>
        <w:rPr>
          <w:rFonts w:ascii="Times New Roman" w:hAnsi="Times New Roman" w:cs="Times New Roman"/>
          <w:sz w:val="24"/>
          <w:szCs w:val="24"/>
        </w:rPr>
      </w:pPr>
    </w:p>
    <w:p w14:paraId="04862E5A" w14:textId="77777777" w:rsidR="00634F3B" w:rsidRPr="003354BC" w:rsidRDefault="00634F3B" w:rsidP="002F62CF">
      <w:pPr>
        <w:spacing w:after="30"/>
        <w:rPr>
          <w:rFonts w:ascii="Times New Roman" w:hAnsi="Times New Roman" w:cs="Times New Roman"/>
          <w:sz w:val="24"/>
          <w:szCs w:val="24"/>
        </w:rPr>
      </w:pPr>
    </w:p>
    <w:p w14:paraId="4429CD20" w14:textId="77777777" w:rsidR="00634F3B" w:rsidRPr="003354BC" w:rsidRDefault="00634F3B" w:rsidP="002F62CF">
      <w:pPr>
        <w:spacing w:after="30"/>
        <w:rPr>
          <w:rFonts w:ascii="Times New Roman" w:hAnsi="Times New Roman" w:cs="Times New Roman"/>
          <w:sz w:val="24"/>
          <w:szCs w:val="24"/>
        </w:rPr>
      </w:pPr>
    </w:p>
    <w:p w14:paraId="622818CC" w14:textId="77777777" w:rsidR="00634F3B" w:rsidRPr="003354BC" w:rsidRDefault="00634F3B" w:rsidP="002F62CF">
      <w:pPr>
        <w:spacing w:after="30"/>
        <w:rPr>
          <w:rFonts w:ascii="Times New Roman" w:hAnsi="Times New Roman" w:cs="Times New Roman"/>
          <w:sz w:val="24"/>
          <w:szCs w:val="24"/>
        </w:rPr>
      </w:pPr>
    </w:p>
    <w:p w14:paraId="040DF946" w14:textId="77777777" w:rsidR="00634F3B" w:rsidRPr="003354BC" w:rsidRDefault="00634F3B" w:rsidP="002F62CF">
      <w:pPr>
        <w:spacing w:after="30"/>
        <w:rPr>
          <w:rFonts w:ascii="Times New Roman" w:hAnsi="Times New Roman" w:cs="Times New Roman"/>
          <w:sz w:val="24"/>
          <w:szCs w:val="24"/>
        </w:rPr>
      </w:pPr>
    </w:p>
    <w:p w14:paraId="72BFF9F7" w14:textId="77777777" w:rsidR="002B42BE" w:rsidRPr="003354BC" w:rsidRDefault="002B42BE" w:rsidP="002F62CF">
      <w:pPr>
        <w:spacing w:after="30"/>
        <w:jc w:val="center"/>
        <w:rPr>
          <w:rFonts w:ascii="Times New Roman" w:hAnsi="Times New Roman" w:cs="Times New Roman"/>
          <w:sz w:val="24"/>
          <w:szCs w:val="24"/>
        </w:rPr>
      </w:pPr>
    </w:p>
    <w:p w14:paraId="60ECA341" w14:textId="17445621" w:rsidR="00461426" w:rsidRPr="00367475" w:rsidRDefault="00ED423D" w:rsidP="00F44A0F">
      <w:pPr>
        <w:spacing w:after="30"/>
        <w:jc w:val="center"/>
        <w:rPr>
          <w:rFonts w:ascii="Times New Roman" w:hAnsi="Times New Roman" w:cs="Times New Roman"/>
          <w:b/>
          <w:bCs/>
          <w:sz w:val="24"/>
          <w:szCs w:val="24"/>
        </w:rPr>
      </w:pPr>
      <w:r w:rsidRPr="00367475">
        <w:rPr>
          <w:rFonts w:ascii="Times New Roman" w:hAnsi="Times New Roman" w:cs="Times New Roman"/>
          <w:b/>
          <w:bCs/>
          <w:sz w:val="24"/>
          <w:szCs w:val="24"/>
        </w:rPr>
        <w:lastRenderedPageBreak/>
        <w:t>ETHICAL USE OF BIG DATA IN CREDIT RISK &amp; LOAN APPROVALS</w:t>
      </w:r>
    </w:p>
    <w:p w14:paraId="2AFC81C8" w14:textId="77777777" w:rsidR="00634F3B" w:rsidRPr="0022690B" w:rsidRDefault="00634F3B" w:rsidP="002F62CF">
      <w:pPr>
        <w:spacing w:after="30"/>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61863171"/>
        <w:docPartObj>
          <w:docPartGallery w:val="Table of Contents"/>
          <w:docPartUnique/>
        </w:docPartObj>
      </w:sdtPr>
      <w:sdtEndPr>
        <w:rPr>
          <w:b/>
          <w:bCs/>
          <w:noProof/>
        </w:rPr>
      </w:sdtEndPr>
      <w:sdtContent>
        <w:p w14:paraId="2CEBBD91" w14:textId="7B2542DC" w:rsidR="00BA1FFD" w:rsidRPr="00367475" w:rsidRDefault="002C32E0" w:rsidP="002F62CF">
          <w:pPr>
            <w:pStyle w:val="TOCHeading"/>
            <w:spacing w:after="30"/>
            <w:rPr>
              <w:rFonts w:ascii="Times New Roman" w:hAnsi="Times New Roman" w:cs="Times New Roman"/>
              <w:b/>
              <w:bCs/>
              <w:color w:val="auto"/>
              <w:sz w:val="24"/>
              <w:szCs w:val="24"/>
            </w:rPr>
          </w:pPr>
          <w:r w:rsidRPr="00367475">
            <w:rPr>
              <w:rFonts w:ascii="Times New Roman" w:hAnsi="Times New Roman" w:cs="Times New Roman"/>
              <w:b/>
              <w:bCs/>
              <w:color w:val="auto"/>
              <w:sz w:val="24"/>
              <w:szCs w:val="24"/>
            </w:rPr>
            <w:t>T</w:t>
          </w:r>
          <w:r w:rsidR="0015236B" w:rsidRPr="00367475">
            <w:rPr>
              <w:rFonts w:ascii="Times New Roman" w:hAnsi="Times New Roman" w:cs="Times New Roman"/>
              <w:b/>
              <w:bCs/>
              <w:color w:val="auto"/>
              <w:sz w:val="24"/>
              <w:szCs w:val="24"/>
            </w:rPr>
            <w:t>ABLE OF CONTENTS</w:t>
          </w:r>
          <w:r w:rsidRPr="00367475">
            <w:rPr>
              <w:rFonts w:ascii="Times New Roman" w:hAnsi="Times New Roman" w:cs="Times New Roman"/>
              <w:b/>
              <w:bCs/>
              <w:color w:val="auto"/>
              <w:sz w:val="24"/>
              <w:szCs w:val="24"/>
            </w:rPr>
            <w:t>:</w:t>
          </w:r>
        </w:p>
        <w:p w14:paraId="458221BE" w14:textId="71D6FEA9" w:rsidR="00CC6CFC" w:rsidRPr="00367475" w:rsidRDefault="00BA1FFD" w:rsidP="002F62CF">
          <w:pPr>
            <w:pStyle w:val="TOC1"/>
            <w:spacing w:after="30"/>
            <w:rPr>
              <w:rFonts w:eastAsiaTheme="minorEastAsia"/>
              <w:b w:val="0"/>
              <w:bCs w:val="0"/>
              <w:lang w:eastAsia="en-IN"/>
            </w:rPr>
          </w:pPr>
          <w:r w:rsidRPr="00367475">
            <w:rPr>
              <w:b w:val="0"/>
              <w:bCs w:val="0"/>
            </w:rPr>
            <w:fldChar w:fldCharType="begin"/>
          </w:r>
          <w:r w:rsidRPr="00367475">
            <w:rPr>
              <w:b w:val="0"/>
              <w:bCs w:val="0"/>
            </w:rPr>
            <w:instrText xml:space="preserve"> TOC \o "1-3" \h \z \u </w:instrText>
          </w:r>
          <w:r w:rsidRPr="00367475">
            <w:rPr>
              <w:b w:val="0"/>
              <w:bCs w:val="0"/>
            </w:rPr>
            <w:fldChar w:fldCharType="separate"/>
          </w:r>
          <w:hyperlink w:anchor="_Toc204346093" w:history="1">
            <w:r w:rsidR="00CC6CFC" w:rsidRPr="00367475">
              <w:rPr>
                <w:rStyle w:val="Hyperlink"/>
                <w:b w:val="0"/>
                <w:bCs w:val="0"/>
              </w:rPr>
              <w:t>Introduction</w:t>
            </w:r>
            <w:r w:rsidR="00CC6CFC" w:rsidRPr="00367475">
              <w:rPr>
                <w:b w:val="0"/>
                <w:bCs w:val="0"/>
                <w:webHidden/>
              </w:rPr>
              <w:tab/>
            </w:r>
            <w:r w:rsidR="00CC6CFC" w:rsidRPr="00367475">
              <w:rPr>
                <w:b w:val="0"/>
                <w:bCs w:val="0"/>
                <w:webHidden/>
              </w:rPr>
              <w:fldChar w:fldCharType="begin"/>
            </w:r>
            <w:r w:rsidR="00CC6CFC" w:rsidRPr="00367475">
              <w:rPr>
                <w:b w:val="0"/>
                <w:bCs w:val="0"/>
                <w:webHidden/>
              </w:rPr>
              <w:instrText xml:space="preserve"> PAGEREF _Toc204346093 \h </w:instrText>
            </w:r>
            <w:r w:rsidR="00CC6CFC" w:rsidRPr="00367475">
              <w:rPr>
                <w:b w:val="0"/>
                <w:bCs w:val="0"/>
                <w:webHidden/>
              </w:rPr>
            </w:r>
            <w:r w:rsidR="00CC6CFC" w:rsidRPr="00367475">
              <w:rPr>
                <w:b w:val="0"/>
                <w:bCs w:val="0"/>
                <w:webHidden/>
              </w:rPr>
              <w:fldChar w:fldCharType="separate"/>
            </w:r>
            <w:r w:rsidR="00E96D97">
              <w:rPr>
                <w:b w:val="0"/>
                <w:bCs w:val="0"/>
                <w:webHidden/>
              </w:rPr>
              <w:t>2</w:t>
            </w:r>
            <w:r w:rsidR="00CC6CFC" w:rsidRPr="00367475">
              <w:rPr>
                <w:b w:val="0"/>
                <w:bCs w:val="0"/>
                <w:webHidden/>
              </w:rPr>
              <w:fldChar w:fldCharType="end"/>
            </w:r>
          </w:hyperlink>
        </w:p>
        <w:p w14:paraId="2C555350" w14:textId="443425A9" w:rsidR="00CC6CFC" w:rsidRPr="00367475" w:rsidRDefault="00CC6CFC" w:rsidP="002F62CF">
          <w:pPr>
            <w:pStyle w:val="TOC1"/>
            <w:spacing w:after="30"/>
            <w:rPr>
              <w:rFonts w:eastAsiaTheme="minorEastAsia"/>
              <w:b w:val="0"/>
              <w:bCs w:val="0"/>
              <w:lang w:eastAsia="en-IN"/>
            </w:rPr>
          </w:pPr>
          <w:hyperlink w:anchor="_Toc204346094" w:history="1">
            <w:r w:rsidRPr="00367475">
              <w:rPr>
                <w:rStyle w:val="Hyperlink"/>
                <w:b w:val="0"/>
                <w:bCs w:val="0"/>
              </w:rPr>
              <w:t>Role of Big Data in Financial Sector</w:t>
            </w:r>
            <w:r w:rsidRPr="00367475">
              <w:rPr>
                <w:b w:val="0"/>
                <w:bCs w:val="0"/>
                <w:webHidden/>
              </w:rPr>
              <w:tab/>
            </w:r>
            <w:r w:rsidRPr="00367475">
              <w:rPr>
                <w:b w:val="0"/>
                <w:bCs w:val="0"/>
                <w:webHidden/>
              </w:rPr>
              <w:fldChar w:fldCharType="begin"/>
            </w:r>
            <w:r w:rsidRPr="00367475">
              <w:rPr>
                <w:b w:val="0"/>
                <w:bCs w:val="0"/>
                <w:webHidden/>
              </w:rPr>
              <w:instrText xml:space="preserve"> PAGEREF _Toc204346094 \h </w:instrText>
            </w:r>
            <w:r w:rsidRPr="00367475">
              <w:rPr>
                <w:b w:val="0"/>
                <w:bCs w:val="0"/>
                <w:webHidden/>
              </w:rPr>
            </w:r>
            <w:r w:rsidRPr="00367475">
              <w:rPr>
                <w:b w:val="0"/>
                <w:bCs w:val="0"/>
                <w:webHidden/>
              </w:rPr>
              <w:fldChar w:fldCharType="separate"/>
            </w:r>
            <w:r w:rsidR="00E96D97">
              <w:rPr>
                <w:b w:val="0"/>
                <w:bCs w:val="0"/>
                <w:webHidden/>
              </w:rPr>
              <w:t>3</w:t>
            </w:r>
            <w:r w:rsidRPr="00367475">
              <w:rPr>
                <w:b w:val="0"/>
                <w:bCs w:val="0"/>
                <w:webHidden/>
              </w:rPr>
              <w:fldChar w:fldCharType="end"/>
            </w:r>
          </w:hyperlink>
        </w:p>
        <w:p w14:paraId="6069DD02" w14:textId="4763324F" w:rsidR="00CC6CFC" w:rsidRPr="00367475" w:rsidRDefault="00CC6CFC" w:rsidP="002F62CF">
          <w:pPr>
            <w:pStyle w:val="TOC1"/>
            <w:spacing w:after="30"/>
            <w:rPr>
              <w:rFonts w:eastAsiaTheme="minorEastAsia"/>
              <w:b w:val="0"/>
              <w:bCs w:val="0"/>
              <w:lang w:eastAsia="en-IN"/>
            </w:rPr>
          </w:pPr>
          <w:hyperlink w:anchor="_Toc204346095" w:history="1">
            <w:r w:rsidRPr="00367475">
              <w:rPr>
                <w:rStyle w:val="Hyperlink"/>
                <w:b w:val="0"/>
                <w:bCs w:val="0"/>
              </w:rPr>
              <w:t>Major Ethical Concerns</w:t>
            </w:r>
            <w:r w:rsidRPr="00367475">
              <w:rPr>
                <w:b w:val="0"/>
                <w:bCs w:val="0"/>
                <w:webHidden/>
              </w:rPr>
              <w:tab/>
            </w:r>
            <w:r w:rsidRPr="00367475">
              <w:rPr>
                <w:b w:val="0"/>
                <w:bCs w:val="0"/>
                <w:webHidden/>
              </w:rPr>
              <w:fldChar w:fldCharType="begin"/>
            </w:r>
            <w:r w:rsidRPr="00367475">
              <w:rPr>
                <w:b w:val="0"/>
                <w:bCs w:val="0"/>
                <w:webHidden/>
              </w:rPr>
              <w:instrText xml:space="preserve"> PAGEREF _Toc204346095 \h </w:instrText>
            </w:r>
            <w:r w:rsidRPr="00367475">
              <w:rPr>
                <w:b w:val="0"/>
                <w:bCs w:val="0"/>
                <w:webHidden/>
              </w:rPr>
            </w:r>
            <w:r w:rsidRPr="00367475">
              <w:rPr>
                <w:b w:val="0"/>
                <w:bCs w:val="0"/>
                <w:webHidden/>
              </w:rPr>
              <w:fldChar w:fldCharType="separate"/>
            </w:r>
            <w:r w:rsidR="00E96D97">
              <w:rPr>
                <w:b w:val="0"/>
                <w:bCs w:val="0"/>
                <w:webHidden/>
              </w:rPr>
              <w:t>4</w:t>
            </w:r>
            <w:r w:rsidRPr="00367475">
              <w:rPr>
                <w:b w:val="0"/>
                <w:bCs w:val="0"/>
                <w:webHidden/>
              </w:rPr>
              <w:fldChar w:fldCharType="end"/>
            </w:r>
          </w:hyperlink>
        </w:p>
        <w:p w14:paraId="5850715D" w14:textId="33B2558E" w:rsidR="00CC6CFC" w:rsidRPr="00367475" w:rsidRDefault="00CC6CFC" w:rsidP="002F62CF">
          <w:pPr>
            <w:pStyle w:val="TOC1"/>
            <w:spacing w:after="30"/>
            <w:rPr>
              <w:rFonts w:eastAsiaTheme="minorEastAsia"/>
              <w:b w:val="0"/>
              <w:bCs w:val="0"/>
              <w:lang w:eastAsia="en-IN"/>
            </w:rPr>
          </w:pPr>
          <w:hyperlink w:anchor="_Toc204346096" w:history="1">
            <w:r w:rsidRPr="00367475">
              <w:rPr>
                <w:rStyle w:val="Hyperlink"/>
                <w:b w:val="0"/>
                <w:bCs w:val="0"/>
              </w:rPr>
              <w:t>Industry Recommendation and Regulatory Standards</w:t>
            </w:r>
            <w:r w:rsidRPr="00367475">
              <w:rPr>
                <w:b w:val="0"/>
                <w:bCs w:val="0"/>
                <w:webHidden/>
              </w:rPr>
              <w:tab/>
            </w:r>
            <w:r w:rsidRPr="00367475">
              <w:rPr>
                <w:b w:val="0"/>
                <w:bCs w:val="0"/>
                <w:webHidden/>
              </w:rPr>
              <w:fldChar w:fldCharType="begin"/>
            </w:r>
            <w:r w:rsidRPr="00367475">
              <w:rPr>
                <w:b w:val="0"/>
                <w:bCs w:val="0"/>
                <w:webHidden/>
              </w:rPr>
              <w:instrText xml:space="preserve"> PAGEREF _Toc204346096 \h </w:instrText>
            </w:r>
            <w:r w:rsidRPr="00367475">
              <w:rPr>
                <w:b w:val="0"/>
                <w:bCs w:val="0"/>
                <w:webHidden/>
              </w:rPr>
            </w:r>
            <w:r w:rsidRPr="00367475">
              <w:rPr>
                <w:b w:val="0"/>
                <w:bCs w:val="0"/>
                <w:webHidden/>
              </w:rPr>
              <w:fldChar w:fldCharType="separate"/>
            </w:r>
            <w:r w:rsidR="00E96D97">
              <w:rPr>
                <w:b w:val="0"/>
                <w:bCs w:val="0"/>
                <w:webHidden/>
              </w:rPr>
              <w:t>5</w:t>
            </w:r>
            <w:r w:rsidRPr="00367475">
              <w:rPr>
                <w:b w:val="0"/>
                <w:bCs w:val="0"/>
                <w:webHidden/>
              </w:rPr>
              <w:fldChar w:fldCharType="end"/>
            </w:r>
          </w:hyperlink>
        </w:p>
        <w:p w14:paraId="2119DC3F" w14:textId="32C73A6B" w:rsidR="00CC6CFC" w:rsidRPr="00367475" w:rsidRDefault="00CC6CFC" w:rsidP="002F62CF">
          <w:pPr>
            <w:pStyle w:val="TOC1"/>
            <w:spacing w:after="30"/>
            <w:rPr>
              <w:rFonts w:eastAsiaTheme="minorEastAsia"/>
              <w:b w:val="0"/>
              <w:bCs w:val="0"/>
              <w:lang w:eastAsia="en-IN"/>
            </w:rPr>
          </w:pPr>
          <w:hyperlink w:anchor="_Toc204346097" w:history="1">
            <w:r w:rsidRPr="00367475">
              <w:rPr>
                <w:rStyle w:val="Hyperlink"/>
                <w:b w:val="0"/>
                <w:bCs w:val="0"/>
              </w:rPr>
              <w:t>Conclusion</w:t>
            </w:r>
            <w:r w:rsidRPr="00367475">
              <w:rPr>
                <w:b w:val="0"/>
                <w:bCs w:val="0"/>
                <w:webHidden/>
              </w:rPr>
              <w:tab/>
            </w:r>
            <w:r w:rsidRPr="00367475">
              <w:rPr>
                <w:b w:val="0"/>
                <w:bCs w:val="0"/>
                <w:webHidden/>
              </w:rPr>
              <w:fldChar w:fldCharType="begin"/>
            </w:r>
            <w:r w:rsidRPr="00367475">
              <w:rPr>
                <w:b w:val="0"/>
                <w:bCs w:val="0"/>
                <w:webHidden/>
              </w:rPr>
              <w:instrText xml:space="preserve"> PAGEREF _Toc204346097 \h </w:instrText>
            </w:r>
            <w:r w:rsidRPr="00367475">
              <w:rPr>
                <w:b w:val="0"/>
                <w:bCs w:val="0"/>
                <w:webHidden/>
              </w:rPr>
            </w:r>
            <w:r w:rsidRPr="00367475">
              <w:rPr>
                <w:b w:val="0"/>
                <w:bCs w:val="0"/>
                <w:webHidden/>
              </w:rPr>
              <w:fldChar w:fldCharType="separate"/>
            </w:r>
            <w:r w:rsidR="00E96D97">
              <w:rPr>
                <w:b w:val="0"/>
                <w:bCs w:val="0"/>
                <w:webHidden/>
              </w:rPr>
              <w:t>5</w:t>
            </w:r>
            <w:r w:rsidRPr="00367475">
              <w:rPr>
                <w:b w:val="0"/>
                <w:bCs w:val="0"/>
                <w:webHidden/>
              </w:rPr>
              <w:fldChar w:fldCharType="end"/>
            </w:r>
          </w:hyperlink>
        </w:p>
        <w:p w14:paraId="78232018" w14:textId="74630A79" w:rsidR="00CC6CFC" w:rsidRPr="00367475" w:rsidRDefault="00CC6CFC" w:rsidP="002F62CF">
          <w:pPr>
            <w:pStyle w:val="TOC1"/>
            <w:spacing w:after="30"/>
            <w:rPr>
              <w:rFonts w:eastAsiaTheme="minorEastAsia"/>
              <w:b w:val="0"/>
              <w:bCs w:val="0"/>
              <w:lang w:eastAsia="en-IN"/>
            </w:rPr>
          </w:pPr>
          <w:hyperlink w:anchor="_Toc204346098" w:history="1">
            <w:r w:rsidRPr="00367475">
              <w:rPr>
                <w:rStyle w:val="Hyperlink"/>
                <w:b w:val="0"/>
                <w:bCs w:val="0"/>
              </w:rPr>
              <w:t>Reference List</w:t>
            </w:r>
            <w:r w:rsidRPr="00367475">
              <w:rPr>
                <w:b w:val="0"/>
                <w:bCs w:val="0"/>
                <w:webHidden/>
              </w:rPr>
              <w:tab/>
            </w:r>
            <w:r w:rsidRPr="00367475">
              <w:rPr>
                <w:b w:val="0"/>
                <w:bCs w:val="0"/>
                <w:webHidden/>
              </w:rPr>
              <w:fldChar w:fldCharType="begin"/>
            </w:r>
            <w:r w:rsidRPr="00367475">
              <w:rPr>
                <w:b w:val="0"/>
                <w:bCs w:val="0"/>
                <w:webHidden/>
              </w:rPr>
              <w:instrText xml:space="preserve"> PAGEREF _Toc204346098 \h </w:instrText>
            </w:r>
            <w:r w:rsidRPr="00367475">
              <w:rPr>
                <w:b w:val="0"/>
                <w:bCs w:val="0"/>
                <w:webHidden/>
              </w:rPr>
            </w:r>
            <w:r w:rsidRPr="00367475">
              <w:rPr>
                <w:b w:val="0"/>
                <w:bCs w:val="0"/>
                <w:webHidden/>
              </w:rPr>
              <w:fldChar w:fldCharType="separate"/>
            </w:r>
            <w:r w:rsidR="00E96D97">
              <w:rPr>
                <w:b w:val="0"/>
                <w:bCs w:val="0"/>
                <w:webHidden/>
              </w:rPr>
              <w:t>7</w:t>
            </w:r>
            <w:r w:rsidRPr="00367475">
              <w:rPr>
                <w:b w:val="0"/>
                <w:bCs w:val="0"/>
                <w:webHidden/>
              </w:rPr>
              <w:fldChar w:fldCharType="end"/>
            </w:r>
          </w:hyperlink>
        </w:p>
        <w:p w14:paraId="04B5B62E" w14:textId="292FE1A8" w:rsidR="008D3F8C" w:rsidRDefault="00BA1FFD" w:rsidP="002F62CF">
          <w:pPr>
            <w:spacing w:after="30"/>
            <w:rPr>
              <w:b/>
              <w:bCs/>
              <w:noProof/>
            </w:rPr>
          </w:pPr>
          <w:r w:rsidRPr="00367475">
            <w:rPr>
              <w:rFonts w:ascii="Times New Roman" w:hAnsi="Times New Roman" w:cs="Times New Roman"/>
              <w:noProof/>
              <w:sz w:val="24"/>
              <w:szCs w:val="24"/>
            </w:rPr>
            <w:fldChar w:fldCharType="end"/>
          </w:r>
        </w:p>
      </w:sdtContent>
    </w:sdt>
    <w:p w14:paraId="10DE7EB2" w14:textId="77777777" w:rsidR="00F33ADF" w:rsidRPr="007B3969" w:rsidRDefault="00F33ADF" w:rsidP="002F62CF">
      <w:pPr>
        <w:spacing w:after="30"/>
      </w:pPr>
    </w:p>
    <w:p w14:paraId="47CFF6C5" w14:textId="592E75EF" w:rsidR="00CA7D0C" w:rsidRPr="0041582F" w:rsidRDefault="00CA7D0C" w:rsidP="002F62CF">
      <w:pPr>
        <w:pStyle w:val="Heading1"/>
        <w:spacing w:after="30"/>
        <w:rPr>
          <w:rFonts w:ascii="Times New Roman" w:hAnsi="Times New Roman" w:cs="Times New Roman"/>
          <w:b/>
          <w:bCs/>
          <w:color w:val="auto"/>
          <w:sz w:val="24"/>
          <w:szCs w:val="24"/>
        </w:rPr>
      </w:pPr>
      <w:bookmarkStart w:id="0" w:name="_Toc204346093"/>
      <w:r w:rsidRPr="0041582F">
        <w:rPr>
          <w:rFonts w:ascii="Times New Roman" w:hAnsi="Times New Roman" w:cs="Times New Roman"/>
          <w:b/>
          <w:bCs/>
          <w:color w:val="auto"/>
          <w:sz w:val="24"/>
          <w:szCs w:val="24"/>
        </w:rPr>
        <w:t>I</w:t>
      </w:r>
      <w:r w:rsidR="0015236B" w:rsidRPr="0041582F">
        <w:rPr>
          <w:rFonts w:ascii="Times New Roman" w:hAnsi="Times New Roman" w:cs="Times New Roman"/>
          <w:b/>
          <w:bCs/>
          <w:color w:val="auto"/>
          <w:sz w:val="24"/>
          <w:szCs w:val="24"/>
        </w:rPr>
        <w:t>NTRODUCTION</w:t>
      </w:r>
      <w:r w:rsidRPr="0041582F">
        <w:rPr>
          <w:rFonts w:ascii="Times New Roman" w:hAnsi="Times New Roman" w:cs="Times New Roman"/>
          <w:b/>
          <w:bCs/>
          <w:color w:val="auto"/>
          <w:sz w:val="24"/>
          <w:szCs w:val="24"/>
        </w:rPr>
        <w:t>:</w:t>
      </w:r>
      <w:bookmarkEnd w:id="0"/>
    </w:p>
    <w:p w14:paraId="103AC14E"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A complex set of data generated through diverse backgrounds processed together using the traditional data processing technique is called as Big Data. It is estimated that the use of Big Data was tracked since the late 90s, when big organisations started recognising the potential of huge datasets to understand the market patterns and trends that were earlier not visible to them. It is generally categorised as five Vs: Volume, Velocity, Variety, Veracity and Value.</w:t>
      </w:r>
    </w:p>
    <w:p w14:paraId="391689BB"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In the modern era of digital economy, Big Data is not only a technological trend, but a foundational driver towards innovation and competitive advantage across different sectors. The integration of data in the financial sector has transformed the methods of assessing the credit risk assessments and loan approvals. Financial institutions have started using both large scale structured and unstructured datasets with high volume and diverse data encompassing both historical and real time transactions, as well as analysing social behaviour patterns to make faster and more accurate decisions. </w:t>
      </w:r>
    </w:p>
    <w:p w14:paraId="30AE8DD9" w14:textId="6726CB70" w:rsidR="00900C3E"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However, with the integration of data driven systems in the credit risk modelling, there is growing concern towards data privacy, security, transparency and algorithmic bias. This report explores the ethical concerns surrounding the use of Big Data in Credit Risk and Loan Approvals, by focusing on the methods used by Commonwealth Bank of Australia (CBA) to explain the balance between innovation and responsibility with the use of ethical data applications.</w:t>
      </w:r>
    </w:p>
    <w:p w14:paraId="33BCA586" w14:textId="51F709BE" w:rsidR="00CA7D0C" w:rsidRPr="0041582F" w:rsidRDefault="00900C3E" w:rsidP="002F62CF">
      <w:pPr>
        <w:spacing w:after="30"/>
        <w:rPr>
          <w:rFonts w:ascii="Times New Roman" w:hAnsi="Times New Roman" w:cs="Times New Roman"/>
          <w:sz w:val="24"/>
          <w:szCs w:val="24"/>
        </w:rPr>
      </w:pPr>
      <w:r w:rsidRPr="0041582F">
        <w:rPr>
          <w:rFonts w:ascii="Times New Roman" w:hAnsi="Times New Roman" w:cs="Times New Roman"/>
          <w:sz w:val="24"/>
          <w:szCs w:val="24"/>
        </w:rPr>
        <w:br w:type="page"/>
      </w:r>
    </w:p>
    <w:p w14:paraId="3384792D" w14:textId="1A344B18" w:rsidR="00CA7D0C" w:rsidRPr="0041582F" w:rsidRDefault="00605FD4" w:rsidP="002F62CF">
      <w:pPr>
        <w:pStyle w:val="Heading1"/>
        <w:spacing w:after="30"/>
        <w:rPr>
          <w:rFonts w:ascii="Times New Roman" w:hAnsi="Times New Roman" w:cs="Times New Roman"/>
          <w:b/>
          <w:bCs/>
          <w:color w:val="auto"/>
          <w:sz w:val="24"/>
          <w:szCs w:val="24"/>
        </w:rPr>
      </w:pPr>
      <w:bookmarkStart w:id="1" w:name="_Toc204346094"/>
      <w:r w:rsidRPr="0041582F">
        <w:rPr>
          <w:rFonts w:ascii="Times New Roman" w:hAnsi="Times New Roman" w:cs="Times New Roman"/>
          <w:b/>
          <w:bCs/>
          <w:color w:val="auto"/>
          <w:sz w:val="24"/>
          <w:szCs w:val="24"/>
        </w:rPr>
        <w:lastRenderedPageBreak/>
        <w:t>ROLE OF BIG DATA IN FINANCIAL SECTOR</w:t>
      </w:r>
      <w:r w:rsidR="00CA7D0C" w:rsidRPr="0041582F">
        <w:rPr>
          <w:rFonts w:ascii="Times New Roman" w:hAnsi="Times New Roman" w:cs="Times New Roman"/>
          <w:b/>
          <w:bCs/>
          <w:color w:val="auto"/>
          <w:sz w:val="24"/>
          <w:szCs w:val="24"/>
        </w:rPr>
        <w:t>:</w:t>
      </w:r>
      <w:bookmarkEnd w:id="1"/>
    </w:p>
    <w:p w14:paraId="7C2987CA"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Big data plays an influential role in the financial sector through reinforcement learning and decision making by providing huge volume of datasets through diverse backgrounds including real time datasets that help the business organisation understand the algorithm from a complex environment. </w:t>
      </w:r>
    </w:p>
    <w:p w14:paraId="604B456B"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Reinforcement Learning (RL) is a part of Machine Learning (ML) which acts as an agent interacting with the environment to augment the organisations decision-making capabilities to optimise their cumulative reward. RL does not depend on labelled data like supervised learning, instead it learns from the feedback and errors created over time (Sutton &amp; Barto, 2018).</w:t>
      </w:r>
    </w:p>
    <w:p w14:paraId="42B30F95"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Large-scale structured datasets like income levels, transactions logs and credit history, along with the unstructured datasets like customer interaction and social media activities are leveraged by the financial institutions for the purpose of automated credit scoring. These datasets are utilised by ML models to perform the risk assessment with a better accuracy than the traditional credit rating system (Chakraborty &amp; Joseph, 2017). </w:t>
      </w:r>
    </w:p>
    <w:p w14:paraId="6E4B44ED" w14:textId="547EB7C7" w:rsidR="006D3916"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Decision making accuracy has considerably improved by the integration of real-time data to the process. As it helps to understand the current behaviour of a financial institution towards sudden spending spikes or delay in payments. The automated credit scoring systems commonly include applications like:</w:t>
      </w:r>
    </w:p>
    <w:p w14:paraId="100E2D8E" w14:textId="4C27424D" w:rsidR="0037520E" w:rsidRPr="0037520E" w:rsidRDefault="00CA7D0C" w:rsidP="0037520E">
      <w:pPr>
        <w:pStyle w:val="ListParagraph"/>
        <w:numPr>
          <w:ilvl w:val="0"/>
          <w:numId w:val="1"/>
        </w:numPr>
        <w:spacing w:after="30"/>
        <w:rPr>
          <w:rFonts w:ascii="Times New Roman" w:hAnsi="Times New Roman" w:cs="Times New Roman"/>
          <w:sz w:val="24"/>
          <w:szCs w:val="24"/>
        </w:rPr>
      </w:pPr>
      <w:r w:rsidRPr="0041582F">
        <w:rPr>
          <w:rFonts w:ascii="Times New Roman" w:hAnsi="Times New Roman" w:cs="Times New Roman"/>
          <w:sz w:val="24"/>
          <w:szCs w:val="24"/>
        </w:rPr>
        <w:t xml:space="preserve">Fraud Analysis – Scanning the transaction logs to identify any unusual activity. </w:t>
      </w:r>
    </w:p>
    <w:p w14:paraId="3D165405" w14:textId="0A34F43D" w:rsidR="0037520E" w:rsidRPr="0037520E" w:rsidRDefault="00CA7D0C" w:rsidP="0037520E">
      <w:pPr>
        <w:pStyle w:val="ListParagraph"/>
        <w:numPr>
          <w:ilvl w:val="0"/>
          <w:numId w:val="1"/>
        </w:numPr>
        <w:spacing w:after="30"/>
        <w:rPr>
          <w:rFonts w:ascii="Times New Roman" w:hAnsi="Times New Roman" w:cs="Times New Roman"/>
          <w:sz w:val="24"/>
          <w:szCs w:val="24"/>
        </w:rPr>
      </w:pPr>
      <w:r w:rsidRPr="0041582F">
        <w:rPr>
          <w:rFonts w:ascii="Times New Roman" w:hAnsi="Times New Roman" w:cs="Times New Roman"/>
          <w:sz w:val="24"/>
          <w:szCs w:val="24"/>
        </w:rPr>
        <w:t xml:space="preserve">Eligibility Rating – Assessing customer interaction and alternative datasets for understanding the creditworthiness. </w:t>
      </w:r>
    </w:p>
    <w:p w14:paraId="542A5194" w14:textId="15C84C58" w:rsidR="0037520E" w:rsidRPr="00E96D97" w:rsidRDefault="00CA7D0C" w:rsidP="0037520E">
      <w:pPr>
        <w:pStyle w:val="ListParagraph"/>
        <w:numPr>
          <w:ilvl w:val="0"/>
          <w:numId w:val="1"/>
        </w:numPr>
        <w:spacing w:after="30"/>
        <w:rPr>
          <w:rFonts w:ascii="Times New Roman" w:hAnsi="Times New Roman" w:cs="Times New Roman"/>
          <w:sz w:val="24"/>
          <w:szCs w:val="24"/>
        </w:rPr>
      </w:pPr>
      <w:r w:rsidRPr="0041582F">
        <w:rPr>
          <w:rFonts w:ascii="Times New Roman" w:hAnsi="Times New Roman" w:cs="Times New Roman"/>
          <w:sz w:val="24"/>
          <w:szCs w:val="24"/>
        </w:rPr>
        <w:t>Personal Loan Offers – Understanding loan products for individual customers through predictive analysis.</w:t>
      </w:r>
    </w:p>
    <w:p w14:paraId="184E75B2"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These systems provide faster loan approvals, personalized credit decisions and improved risk analysis (Chakraborty &amp; Joseph, 2017).</w:t>
      </w:r>
    </w:p>
    <w:p w14:paraId="1505EE7B"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Commonwealth Bank of Australia (CBA) is a strong example for the utilisation of AI and Big Data in their credit risk and loan approval process by analysing transaction logs, spending patterns and social behaviour to predict creditworthiness of their customers. By processing 157 billion data points per day for delivering real-time understanding of spending patterns of their customers through heavy investment towards AI driven Customer Engagement Engine (CEE) (CBA Newsroom, 2022). </w:t>
      </w:r>
    </w:p>
    <w:p w14:paraId="78EF37DE" w14:textId="77777777" w:rsidR="006D3916" w:rsidRPr="0041582F" w:rsidRDefault="006D3916" w:rsidP="002F62CF">
      <w:pPr>
        <w:spacing w:after="30"/>
        <w:rPr>
          <w:rFonts w:ascii="Times New Roman" w:hAnsi="Times New Roman" w:cs="Times New Roman"/>
          <w:sz w:val="24"/>
          <w:szCs w:val="24"/>
        </w:rPr>
      </w:pPr>
    </w:p>
    <w:p w14:paraId="1F9A9CBB" w14:textId="77777777" w:rsidR="00CA7D0C" w:rsidRPr="0041582F" w:rsidRDefault="00CA7D0C" w:rsidP="002F62CF">
      <w:pPr>
        <w:pStyle w:val="ListParagraph"/>
        <w:numPr>
          <w:ilvl w:val="0"/>
          <w:numId w:val="3"/>
        </w:numPr>
        <w:spacing w:after="30"/>
        <w:rPr>
          <w:rFonts w:ascii="Times New Roman" w:hAnsi="Times New Roman" w:cs="Times New Roman"/>
          <w:b/>
          <w:bCs/>
          <w:sz w:val="24"/>
          <w:szCs w:val="24"/>
        </w:rPr>
      </w:pPr>
      <w:r w:rsidRPr="0041582F">
        <w:rPr>
          <w:rFonts w:ascii="Times New Roman" w:hAnsi="Times New Roman" w:cs="Times New Roman"/>
          <w:b/>
          <w:bCs/>
          <w:sz w:val="24"/>
          <w:szCs w:val="24"/>
        </w:rPr>
        <w:t>Use Case:</w:t>
      </w:r>
    </w:p>
    <w:p w14:paraId="097B86AE"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With the utilisation of CEE, the Commonwealth Bank of Australia is notified by the customers financial situation and can help in creating a proactive engagement strategy well in advance resulting in reduction of default rates and improved customer satisfaction. This demonstrates an ethical and well-informed lending practice.</w:t>
      </w:r>
    </w:p>
    <w:p w14:paraId="62EA8565"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However, there is a huge risk of algorithmic bias and data discrimination due to reduced human oversight, which may lead to false predictions. Therefore, it is necessary to have ethical oversight of data utilised and regular audit towards the fairness of the system to ensure a transparent and responsible use of data in the decision-making process for credit risk and loan approvals (Chakraborty &amp; Joseph, 2017).</w:t>
      </w:r>
    </w:p>
    <w:p w14:paraId="5A0C58C5" w14:textId="2DCB9173" w:rsidR="00CA7D0C" w:rsidRPr="0041582F" w:rsidRDefault="00CA7D0C" w:rsidP="002F62CF">
      <w:pPr>
        <w:pStyle w:val="Heading1"/>
        <w:spacing w:after="30"/>
        <w:rPr>
          <w:rFonts w:ascii="Times New Roman" w:hAnsi="Times New Roman" w:cs="Times New Roman"/>
          <w:b/>
          <w:bCs/>
          <w:color w:val="auto"/>
          <w:sz w:val="24"/>
          <w:szCs w:val="24"/>
        </w:rPr>
      </w:pPr>
      <w:bookmarkStart w:id="2" w:name="_Toc204346095"/>
      <w:r w:rsidRPr="0041582F">
        <w:rPr>
          <w:rFonts w:ascii="Times New Roman" w:hAnsi="Times New Roman" w:cs="Times New Roman"/>
          <w:b/>
          <w:bCs/>
          <w:color w:val="auto"/>
          <w:sz w:val="24"/>
          <w:szCs w:val="24"/>
        </w:rPr>
        <w:lastRenderedPageBreak/>
        <w:t>M</w:t>
      </w:r>
      <w:r w:rsidR="00893DF6" w:rsidRPr="0041582F">
        <w:rPr>
          <w:rFonts w:ascii="Times New Roman" w:hAnsi="Times New Roman" w:cs="Times New Roman"/>
          <w:b/>
          <w:bCs/>
          <w:color w:val="auto"/>
          <w:sz w:val="24"/>
          <w:szCs w:val="24"/>
        </w:rPr>
        <w:t>AJOR ETHICAL CONCERNS</w:t>
      </w:r>
      <w:r w:rsidRPr="0041582F">
        <w:rPr>
          <w:rFonts w:ascii="Times New Roman" w:hAnsi="Times New Roman" w:cs="Times New Roman"/>
          <w:b/>
          <w:bCs/>
          <w:color w:val="auto"/>
          <w:sz w:val="24"/>
          <w:szCs w:val="24"/>
        </w:rPr>
        <w:t>:</w:t>
      </w:r>
      <w:bookmarkEnd w:id="2"/>
    </w:p>
    <w:p w14:paraId="26B658AE"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There are two major ethical concerns in the financial industry with respect to the usage of big data. They are as follows:</w:t>
      </w:r>
    </w:p>
    <w:p w14:paraId="3F4DF705" w14:textId="77777777" w:rsidR="00E96D97" w:rsidRPr="0041582F" w:rsidRDefault="00E96D97" w:rsidP="002F62CF">
      <w:pPr>
        <w:spacing w:after="30"/>
        <w:rPr>
          <w:rFonts w:ascii="Times New Roman" w:hAnsi="Times New Roman" w:cs="Times New Roman"/>
          <w:sz w:val="24"/>
          <w:szCs w:val="24"/>
        </w:rPr>
      </w:pPr>
    </w:p>
    <w:p w14:paraId="3C74E041" w14:textId="77777777" w:rsidR="00CA7D0C" w:rsidRPr="0041582F" w:rsidRDefault="00CA7D0C" w:rsidP="002F62CF">
      <w:pPr>
        <w:pStyle w:val="ListParagraph"/>
        <w:numPr>
          <w:ilvl w:val="0"/>
          <w:numId w:val="3"/>
        </w:numPr>
        <w:spacing w:after="30"/>
        <w:rPr>
          <w:rFonts w:ascii="Times New Roman" w:hAnsi="Times New Roman" w:cs="Times New Roman"/>
          <w:b/>
          <w:bCs/>
          <w:sz w:val="24"/>
          <w:szCs w:val="24"/>
        </w:rPr>
      </w:pPr>
      <w:r w:rsidRPr="0041582F">
        <w:rPr>
          <w:rFonts w:ascii="Times New Roman" w:hAnsi="Times New Roman" w:cs="Times New Roman"/>
          <w:b/>
          <w:bCs/>
          <w:sz w:val="24"/>
          <w:szCs w:val="24"/>
        </w:rPr>
        <w:t>Algorithmic Bias and Discrimination:</w:t>
      </w:r>
    </w:p>
    <w:p w14:paraId="6ACBFDAB"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The output generated by ML or data-driven systems used for analysing vast volume of datasets with limited human oversight are often embedded with unfair discrimination generated through algorithmic bias. Such bias result usually occurs when a model created by ML or data driven system is trained in analysing historical data that reflect existing societal issues. This amplifies in taking bias decisions based on socioeconomic or geographical situation (Barocas et al., 2019). </w:t>
      </w:r>
    </w:p>
    <w:p w14:paraId="2ECF8414"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Often these situations arise from lack of diversity or updated historical exclusions in the datasets used for training the credit scoring models. For example, individuals from financially backward community who has limited credit history, can wrongly be categorised under good credit scoring category and on the other hand an applicant who has a good credit history such as self-employed or new immigrants may be considered as risky, even if they have the capacity to repay the loan. </w:t>
      </w:r>
    </w:p>
    <w:p w14:paraId="10946267" w14:textId="4720C2F4" w:rsidR="009C3C99"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The algorithmic bias directly affects the decision-making process of the bank while analysing the credit score, resulting in providing loan approvals to individuals who do not have the capacity to repay. Moreover, this can trigger regulatory concerns, resulting in major scrutiny by the regulatory authorities, specially under the framework of Australia’s Privacy Act 1988 and the General Data Protection Regulation (GDPR) standards by EU in certain cases. </w:t>
      </w:r>
    </w:p>
    <w:p w14:paraId="00C03E4F" w14:textId="77777777" w:rsidR="00E96D97" w:rsidRPr="0041582F" w:rsidRDefault="00E96D97" w:rsidP="002F62CF">
      <w:pPr>
        <w:spacing w:after="30"/>
        <w:rPr>
          <w:rFonts w:ascii="Times New Roman" w:hAnsi="Times New Roman" w:cs="Times New Roman"/>
          <w:sz w:val="24"/>
          <w:szCs w:val="24"/>
        </w:rPr>
      </w:pPr>
    </w:p>
    <w:p w14:paraId="3BD89191" w14:textId="5C8FB80B" w:rsidR="00CA7D0C" w:rsidRPr="0041582F" w:rsidRDefault="00CA7D0C" w:rsidP="002F62CF">
      <w:pPr>
        <w:pStyle w:val="ListParagraph"/>
        <w:numPr>
          <w:ilvl w:val="0"/>
          <w:numId w:val="3"/>
        </w:numPr>
        <w:spacing w:after="30"/>
        <w:rPr>
          <w:rFonts w:ascii="Times New Roman" w:hAnsi="Times New Roman" w:cs="Times New Roman"/>
          <w:b/>
          <w:bCs/>
          <w:sz w:val="24"/>
          <w:szCs w:val="24"/>
        </w:rPr>
      </w:pPr>
      <w:r w:rsidRPr="0041582F">
        <w:rPr>
          <w:rFonts w:ascii="Times New Roman" w:hAnsi="Times New Roman" w:cs="Times New Roman"/>
          <w:b/>
          <w:bCs/>
          <w:sz w:val="24"/>
          <w:szCs w:val="24"/>
        </w:rPr>
        <w:t>Data Privacy and Consent</w:t>
      </w:r>
      <w:r w:rsidR="00CC6CFC" w:rsidRPr="0041582F">
        <w:rPr>
          <w:rFonts w:ascii="Times New Roman" w:hAnsi="Times New Roman" w:cs="Times New Roman"/>
          <w:b/>
          <w:bCs/>
          <w:sz w:val="24"/>
          <w:szCs w:val="24"/>
        </w:rPr>
        <w:t>:</w:t>
      </w:r>
    </w:p>
    <w:p w14:paraId="7E553DEA"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Data privacy is one of the major ethical practices adapted by organisations to handle their data governance, specifically managing the collection of personal data of customers like their transaction history, social activities and personal details. These data are often collected by the financial institutions for performing credit risk analysis of their customers. However, many financial institutions outsource third party data brokers for better credit risk analysis, where there is a high risk of data leakage. Further escalation of the issue aggravates the impact when customers are unaware of the usage of their personal data.</w:t>
      </w:r>
    </w:p>
    <w:p w14:paraId="27353CD6" w14:textId="6AEB6CA3" w:rsidR="009C3C99"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Central regulatory bodies like General Data Protection Regulation (GDPR) and similar laws like Australia’s Privacy Act 1988 which is applicable for businesses running in Australia, clearly state that business organisations must take prior consent from their customers for using their personal data and failure to follow this may result in legal consequences for the organisation (Office of the Australian Information Commissioner, 2021).</w:t>
      </w:r>
    </w:p>
    <w:p w14:paraId="64B39FE6" w14:textId="77777777" w:rsidR="009C3C99" w:rsidRPr="0041582F" w:rsidRDefault="009C3C99" w:rsidP="002F62CF">
      <w:pPr>
        <w:spacing w:after="30"/>
        <w:rPr>
          <w:rFonts w:ascii="Times New Roman" w:hAnsi="Times New Roman" w:cs="Times New Roman"/>
          <w:sz w:val="24"/>
          <w:szCs w:val="24"/>
        </w:rPr>
      </w:pPr>
      <w:r w:rsidRPr="0041582F">
        <w:rPr>
          <w:rFonts w:ascii="Times New Roman" w:hAnsi="Times New Roman" w:cs="Times New Roman"/>
          <w:sz w:val="24"/>
          <w:szCs w:val="24"/>
        </w:rPr>
        <w:br w:type="page"/>
      </w:r>
    </w:p>
    <w:p w14:paraId="18F78664" w14:textId="77777777" w:rsidR="00CA7D0C" w:rsidRPr="0041582F" w:rsidRDefault="00CA7D0C" w:rsidP="002F62CF">
      <w:pPr>
        <w:spacing w:after="30"/>
        <w:rPr>
          <w:rFonts w:ascii="Times New Roman" w:hAnsi="Times New Roman" w:cs="Times New Roman"/>
          <w:sz w:val="24"/>
          <w:szCs w:val="24"/>
        </w:rPr>
      </w:pPr>
    </w:p>
    <w:p w14:paraId="406B96EA" w14:textId="77777777" w:rsidR="00CA7D0C" w:rsidRPr="0041582F" w:rsidRDefault="00CA7D0C" w:rsidP="002F62CF">
      <w:pPr>
        <w:pStyle w:val="ListParagraph"/>
        <w:numPr>
          <w:ilvl w:val="0"/>
          <w:numId w:val="3"/>
        </w:numPr>
        <w:spacing w:after="30"/>
        <w:rPr>
          <w:rFonts w:ascii="Times New Roman" w:hAnsi="Times New Roman" w:cs="Times New Roman"/>
          <w:b/>
          <w:bCs/>
          <w:sz w:val="24"/>
          <w:szCs w:val="24"/>
        </w:rPr>
      </w:pPr>
      <w:r w:rsidRPr="0041582F">
        <w:rPr>
          <w:rFonts w:ascii="Times New Roman" w:hAnsi="Times New Roman" w:cs="Times New Roman"/>
          <w:b/>
          <w:bCs/>
          <w:sz w:val="24"/>
          <w:szCs w:val="24"/>
        </w:rPr>
        <w:t xml:space="preserve">Case Study – How algorithmic bias and data privacy concerns are handled by CBA: </w:t>
      </w:r>
    </w:p>
    <w:p w14:paraId="7A89592F"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Many major financial institutions including Commonwealth Bank of Australia (CBA) faces ethical challenges in handling customers personal data. However, CBA has implemented a strong and responsible data governance systems and standards like AI Ethics Framework explaining data driven technologies used for processing personal data of customers. The principal focus of this framework is data transparency, fairness, accountability and explainability (CBA Annual Report, 2023).</w:t>
      </w:r>
    </w:p>
    <w:p w14:paraId="022F5989"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Regular audits of ML models and data driven systems used by CBA are conducted to handle algorithmic bias and discriminatory results. Moreover, CBA’s Customer Engagement Engine (CEE) process the data that customers have willingly shared with the bank through their online banking systems. The bank has implemented end-to-end encryption to ensure the access to data is aligns with the intended user only (CBA Newsroom, 2022).</w:t>
      </w:r>
    </w:p>
    <w:p w14:paraId="6D8AA12D" w14:textId="2EAD90D9" w:rsidR="00CA7D0C" w:rsidRPr="0041582F" w:rsidRDefault="00D42F55" w:rsidP="002F62CF">
      <w:pPr>
        <w:pStyle w:val="Heading1"/>
        <w:spacing w:after="30"/>
        <w:rPr>
          <w:rFonts w:ascii="Times New Roman" w:hAnsi="Times New Roman" w:cs="Times New Roman"/>
          <w:b/>
          <w:bCs/>
          <w:color w:val="auto"/>
          <w:sz w:val="24"/>
          <w:szCs w:val="24"/>
        </w:rPr>
      </w:pPr>
      <w:bookmarkStart w:id="3" w:name="_Toc204346096"/>
      <w:r w:rsidRPr="0041582F">
        <w:rPr>
          <w:rFonts w:ascii="Times New Roman" w:hAnsi="Times New Roman" w:cs="Times New Roman"/>
          <w:b/>
          <w:bCs/>
          <w:color w:val="auto"/>
          <w:sz w:val="24"/>
          <w:szCs w:val="24"/>
        </w:rPr>
        <w:t>INDUSTRY RECOMMENDATION AND REGULATORY STANDARDS</w:t>
      </w:r>
      <w:r w:rsidR="00CA7D0C" w:rsidRPr="0041582F">
        <w:rPr>
          <w:rFonts w:ascii="Times New Roman" w:hAnsi="Times New Roman" w:cs="Times New Roman"/>
          <w:b/>
          <w:bCs/>
          <w:color w:val="auto"/>
          <w:sz w:val="24"/>
          <w:szCs w:val="24"/>
        </w:rPr>
        <w:t>:</w:t>
      </w:r>
      <w:bookmarkEnd w:id="3"/>
    </w:p>
    <w:p w14:paraId="7A563554"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To ensure ethical use of big data, financial institutions have developed frameworks around the algorithms used by ML models for processing the data. These frameworks are built by conducting regular audits of the systems to check the reliability of the tool and build remediation plans based on the identified findings. AI Ethical Framework developed to ensure both the customer, and the regulatory bodies have the right to interpret the decision taken by the financial institution. As per the Commonwealth Bank of Australia (CBA) annual report for 2023, the bank is fully aligned with the Ethical AI Framework for data privacy and fairness in the decision-making process (CBA Annual Report, 2023). </w:t>
      </w:r>
    </w:p>
    <w:p w14:paraId="5848E3B5"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Regulatory bodies like Australian Prudential Regulation Authority (APRA, 2021) and Australian Securities and Investments Commission (ASIC, 2022) regularly monitor the activities of financial institutions using AI and Big Data in their business process. Going forward the regulatory bodies are expected to integrate the policy of “Ethics by Design” in all aspects of financial institutions to ensure ethical use of AI and Big Data in their services. </w:t>
      </w:r>
    </w:p>
    <w:p w14:paraId="601EC9C6" w14:textId="12BC9B2E" w:rsidR="00E96D97"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The banks should also align with the compliance standards like Australian Privacy Principles (APP’s), enforced by Office of Australian Information Commissioner (OAIC) for transparency in the usage of data (OAIC, 2021). </w:t>
      </w:r>
    </w:p>
    <w:p w14:paraId="589E2A16" w14:textId="280A557F" w:rsidR="00CA7D0C" w:rsidRPr="0041582F" w:rsidRDefault="000535CC" w:rsidP="002F62CF">
      <w:pPr>
        <w:pStyle w:val="Heading1"/>
        <w:spacing w:after="30"/>
        <w:rPr>
          <w:rFonts w:ascii="Times New Roman" w:hAnsi="Times New Roman" w:cs="Times New Roman"/>
          <w:b/>
          <w:bCs/>
          <w:color w:val="auto"/>
          <w:sz w:val="24"/>
          <w:szCs w:val="24"/>
        </w:rPr>
      </w:pPr>
      <w:bookmarkStart w:id="4" w:name="_Toc204346097"/>
      <w:r w:rsidRPr="0041582F">
        <w:rPr>
          <w:rFonts w:ascii="Times New Roman" w:hAnsi="Times New Roman" w:cs="Times New Roman"/>
          <w:b/>
          <w:bCs/>
          <w:color w:val="auto"/>
          <w:sz w:val="24"/>
          <w:szCs w:val="24"/>
        </w:rPr>
        <w:t>CONCLUSION</w:t>
      </w:r>
      <w:r w:rsidR="00CA7D0C" w:rsidRPr="0041582F">
        <w:rPr>
          <w:rFonts w:ascii="Times New Roman" w:hAnsi="Times New Roman" w:cs="Times New Roman"/>
          <w:b/>
          <w:bCs/>
          <w:color w:val="auto"/>
          <w:sz w:val="24"/>
          <w:szCs w:val="24"/>
        </w:rPr>
        <w:t>:</w:t>
      </w:r>
      <w:bookmarkEnd w:id="4"/>
    </w:p>
    <w:p w14:paraId="46C18188"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As demonstrated throughout the report, the advancement through Big Data integration into credit risk assessment and loan approvals have resulted in better and faster decision-making ability with improved financial risk analysis. However, this also comes with an ethical responsibility towards data privacy and algorithmic bias which can lead discrimination in the process and generate false positive outcomes. Some of the key concerning areas are lack of data transparency, violation towards the compliance and privacy standards, improper handling of data governance have a huge potential to break the customer trust in financial institution.</w:t>
      </w:r>
    </w:p>
    <w:p w14:paraId="08931BB2" w14:textId="77777777"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Commonwealth Bank of Australia (CBA) is the prime example of handling innovation towards credit risk analysis and loan approvals with the responsibility towards ethical use of data by implementing Ethical AI Framework for managing the data privacy concerns </w:t>
      </w:r>
      <w:r w:rsidRPr="0041582F">
        <w:rPr>
          <w:rFonts w:ascii="Times New Roman" w:hAnsi="Times New Roman" w:cs="Times New Roman"/>
          <w:sz w:val="24"/>
          <w:szCs w:val="24"/>
        </w:rPr>
        <w:lastRenderedPageBreak/>
        <w:t xml:space="preserve">generated by data driven systems or ML models. They have clearly demonstrated that innovation with public trust can coexist and help to carry out ethical business practices (CBA Annual Report, 2023). Moreover, CBA has also implemented Customer Engagement Engine (CEE) in their analytical process that allows the customer to willingly share their personal details with the bank through digital forum, and it is the duty of the bank to provide limited access to these data internally in the system and have end-to-end data encryption policy for sharing data outside the system (CBA Newsroom, 2022). </w:t>
      </w:r>
    </w:p>
    <w:p w14:paraId="1A053E7C" w14:textId="21EE07C6" w:rsidR="00CA7D0C"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It is mandatory for organisations to align with the centralised data privacy policies like Australia’s Privacy Act 1988 which is applicable for business running in Australia and General Data Protection Regulation (GDPR) rules in certain cases. Australian regulatory bodies like Australian Prudential Regulation Authority (APRA, 2021) and Australian Securities and Investments Commission (ASIC, 2022) have enforced strict privacy rules by regular scrutiny conducted through regulatory audits to ensure ethical credit ecosystems. Moreover, the financial institutions have started investing heavily towards bringing industry experts on board for data privacy and governance as it is a growing concern for institutions using Big Data for improvised and quick financial decisions specifically in the credit sector area. </w:t>
      </w:r>
    </w:p>
    <w:p w14:paraId="563AE3E0" w14:textId="77777777" w:rsidR="00CA7D0C" w:rsidRPr="0041582F" w:rsidRDefault="00CA7D0C" w:rsidP="002F62CF">
      <w:pPr>
        <w:spacing w:after="30"/>
        <w:rPr>
          <w:rFonts w:ascii="Times New Roman" w:hAnsi="Times New Roman" w:cs="Times New Roman"/>
          <w:sz w:val="24"/>
          <w:szCs w:val="24"/>
        </w:rPr>
      </w:pPr>
    </w:p>
    <w:p w14:paraId="5E5E2A49" w14:textId="77777777" w:rsidR="00CA7D0C" w:rsidRPr="0041582F" w:rsidRDefault="00CA7D0C" w:rsidP="002F62CF">
      <w:pPr>
        <w:spacing w:after="30"/>
        <w:rPr>
          <w:rFonts w:ascii="Times New Roman" w:hAnsi="Times New Roman" w:cs="Times New Roman"/>
          <w:sz w:val="24"/>
          <w:szCs w:val="24"/>
        </w:rPr>
      </w:pPr>
    </w:p>
    <w:p w14:paraId="6E3E907F" w14:textId="77777777" w:rsidR="00CA7D0C" w:rsidRPr="0041582F" w:rsidRDefault="00CA7D0C" w:rsidP="002F62CF">
      <w:pPr>
        <w:spacing w:after="30"/>
        <w:rPr>
          <w:rFonts w:ascii="Times New Roman" w:hAnsi="Times New Roman" w:cs="Times New Roman"/>
          <w:sz w:val="24"/>
          <w:szCs w:val="24"/>
        </w:rPr>
      </w:pPr>
    </w:p>
    <w:p w14:paraId="4EC1283D" w14:textId="33B8F4E5" w:rsidR="00CA7D0C" w:rsidRPr="0041582F" w:rsidRDefault="009C3C99" w:rsidP="002F62CF">
      <w:pPr>
        <w:spacing w:after="30"/>
        <w:rPr>
          <w:rFonts w:ascii="Times New Roman" w:hAnsi="Times New Roman" w:cs="Times New Roman"/>
          <w:sz w:val="24"/>
          <w:szCs w:val="24"/>
        </w:rPr>
      </w:pPr>
      <w:r w:rsidRPr="0041582F">
        <w:rPr>
          <w:rFonts w:ascii="Times New Roman" w:hAnsi="Times New Roman" w:cs="Times New Roman"/>
          <w:sz w:val="24"/>
          <w:szCs w:val="24"/>
        </w:rPr>
        <w:br w:type="page"/>
      </w:r>
    </w:p>
    <w:p w14:paraId="23133E02" w14:textId="66798081" w:rsidR="00CA7D0C" w:rsidRPr="0041582F" w:rsidRDefault="00CA7D0C" w:rsidP="002F62CF">
      <w:pPr>
        <w:pStyle w:val="Heading1"/>
        <w:spacing w:after="30"/>
        <w:rPr>
          <w:rFonts w:ascii="Times New Roman" w:hAnsi="Times New Roman" w:cs="Times New Roman"/>
          <w:b/>
          <w:bCs/>
          <w:color w:val="auto"/>
          <w:sz w:val="24"/>
          <w:szCs w:val="24"/>
        </w:rPr>
      </w:pPr>
      <w:bookmarkStart w:id="5" w:name="_Toc204346098"/>
      <w:r w:rsidRPr="0041582F">
        <w:rPr>
          <w:rFonts w:ascii="Times New Roman" w:hAnsi="Times New Roman" w:cs="Times New Roman"/>
          <w:b/>
          <w:bCs/>
          <w:color w:val="auto"/>
          <w:sz w:val="24"/>
          <w:szCs w:val="24"/>
        </w:rPr>
        <w:lastRenderedPageBreak/>
        <w:t>R</w:t>
      </w:r>
      <w:r w:rsidR="000535CC" w:rsidRPr="0041582F">
        <w:rPr>
          <w:rFonts w:ascii="Times New Roman" w:hAnsi="Times New Roman" w:cs="Times New Roman"/>
          <w:b/>
          <w:bCs/>
          <w:color w:val="auto"/>
          <w:sz w:val="24"/>
          <w:szCs w:val="24"/>
        </w:rPr>
        <w:t>EFERENCE LIST</w:t>
      </w:r>
      <w:r w:rsidRPr="0041582F">
        <w:rPr>
          <w:rFonts w:ascii="Times New Roman" w:hAnsi="Times New Roman" w:cs="Times New Roman"/>
          <w:b/>
          <w:bCs/>
          <w:color w:val="auto"/>
          <w:sz w:val="24"/>
          <w:szCs w:val="24"/>
        </w:rPr>
        <w:t>:</w:t>
      </w:r>
      <w:bookmarkEnd w:id="5"/>
    </w:p>
    <w:p w14:paraId="62A9F6F4" w14:textId="77777777" w:rsidR="00CF7BE2" w:rsidRDefault="00CF7BE2" w:rsidP="002F62CF">
      <w:pPr>
        <w:spacing w:after="30"/>
        <w:rPr>
          <w:rFonts w:ascii="Times New Roman" w:hAnsi="Times New Roman" w:cs="Times New Roman"/>
          <w:sz w:val="24"/>
          <w:szCs w:val="24"/>
        </w:rPr>
      </w:pPr>
    </w:p>
    <w:p w14:paraId="343E9856" w14:textId="0F7DA830"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APRA (Australian Prudential Regulation Authority) 2021, ‘Prudential practice guide CPG 235 – Managing data risk’, APRA website, 22 July, viewed 25 July 2025, </w:t>
      </w:r>
      <w:hyperlink r:id="rId13" w:history="1">
        <w:r w:rsidRPr="0041582F">
          <w:rPr>
            <w:rStyle w:val="Hyperlink"/>
            <w:rFonts w:ascii="Times New Roman" w:hAnsi="Times New Roman" w:cs="Times New Roman"/>
            <w:color w:val="auto"/>
            <w:sz w:val="24"/>
            <w:szCs w:val="24"/>
            <w:u w:val="none"/>
          </w:rPr>
          <w:t>https://www.apra.gov.au</w:t>
        </w:r>
      </w:hyperlink>
      <w:r w:rsidRPr="0041582F">
        <w:rPr>
          <w:rFonts w:ascii="Times New Roman" w:hAnsi="Times New Roman" w:cs="Times New Roman"/>
          <w:sz w:val="24"/>
          <w:szCs w:val="24"/>
        </w:rPr>
        <w:t>.</w:t>
      </w:r>
    </w:p>
    <w:p w14:paraId="163F2511" w14:textId="77777777" w:rsidR="00CF7BE2" w:rsidRPr="0041582F" w:rsidRDefault="00CF7BE2" w:rsidP="002F62CF">
      <w:pPr>
        <w:spacing w:after="30"/>
        <w:rPr>
          <w:rFonts w:ascii="Times New Roman" w:hAnsi="Times New Roman" w:cs="Times New Roman"/>
          <w:sz w:val="24"/>
          <w:szCs w:val="24"/>
        </w:rPr>
      </w:pPr>
    </w:p>
    <w:p w14:paraId="6066EB44"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ASIC (Australian Securities and Investments Commission) 2022, ‘Regulatory approach to financial technologies’, ASIC website, 22 July, viewed 25 July 2025, </w:t>
      </w:r>
      <w:hyperlink r:id="rId14" w:history="1">
        <w:r w:rsidRPr="0041582F">
          <w:rPr>
            <w:rStyle w:val="Hyperlink"/>
            <w:rFonts w:ascii="Times New Roman" w:hAnsi="Times New Roman" w:cs="Times New Roman"/>
            <w:color w:val="auto"/>
            <w:sz w:val="24"/>
            <w:szCs w:val="24"/>
            <w:u w:val="none"/>
          </w:rPr>
          <w:t>https://asic.gov.au</w:t>
        </w:r>
      </w:hyperlink>
      <w:r w:rsidRPr="0041582F">
        <w:rPr>
          <w:rFonts w:ascii="Times New Roman" w:hAnsi="Times New Roman" w:cs="Times New Roman"/>
          <w:sz w:val="24"/>
          <w:szCs w:val="24"/>
        </w:rPr>
        <w:t>.</w:t>
      </w:r>
    </w:p>
    <w:p w14:paraId="4E99BFF3" w14:textId="77777777" w:rsidR="00CF7BE2" w:rsidRPr="0041582F" w:rsidRDefault="00CF7BE2" w:rsidP="002F62CF">
      <w:pPr>
        <w:spacing w:after="30"/>
        <w:rPr>
          <w:rFonts w:ascii="Times New Roman" w:hAnsi="Times New Roman" w:cs="Times New Roman"/>
          <w:sz w:val="24"/>
          <w:szCs w:val="24"/>
        </w:rPr>
      </w:pPr>
    </w:p>
    <w:p w14:paraId="675C693E"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Barocas, S, Hardt, M &amp; Narayanan, A 2019, ‘Fairness and machine learning: Limitations and opportunities’, FairMLBook, 22 July, viewed 25 July 2025, https://fairmlbook.org/pdf/fairmlbook.pdf.</w:t>
      </w:r>
    </w:p>
    <w:p w14:paraId="05D19B30" w14:textId="77777777" w:rsidR="00CF7BE2" w:rsidRPr="0041582F" w:rsidRDefault="00CF7BE2" w:rsidP="002F62CF">
      <w:pPr>
        <w:spacing w:after="30"/>
        <w:rPr>
          <w:rFonts w:ascii="Times New Roman" w:hAnsi="Times New Roman" w:cs="Times New Roman"/>
          <w:sz w:val="24"/>
          <w:szCs w:val="24"/>
        </w:rPr>
      </w:pPr>
    </w:p>
    <w:p w14:paraId="5F3E4BAF"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Chakraborty, A &amp; Joseph, A 2017, ‘Machine learning at central banks’, Bank of England, Q4, 22 July, viewed 25 July 2025, </w:t>
      </w:r>
      <w:hyperlink r:id="rId15" w:history="1">
        <w:r w:rsidRPr="0041582F">
          <w:rPr>
            <w:rStyle w:val="Hyperlink"/>
            <w:rFonts w:ascii="Times New Roman" w:hAnsi="Times New Roman" w:cs="Times New Roman"/>
            <w:color w:val="auto"/>
            <w:sz w:val="24"/>
            <w:szCs w:val="24"/>
            <w:u w:val="none"/>
          </w:rPr>
          <w:t>https://www.bankofengland.co.uk/-/media/boe/files/working-paper/2017/machine-learning-at-central-banks.pdf</w:t>
        </w:r>
      </w:hyperlink>
      <w:r w:rsidRPr="0041582F">
        <w:rPr>
          <w:rFonts w:ascii="Times New Roman" w:hAnsi="Times New Roman" w:cs="Times New Roman"/>
          <w:sz w:val="24"/>
          <w:szCs w:val="24"/>
        </w:rPr>
        <w:t>.</w:t>
      </w:r>
    </w:p>
    <w:p w14:paraId="7DA32F40" w14:textId="77777777" w:rsidR="002358DB" w:rsidRPr="0041582F" w:rsidRDefault="002358DB" w:rsidP="002F62CF">
      <w:pPr>
        <w:spacing w:after="30"/>
        <w:rPr>
          <w:rFonts w:ascii="Times New Roman" w:hAnsi="Times New Roman" w:cs="Times New Roman"/>
          <w:sz w:val="24"/>
          <w:szCs w:val="24"/>
        </w:rPr>
      </w:pPr>
    </w:p>
    <w:p w14:paraId="73EA6272"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Commonwealth Bank of Australia (CBA) 2022, ‘CBA tech improving customer experience’, CBA Newsroom, 3 March, date viewed 22 July 2025, </w:t>
      </w:r>
      <w:hyperlink r:id="rId16" w:tgtFrame="_new" w:history="1">
        <w:r w:rsidRPr="0041582F">
          <w:rPr>
            <w:rStyle w:val="Hyperlink"/>
            <w:rFonts w:ascii="Times New Roman" w:hAnsi="Times New Roman" w:cs="Times New Roman"/>
            <w:color w:val="auto"/>
            <w:sz w:val="24"/>
            <w:szCs w:val="24"/>
            <w:u w:val="none"/>
          </w:rPr>
          <w:t>https://www.commbank.com.au/articles/newsroom/2022/03/CBA-tech-improving-customer-experience.html</w:t>
        </w:r>
      </w:hyperlink>
      <w:r w:rsidRPr="0041582F">
        <w:rPr>
          <w:rFonts w:ascii="Times New Roman" w:hAnsi="Times New Roman" w:cs="Times New Roman"/>
          <w:sz w:val="24"/>
          <w:szCs w:val="24"/>
        </w:rPr>
        <w:t>.</w:t>
      </w:r>
    </w:p>
    <w:p w14:paraId="792BDCF1" w14:textId="77777777" w:rsidR="002358DB" w:rsidRPr="0041582F" w:rsidRDefault="002358DB" w:rsidP="002F62CF">
      <w:pPr>
        <w:spacing w:after="30"/>
        <w:rPr>
          <w:rFonts w:ascii="Times New Roman" w:hAnsi="Times New Roman" w:cs="Times New Roman"/>
          <w:sz w:val="24"/>
          <w:szCs w:val="24"/>
        </w:rPr>
      </w:pPr>
    </w:p>
    <w:p w14:paraId="01CFA282"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Commonwealth Bank of Australia (CBA) 2023, ‘Annual report’, CBA website, 22 July, viewed 25 July 2025, https://www.commbank.com.au/content/dam/commbank-assets/investors/docs/results/fy23/2023-Annual-Report-Spreads.pdf.</w:t>
      </w:r>
    </w:p>
    <w:p w14:paraId="6CF1DC77" w14:textId="77777777" w:rsidR="002358DB" w:rsidRPr="0041582F" w:rsidRDefault="002358DB" w:rsidP="002F62CF">
      <w:pPr>
        <w:spacing w:after="30"/>
        <w:rPr>
          <w:rFonts w:ascii="Times New Roman" w:hAnsi="Times New Roman" w:cs="Times New Roman"/>
          <w:sz w:val="24"/>
          <w:szCs w:val="24"/>
        </w:rPr>
      </w:pPr>
    </w:p>
    <w:p w14:paraId="159A08B5" w14:textId="77777777" w:rsidR="00CA7D0C"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 xml:space="preserve">Office of the Australian Information Commissioner (OAIC) 2021, ‘Australian privacy principles’, OAIC website, 22 July, viewed 25 July 2025, </w:t>
      </w:r>
      <w:hyperlink r:id="rId17" w:tgtFrame="_new" w:history="1">
        <w:r w:rsidRPr="0041582F">
          <w:rPr>
            <w:rStyle w:val="Hyperlink"/>
            <w:rFonts w:ascii="Times New Roman" w:hAnsi="Times New Roman" w:cs="Times New Roman"/>
            <w:color w:val="auto"/>
            <w:sz w:val="24"/>
            <w:szCs w:val="24"/>
            <w:u w:val="none"/>
          </w:rPr>
          <w:t>https://www.oaic.gov.au/privacy/australian-privacy-principles</w:t>
        </w:r>
      </w:hyperlink>
      <w:r w:rsidRPr="0041582F">
        <w:rPr>
          <w:rFonts w:ascii="Times New Roman" w:hAnsi="Times New Roman" w:cs="Times New Roman"/>
          <w:sz w:val="24"/>
          <w:szCs w:val="24"/>
        </w:rPr>
        <w:t>.</w:t>
      </w:r>
    </w:p>
    <w:p w14:paraId="04FA29A3" w14:textId="77777777" w:rsidR="002358DB" w:rsidRPr="0041582F" w:rsidRDefault="002358DB" w:rsidP="002F62CF">
      <w:pPr>
        <w:spacing w:after="30"/>
        <w:rPr>
          <w:rFonts w:ascii="Times New Roman" w:hAnsi="Times New Roman" w:cs="Times New Roman"/>
          <w:sz w:val="24"/>
          <w:szCs w:val="24"/>
        </w:rPr>
      </w:pPr>
    </w:p>
    <w:p w14:paraId="18644F63" w14:textId="6F4E7D77" w:rsidR="00131960" w:rsidRPr="0041582F" w:rsidRDefault="00CA7D0C" w:rsidP="002F62CF">
      <w:pPr>
        <w:spacing w:after="30"/>
        <w:rPr>
          <w:rFonts w:ascii="Times New Roman" w:hAnsi="Times New Roman" w:cs="Times New Roman"/>
          <w:sz w:val="24"/>
          <w:szCs w:val="24"/>
        </w:rPr>
      </w:pPr>
      <w:r w:rsidRPr="0041582F">
        <w:rPr>
          <w:rFonts w:ascii="Times New Roman" w:hAnsi="Times New Roman" w:cs="Times New Roman"/>
          <w:sz w:val="24"/>
          <w:szCs w:val="24"/>
        </w:rPr>
        <w:t>Sutton, RS &amp; Barto, AG 2018, ‘Reinforcement learning: An introduction (2nd ed.)’, Incomplete Ideas, 22 July, viewed 25 July 2025, http://incompleteideas.net/book/RLbook2020.pdf.</w:t>
      </w:r>
    </w:p>
    <w:sectPr w:rsidR="00131960" w:rsidRPr="0041582F">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99B7" w14:textId="77777777" w:rsidR="008246BE" w:rsidRDefault="008246BE" w:rsidP="00994F2C">
      <w:pPr>
        <w:spacing w:after="0" w:line="240" w:lineRule="auto"/>
      </w:pPr>
      <w:r>
        <w:separator/>
      </w:r>
    </w:p>
  </w:endnote>
  <w:endnote w:type="continuationSeparator" w:id="0">
    <w:p w14:paraId="62B13FAB" w14:textId="77777777" w:rsidR="008246BE" w:rsidRDefault="008246BE" w:rsidP="00994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0077"/>
      <w:docPartObj>
        <w:docPartGallery w:val="Page Numbers (Bottom of Page)"/>
        <w:docPartUnique/>
      </w:docPartObj>
    </w:sdtPr>
    <w:sdtEndPr>
      <w:rPr>
        <w:noProof/>
      </w:rPr>
    </w:sdtEndPr>
    <w:sdtContent>
      <w:p w14:paraId="47472B51" w14:textId="5C6FDEB9" w:rsidR="00B651FA" w:rsidRDefault="00B651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153578" w14:textId="77777777" w:rsidR="00994F2C" w:rsidRDefault="00994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4298" w14:textId="77777777" w:rsidR="008246BE" w:rsidRDefault="008246BE" w:rsidP="00994F2C">
      <w:pPr>
        <w:spacing w:after="0" w:line="240" w:lineRule="auto"/>
      </w:pPr>
      <w:r>
        <w:separator/>
      </w:r>
    </w:p>
  </w:footnote>
  <w:footnote w:type="continuationSeparator" w:id="0">
    <w:p w14:paraId="336B4C77" w14:textId="77777777" w:rsidR="008246BE" w:rsidRDefault="008246BE" w:rsidP="00994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B4C98"/>
    <w:multiLevelType w:val="hybridMultilevel"/>
    <w:tmpl w:val="2F2E7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5504ED"/>
    <w:multiLevelType w:val="hybridMultilevel"/>
    <w:tmpl w:val="645E0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1936BA"/>
    <w:multiLevelType w:val="hybridMultilevel"/>
    <w:tmpl w:val="8CF2A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928331">
    <w:abstractNumId w:val="1"/>
  </w:num>
  <w:num w:numId="2" w16cid:durableId="1449549901">
    <w:abstractNumId w:val="0"/>
  </w:num>
  <w:num w:numId="3" w16cid:durableId="701514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9C"/>
    <w:rsid w:val="000535CC"/>
    <w:rsid w:val="000A4BB0"/>
    <w:rsid w:val="00131960"/>
    <w:rsid w:val="0015236B"/>
    <w:rsid w:val="002231B6"/>
    <w:rsid w:val="0022690B"/>
    <w:rsid w:val="002358DB"/>
    <w:rsid w:val="002B42BE"/>
    <w:rsid w:val="002C0972"/>
    <w:rsid w:val="002C32E0"/>
    <w:rsid w:val="002F62CF"/>
    <w:rsid w:val="00327A78"/>
    <w:rsid w:val="003354BC"/>
    <w:rsid w:val="00367475"/>
    <w:rsid w:val="00374C97"/>
    <w:rsid w:val="0037520E"/>
    <w:rsid w:val="00393341"/>
    <w:rsid w:val="003A4BF8"/>
    <w:rsid w:val="003B6DCE"/>
    <w:rsid w:val="0041566B"/>
    <w:rsid w:val="0041582F"/>
    <w:rsid w:val="0045329C"/>
    <w:rsid w:val="00461426"/>
    <w:rsid w:val="00463E9B"/>
    <w:rsid w:val="0055555A"/>
    <w:rsid w:val="00605FD4"/>
    <w:rsid w:val="00616373"/>
    <w:rsid w:val="00634F3B"/>
    <w:rsid w:val="006B2A9A"/>
    <w:rsid w:val="006D1B97"/>
    <w:rsid w:val="006D3916"/>
    <w:rsid w:val="00701E00"/>
    <w:rsid w:val="007315DC"/>
    <w:rsid w:val="007428BC"/>
    <w:rsid w:val="007B3969"/>
    <w:rsid w:val="007E4037"/>
    <w:rsid w:val="008246BE"/>
    <w:rsid w:val="00871017"/>
    <w:rsid w:val="00893DF6"/>
    <w:rsid w:val="008D3F8C"/>
    <w:rsid w:val="00900C3E"/>
    <w:rsid w:val="00994F2C"/>
    <w:rsid w:val="009C3C99"/>
    <w:rsid w:val="00A4114C"/>
    <w:rsid w:val="00A842FA"/>
    <w:rsid w:val="00A93594"/>
    <w:rsid w:val="00AE6B03"/>
    <w:rsid w:val="00B32D44"/>
    <w:rsid w:val="00B651FA"/>
    <w:rsid w:val="00B70D73"/>
    <w:rsid w:val="00BA062B"/>
    <w:rsid w:val="00BA1FFD"/>
    <w:rsid w:val="00BA4F8D"/>
    <w:rsid w:val="00BB55F6"/>
    <w:rsid w:val="00BC048E"/>
    <w:rsid w:val="00CA7D0C"/>
    <w:rsid w:val="00CC6CFC"/>
    <w:rsid w:val="00CD7D78"/>
    <w:rsid w:val="00CF7BE2"/>
    <w:rsid w:val="00D42F55"/>
    <w:rsid w:val="00DB3D6A"/>
    <w:rsid w:val="00E96D97"/>
    <w:rsid w:val="00ED423D"/>
    <w:rsid w:val="00F236A3"/>
    <w:rsid w:val="00F33ADF"/>
    <w:rsid w:val="00F408D0"/>
    <w:rsid w:val="00F44A0F"/>
    <w:rsid w:val="00FD2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85D5"/>
  <w15:chartTrackingRefBased/>
  <w15:docId w15:val="{1F5796DE-D543-4699-8808-91CC7297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D0C"/>
  </w:style>
  <w:style w:type="paragraph" w:styleId="Heading1">
    <w:name w:val="heading 1"/>
    <w:basedOn w:val="Normal"/>
    <w:next w:val="Normal"/>
    <w:link w:val="Heading1Char"/>
    <w:uiPriority w:val="9"/>
    <w:qFormat/>
    <w:rsid w:val="00453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3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9C"/>
    <w:rPr>
      <w:rFonts w:eastAsiaTheme="majorEastAsia" w:cstheme="majorBidi"/>
      <w:color w:val="272727" w:themeColor="text1" w:themeTint="D8"/>
    </w:rPr>
  </w:style>
  <w:style w:type="paragraph" w:styleId="Title">
    <w:name w:val="Title"/>
    <w:basedOn w:val="Normal"/>
    <w:next w:val="Normal"/>
    <w:link w:val="TitleChar"/>
    <w:uiPriority w:val="10"/>
    <w:qFormat/>
    <w:rsid w:val="0045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9C"/>
    <w:pPr>
      <w:spacing w:before="160"/>
      <w:jc w:val="center"/>
    </w:pPr>
    <w:rPr>
      <w:i/>
      <w:iCs/>
      <w:color w:val="404040" w:themeColor="text1" w:themeTint="BF"/>
    </w:rPr>
  </w:style>
  <w:style w:type="character" w:customStyle="1" w:styleId="QuoteChar">
    <w:name w:val="Quote Char"/>
    <w:basedOn w:val="DefaultParagraphFont"/>
    <w:link w:val="Quote"/>
    <w:uiPriority w:val="29"/>
    <w:rsid w:val="0045329C"/>
    <w:rPr>
      <w:i/>
      <w:iCs/>
      <w:color w:val="404040" w:themeColor="text1" w:themeTint="BF"/>
    </w:rPr>
  </w:style>
  <w:style w:type="paragraph" w:styleId="ListParagraph">
    <w:name w:val="List Paragraph"/>
    <w:basedOn w:val="Normal"/>
    <w:uiPriority w:val="34"/>
    <w:qFormat/>
    <w:rsid w:val="0045329C"/>
    <w:pPr>
      <w:ind w:left="720"/>
      <w:contextualSpacing/>
    </w:pPr>
  </w:style>
  <w:style w:type="character" w:styleId="IntenseEmphasis">
    <w:name w:val="Intense Emphasis"/>
    <w:basedOn w:val="DefaultParagraphFont"/>
    <w:uiPriority w:val="21"/>
    <w:qFormat/>
    <w:rsid w:val="0045329C"/>
    <w:rPr>
      <w:i/>
      <w:iCs/>
      <w:color w:val="2F5496" w:themeColor="accent1" w:themeShade="BF"/>
    </w:rPr>
  </w:style>
  <w:style w:type="paragraph" w:styleId="IntenseQuote">
    <w:name w:val="Intense Quote"/>
    <w:basedOn w:val="Normal"/>
    <w:next w:val="Normal"/>
    <w:link w:val="IntenseQuoteChar"/>
    <w:uiPriority w:val="30"/>
    <w:qFormat/>
    <w:rsid w:val="00453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29C"/>
    <w:rPr>
      <w:i/>
      <w:iCs/>
      <w:color w:val="2F5496" w:themeColor="accent1" w:themeShade="BF"/>
    </w:rPr>
  </w:style>
  <w:style w:type="character" w:styleId="IntenseReference">
    <w:name w:val="Intense Reference"/>
    <w:basedOn w:val="DefaultParagraphFont"/>
    <w:uiPriority w:val="32"/>
    <w:qFormat/>
    <w:rsid w:val="0045329C"/>
    <w:rPr>
      <w:b/>
      <w:bCs/>
      <w:smallCaps/>
      <w:color w:val="2F5496" w:themeColor="accent1" w:themeShade="BF"/>
      <w:spacing w:val="5"/>
    </w:rPr>
  </w:style>
  <w:style w:type="character" w:styleId="Hyperlink">
    <w:name w:val="Hyperlink"/>
    <w:basedOn w:val="DefaultParagraphFont"/>
    <w:uiPriority w:val="99"/>
    <w:unhideWhenUsed/>
    <w:rsid w:val="00CA7D0C"/>
    <w:rPr>
      <w:color w:val="0563C1" w:themeColor="hyperlink"/>
      <w:u w:val="single"/>
    </w:rPr>
  </w:style>
  <w:style w:type="paragraph" w:styleId="Header">
    <w:name w:val="header"/>
    <w:basedOn w:val="Normal"/>
    <w:link w:val="HeaderChar"/>
    <w:uiPriority w:val="99"/>
    <w:unhideWhenUsed/>
    <w:rsid w:val="00994F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F2C"/>
  </w:style>
  <w:style w:type="paragraph" w:styleId="Footer">
    <w:name w:val="footer"/>
    <w:basedOn w:val="Normal"/>
    <w:link w:val="FooterChar"/>
    <w:uiPriority w:val="99"/>
    <w:unhideWhenUsed/>
    <w:rsid w:val="00994F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F2C"/>
  </w:style>
  <w:style w:type="paragraph" w:styleId="TOCHeading">
    <w:name w:val="TOC Heading"/>
    <w:basedOn w:val="Heading1"/>
    <w:next w:val="Normal"/>
    <w:uiPriority w:val="39"/>
    <w:unhideWhenUsed/>
    <w:qFormat/>
    <w:rsid w:val="002231B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408D0"/>
    <w:pPr>
      <w:tabs>
        <w:tab w:val="right" w:pos="9016"/>
      </w:tabs>
      <w:spacing w:before="360" w:after="0"/>
    </w:pPr>
    <w:rPr>
      <w:rFonts w:ascii="Times New Roman" w:hAnsi="Times New Roman" w:cs="Times New Roman"/>
      <w:b/>
      <w:bCs/>
      <w:caps/>
      <w:noProof/>
      <w:sz w:val="24"/>
      <w:szCs w:val="24"/>
    </w:rPr>
  </w:style>
  <w:style w:type="paragraph" w:styleId="TOC2">
    <w:name w:val="toc 2"/>
    <w:basedOn w:val="Normal"/>
    <w:next w:val="Normal"/>
    <w:autoRedefine/>
    <w:uiPriority w:val="39"/>
    <w:unhideWhenUsed/>
    <w:rsid w:val="002231B6"/>
    <w:pPr>
      <w:spacing w:before="240" w:after="0"/>
    </w:pPr>
    <w:rPr>
      <w:rFonts w:cstheme="minorHAnsi"/>
      <w:b/>
      <w:bCs/>
      <w:sz w:val="20"/>
      <w:szCs w:val="20"/>
    </w:rPr>
  </w:style>
  <w:style w:type="paragraph" w:styleId="TOC3">
    <w:name w:val="toc 3"/>
    <w:basedOn w:val="Normal"/>
    <w:next w:val="Normal"/>
    <w:autoRedefine/>
    <w:uiPriority w:val="39"/>
    <w:unhideWhenUsed/>
    <w:rsid w:val="002231B6"/>
    <w:pPr>
      <w:spacing w:after="0"/>
      <w:ind w:left="220"/>
    </w:pPr>
    <w:rPr>
      <w:rFonts w:cstheme="minorHAnsi"/>
      <w:sz w:val="20"/>
      <w:szCs w:val="20"/>
    </w:rPr>
  </w:style>
  <w:style w:type="paragraph" w:styleId="TOC4">
    <w:name w:val="toc 4"/>
    <w:basedOn w:val="Normal"/>
    <w:next w:val="Normal"/>
    <w:autoRedefine/>
    <w:uiPriority w:val="39"/>
    <w:unhideWhenUsed/>
    <w:rsid w:val="002231B6"/>
    <w:pPr>
      <w:spacing w:after="0"/>
      <w:ind w:left="440"/>
    </w:pPr>
    <w:rPr>
      <w:rFonts w:cstheme="minorHAnsi"/>
      <w:sz w:val="20"/>
      <w:szCs w:val="20"/>
    </w:rPr>
  </w:style>
  <w:style w:type="paragraph" w:styleId="TOC5">
    <w:name w:val="toc 5"/>
    <w:basedOn w:val="Normal"/>
    <w:next w:val="Normal"/>
    <w:autoRedefine/>
    <w:uiPriority w:val="39"/>
    <w:unhideWhenUsed/>
    <w:rsid w:val="002231B6"/>
    <w:pPr>
      <w:spacing w:after="0"/>
      <w:ind w:left="660"/>
    </w:pPr>
    <w:rPr>
      <w:rFonts w:cstheme="minorHAnsi"/>
      <w:sz w:val="20"/>
      <w:szCs w:val="20"/>
    </w:rPr>
  </w:style>
  <w:style w:type="paragraph" w:styleId="TOC6">
    <w:name w:val="toc 6"/>
    <w:basedOn w:val="Normal"/>
    <w:next w:val="Normal"/>
    <w:autoRedefine/>
    <w:uiPriority w:val="39"/>
    <w:unhideWhenUsed/>
    <w:rsid w:val="002231B6"/>
    <w:pPr>
      <w:spacing w:after="0"/>
      <w:ind w:left="880"/>
    </w:pPr>
    <w:rPr>
      <w:rFonts w:cstheme="minorHAnsi"/>
      <w:sz w:val="20"/>
      <w:szCs w:val="20"/>
    </w:rPr>
  </w:style>
  <w:style w:type="paragraph" w:styleId="TOC7">
    <w:name w:val="toc 7"/>
    <w:basedOn w:val="Normal"/>
    <w:next w:val="Normal"/>
    <w:autoRedefine/>
    <w:uiPriority w:val="39"/>
    <w:unhideWhenUsed/>
    <w:rsid w:val="002231B6"/>
    <w:pPr>
      <w:spacing w:after="0"/>
      <w:ind w:left="1100"/>
    </w:pPr>
    <w:rPr>
      <w:rFonts w:cstheme="minorHAnsi"/>
      <w:sz w:val="20"/>
      <w:szCs w:val="20"/>
    </w:rPr>
  </w:style>
  <w:style w:type="paragraph" w:styleId="TOC8">
    <w:name w:val="toc 8"/>
    <w:basedOn w:val="Normal"/>
    <w:next w:val="Normal"/>
    <w:autoRedefine/>
    <w:uiPriority w:val="39"/>
    <w:unhideWhenUsed/>
    <w:rsid w:val="002231B6"/>
    <w:pPr>
      <w:spacing w:after="0"/>
      <w:ind w:left="1320"/>
    </w:pPr>
    <w:rPr>
      <w:rFonts w:cstheme="minorHAnsi"/>
      <w:sz w:val="20"/>
      <w:szCs w:val="20"/>
    </w:rPr>
  </w:style>
  <w:style w:type="paragraph" w:styleId="TOC9">
    <w:name w:val="toc 9"/>
    <w:basedOn w:val="Normal"/>
    <w:next w:val="Normal"/>
    <w:autoRedefine/>
    <w:uiPriority w:val="39"/>
    <w:unhideWhenUsed/>
    <w:rsid w:val="002231B6"/>
    <w:pPr>
      <w:spacing w:after="0"/>
      <w:ind w:left="1540"/>
    </w:pPr>
    <w:rPr>
      <w:rFonts w:cstheme="minorHAnsi"/>
      <w:sz w:val="20"/>
      <w:szCs w:val="20"/>
    </w:rPr>
  </w:style>
  <w:style w:type="character" w:styleId="UnresolvedMention">
    <w:name w:val="Unresolved Mention"/>
    <w:basedOn w:val="DefaultParagraphFont"/>
    <w:uiPriority w:val="99"/>
    <w:semiHidden/>
    <w:unhideWhenUsed/>
    <w:rsid w:val="00CF7BE2"/>
    <w:rPr>
      <w:color w:val="605E5C"/>
      <w:shd w:val="clear" w:color="auto" w:fill="E1DFDD"/>
    </w:rPr>
  </w:style>
  <w:style w:type="character" w:styleId="FollowedHyperlink">
    <w:name w:val="FollowedHyperlink"/>
    <w:basedOn w:val="DefaultParagraphFont"/>
    <w:uiPriority w:val="99"/>
    <w:semiHidden/>
    <w:unhideWhenUsed/>
    <w:rsid w:val="00F44A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www.apra.gov.au"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oaic.gov.au/privacy/australian-privacy-principles" TargetMode="External"/><Relationship Id="rId2" Type="http://schemas.openxmlformats.org/officeDocument/2006/relationships/numbering" Target="numbering.xml"/><Relationship Id="rId16" Type="http://schemas.openxmlformats.org/officeDocument/2006/relationships/hyperlink" Target="https://www.commbank.com.au/articles/newsroom/2022/03/CBA-tech-improving-customer-experience.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bankofengland.co.uk/-/media/boe/files/working-paper/2017/machine-learning-at-central-banks.pdf" TargetMode="Externa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sic.gov.au"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9:11.016"/>
    </inkml:context>
    <inkml:brush xml:id="br0">
      <inkml:brushProperty name="width" value="0.2" units="cm"/>
      <inkml:brushProperty name="height" value="0.2" units="cm"/>
    </inkml:brush>
  </inkml:definitions>
  <inkml:trace contextRef="#ctx0" brushRef="#br0">1 29 24575,'49'0'0,"1"0"0,-1 0 0,-5 0 0,-3 0 0,-8 0 0,-3 0 0,-5 0 0,0 0 0,2 0 0,4 0 0,5 0 0,3 0 0,-1 0 0,-4 0 0,-4 0 0,-2 0 0,1-1 0,1-2 0,2-1 0,4 0 0,3 2 0,4 2 0,1 0 0,-1 0 0,1 0 0,-2 0 0,1-1 0,-2 0 0,-3-2 0,-4 1 0,-4 1 0,-4 1 0,-4 0 0,-2 0 0,-1-1 0,3-1 0,0 1 0,1-1 0,-3 2 0,-2 0 0,-1 0 0,0 0 0,1 0 0,2 0 0,0 0 0,1 0 0,-1 0 0,1 0 0,-1 0 0,-1 0 0,0 0 0,-1 0 0,0 0 0,1 0 0,-1 0 0,-2 0 0,-1 0 0,1 0 0,0 0 0,1 0 0,-2 0 0,1 0 0,-1 0 0,2 0 0,2 0 0,2 0 0,3 0 0,1 1 0,0 1 0,2 0 0,-1 2 0,1-3 0,1 1 0,0 1 0,-2-1 0,-1 0 0,-1 1 0,-1-1 0,2 0 0,0 1 0,-1-1 0,-1 0 0,-1 1 0,0 0 0,-1 2 0,0-1 0,0 0 0,-3 0 0,-3-2 0,-3 1 0,-3-1 0,-2-1 0,-1-1 0,0 0 0,-1 0 0,1 0 0,0 0 0,1 0 0,0 1 0,0 1 0,1-1 0,1 1 0,1-2 0,1 0 0,2 0 0,-1 0 0,-1 0 0,0 0 0,-2 0 0,0 0 0,-2 0 0,-1 0 0,-1 0 0,1 0 0,0 0 0,-2 0 0,1 0 0,1 0 0,1 0 0,1 0 0,2 0 0,-1 0 0,1 0 0,1 0 0,-1 0 0,0 0 0,-1 0 0,0 0 0,1 0 0,-1 0 0,2 0 0,-1 0 0,1 0 0,-2 0 0,-4 0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9:03.800"/>
    </inkml:context>
    <inkml:brush xml:id="br0">
      <inkml:brushProperty name="width" value="0.2" units="cm"/>
      <inkml:brushProperty name="height" value="0.2" units="cm"/>
    </inkml:brush>
  </inkml:definitions>
  <inkml:trace contextRef="#ctx0" brushRef="#br0">0 25 24575,'22'0'0,"2"0"0,6 0 0,10 0 0,3 0 0,21 0 0,-23 0 0,8 0 0,-23 0 0,0 0 0,0 0 0,2 0 0,4 0 0,0 0 0,3 0 0,0 0 0,-4 0 0,-2 0 0,-7 0 0,-5 0 0,-1 0 0,3 0 0,4 0 0,2 0 0,1-1 0,-3-1 0,-4 0 0,-1 0 0,-3 2 0,0 0 0,-1 0 0,-2 0 0,0-1 0,-2-1 0,-2 1 0,-2 0 0,-1 1 0,0 0 0,3-3 0,0 2 0,1-2 0,1 3 0,-1-2 0,3 0 0,-1 1 0,-1 0 0,-2 1 0,0 0 0,0 0 0,-2 0 0,1 0 0,-2 0 0,-1 0 0,2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0085C-FCB8-493F-A65D-12319643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59</cp:revision>
  <dcterms:created xsi:type="dcterms:W3CDTF">2025-07-25T03:43:00Z</dcterms:created>
  <dcterms:modified xsi:type="dcterms:W3CDTF">2026-09-15T08:39:00Z</dcterms:modified>
</cp:coreProperties>
</file>