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F4FC" w14:textId="77777777" w:rsidR="0046358E" w:rsidRDefault="0046358E" w:rsidP="00BB796F">
      <w:pPr>
        <w:spacing w:before="100" w:beforeAutospacing="1" w:after="100" w:afterAutospacing="1" w:line="240" w:lineRule="auto"/>
        <w:rPr>
          <w:rFonts w:ascii="Calibri" w:hAnsi="Calibri" w:cs="Calibri"/>
          <w:b/>
          <w:bCs/>
        </w:rPr>
      </w:pPr>
    </w:p>
    <w:p w14:paraId="01C3011C" w14:textId="2C81B24F" w:rsidR="0046358E" w:rsidRDefault="00A34ED5" w:rsidP="0046358E">
      <w:pPr>
        <w:spacing w:before="100" w:beforeAutospacing="1" w:after="100" w:afterAutospacing="1" w:line="240" w:lineRule="auto"/>
        <w:jc w:val="center"/>
        <w:rPr>
          <w:rFonts w:ascii="Calibri" w:hAnsi="Calibri" w:cs="Calibri"/>
          <w:b/>
          <w:bCs/>
        </w:rPr>
      </w:pPr>
      <w:r>
        <w:rPr>
          <w:noProof/>
        </w:rPr>
        <mc:AlternateContent>
          <mc:Choice Requires="wpi">
            <w:drawing>
              <wp:anchor distT="0" distB="0" distL="114300" distR="114300" simplePos="0" relativeHeight="251666432" behindDoc="0" locked="0" layoutInCell="1" allowOverlap="1" wp14:anchorId="06A257C5" wp14:editId="6E4E9EB5">
                <wp:simplePos x="0" y="0"/>
                <wp:positionH relativeFrom="column">
                  <wp:posOffset>784853</wp:posOffset>
                </wp:positionH>
                <wp:positionV relativeFrom="paragraph">
                  <wp:posOffset>5787665</wp:posOffset>
                </wp:positionV>
                <wp:extent cx="623160" cy="23760"/>
                <wp:effectExtent l="50800" t="76200" r="75565" b="78105"/>
                <wp:wrapNone/>
                <wp:docPr id="1494930034" name="Ink 12"/>
                <wp:cNvGraphicFramePr/>
                <a:graphic xmlns:a="http://schemas.openxmlformats.org/drawingml/2006/main">
                  <a:graphicData uri="http://schemas.microsoft.com/office/word/2010/wordprocessingInk">
                    <w14:contentPart bwMode="auto" r:id="rId8">
                      <w14:nvContentPartPr>
                        <w14:cNvContentPartPr/>
                      </w14:nvContentPartPr>
                      <w14:xfrm>
                        <a:off x="0" y="0"/>
                        <a:ext cx="623160" cy="23760"/>
                      </w14:xfrm>
                    </w14:contentPart>
                  </a:graphicData>
                </a:graphic>
              </wp:anchor>
            </w:drawing>
          </mc:Choice>
          <mc:Fallback>
            <w:pict>
              <v:shapetype w14:anchorId="7DBA57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58.95pt;margin-top:452.9pt;width:54.7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">
                <v:imagedata r:id="rId9" o:title=""/>
              </v:shape>
            </w:pict>
          </mc:Fallback>
        </mc:AlternateContent>
      </w:r>
      <w:r>
        <w:rPr>
          <w:noProof/>
        </w:rPr>
        <mc:AlternateContent>
          <mc:Choice Requires="wpi">
            <w:drawing>
              <wp:anchor distT="0" distB="0" distL="114300" distR="114300" simplePos="0" relativeHeight="251665408" behindDoc="0" locked="0" layoutInCell="1" allowOverlap="1" wp14:anchorId="610FA9DE" wp14:editId="6A8239F6">
                <wp:simplePos x="0" y="0"/>
                <wp:positionH relativeFrom="column">
                  <wp:posOffset>792413</wp:posOffset>
                </wp:positionH>
                <wp:positionV relativeFrom="paragraph">
                  <wp:posOffset>5496425</wp:posOffset>
                </wp:positionV>
                <wp:extent cx="963000" cy="24840"/>
                <wp:effectExtent l="76200" t="76200" r="53340" b="76835"/>
                <wp:wrapNone/>
                <wp:docPr id="539350708"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963000" cy="24840"/>
                      </w14:xfrm>
                    </w14:contentPart>
                  </a:graphicData>
                </a:graphic>
              </wp:anchor>
            </w:drawing>
          </mc:Choice>
          <mc:Fallback>
            <w:pict>
              <v:shape w14:anchorId="09A6FD04" id="Ink 11" o:spid="_x0000_s1026" type="#_x0000_t75" style="position:absolute;margin-left:59.6pt;margin-top:430pt;width:81.5pt;height:7.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">
                <v:imagedata r:id="rId11" o:title=""/>
              </v:shape>
            </w:pict>
          </mc:Fallback>
        </mc:AlternateContent>
      </w:r>
      <w:r>
        <w:rPr>
          <w:noProof/>
        </w:rPr>
        <mc:AlternateContent>
          <mc:Choice Requires="wpi">
            <w:drawing>
              <wp:anchor distT="0" distB="0" distL="114300" distR="114300" simplePos="0" relativeHeight="251664384" behindDoc="0" locked="0" layoutInCell="1" allowOverlap="1" wp14:anchorId="21780978" wp14:editId="61AA0989">
                <wp:simplePos x="0" y="0"/>
                <wp:positionH relativeFrom="column">
                  <wp:posOffset>789173</wp:posOffset>
                </wp:positionH>
                <wp:positionV relativeFrom="paragraph">
                  <wp:posOffset>5241905</wp:posOffset>
                </wp:positionV>
                <wp:extent cx="935280" cy="2880"/>
                <wp:effectExtent l="63500" t="76200" r="55880" b="73660"/>
                <wp:wrapNone/>
                <wp:docPr id="1867450996"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935280" cy="2880"/>
                      </w14:xfrm>
                    </w14:contentPart>
                  </a:graphicData>
                </a:graphic>
              </wp:anchor>
            </w:drawing>
          </mc:Choice>
          <mc:Fallback>
            <w:pict>
              <v:shape w14:anchorId="2053E31E" id="Ink 10" o:spid="_x0000_s1026" type="#_x0000_t75" style="position:absolute;margin-left:59.3pt;margin-top:409.9pt;width:79.35pt;height:5.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">
                <v:imagedata r:id="rId13" o:title=""/>
              </v:shape>
            </w:pict>
          </mc:Fallback>
        </mc:AlternateContent>
      </w:r>
      <w:r>
        <w:rPr>
          <w:noProof/>
        </w:rPr>
        <mc:AlternateContent>
          <mc:Choice Requires="wpi">
            <w:drawing>
              <wp:anchor distT="0" distB="0" distL="114300" distR="114300" simplePos="0" relativeHeight="251663360" behindDoc="0" locked="0" layoutInCell="1" allowOverlap="1" wp14:anchorId="785EFCFC" wp14:editId="02D40EBF">
                <wp:simplePos x="0" y="0"/>
                <wp:positionH relativeFrom="column">
                  <wp:posOffset>3272155</wp:posOffset>
                </wp:positionH>
                <wp:positionV relativeFrom="paragraph">
                  <wp:posOffset>1336040</wp:posOffset>
                </wp:positionV>
                <wp:extent cx="405130" cy="16510"/>
                <wp:effectExtent l="76200" t="76200" r="52070" b="85090"/>
                <wp:wrapNone/>
                <wp:docPr id="1890504669"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405130" cy="16510"/>
                      </w14:xfrm>
                    </w14:contentPart>
                  </a:graphicData>
                </a:graphic>
              </wp:anchor>
            </w:drawing>
          </mc:Choice>
          <mc:Fallback>
            <w:pict>
              <v:shape w14:anchorId="76839504" id="Ink 8" o:spid="_x0000_s1026" type="#_x0000_t75" style="position:absolute;margin-left:254.8pt;margin-top:102.45pt;width:37.55pt;height:6.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">
                <v:imagedata r:id="rId15" o:title=""/>
              </v:shape>
            </w:pict>
          </mc:Fallback>
        </mc:AlternateContent>
      </w:r>
      <w:r>
        <w:rPr>
          <w:noProof/>
        </w:rPr>
        <mc:AlternateContent>
          <mc:Choice Requires="wpi">
            <w:drawing>
              <wp:anchor distT="0" distB="0" distL="114300" distR="114300" simplePos="0" relativeHeight="251660288" behindDoc="0" locked="0" layoutInCell="1" allowOverlap="1" wp14:anchorId="7BA4A36B" wp14:editId="26F627B2">
                <wp:simplePos x="0" y="0"/>
                <wp:positionH relativeFrom="column">
                  <wp:posOffset>2033693</wp:posOffset>
                </wp:positionH>
                <wp:positionV relativeFrom="paragraph">
                  <wp:posOffset>1763025</wp:posOffset>
                </wp:positionV>
                <wp:extent cx="1285560" cy="7560"/>
                <wp:effectExtent l="76200" t="76200" r="48260" b="81915"/>
                <wp:wrapNone/>
                <wp:docPr id="332208897"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1285560" cy="7560"/>
                      </w14:xfrm>
                    </w14:contentPart>
                  </a:graphicData>
                </a:graphic>
              </wp:anchor>
            </w:drawing>
          </mc:Choice>
          <mc:Fallback>
            <w:pict>
              <v:shape w14:anchorId="5671BAD1" id="Ink 5" o:spid="_x0000_s1026" type="#_x0000_t75" style="position:absolute;margin-left:157.35pt;margin-top:135.95pt;width:106.9pt;height:6.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">
                <v:imagedata r:id="rId17" o:title=""/>
              </v:shape>
            </w:pict>
          </mc:Fallback>
        </mc:AlternateContent>
      </w:r>
      <w:r>
        <w:rPr>
          <w:noProof/>
        </w:rPr>
        <mc:AlternateContent>
          <mc:Choice Requires="wpi">
            <w:drawing>
              <wp:anchor distT="0" distB="0" distL="114300" distR="114300" simplePos="0" relativeHeight="251659264" behindDoc="0" locked="0" layoutInCell="1" allowOverlap="1" wp14:anchorId="19C826E2" wp14:editId="3F28AD58">
                <wp:simplePos x="0" y="0"/>
                <wp:positionH relativeFrom="column">
                  <wp:posOffset>2054933</wp:posOffset>
                </wp:positionH>
                <wp:positionV relativeFrom="paragraph">
                  <wp:posOffset>1553865</wp:posOffset>
                </wp:positionV>
                <wp:extent cx="1630080" cy="20520"/>
                <wp:effectExtent l="76200" t="76200" r="59055" b="81280"/>
                <wp:wrapNone/>
                <wp:docPr id="1041103615"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1630080" cy="20520"/>
                      </w14:xfrm>
                    </w14:contentPart>
                  </a:graphicData>
                </a:graphic>
              </wp:anchor>
            </w:drawing>
          </mc:Choice>
          <mc:Fallback>
            <w:pict>
              <v:shape w14:anchorId="395B90E2" id="Ink 2" o:spid="_x0000_s1026" type="#_x0000_t75" style="position:absolute;margin-left:159pt;margin-top:119.55pt;width:134pt;height:7.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">
                <v:imagedata r:id="rId19" o:title=""/>
              </v:shape>
            </w:pict>
          </mc:Fallback>
        </mc:AlternateContent>
      </w:r>
      <w:r w:rsidR="0046358E">
        <w:rPr>
          <w:noProof/>
        </w:rPr>
        <w:drawing>
          <wp:inline distT="0" distB="0" distL="0" distR="0" wp14:anchorId="1AAA45A2" wp14:editId="4356462F">
            <wp:extent cx="5731510" cy="6572250"/>
            <wp:effectExtent l="0" t="0" r="0" b="6350"/>
            <wp:docPr id="4" name="Picture 3">
              <a:extLst xmlns:a="http://schemas.openxmlformats.org/drawingml/2006/main">
                <a:ext uri="{FF2B5EF4-FFF2-40B4-BE49-F238E27FC236}">
                  <a16:creationId xmlns:a16="http://schemas.microsoft.com/office/drawing/2014/main" id="{E0BB0FD6-5AC2-1A91-88A6-8EAC0D818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0BB0FD6-5AC2-1A91-88A6-8EAC0D8185F0}"/>
                        </a:ext>
                      </a:extLst>
                    </pic:cNvPr>
                    <pic:cNvPicPr>
                      <a:picLocks noChangeAspect="1"/>
                    </pic:cNvPicPr>
                  </pic:nvPicPr>
                  <pic:blipFill>
                    <a:blip r:embed="rId20"/>
                    <a:stretch>
                      <a:fillRect/>
                    </a:stretch>
                  </pic:blipFill>
                  <pic:spPr>
                    <a:xfrm>
                      <a:off x="0" y="0"/>
                      <a:ext cx="5731510" cy="6572250"/>
                    </a:xfrm>
                    <a:prstGeom prst="rect">
                      <a:avLst/>
                    </a:prstGeom>
                  </pic:spPr>
                </pic:pic>
              </a:graphicData>
            </a:graphic>
          </wp:inline>
        </w:drawing>
      </w:r>
    </w:p>
    <w:p w14:paraId="09F1D990" w14:textId="77777777" w:rsidR="0046358E" w:rsidRDefault="0046358E" w:rsidP="00BB796F">
      <w:pPr>
        <w:spacing w:before="100" w:beforeAutospacing="1" w:after="100" w:afterAutospacing="1" w:line="240" w:lineRule="auto"/>
        <w:rPr>
          <w:rFonts w:ascii="Calibri" w:hAnsi="Calibri" w:cs="Calibri"/>
          <w:b/>
          <w:bCs/>
        </w:rPr>
      </w:pPr>
    </w:p>
    <w:p w14:paraId="4F7DCBD9" w14:textId="77777777" w:rsidR="0046358E" w:rsidRDefault="0046358E" w:rsidP="00BB796F">
      <w:pPr>
        <w:spacing w:before="100" w:beforeAutospacing="1" w:after="100" w:afterAutospacing="1" w:line="240" w:lineRule="auto"/>
        <w:rPr>
          <w:rFonts w:ascii="Calibri" w:hAnsi="Calibri" w:cs="Calibri"/>
          <w:b/>
          <w:bCs/>
        </w:rPr>
      </w:pPr>
    </w:p>
    <w:p w14:paraId="75E84DC1" w14:textId="77777777" w:rsidR="0046358E" w:rsidRDefault="0046358E" w:rsidP="00BB796F">
      <w:pPr>
        <w:spacing w:before="100" w:beforeAutospacing="1" w:after="100" w:afterAutospacing="1" w:line="240" w:lineRule="auto"/>
        <w:rPr>
          <w:rFonts w:ascii="Calibri" w:hAnsi="Calibri" w:cs="Calibri"/>
          <w:b/>
          <w:bCs/>
        </w:rPr>
      </w:pPr>
    </w:p>
    <w:p w14:paraId="38E12E73" w14:textId="77777777" w:rsidR="0046358E" w:rsidRDefault="0046358E" w:rsidP="00BB796F">
      <w:pPr>
        <w:spacing w:before="100" w:beforeAutospacing="1" w:after="100" w:afterAutospacing="1" w:line="240" w:lineRule="auto"/>
        <w:rPr>
          <w:rFonts w:ascii="Calibri" w:hAnsi="Calibri" w:cs="Calibri"/>
          <w:b/>
          <w:bCs/>
        </w:rPr>
      </w:pPr>
    </w:p>
    <w:p w14:paraId="30612A8E" w14:textId="5AD5BDFC" w:rsidR="0046358E" w:rsidRPr="00744E4C" w:rsidRDefault="0046358E" w:rsidP="005B2FFB">
      <w:pPr>
        <w:spacing w:before="100" w:beforeAutospacing="1" w:after="100" w:afterAutospacing="1" w:line="240" w:lineRule="auto"/>
        <w:jc w:val="center"/>
        <w:rPr>
          <w:rFonts w:ascii="Calibri" w:hAnsi="Calibri" w:cs="Calibri"/>
          <w:b/>
          <w:bCs/>
          <w:sz w:val="44"/>
          <w:szCs w:val="44"/>
        </w:rPr>
      </w:pPr>
      <w:r w:rsidRPr="00744E4C">
        <w:rPr>
          <w:rFonts w:ascii="Calibri" w:eastAsia="Arial Unicode MS" w:hAnsi="Calibri" w:cs="Calibri"/>
          <w:b/>
          <w:bCs/>
          <w:sz w:val="44"/>
          <w:szCs w:val="44"/>
          <w:lang w:val="en-US" w:bidi="en-US"/>
        </w:rPr>
        <w:lastRenderedPageBreak/>
        <w:t>Financial Evaluation of Personcare Pharmaceuticals Limited’s Psyllium Husk Powder Project</w:t>
      </w:r>
    </w:p>
    <w:p w14:paraId="27136308" w14:textId="5683497E" w:rsidR="005B2FFB" w:rsidRDefault="00A07340" w:rsidP="00A07340">
      <w:pPr>
        <w:spacing w:before="100" w:beforeAutospacing="1" w:after="100" w:afterAutospacing="1" w:line="240" w:lineRule="auto"/>
        <w:jc w:val="center"/>
        <w:rPr>
          <w:rFonts w:ascii="Calibri" w:hAnsi="Calibri" w:cs="Calibri"/>
          <w:b/>
          <w:bCs/>
        </w:rPr>
      </w:pPr>
      <w:r>
        <w:rPr>
          <w:rFonts w:ascii="Calibri" w:hAnsi="Calibri" w:cs="Calibri"/>
          <w:b/>
          <w:bCs/>
        </w:rPr>
        <w:t>Corporate Finance Group Assignment</w:t>
      </w:r>
    </w:p>
    <w:sdt>
      <w:sdtPr>
        <w:rPr>
          <w:rFonts w:asciiTheme="minorHAnsi" w:eastAsiaTheme="minorHAnsi" w:hAnsiTheme="minorHAnsi" w:cstheme="minorBidi"/>
          <w:b w:val="0"/>
          <w:bCs w:val="0"/>
          <w:color w:val="auto"/>
          <w:kern w:val="2"/>
          <w:sz w:val="24"/>
          <w:szCs w:val="24"/>
          <w:lang w:val="en-AU"/>
          <w14:ligatures w14:val="standardContextual"/>
        </w:rPr>
        <w:id w:val="294642501"/>
        <w:docPartObj>
          <w:docPartGallery w:val="Table of Contents"/>
          <w:docPartUnique/>
        </w:docPartObj>
      </w:sdtPr>
      <w:sdtEndPr>
        <w:rPr>
          <w:noProof/>
        </w:rPr>
      </w:sdtEndPr>
      <w:sdtContent>
        <w:p w14:paraId="06B837BF" w14:textId="592CA476" w:rsidR="00662CD4" w:rsidRPr="005B2FFB" w:rsidRDefault="005B2FFB">
          <w:pPr>
            <w:pStyle w:val="TOCHeading"/>
            <w:rPr>
              <w:rFonts w:ascii="Calibri" w:hAnsi="Calibri" w:cs="Calibri"/>
              <w:sz w:val="40"/>
              <w:szCs w:val="40"/>
            </w:rPr>
          </w:pPr>
          <w:r>
            <w:rPr>
              <w:rFonts w:ascii="Calibri" w:hAnsi="Calibri" w:cs="Calibri"/>
              <w:sz w:val="40"/>
              <w:szCs w:val="40"/>
            </w:rPr>
            <w:t xml:space="preserve">Table of Contents </w:t>
          </w:r>
        </w:p>
        <w:p w14:paraId="2D3E2E53" w14:textId="4CE87361" w:rsidR="00662CD4" w:rsidRPr="005B2FFB" w:rsidRDefault="00662CD4">
          <w:pPr>
            <w:pStyle w:val="TOC1"/>
            <w:tabs>
              <w:tab w:val="right" w:leader="dot" w:pos="9016"/>
            </w:tabs>
            <w:rPr>
              <w:rFonts w:ascii="Calibri" w:eastAsiaTheme="minorEastAsia" w:hAnsi="Calibri" w:cs="Calibri"/>
              <w:b w:val="0"/>
              <w:bCs w:val="0"/>
              <w:caps w:val="0"/>
              <w:noProof/>
              <w:sz w:val="28"/>
              <w:szCs w:val="28"/>
              <w:lang w:eastAsia="en-GB"/>
            </w:rPr>
          </w:pPr>
          <w:r w:rsidRPr="005B2FFB">
            <w:rPr>
              <w:rFonts w:ascii="Calibri" w:hAnsi="Calibri" w:cs="Calibri"/>
              <w:b w:val="0"/>
              <w:bCs w:val="0"/>
              <w:sz w:val="28"/>
              <w:szCs w:val="28"/>
            </w:rPr>
            <w:fldChar w:fldCharType="begin"/>
          </w:r>
          <w:r w:rsidRPr="005B2FFB">
            <w:rPr>
              <w:rFonts w:ascii="Calibri" w:hAnsi="Calibri" w:cs="Calibri"/>
              <w:sz w:val="28"/>
              <w:szCs w:val="28"/>
            </w:rPr>
            <w:instrText xml:space="preserve"> TOC \o "1-3" \h \z \u </w:instrText>
          </w:r>
          <w:r w:rsidRPr="005B2FFB">
            <w:rPr>
              <w:rFonts w:ascii="Calibri" w:hAnsi="Calibri" w:cs="Calibri"/>
              <w:b w:val="0"/>
              <w:bCs w:val="0"/>
              <w:sz w:val="28"/>
              <w:szCs w:val="28"/>
            </w:rPr>
            <w:fldChar w:fldCharType="separate"/>
          </w:r>
          <w:hyperlink w:anchor="_Toc238233841" w:history="1">
            <w:r w:rsidRPr="005B2FFB">
              <w:rPr>
                <w:rStyle w:val="Hyperlink"/>
                <w:rFonts w:ascii="Calibri" w:hAnsi="Calibri" w:cs="Calibri"/>
                <w:noProof/>
                <w:sz w:val="28"/>
                <w:szCs w:val="28"/>
              </w:rPr>
              <w:t>1. Introduction</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_Toc238233841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3</w:t>
            </w:r>
            <w:r w:rsidRPr="005B2FFB">
              <w:rPr>
                <w:rFonts w:ascii="Calibri" w:hAnsi="Calibri" w:cs="Calibri"/>
                <w:noProof/>
                <w:webHidden/>
                <w:sz w:val="28"/>
                <w:szCs w:val="28"/>
              </w:rPr>
              <w:fldChar w:fldCharType="end"/>
            </w:r>
          </w:hyperlink>
        </w:p>
        <w:p w14:paraId="4583F653" w14:textId="50C21713" w:rsidR="00662CD4" w:rsidRPr="005B2FFB" w:rsidRDefault="00662CD4">
          <w:pPr>
            <w:pStyle w:val="TOC1"/>
            <w:tabs>
              <w:tab w:val="right" w:leader="dot" w:pos="9016"/>
            </w:tabs>
            <w:rPr>
              <w:rFonts w:ascii="Calibri" w:eastAsiaTheme="minorEastAsia" w:hAnsi="Calibri" w:cs="Calibri"/>
              <w:b w:val="0"/>
              <w:bCs w:val="0"/>
              <w:caps w:val="0"/>
              <w:noProof/>
              <w:sz w:val="28"/>
              <w:szCs w:val="28"/>
              <w:lang w:eastAsia="en-GB"/>
            </w:rPr>
          </w:pPr>
          <w:hyperlink w:anchor="_Toc238233842" w:history="1">
            <w:r w:rsidRPr="005B2FFB">
              <w:rPr>
                <w:rStyle w:val="Hyperlink"/>
                <w:rFonts w:ascii="Calibri" w:hAnsi="Calibri" w:cs="Calibri"/>
                <w:noProof/>
                <w:sz w:val="28"/>
                <w:szCs w:val="28"/>
              </w:rPr>
              <w:t>2. Cash Flow Identification and Capital Budgeting Analysis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_Toc238233842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3</w:t>
            </w:r>
            <w:r w:rsidRPr="005B2FFB">
              <w:rPr>
                <w:rFonts w:ascii="Calibri" w:hAnsi="Calibri" w:cs="Calibri"/>
                <w:noProof/>
                <w:webHidden/>
                <w:sz w:val="28"/>
                <w:szCs w:val="28"/>
              </w:rPr>
              <w:fldChar w:fldCharType="end"/>
            </w:r>
          </w:hyperlink>
        </w:p>
        <w:p w14:paraId="728DB5A0" w14:textId="231AA781"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43" w:history="1">
            <w:r w:rsidRPr="005B2FFB">
              <w:rPr>
                <w:rStyle w:val="Hyperlink"/>
                <w:rFonts w:ascii="Calibri" w:hAnsi="Calibri" w:cs="Calibri"/>
                <w:noProof/>
                <w:sz w:val="28"/>
                <w:szCs w:val="28"/>
              </w:rPr>
              <w:t>2.1 Relevant Cash Flow Assumptions: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_Toc238233843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3</w:t>
            </w:r>
            <w:r w:rsidRPr="005B2FFB">
              <w:rPr>
                <w:rFonts w:ascii="Calibri" w:hAnsi="Calibri" w:cs="Calibri"/>
                <w:noProof/>
                <w:webHidden/>
                <w:sz w:val="28"/>
                <w:szCs w:val="28"/>
              </w:rPr>
              <w:fldChar w:fldCharType="end"/>
            </w:r>
          </w:hyperlink>
        </w:p>
        <w:p w14:paraId="417DB569" w14:textId="106C3C84"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44" w:history="1">
            <w:r w:rsidRPr="005B2FFB">
              <w:rPr>
                <w:rStyle w:val="Hyperlink"/>
                <w:rFonts w:ascii="Calibri" w:hAnsi="Calibri" w:cs="Calibri"/>
                <w:noProof/>
                <w:sz w:val="28"/>
                <w:szCs w:val="28"/>
              </w:rPr>
              <w:t>2.2 Base-Case Cash Flow Analysis: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_Toc238233844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4</w:t>
            </w:r>
            <w:r w:rsidRPr="005B2FFB">
              <w:rPr>
                <w:rFonts w:ascii="Calibri" w:hAnsi="Calibri" w:cs="Calibri"/>
                <w:noProof/>
                <w:webHidden/>
                <w:sz w:val="28"/>
                <w:szCs w:val="28"/>
              </w:rPr>
              <w:fldChar w:fldCharType="end"/>
            </w:r>
          </w:hyperlink>
        </w:p>
        <w:p w14:paraId="0EA54168" w14:textId="5D052F81"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45" w:history="1">
            <w:r w:rsidRPr="005B2FFB">
              <w:rPr>
                <w:rStyle w:val="Hyperlink"/>
                <w:rFonts w:ascii="Calibri" w:hAnsi="Calibri" w:cs="Calibri"/>
                <w:noProof/>
                <w:sz w:val="28"/>
                <w:szCs w:val="28"/>
              </w:rPr>
              <w:t>2.3 NPV and IRR Results: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_Toc238233845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5</w:t>
            </w:r>
            <w:r w:rsidRPr="005B2FFB">
              <w:rPr>
                <w:rFonts w:ascii="Calibri" w:hAnsi="Calibri" w:cs="Calibri"/>
                <w:noProof/>
                <w:webHidden/>
                <w:sz w:val="28"/>
                <w:szCs w:val="28"/>
              </w:rPr>
              <w:fldChar w:fldCharType="end"/>
            </w:r>
          </w:hyperlink>
        </w:p>
        <w:p w14:paraId="74CAF876" w14:textId="2F34313B" w:rsidR="00662CD4" w:rsidRPr="005B2FFB" w:rsidRDefault="00662CD4">
          <w:pPr>
            <w:pStyle w:val="TOC1"/>
            <w:tabs>
              <w:tab w:val="right" w:leader="dot" w:pos="9016"/>
            </w:tabs>
            <w:rPr>
              <w:rFonts w:ascii="Calibri" w:eastAsiaTheme="minorEastAsia" w:hAnsi="Calibri" w:cs="Calibri"/>
              <w:b w:val="0"/>
              <w:bCs w:val="0"/>
              <w:caps w:val="0"/>
              <w:noProof/>
              <w:sz w:val="28"/>
              <w:szCs w:val="28"/>
              <w:lang w:eastAsia="en-GB"/>
            </w:rPr>
          </w:pPr>
          <w:hyperlink w:anchor="_Toc238233846" w:history="1">
            <w:r w:rsidRPr="005B2FFB">
              <w:rPr>
                <w:rStyle w:val="Hyperlink"/>
                <w:rFonts w:ascii="Calibri" w:hAnsi="Calibri" w:cs="Calibri"/>
                <w:noProof/>
                <w:sz w:val="28"/>
                <w:szCs w:val="28"/>
              </w:rPr>
              <w:t>3. Executive Summary and Recommendation</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_Toc238233846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5</w:t>
            </w:r>
            <w:r w:rsidRPr="005B2FFB">
              <w:rPr>
                <w:rFonts w:ascii="Calibri" w:hAnsi="Calibri" w:cs="Calibri"/>
                <w:noProof/>
                <w:webHidden/>
                <w:sz w:val="28"/>
                <w:szCs w:val="28"/>
              </w:rPr>
              <w:fldChar w:fldCharType="end"/>
            </w:r>
          </w:hyperlink>
        </w:p>
        <w:p w14:paraId="29AAC439" w14:textId="4E2FFA17"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47" w:history="1">
            <w:r w:rsidRPr="005B2FFB">
              <w:rPr>
                <w:rStyle w:val="Hyperlink"/>
                <w:rFonts w:ascii="Calibri" w:hAnsi="Calibri" w:cs="Calibri"/>
                <w:noProof/>
                <w:sz w:val="28"/>
                <w:szCs w:val="28"/>
              </w:rPr>
              <w:t>3.1 Definition of the Problem:</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_Toc238233847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5</w:t>
            </w:r>
            <w:r w:rsidRPr="005B2FFB">
              <w:rPr>
                <w:rFonts w:ascii="Calibri" w:hAnsi="Calibri" w:cs="Calibri"/>
                <w:noProof/>
                <w:webHidden/>
                <w:sz w:val="28"/>
                <w:szCs w:val="28"/>
              </w:rPr>
              <w:fldChar w:fldCharType="end"/>
            </w:r>
          </w:hyperlink>
        </w:p>
        <w:p w14:paraId="17369434" w14:textId="2EDBD75D"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48" w:history="1">
            <w:r w:rsidRPr="005B2FFB">
              <w:rPr>
                <w:rStyle w:val="Hyperlink"/>
                <w:rFonts w:ascii="Calibri" w:eastAsia="Times New Roman" w:hAnsi="Calibri" w:cs="Calibri"/>
                <w:noProof/>
                <w:sz w:val="28"/>
                <w:szCs w:val="28"/>
                <w:lang w:eastAsia="en-GB"/>
              </w:rPr>
              <w:t>3.2 Objectives: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_Toc238233848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6</w:t>
            </w:r>
            <w:r w:rsidRPr="005B2FFB">
              <w:rPr>
                <w:rFonts w:ascii="Calibri" w:hAnsi="Calibri" w:cs="Calibri"/>
                <w:noProof/>
                <w:webHidden/>
                <w:sz w:val="28"/>
                <w:szCs w:val="28"/>
              </w:rPr>
              <w:fldChar w:fldCharType="end"/>
            </w:r>
          </w:hyperlink>
        </w:p>
        <w:p w14:paraId="23E04C09" w14:textId="6DADEF92"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49" w:history="1">
            <w:r w:rsidRPr="005B2FFB">
              <w:rPr>
                <w:rStyle w:val="Hyperlink"/>
                <w:rFonts w:ascii="Calibri" w:eastAsia="Times New Roman" w:hAnsi="Calibri" w:cs="Calibri"/>
                <w:noProof/>
                <w:sz w:val="28"/>
                <w:szCs w:val="28"/>
                <w:lang w:eastAsia="en-GB"/>
              </w:rPr>
              <w:t>3.3 Method:</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_Toc238233849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6</w:t>
            </w:r>
            <w:r w:rsidRPr="005B2FFB">
              <w:rPr>
                <w:rFonts w:ascii="Calibri" w:hAnsi="Calibri" w:cs="Calibri"/>
                <w:noProof/>
                <w:webHidden/>
                <w:sz w:val="28"/>
                <w:szCs w:val="28"/>
              </w:rPr>
              <w:fldChar w:fldCharType="end"/>
            </w:r>
          </w:hyperlink>
        </w:p>
        <w:p w14:paraId="6ED1B122" w14:textId="7CB57A0F"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50" w:history="1">
            <w:r w:rsidRPr="005B2FFB">
              <w:rPr>
                <w:rStyle w:val="Hyperlink"/>
                <w:rFonts w:ascii="Calibri" w:eastAsia="Times New Roman" w:hAnsi="Calibri" w:cs="Calibri"/>
                <w:noProof/>
                <w:sz w:val="28"/>
                <w:szCs w:val="28"/>
                <w:lang w:eastAsia="en-GB"/>
              </w:rPr>
              <w:t>3.4 Key Findings: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_Toc238233850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6</w:t>
            </w:r>
            <w:r w:rsidRPr="005B2FFB">
              <w:rPr>
                <w:rFonts w:ascii="Calibri" w:hAnsi="Calibri" w:cs="Calibri"/>
                <w:noProof/>
                <w:webHidden/>
                <w:sz w:val="28"/>
                <w:szCs w:val="28"/>
              </w:rPr>
              <w:fldChar w:fldCharType="end"/>
            </w:r>
          </w:hyperlink>
        </w:p>
        <w:p w14:paraId="7D856A92" w14:textId="1EACA470"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51" w:history="1">
            <w:r w:rsidRPr="005B2FFB">
              <w:rPr>
                <w:rStyle w:val="Hyperlink"/>
                <w:rFonts w:ascii="Calibri" w:eastAsia="Times New Roman" w:hAnsi="Calibri" w:cs="Calibri"/>
                <w:noProof/>
                <w:sz w:val="28"/>
                <w:szCs w:val="28"/>
                <w:lang w:eastAsia="en-GB"/>
              </w:rPr>
              <w:t>3.5 Conclusion:</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_Toc238233851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7</w:t>
            </w:r>
            <w:r w:rsidRPr="005B2FFB">
              <w:rPr>
                <w:rFonts w:ascii="Calibri" w:hAnsi="Calibri" w:cs="Calibri"/>
                <w:noProof/>
                <w:webHidden/>
                <w:sz w:val="28"/>
                <w:szCs w:val="28"/>
              </w:rPr>
              <w:fldChar w:fldCharType="end"/>
            </w:r>
          </w:hyperlink>
        </w:p>
        <w:p w14:paraId="02566199" w14:textId="3D2DBD48"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52" w:history="1">
            <w:r w:rsidRPr="005B2FFB">
              <w:rPr>
                <w:rStyle w:val="Hyperlink"/>
                <w:rFonts w:ascii="Calibri" w:eastAsia="Times New Roman" w:hAnsi="Calibri" w:cs="Calibri"/>
                <w:noProof/>
                <w:sz w:val="28"/>
                <w:szCs w:val="28"/>
                <w:lang w:eastAsia="en-GB"/>
              </w:rPr>
              <w:t>3.6 Recommendation:</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_Toc238233852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7</w:t>
            </w:r>
            <w:r w:rsidRPr="005B2FFB">
              <w:rPr>
                <w:rFonts w:ascii="Calibri" w:hAnsi="Calibri" w:cs="Calibri"/>
                <w:noProof/>
                <w:webHidden/>
                <w:sz w:val="28"/>
                <w:szCs w:val="28"/>
              </w:rPr>
              <w:fldChar w:fldCharType="end"/>
            </w:r>
          </w:hyperlink>
        </w:p>
        <w:p w14:paraId="46EAD61E" w14:textId="455F44F5" w:rsidR="00662CD4" w:rsidRPr="005B2FFB" w:rsidRDefault="00662CD4">
          <w:pPr>
            <w:pStyle w:val="TOC1"/>
            <w:tabs>
              <w:tab w:val="right" w:leader="dot" w:pos="9016"/>
            </w:tabs>
            <w:rPr>
              <w:rFonts w:ascii="Calibri" w:eastAsiaTheme="minorEastAsia" w:hAnsi="Calibri" w:cs="Calibri"/>
              <w:b w:val="0"/>
              <w:bCs w:val="0"/>
              <w:caps w:val="0"/>
              <w:noProof/>
              <w:sz w:val="28"/>
              <w:szCs w:val="28"/>
              <w:lang w:eastAsia="en-GB"/>
            </w:rPr>
          </w:pPr>
          <w:hyperlink w:anchor="_Toc238233853" w:history="1">
            <w:r w:rsidRPr="005B2FFB">
              <w:rPr>
                <w:rStyle w:val="Hyperlink"/>
                <w:rFonts w:ascii="Calibri" w:eastAsia="Times New Roman" w:hAnsi="Calibri" w:cs="Calibri"/>
                <w:noProof/>
                <w:sz w:val="28"/>
                <w:szCs w:val="28"/>
                <w:lang w:eastAsia="en-GB"/>
              </w:rPr>
              <w:t>4. Sensitivity Analysis and Strategic Factors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_Toc238233853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7</w:t>
            </w:r>
            <w:r w:rsidRPr="005B2FFB">
              <w:rPr>
                <w:rFonts w:ascii="Calibri" w:hAnsi="Calibri" w:cs="Calibri"/>
                <w:noProof/>
                <w:webHidden/>
                <w:sz w:val="28"/>
                <w:szCs w:val="28"/>
              </w:rPr>
              <w:fldChar w:fldCharType="end"/>
            </w:r>
          </w:hyperlink>
        </w:p>
        <w:p w14:paraId="3A2504D5" w14:textId="5DD46391" w:rsidR="00662CD4" w:rsidRPr="005B2FFB" w:rsidRDefault="00662CD4">
          <w:pPr>
            <w:pStyle w:val="TOC2"/>
            <w:tabs>
              <w:tab w:val="right" w:leader="dot" w:pos="9016"/>
            </w:tabs>
            <w:rPr>
              <w:rFonts w:ascii="Calibri" w:eastAsiaTheme="minorEastAsia" w:hAnsi="Calibri" w:cs="Calibri"/>
              <w:smallCaps w:val="0"/>
              <w:noProof/>
              <w:sz w:val="28"/>
              <w:szCs w:val="28"/>
              <w:lang w:eastAsia="en-GB"/>
            </w:rPr>
          </w:pPr>
          <w:hyperlink w:anchor="_Toc238233854" w:history="1">
            <w:r w:rsidRPr="005B2FFB">
              <w:rPr>
                <w:rStyle w:val="Hyperlink"/>
                <w:rFonts w:ascii="Calibri" w:eastAsia="Times New Roman" w:hAnsi="Calibri" w:cs="Calibri"/>
                <w:noProof/>
                <w:sz w:val="28"/>
                <w:szCs w:val="28"/>
                <w:lang w:eastAsia="en-GB"/>
              </w:rPr>
              <w:t>4.1 Exclusion of Contract Manufacturing:</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_Toc238233854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7</w:t>
            </w:r>
            <w:r w:rsidRPr="005B2FFB">
              <w:rPr>
                <w:rFonts w:ascii="Calibri" w:hAnsi="Calibri" w:cs="Calibri"/>
                <w:noProof/>
                <w:webHidden/>
                <w:sz w:val="28"/>
                <w:szCs w:val="28"/>
              </w:rPr>
              <w:fldChar w:fldCharType="end"/>
            </w:r>
          </w:hyperlink>
        </w:p>
        <w:p w14:paraId="3937383F" w14:textId="61F9B97B" w:rsidR="00662CD4" w:rsidRPr="005B2FFB" w:rsidRDefault="00662CD4">
          <w:pPr>
            <w:pStyle w:val="TOC2"/>
            <w:tabs>
              <w:tab w:val="left" w:pos="960"/>
              <w:tab w:val="right" w:leader="dot" w:pos="9016"/>
            </w:tabs>
            <w:rPr>
              <w:rFonts w:ascii="Calibri" w:eastAsiaTheme="minorEastAsia" w:hAnsi="Calibri" w:cs="Calibri"/>
              <w:smallCaps w:val="0"/>
              <w:noProof/>
              <w:sz w:val="28"/>
              <w:szCs w:val="28"/>
              <w:lang w:eastAsia="en-GB"/>
            </w:rPr>
          </w:pPr>
          <w:hyperlink w:anchor="_Toc238233855" w:history="1">
            <w:r w:rsidRPr="005B2FFB">
              <w:rPr>
                <w:rStyle w:val="Hyperlink"/>
                <w:rFonts w:ascii="Calibri" w:hAnsi="Calibri" w:cs="Calibri"/>
                <w:noProof/>
                <w:sz w:val="28"/>
                <w:szCs w:val="28"/>
              </w:rPr>
              <w:t>4.2</w:t>
            </w:r>
            <w:r w:rsidRPr="005B2FFB">
              <w:rPr>
                <w:rFonts w:ascii="Calibri" w:eastAsiaTheme="minorEastAsia" w:hAnsi="Calibri" w:cs="Calibri"/>
                <w:smallCaps w:val="0"/>
                <w:noProof/>
                <w:sz w:val="28"/>
                <w:szCs w:val="28"/>
                <w:lang w:eastAsia="en-GB"/>
              </w:rPr>
              <w:t xml:space="preserve"> </w:t>
            </w:r>
            <w:r w:rsidRPr="005B2FFB">
              <w:rPr>
                <w:rStyle w:val="Hyperlink"/>
                <w:rFonts w:ascii="Calibri" w:hAnsi="Calibri" w:cs="Calibri"/>
                <w:noProof/>
                <w:sz w:val="28"/>
                <w:szCs w:val="28"/>
              </w:rPr>
              <w:t>Strategic, Operational and Supply-Chain Factors: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_Toc238233855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8</w:t>
            </w:r>
            <w:r w:rsidRPr="005B2FFB">
              <w:rPr>
                <w:rFonts w:ascii="Calibri" w:hAnsi="Calibri" w:cs="Calibri"/>
                <w:noProof/>
                <w:webHidden/>
                <w:sz w:val="28"/>
                <w:szCs w:val="28"/>
              </w:rPr>
              <w:fldChar w:fldCharType="end"/>
            </w:r>
          </w:hyperlink>
        </w:p>
        <w:p w14:paraId="16758CB3" w14:textId="07361EFD" w:rsidR="00662CD4" w:rsidRPr="005B2FFB" w:rsidRDefault="00662CD4">
          <w:pPr>
            <w:pStyle w:val="TOC3"/>
            <w:tabs>
              <w:tab w:val="right" w:leader="dot" w:pos="9016"/>
            </w:tabs>
            <w:rPr>
              <w:rFonts w:ascii="Calibri" w:eastAsiaTheme="minorEastAsia" w:hAnsi="Calibri" w:cs="Calibri"/>
              <w:i w:val="0"/>
              <w:iCs w:val="0"/>
              <w:noProof/>
              <w:sz w:val="28"/>
              <w:szCs w:val="28"/>
              <w:lang w:eastAsia="en-GB"/>
            </w:rPr>
          </w:pPr>
          <w:hyperlink w:anchor="_Toc238233856" w:history="1">
            <w:r w:rsidRPr="005B2FFB">
              <w:rPr>
                <w:rStyle w:val="Hyperlink"/>
                <w:rFonts w:ascii="Calibri" w:hAnsi="Calibri" w:cs="Calibri"/>
                <w:i w:val="0"/>
                <w:iCs w:val="0"/>
                <w:noProof/>
                <w:sz w:val="28"/>
                <w:szCs w:val="28"/>
              </w:rPr>
              <w:t>4.2.1 Supply chain:</w:t>
            </w:r>
            <w:r w:rsidRPr="005B2FFB">
              <w:rPr>
                <w:rFonts w:ascii="Calibri" w:hAnsi="Calibri" w:cs="Calibri"/>
                <w:i w:val="0"/>
                <w:iCs w:val="0"/>
                <w:noProof/>
                <w:webHidden/>
                <w:sz w:val="28"/>
                <w:szCs w:val="28"/>
              </w:rPr>
              <w:tab/>
            </w:r>
            <w:r w:rsidRPr="005B2FFB">
              <w:rPr>
                <w:rFonts w:ascii="Calibri" w:hAnsi="Calibri" w:cs="Calibri"/>
                <w:i w:val="0"/>
                <w:iCs w:val="0"/>
                <w:noProof/>
                <w:webHidden/>
                <w:sz w:val="28"/>
                <w:szCs w:val="28"/>
              </w:rPr>
              <w:fldChar w:fldCharType="begin"/>
            </w:r>
            <w:r w:rsidRPr="005B2FFB">
              <w:rPr>
                <w:rFonts w:ascii="Calibri" w:hAnsi="Calibri" w:cs="Calibri"/>
                <w:i w:val="0"/>
                <w:iCs w:val="0"/>
                <w:noProof/>
                <w:webHidden/>
                <w:sz w:val="28"/>
                <w:szCs w:val="28"/>
              </w:rPr>
              <w:instrText xml:space="preserve"> PAGEREF _Toc238233856 \h </w:instrText>
            </w:r>
            <w:r w:rsidRPr="005B2FFB">
              <w:rPr>
                <w:rFonts w:ascii="Calibri" w:hAnsi="Calibri" w:cs="Calibri"/>
                <w:i w:val="0"/>
                <w:iCs w:val="0"/>
                <w:noProof/>
                <w:webHidden/>
                <w:sz w:val="28"/>
                <w:szCs w:val="28"/>
              </w:rPr>
            </w:r>
            <w:r w:rsidRPr="005B2FFB">
              <w:rPr>
                <w:rFonts w:ascii="Calibri" w:hAnsi="Calibri" w:cs="Calibri"/>
                <w:i w:val="0"/>
                <w:iCs w:val="0"/>
                <w:noProof/>
                <w:webHidden/>
                <w:sz w:val="28"/>
                <w:szCs w:val="28"/>
              </w:rPr>
              <w:fldChar w:fldCharType="separate"/>
            </w:r>
            <w:r w:rsidRPr="005B2FFB">
              <w:rPr>
                <w:rFonts w:ascii="Calibri" w:hAnsi="Calibri" w:cs="Calibri"/>
                <w:i w:val="0"/>
                <w:iCs w:val="0"/>
                <w:noProof/>
                <w:webHidden/>
                <w:sz w:val="28"/>
                <w:szCs w:val="28"/>
              </w:rPr>
              <w:t>8</w:t>
            </w:r>
            <w:r w:rsidRPr="005B2FFB">
              <w:rPr>
                <w:rFonts w:ascii="Calibri" w:hAnsi="Calibri" w:cs="Calibri"/>
                <w:i w:val="0"/>
                <w:iCs w:val="0"/>
                <w:noProof/>
                <w:webHidden/>
                <w:sz w:val="28"/>
                <w:szCs w:val="28"/>
              </w:rPr>
              <w:fldChar w:fldCharType="end"/>
            </w:r>
          </w:hyperlink>
        </w:p>
        <w:p w14:paraId="36A37144" w14:textId="01C9039D" w:rsidR="00662CD4" w:rsidRPr="005B2FFB" w:rsidRDefault="00662CD4">
          <w:pPr>
            <w:pStyle w:val="TOC3"/>
            <w:tabs>
              <w:tab w:val="right" w:leader="dot" w:pos="9016"/>
            </w:tabs>
            <w:rPr>
              <w:rFonts w:ascii="Calibri" w:eastAsiaTheme="minorEastAsia" w:hAnsi="Calibri" w:cs="Calibri"/>
              <w:i w:val="0"/>
              <w:iCs w:val="0"/>
              <w:noProof/>
              <w:sz w:val="28"/>
              <w:szCs w:val="28"/>
              <w:lang w:eastAsia="en-GB"/>
            </w:rPr>
          </w:pPr>
          <w:hyperlink w:anchor="_Toc238233857" w:history="1">
            <w:r w:rsidRPr="005B2FFB">
              <w:rPr>
                <w:rStyle w:val="Hyperlink"/>
                <w:rFonts w:ascii="Calibri" w:hAnsi="Calibri" w:cs="Calibri"/>
                <w:i w:val="0"/>
                <w:iCs w:val="0"/>
                <w:noProof/>
                <w:sz w:val="28"/>
                <w:szCs w:val="28"/>
              </w:rPr>
              <w:t>4.2.2 Operational:</w:t>
            </w:r>
            <w:r w:rsidRPr="005B2FFB">
              <w:rPr>
                <w:rFonts w:ascii="Calibri" w:hAnsi="Calibri" w:cs="Calibri"/>
                <w:i w:val="0"/>
                <w:iCs w:val="0"/>
                <w:noProof/>
                <w:webHidden/>
                <w:sz w:val="28"/>
                <w:szCs w:val="28"/>
              </w:rPr>
              <w:tab/>
            </w:r>
            <w:r w:rsidRPr="005B2FFB">
              <w:rPr>
                <w:rFonts w:ascii="Calibri" w:hAnsi="Calibri" w:cs="Calibri"/>
                <w:i w:val="0"/>
                <w:iCs w:val="0"/>
                <w:noProof/>
                <w:webHidden/>
                <w:sz w:val="28"/>
                <w:szCs w:val="28"/>
              </w:rPr>
              <w:fldChar w:fldCharType="begin"/>
            </w:r>
            <w:r w:rsidRPr="005B2FFB">
              <w:rPr>
                <w:rFonts w:ascii="Calibri" w:hAnsi="Calibri" w:cs="Calibri"/>
                <w:i w:val="0"/>
                <w:iCs w:val="0"/>
                <w:noProof/>
                <w:webHidden/>
                <w:sz w:val="28"/>
                <w:szCs w:val="28"/>
              </w:rPr>
              <w:instrText xml:space="preserve"> PAGEREF _Toc238233857 \h </w:instrText>
            </w:r>
            <w:r w:rsidRPr="005B2FFB">
              <w:rPr>
                <w:rFonts w:ascii="Calibri" w:hAnsi="Calibri" w:cs="Calibri"/>
                <w:i w:val="0"/>
                <w:iCs w:val="0"/>
                <w:noProof/>
                <w:webHidden/>
                <w:sz w:val="28"/>
                <w:szCs w:val="28"/>
              </w:rPr>
            </w:r>
            <w:r w:rsidRPr="005B2FFB">
              <w:rPr>
                <w:rFonts w:ascii="Calibri" w:hAnsi="Calibri" w:cs="Calibri"/>
                <w:i w:val="0"/>
                <w:iCs w:val="0"/>
                <w:noProof/>
                <w:webHidden/>
                <w:sz w:val="28"/>
                <w:szCs w:val="28"/>
              </w:rPr>
              <w:fldChar w:fldCharType="separate"/>
            </w:r>
            <w:r w:rsidRPr="005B2FFB">
              <w:rPr>
                <w:rFonts w:ascii="Calibri" w:hAnsi="Calibri" w:cs="Calibri"/>
                <w:i w:val="0"/>
                <w:iCs w:val="0"/>
                <w:noProof/>
                <w:webHidden/>
                <w:sz w:val="28"/>
                <w:szCs w:val="28"/>
              </w:rPr>
              <w:t>8</w:t>
            </w:r>
            <w:r w:rsidRPr="005B2FFB">
              <w:rPr>
                <w:rFonts w:ascii="Calibri" w:hAnsi="Calibri" w:cs="Calibri"/>
                <w:i w:val="0"/>
                <w:iCs w:val="0"/>
                <w:noProof/>
                <w:webHidden/>
                <w:sz w:val="28"/>
                <w:szCs w:val="28"/>
              </w:rPr>
              <w:fldChar w:fldCharType="end"/>
            </w:r>
          </w:hyperlink>
        </w:p>
        <w:p w14:paraId="373D070F" w14:textId="60469EEA" w:rsidR="00662CD4" w:rsidRPr="005B2FFB" w:rsidRDefault="00662CD4">
          <w:pPr>
            <w:pStyle w:val="TOC3"/>
            <w:tabs>
              <w:tab w:val="right" w:leader="dot" w:pos="9016"/>
            </w:tabs>
            <w:rPr>
              <w:rFonts w:ascii="Calibri" w:eastAsiaTheme="minorEastAsia" w:hAnsi="Calibri" w:cs="Calibri"/>
              <w:i w:val="0"/>
              <w:iCs w:val="0"/>
              <w:noProof/>
              <w:sz w:val="28"/>
              <w:szCs w:val="28"/>
              <w:lang w:eastAsia="en-GB"/>
            </w:rPr>
          </w:pPr>
          <w:hyperlink w:anchor="_Toc238233858" w:history="1">
            <w:r w:rsidRPr="005B2FFB">
              <w:rPr>
                <w:rStyle w:val="Hyperlink"/>
                <w:rFonts w:ascii="Calibri" w:hAnsi="Calibri" w:cs="Calibri"/>
                <w:i w:val="0"/>
                <w:iCs w:val="0"/>
                <w:noProof/>
                <w:sz w:val="28"/>
                <w:szCs w:val="28"/>
              </w:rPr>
              <w:t>4.2.3 Strategic and regulatory:</w:t>
            </w:r>
            <w:r w:rsidRPr="005B2FFB">
              <w:rPr>
                <w:rFonts w:ascii="Calibri" w:hAnsi="Calibri" w:cs="Calibri"/>
                <w:i w:val="0"/>
                <w:iCs w:val="0"/>
                <w:noProof/>
                <w:webHidden/>
                <w:sz w:val="28"/>
                <w:szCs w:val="28"/>
              </w:rPr>
              <w:tab/>
            </w:r>
            <w:r w:rsidRPr="005B2FFB">
              <w:rPr>
                <w:rFonts w:ascii="Calibri" w:hAnsi="Calibri" w:cs="Calibri"/>
                <w:i w:val="0"/>
                <w:iCs w:val="0"/>
                <w:noProof/>
                <w:webHidden/>
                <w:sz w:val="28"/>
                <w:szCs w:val="28"/>
              </w:rPr>
              <w:fldChar w:fldCharType="begin"/>
            </w:r>
            <w:r w:rsidRPr="005B2FFB">
              <w:rPr>
                <w:rFonts w:ascii="Calibri" w:hAnsi="Calibri" w:cs="Calibri"/>
                <w:i w:val="0"/>
                <w:iCs w:val="0"/>
                <w:noProof/>
                <w:webHidden/>
                <w:sz w:val="28"/>
                <w:szCs w:val="28"/>
              </w:rPr>
              <w:instrText xml:space="preserve"> PAGEREF _Toc238233858 \h </w:instrText>
            </w:r>
            <w:r w:rsidRPr="005B2FFB">
              <w:rPr>
                <w:rFonts w:ascii="Calibri" w:hAnsi="Calibri" w:cs="Calibri"/>
                <w:i w:val="0"/>
                <w:iCs w:val="0"/>
                <w:noProof/>
                <w:webHidden/>
                <w:sz w:val="28"/>
                <w:szCs w:val="28"/>
              </w:rPr>
            </w:r>
            <w:r w:rsidRPr="005B2FFB">
              <w:rPr>
                <w:rFonts w:ascii="Calibri" w:hAnsi="Calibri" w:cs="Calibri"/>
                <w:i w:val="0"/>
                <w:iCs w:val="0"/>
                <w:noProof/>
                <w:webHidden/>
                <w:sz w:val="28"/>
                <w:szCs w:val="28"/>
              </w:rPr>
              <w:fldChar w:fldCharType="separate"/>
            </w:r>
            <w:r w:rsidRPr="005B2FFB">
              <w:rPr>
                <w:rFonts w:ascii="Calibri" w:hAnsi="Calibri" w:cs="Calibri"/>
                <w:i w:val="0"/>
                <w:iCs w:val="0"/>
                <w:noProof/>
                <w:webHidden/>
                <w:sz w:val="28"/>
                <w:szCs w:val="28"/>
              </w:rPr>
              <w:t>8</w:t>
            </w:r>
            <w:r w:rsidRPr="005B2FFB">
              <w:rPr>
                <w:rFonts w:ascii="Calibri" w:hAnsi="Calibri" w:cs="Calibri"/>
                <w:i w:val="0"/>
                <w:iCs w:val="0"/>
                <w:noProof/>
                <w:webHidden/>
                <w:sz w:val="28"/>
                <w:szCs w:val="28"/>
              </w:rPr>
              <w:fldChar w:fldCharType="end"/>
            </w:r>
          </w:hyperlink>
        </w:p>
        <w:p w14:paraId="3B449D9F" w14:textId="34AE6367" w:rsidR="00662CD4" w:rsidRPr="005B2FFB" w:rsidRDefault="00662CD4">
          <w:pPr>
            <w:pStyle w:val="TOC1"/>
            <w:tabs>
              <w:tab w:val="right" w:leader="dot" w:pos="9016"/>
            </w:tabs>
            <w:rPr>
              <w:rFonts w:ascii="Calibri" w:eastAsiaTheme="minorEastAsia" w:hAnsi="Calibri" w:cs="Calibri"/>
              <w:b w:val="0"/>
              <w:bCs w:val="0"/>
              <w:caps w:val="0"/>
              <w:noProof/>
              <w:sz w:val="28"/>
              <w:szCs w:val="28"/>
              <w:lang w:eastAsia="en-GB"/>
            </w:rPr>
          </w:pPr>
          <w:hyperlink w:anchor="_Toc238233859" w:history="1">
            <w:r w:rsidRPr="005B2FFB">
              <w:rPr>
                <w:rStyle w:val="Hyperlink"/>
                <w:rFonts w:ascii="Calibri" w:eastAsia="Times New Roman" w:hAnsi="Calibri" w:cs="Calibri"/>
                <w:noProof/>
                <w:sz w:val="28"/>
                <w:szCs w:val="28"/>
                <w:lang w:eastAsia="en-GB"/>
              </w:rPr>
              <w:t>5. References</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_Toc238233859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9</w:t>
            </w:r>
            <w:r w:rsidRPr="005B2FFB">
              <w:rPr>
                <w:rFonts w:ascii="Calibri" w:hAnsi="Calibri" w:cs="Calibri"/>
                <w:noProof/>
                <w:webHidden/>
                <w:sz w:val="28"/>
                <w:szCs w:val="28"/>
              </w:rPr>
              <w:fldChar w:fldCharType="end"/>
            </w:r>
          </w:hyperlink>
        </w:p>
        <w:p w14:paraId="525FA810" w14:textId="1CD1DCB5" w:rsidR="00662CD4" w:rsidRPr="005B2FFB" w:rsidRDefault="00662CD4">
          <w:pPr>
            <w:pStyle w:val="TOC1"/>
            <w:tabs>
              <w:tab w:val="right" w:leader="dot" w:pos="9016"/>
            </w:tabs>
            <w:rPr>
              <w:rFonts w:ascii="Calibri" w:eastAsiaTheme="minorEastAsia" w:hAnsi="Calibri" w:cs="Calibri"/>
              <w:b w:val="0"/>
              <w:bCs w:val="0"/>
              <w:caps w:val="0"/>
              <w:noProof/>
              <w:sz w:val="28"/>
              <w:szCs w:val="28"/>
              <w:lang w:eastAsia="en-GB"/>
            </w:rPr>
          </w:pPr>
          <w:hyperlink w:anchor="_Toc238233860" w:history="1">
            <w:r w:rsidRPr="005B2FFB">
              <w:rPr>
                <w:rStyle w:val="Hyperlink"/>
                <w:rFonts w:ascii="Calibri" w:eastAsia="Times New Roman" w:hAnsi="Calibri" w:cs="Calibri"/>
                <w:noProof/>
                <w:sz w:val="28"/>
                <w:szCs w:val="28"/>
                <w:lang w:eastAsia="en-GB"/>
              </w:rPr>
              <w:t>6. Appendix</w:t>
            </w:r>
            <w:r w:rsidRPr="005B2FFB">
              <w:rPr>
                <w:rFonts w:ascii="Calibri" w:hAnsi="Calibri" w:cs="Calibri"/>
                <w:noProof/>
                <w:webHidden/>
                <w:sz w:val="28"/>
                <w:szCs w:val="28"/>
              </w:rPr>
              <w:tab/>
            </w:r>
            <w:r w:rsidRPr="005B2FFB">
              <w:rPr>
                <w:rFonts w:ascii="Calibri" w:hAnsi="Calibri" w:cs="Calibri"/>
                <w:noProof/>
                <w:webHidden/>
                <w:sz w:val="28"/>
                <w:szCs w:val="28"/>
              </w:rPr>
              <w:fldChar w:fldCharType="begin"/>
            </w:r>
            <w:r w:rsidRPr="005B2FFB">
              <w:rPr>
                <w:rFonts w:ascii="Calibri" w:hAnsi="Calibri" w:cs="Calibri"/>
                <w:noProof/>
                <w:webHidden/>
                <w:sz w:val="28"/>
                <w:szCs w:val="28"/>
              </w:rPr>
              <w:instrText xml:space="preserve"> PAGEREF _Toc238233860 \h </w:instrText>
            </w:r>
            <w:r w:rsidRPr="005B2FFB">
              <w:rPr>
                <w:rFonts w:ascii="Calibri" w:hAnsi="Calibri" w:cs="Calibri"/>
                <w:noProof/>
                <w:webHidden/>
                <w:sz w:val="28"/>
                <w:szCs w:val="28"/>
              </w:rPr>
            </w:r>
            <w:r w:rsidRPr="005B2FFB">
              <w:rPr>
                <w:rFonts w:ascii="Calibri" w:hAnsi="Calibri" w:cs="Calibri"/>
                <w:noProof/>
                <w:webHidden/>
                <w:sz w:val="28"/>
                <w:szCs w:val="28"/>
              </w:rPr>
              <w:fldChar w:fldCharType="separate"/>
            </w:r>
            <w:r w:rsidRPr="005B2FFB">
              <w:rPr>
                <w:rFonts w:ascii="Calibri" w:hAnsi="Calibri" w:cs="Calibri"/>
                <w:noProof/>
                <w:webHidden/>
                <w:sz w:val="28"/>
                <w:szCs w:val="28"/>
              </w:rPr>
              <w:t>10</w:t>
            </w:r>
            <w:r w:rsidRPr="005B2FFB">
              <w:rPr>
                <w:rFonts w:ascii="Calibri" w:hAnsi="Calibri" w:cs="Calibri"/>
                <w:noProof/>
                <w:webHidden/>
                <w:sz w:val="28"/>
                <w:szCs w:val="28"/>
              </w:rPr>
              <w:fldChar w:fldCharType="end"/>
            </w:r>
          </w:hyperlink>
        </w:p>
        <w:p w14:paraId="643F4A1E" w14:textId="7DE94EC8" w:rsidR="00662CD4" w:rsidRDefault="00662CD4" w:rsidP="005B2FFB">
          <w:pPr>
            <w:tabs>
              <w:tab w:val="left" w:pos="2720"/>
            </w:tabs>
          </w:pPr>
          <w:r w:rsidRPr="005B2FFB">
            <w:rPr>
              <w:rFonts w:ascii="Calibri" w:hAnsi="Calibri" w:cs="Calibri"/>
              <w:b/>
              <w:bCs/>
              <w:noProof/>
              <w:sz w:val="28"/>
              <w:szCs w:val="28"/>
            </w:rPr>
            <w:fldChar w:fldCharType="end"/>
          </w:r>
          <w:r w:rsidR="005B2FFB">
            <w:rPr>
              <w:b/>
              <w:bCs/>
              <w:noProof/>
            </w:rPr>
            <w:tab/>
          </w:r>
        </w:p>
      </w:sdtContent>
    </w:sdt>
    <w:p w14:paraId="0DCF1A9E" w14:textId="77777777" w:rsidR="00662CD4" w:rsidRDefault="00662CD4" w:rsidP="00BB796F">
      <w:pPr>
        <w:spacing w:before="100" w:beforeAutospacing="1" w:after="100" w:afterAutospacing="1" w:line="240" w:lineRule="auto"/>
        <w:rPr>
          <w:rFonts w:ascii="Calibri" w:hAnsi="Calibri" w:cs="Calibri"/>
          <w:b/>
          <w:bCs/>
        </w:rPr>
      </w:pPr>
    </w:p>
    <w:p w14:paraId="55DCA5F2" w14:textId="11CE9C7D" w:rsidR="00BB796F" w:rsidRPr="00662CD4" w:rsidRDefault="00BB796F" w:rsidP="00662CD4">
      <w:pPr>
        <w:pStyle w:val="Heading1"/>
      </w:pPr>
      <w:bookmarkStart w:id="0" w:name="_Toc238233841"/>
      <w:r w:rsidRPr="00662CD4">
        <w:lastRenderedPageBreak/>
        <w:t>1. Introduction</w:t>
      </w:r>
      <w:bookmarkEnd w:id="0"/>
      <w:r w:rsidRPr="00662CD4">
        <w:t xml:space="preserve"> </w:t>
      </w:r>
    </w:p>
    <w:p w14:paraId="33B6E8F0" w14:textId="48FE6FD4" w:rsidR="00692E1B" w:rsidRDefault="00E60F70" w:rsidP="00662CD4">
      <w:pPr>
        <w:rPr>
          <w:b/>
          <w:bCs/>
          <w:lang w:eastAsia="en-GB"/>
        </w:rPr>
      </w:pPr>
      <w:r>
        <w:rPr>
          <w:lang w:eastAsia="en-GB"/>
        </w:rPr>
        <w:t>Personcare Pharmaceuticals Limited</w:t>
      </w:r>
      <w:r w:rsidR="00F3237E" w:rsidRPr="00BB796F">
        <w:rPr>
          <w:lang w:eastAsia="en-GB"/>
        </w:rPr>
        <w:t xml:space="preserve"> (PPL) is </w:t>
      </w:r>
      <w:r w:rsidR="00800786" w:rsidRPr="00BB796F">
        <w:rPr>
          <w:lang w:eastAsia="en-GB"/>
        </w:rPr>
        <w:t>assessing</w:t>
      </w:r>
      <w:r w:rsidR="00F3237E" w:rsidRPr="00BB796F">
        <w:rPr>
          <w:lang w:eastAsia="en-GB"/>
        </w:rPr>
        <w:t xml:space="preserve"> a new </w:t>
      </w:r>
      <w:r w:rsidR="00800786" w:rsidRPr="00BB796F">
        <w:rPr>
          <w:lang w:eastAsia="en-GB"/>
        </w:rPr>
        <w:t xml:space="preserve">psyllium husk powder for adults. This proposal requires dedicated </w:t>
      </w:r>
      <w:r>
        <w:rPr>
          <w:lang w:eastAsia="en-GB"/>
        </w:rPr>
        <w:t>manufacturing equipment</w:t>
      </w:r>
      <w:r w:rsidR="00800786" w:rsidRPr="00BB796F">
        <w:rPr>
          <w:lang w:eastAsia="en-GB"/>
        </w:rPr>
        <w:t xml:space="preserve"> with building modifications which could </w:t>
      </w:r>
      <w:r>
        <w:rPr>
          <w:lang w:eastAsia="en-GB"/>
        </w:rPr>
        <w:t>expand its consumer-health portfolio</w:t>
      </w:r>
      <w:r w:rsidR="00800786" w:rsidRPr="00BB796F">
        <w:rPr>
          <w:lang w:eastAsia="en-GB"/>
        </w:rPr>
        <w:t xml:space="preserve"> and </w:t>
      </w:r>
      <w:r w:rsidR="00A70AB4" w:rsidRPr="00BB796F">
        <w:rPr>
          <w:lang w:eastAsia="en-GB"/>
        </w:rPr>
        <w:t>utilise</w:t>
      </w:r>
      <w:r w:rsidR="00800786" w:rsidRPr="00BB796F">
        <w:rPr>
          <w:lang w:eastAsia="en-GB"/>
        </w:rPr>
        <w:t xml:space="preserve"> the remaining production capacity through contract manufacturing. </w:t>
      </w:r>
      <w:r>
        <w:rPr>
          <w:lang w:eastAsia="en-GB"/>
        </w:rPr>
        <w:t>However, this may also cannibalise</w:t>
      </w:r>
      <w:r w:rsidR="00A70AB4" w:rsidRPr="00BB796F">
        <w:rPr>
          <w:lang w:eastAsia="en-GB"/>
        </w:rPr>
        <w:t xml:space="preserve"> the </w:t>
      </w:r>
      <w:r w:rsidR="00A70AB4" w:rsidRPr="00BB796F">
        <w:t xml:space="preserve">existing laxative tablet and result in </w:t>
      </w:r>
      <w:r>
        <w:t>additional operational costs</w:t>
      </w:r>
      <w:r w:rsidR="00A70AB4" w:rsidRPr="00BB796F">
        <w:t xml:space="preserve">. The report evaluates </w:t>
      </w:r>
      <w:r>
        <w:t>whether the project creates shareholder value</w:t>
      </w:r>
      <w:r w:rsidR="00A70AB4" w:rsidRPr="00BB796F">
        <w:t xml:space="preserve"> for the shareholders by </w:t>
      </w:r>
      <w:r>
        <w:t>identifying the incremental cash flows</w:t>
      </w:r>
      <w:r w:rsidR="00A70AB4" w:rsidRPr="00BB796F">
        <w:t xml:space="preserve"> over the </w:t>
      </w:r>
      <w:r w:rsidR="00051DFD" w:rsidRPr="00BB796F">
        <w:t>nine-year</w:t>
      </w:r>
      <w:r w:rsidR="00A70AB4" w:rsidRPr="00BB796F">
        <w:t xml:space="preserve"> period using it as a base case for calculating NPV</w:t>
      </w:r>
      <w:r w:rsidR="007013E8" w:rsidRPr="00BB796F">
        <w:t>, IRR and</w:t>
      </w:r>
      <w:r w:rsidR="00A70AB4" w:rsidRPr="00BB796F">
        <w:t xml:space="preserve"> testing the </w:t>
      </w:r>
      <w:r>
        <w:t>financial resilience of the project</w:t>
      </w:r>
      <w:r w:rsidR="00A70AB4" w:rsidRPr="00BB796F">
        <w:t xml:space="preserve"> without contract manufacturing and operational risk</w:t>
      </w:r>
      <w:r>
        <w:t>s</w:t>
      </w:r>
      <w:r w:rsidR="00A70AB4" w:rsidRPr="00BB796F">
        <w:t xml:space="preserve">. Based on </w:t>
      </w:r>
      <w:r>
        <w:t>recent research</w:t>
      </w:r>
      <w:r w:rsidR="00A70AB4" w:rsidRPr="00BB796F">
        <w:t xml:space="preserve"> the NPV and IRR continue to </w:t>
      </w:r>
      <w:r>
        <w:t>play an important role in capital budgeting</w:t>
      </w:r>
      <w:r w:rsidR="00A70AB4" w:rsidRPr="00BB796F">
        <w:t xml:space="preserve"> analysis </w:t>
      </w:r>
      <w:r w:rsidR="00F3237E" w:rsidRPr="00BB796F">
        <w:t>(Siziba and Hall 2021; Sureka et al. 2022).</w:t>
      </w:r>
    </w:p>
    <w:p w14:paraId="0FBB83B6" w14:textId="597D3714" w:rsidR="00FB33B1" w:rsidRPr="00692E1B" w:rsidRDefault="00BB796F" w:rsidP="00F24948">
      <w:pPr>
        <w:pStyle w:val="Heading1"/>
        <w:rPr>
          <w:rFonts w:eastAsia="Times New Roman"/>
          <w:kern w:val="0"/>
          <w:lang w:eastAsia="en-GB"/>
          <w14:ligatures w14:val="none"/>
        </w:rPr>
      </w:pPr>
      <w:bookmarkStart w:id="1" w:name="_Toc238233842"/>
      <w:r w:rsidRPr="00BB796F">
        <w:t xml:space="preserve">2. </w:t>
      </w:r>
      <w:r w:rsidR="00FB33B1" w:rsidRPr="00BB796F">
        <w:t>Cash Flow Identification and Capital Budgeting Analysis</w:t>
      </w:r>
      <w:bookmarkEnd w:id="1"/>
    </w:p>
    <w:p w14:paraId="77A1A703" w14:textId="3CC75B38" w:rsidR="00FB33B1" w:rsidRPr="00BB796F" w:rsidRDefault="00FB33B1" w:rsidP="00F24948">
      <w:pPr>
        <w:pStyle w:val="Heading2"/>
      </w:pPr>
      <w:bookmarkStart w:id="2" w:name="_Toc238233843"/>
      <w:r w:rsidRPr="00BB796F">
        <w:t>2.1 Relevant Cash Flow Assumptions:</w:t>
      </w:r>
      <w:bookmarkEnd w:id="2"/>
    </w:p>
    <w:p w14:paraId="63D49FD5" w14:textId="786E89C8" w:rsidR="00FB33B1" w:rsidRPr="00BB796F" w:rsidRDefault="0052587B" w:rsidP="007C650E">
      <w:pPr>
        <w:pStyle w:val="pdq2pgselectionanchorcontainer"/>
        <w:rPr>
          <w:rFonts w:ascii="Calibri" w:hAnsi="Calibri" w:cs="Calibri"/>
        </w:rPr>
      </w:pPr>
      <w:r w:rsidRPr="00BB796F">
        <w:rPr>
          <w:rFonts w:ascii="Calibri" w:hAnsi="Calibri" w:cs="Calibri"/>
        </w:rPr>
        <w:t>The project is analysed using the nine-years of incremental after-tax cash flow of PPL, at 30% tax rate and 18% nominal discount rate. Using straight-line depreciation method, the equipment cost of $1.515 million was depreciated for tax over 12 years, generating an annual tax relief of $126,250.</w:t>
      </w:r>
      <w:r w:rsidR="007C650E" w:rsidRPr="00BB796F">
        <w:rPr>
          <w:rFonts w:ascii="Calibri" w:hAnsi="Calibri" w:cs="Calibri"/>
        </w:rPr>
        <w:t xml:space="preserve"> </w:t>
      </w:r>
      <w:r w:rsidR="007C650E" w:rsidRPr="00BB796F">
        <w:rPr>
          <w:rFonts w:ascii="Calibri" w:hAnsi="Calibri" w:cs="Calibri"/>
          <w:b/>
          <w:bCs/>
        </w:rPr>
        <w:t>Appendix 1</w:t>
      </w:r>
      <w:r w:rsidR="007C650E" w:rsidRPr="00BB796F">
        <w:rPr>
          <w:rFonts w:ascii="Calibri" w:hAnsi="Calibri" w:cs="Calibri"/>
        </w:rPr>
        <w:t>, the cannibalisation figures and account receivables for sales, cost of raw material, increases by 2.5% annually between years 6-9. The maintenance cost also increased by 2.5% after year 5, whereas advertising cost remains capped at $180,000 from year 5.</w:t>
      </w:r>
    </w:p>
    <w:p w14:paraId="7169669D" w14:textId="77777777" w:rsidR="00BE7449" w:rsidRPr="00BB796F" w:rsidRDefault="007C650E" w:rsidP="005B2FFB">
      <w:pPr>
        <w:pStyle w:val="pdq2pgselectionanchorcontainer"/>
        <w:rPr>
          <w:rFonts w:ascii="Calibri" w:hAnsi="Calibri" w:cs="Calibri"/>
        </w:rPr>
      </w:pPr>
      <w:r w:rsidRPr="00BB796F">
        <w:rPr>
          <w:rFonts w:ascii="Calibri" w:hAnsi="Calibri" w:cs="Calibri"/>
          <w:noProof/>
        </w:rPr>
        <w:lastRenderedPageBreak/>
        <w:drawing>
          <wp:inline distT="0" distB="0" distL="0" distR="0" wp14:anchorId="579C3C63" wp14:editId="4C6BF97D">
            <wp:extent cx="5799414" cy="4013200"/>
            <wp:effectExtent l="0" t="0" r="5080" b="0"/>
            <wp:docPr id="139297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70928" name=""/>
                    <pic:cNvPicPr/>
                  </pic:nvPicPr>
                  <pic:blipFill>
                    <a:blip r:embed="rId21"/>
                    <a:stretch>
                      <a:fillRect/>
                    </a:stretch>
                  </pic:blipFill>
                  <pic:spPr>
                    <a:xfrm>
                      <a:off x="0" y="0"/>
                      <a:ext cx="5954976" cy="4120849"/>
                    </a:xfrm>
                    <a:prstGeom prst="rect">
                      <a:avLst/>
                    </a:prstGeom>
                  </pic:spPr>
                </pic:pic>
              </a:graphicData>
            </a:graphic>
          </wp:inline>
        </w:drawing>
      </w:r>
    </w:p>
    <w:p w14:paraId="62CE48D5" w14:textId="2FCD48AA" w:rsidR="00A9496C" w:rsidRPr="00BB796F" w:rsidRDefault="009F28BE" w:rsidP="00BE7449">
      <w:pPr>
        <w:pStyle w:val="pdq2pgselectionanchorcontainer"/>
        <w:rPr>
          <w:rFonts w:ascii="Calibri" w:hAnsi="Calibri" w:cs="Calibri"/>
        </w:rPr>
      </w:pPr>
      <w:r w:rsidRPr="00BB796F">
        <w:rPr>
          <w:rFonts w:ascii="Calibri" w:hAnsi="Calibri" w:cs="Calibri"/>
        </w:rPr>
        <w:t>The initial outlay of $332,000 was exempted because it was already incurred and therefore sunk. According to recent study allowing sunk cost to impact future investment decisions can skew corporate investment allocation (Guenzel 2025). The loan repayments of $600,000 is exempted as financing cash flows. The analysis assumes that $95,000against building modification is incurred during project initiation, and $28,500 tax saving is recognised in Year 0.</w:t>
      </w:r>
    </w:p>
    <w:p w14:paraId="262DFC21" w14:textId="6EE021DE" w:rsidR="00B951EF" w:rsidRPr="00BB796F" w:rsidRDefault="00B951EF" w:rsidP="005B2FFB">
      <w:pPr>
        <w:pStyle w:val="Heading2"/>
        <w:jc w:val="both"/>
      </w:pPr>
      <w:bookmarkStart w:id="3" w:name="_Toc238233844"/>
      <w:r w:rsidRPr="00BB796F">
        <w:t>2.2 Base-Case Cash Flow Analysis:</w:t>
      </w:r>
      <w:bookmarkEnd w:id="3"/>
    </w:p>
    <w:p w14:paraId="7E9BF7AA" w14:textId="07421620" w:rsidR="00B951EF" w:rsidRPr="00BB796F" w:rsidRDefault="00B951EF" w:rsidP="00BE7449">
      <w:pPr>
        <w:pStyle w:val="pdq2pgselectionanchorcontainer"/>
        <w:rPr>
          <w:rFonts w:ascii="Calibri" w:hAnsi="Calibri" w:cs="Calibri"/>
        </w:rPr>
      </w:pPr>
      <w:r w:rsidRPr="00BB796F">
        <w:rPr>
          <w:rFonts w:ascii="Calibri" w:hAnsi="Calibri" w:cs="Calibri"/>
        </w:rPr>
        <w:t xml:space="preserve">As instructed by the management, contract manufacturing in included in the base case, where the model embeds with raw materials, cannibalisation net of variable cost, wages, overhead expenses, advertising, tax, working capital and terminal flows with an incremental product cost. An after-tax salvage of $281,625 is included in year 9 and a recovery of approximately $697,235 as working capital. </w:t>
      </w:r>
    </w:p>
    <w:p w14:paraId="735DFDF9" w14:textId="7879F37A" w:rsidR="00B951EF" w:rsidRPr="00BB796F" w:rsidRDefault="002E3E40" w:rsidP="00B951EF">
      <w:pPr>
        <w:pStyle w:val="pdq2pgselectionanchorcontainer"/>
        <w:jc w:val="center"/>
        <w:rPr>
          <w:rFonts w:ascii="Calibri" w:hAnsi="Calibri" w:cs="Calibri"/>
        </w:rPr>
      </w:pPr>
      <w:r w:rsidRPr="00BB796F">
        <w:rPr>
          <w:rFonts w:ascii="Calibri" w:hAnsi="Calibri" w:cs="Calibri"/>
          <w:noProof/>
        </w:rPr>
        <w:lastRenderedPageBreak/>
        <w:drawing>
          <wp:inline distT="0" distB="0" distL="0" distR="0" wp14:anchorId="797E78D1" wp14:editId="0B4B433B">
            <wp:extent cx="4385734" cy="4356100"/>
            <wp:effectExtent l="0" t="0" r="0" b="0"/>
            <wp:docPr id="17248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9971" name=""/>
                    <pic:cNvPicPr/>
                  </pic:nvPicPr>
                  <pic:blipFill>
                    <a:blip r:embed="rId22"/>
                    <a:stretch>
                      <a:fillRect/>
                    </a:stretch>
                  </pic:blipFill>
                  <pic:spPr>
                    <a:xfrm>
                      <a:off x="0" y="0"/>
                      <a:ext cx="4434323" cy="4404360"/>
                    </a:xfrm>
                    <a:prstGeom prst="rect">
                      <a:avLst/>
                    </a:prstGeom>
                  </pic:spPr>
                </pic:pic>
              </a:graphicData>
            </a:graphic>
          </wp:inline>
        </w:drawing>
      </w:r>
    </w:p>
    <w:p w14:paraId="397F54A5" w14:textId="0A4BBE79" w:rsidR="002E3E40" w:rsidRPr="00BB796F" w:rsidRDefault="00B951EF" w:rsidP="00662CD4">
      <w:pPr>
        <w:pStyle w:val="pdq2pgselectionanchorcontainer"/>
        <w:jc w:val="center"/>
        <w:rPr>
          <w:rFonts w:ascii="Calibri" w:hAnsi="Calibri" w:cs="Calibri"/>
        </w:rPr>
      </w:pPr>
      <w:r w:rsidRPr="00BB796F">
        <w:rPr>
          <w:rFonts w:ascii="Calibri" w:hAnsi="Calibri" w:cs="Calibri"/>
        </w:rPr>
        <w:t>Supporting figures are provided in Appendices A–C.</w:t>
      </w:r>
    </w:p>
    <w:p w14:paraId="0798D2A8" w14:textId="48AD400F" w:rsidR="009B48CF" w:rsidRPr="00BB796F" w:rsidRDefault="009B48CF" w:rsidP="00F24948">
      <w:pPr>
        <w:pStyle w:val="Heading2"/>
      </w:pPr>
      <w:bookmarkStart w:id="4" w:name="_Toc238233845"/>
      <w:r w:rsidRPr="00BB796F">
        <w:t>2.3 NPV and IRR Results:</w:t>
      </w:r>
      <w:bookmarkEnd w:id="4"/>
    </w:p>
    <w:p w14:paraId="540F6D47" w14:textId="432908CC" w:rsidR="00B951EF" w:rsidRPr="00BB796F" w:rsidRDefault="009B48CF" w:rsidP="00BE7449">
      <w:pPr>
        <w:pStyle w:val="pdq2pgselectionanchorcontainer"/>
        <w:rPr>
          <w:rFonts w:ascii="Calibri" w:hAnsi="Calibri" w:cs="Calibri"/>
        </w:rPr>
      </w:pPr>
      <w:r w:rsidRPr="00BB796F">
        <w:rPr>
          <w:rFonts w:ascii="Calibri" w:hAnsi="Calibri" w:cs="Calibri"/>
        </w:rPr>
        <w:t xml:space="preserve">An NPV of </w:t>
      </w:r>
      <w:r w:rsidRPr="00BB796F">
        <w:rPr>
          <w:rStyle w:val="Strong"/>
          <w:rFonts w:ascii="Calibri" w:eastAsiaTheme="majorEastAsia" w:hAnsi="Calibri" w:cs="Calibri"/>
          <w:b w:val="0"/>
          <w:bCs w:val="0"/>
        </w:rPr>
        <w:t>$855,358</w:t>
      </w:r>
      <w:r w:rsidRPr="00BB796F">
        <w:rPr>
          <w:rFonts w:ascii="Calibri" w:hAnsi="Calibri" w:cs="Calibri"/>
        </w:rPr>
        <w:t xml:space="preserve"> was produced using the base case scenario at PPL’s 18% required return and an IRR of </w:t>
      </w:r>
      <w:r w:rsidRPr="00BB796F">
        <w:rPr>
          <w:rStyle w:val="Strong"/>
          <w:rFonts w:ascii="Calibri" w:eastAsiaTheme="majorEastAsia" w:hAnsi="Calibri" w:cs="Calibri"/>
          <w:b w:val="0"/>
          <w:bCs w:val="0"/>
        </w:rPr>
        <w:t xml:space="preserve">26.45%. </w:t>
      </w:r>
      <w:r w:rsidRPr="00BB796F">
        <w:rPr>
          <w:rFonts w:ascii="Calibri" w:hAnsi="Calibri" w:cs="Calibri"/>
        </w:rPr>
        <w:t xml:space="preserve"> The IRR surpasses the benchmark by 8.45% points, with a profitability ratio of 1.48x, where the payback period is 4.29 years and discounted payback is 6.56 years. The measures are broadly </w:t>
      </w:r>
      <w:r w:rsidR="00004770" w:rsidRPr="00BB796F">
        <w:rPr>
          <w:rFonts w:ascii="Calibri" w:hAnsi="Calibri" w:cs="Calibri"/>
        </w:rPr>
        <w:t xml:space="preserve">used in present-day capital budgeting (Siziba and Hall 2021; Sureka et al. 2022). </w:t>
      </w:r>
    </w:p>
    <w:p w14:paraId="5AE5A4C1" w14:textId="60AC4D38" w:rsidR="002E3E40" w:rsidRPr="00BB796F" w:rsidRDefault="002E3E40" w:rsidP="002E3E40">
      <w:pPr>
        <w:pStyle w:val="pdq2pgselectionanchorcontainer"/>
        <w:jc w:val="center"/>
        <w:rPr>
          <w:rFonts w:ascii="Calibri" w:hAnsi="Calibri" w:cs="Calibri"/>
        </w:rPr>
      </w:pPr>
      <w:r w:rsidRPr="00BB796F">
        <w:rPr>
          <w:rFonts w:ascii="Calibri" w:hAnsi="Calibri" w:cs="Calibri"/>
          <w:noProof/>
        </w:rPr>
        <w:drawing>
          <wp:inline distT="0" distB="0" distL="0" distR="0" wp14:anchorId="4D1B408C" wp14:editId="06F53AD3">
            <wp:extent cx="5731510" cy="1575435"/>
            <wp:effectExtent l="0" t="0" r="0" b="0"/>
            <wp:docPr id="11521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3576" name=""/>
                    <pic:cNvPicPr/>
                  </pic:nvPicPr>
                  <pic:blipFill>
                    <a:blip r:embed="rId23"/>
                    <a:stretch>
                      <a:fillRect/>
                    </a:stretch>
                  </pic:blipFill>
                  <pic:spPr>
                    <a:xfrm>
                      <a:off x="0" y="0"/>
                      <a:ext cx="5731510" cy="1575435"/>
                    </a:xfrm>
                    <a:prstGeom prst="rect">
                      <a:avLst/>
                    </a:prstGeom>
                  </pic:spPr>
                </pic:pic>
              </a:graphicData>
            </a:graphic>
          </wp:inline>
        </w:drawing>
      </w:r>
    </w:p>
    <w:p w14:paraId="0312128A" w14:textId="79AA2692" w:rsidR="00B951EF" w:rsidRPr="00BB796F" w:rsidRDefault="00535357" w:rsidP="00F24948">
      <w:pPr>
        <w:pStyle w:val="Heading1"/>
      </w:pPr>
      <w:bookmarkStart w:id="5" w:name="_Toc238233846"/>
      <w:r w:rsidRPr="00BB796F">
        <w:lastRenderedPageBreak/>
        <w:t>3. Executive Summary and Recommendation</w:t>
      </w:r>
      <w:bookmarkEnd w:id="5"/>
    </w:p>
    <w:p w14:paraId="0A456FE6" w14:textId="6E29C4DA" w:rsidR="00535357" w:rsidRPr="00BB796F" w:rsidRDefault="00535357" w:rsidP="00F24948">
      <w:pPr>
        <w:pStyle w:val="Heading2"/>
      </w:pPr>
      <w:bookmarkStart w:id="6" w:name="_Toc238233847"/>
      <w:r w:rsidRPr="00BB796F">
        <w:t>3.1 Definition of the Problem</w:t>
      </w:r>
      <w:r w:rsidR="00AC13EE">
        <w:t>:</w:t>
      </w:r>
      <w:bookmarkEnd w:id="6"/>
    </w:p>
    <w:p w14:paraId="30A9B05C" w14:textId="6724A810" w:rsidR="00535357" w:rsidRPr="00BB796F" w:rsidRDefault="00D764EF" w:rsidP="00BE7449">
      <w:pPr>
        <w:pStyle w:val="pdq2pgselectionanchorcontainer"/>
        <w:rPr>
          <w:rFonts w:ascii="Calibri" w:hAnsi="Calibri" w:cs="Calibri"/>
        </w:rPr>
      </w:pPr>
      <w:r w:rsidRPr="00BB796F">
        <w:rPr>
          <w:rFonts w:ascii="Calibri" w:hAnsi="Calibri" w:cs="Calibri"/>
        </w:rPr>
        <w:t>P</w:t>
      </w:r>
      <w:r w:rsidR="00814F92">
        <w:rPr>
          <w:rFonts w:ascii="Calibri" w:hAnsi="Calibri" w:cs="Calibri"/>
        </w:rPr>
        <w:t>P</w:t>
      </w:r>
      <w:r w:rsidRPr="00BB796F">
        <w:rPr>
          <w:rFonts w:ascii="Calibri" w:hAnsi="Calibri" w:cs="Calibri"/>
        </w:rPr>
        <w:t xml:space="preserve">L needs to finalise on whether to dedicate a gross initial investment of $1.805 million towards a new product where the forecast benefits are uncertain. Only 40% of equipment use is expected initially, making contract manufacturing an integral part. Although the proposed Indian psyllium supply agreement remains on hold, the project will reduce its existing tablet sales. The argument by Jennifer, where prior $250,000 research expenditure should be “justified” and should not affect the uncoverable expenditure. </w:t>
      </w:r>
      <w:r w:rsidR="00C22117" w:rsidRPr="00BB796F">
        <w:rPr>
          <w:rFonts w:ascii="Calibri" w:hAnsi="Calibri" w:cs="Calibri"/>
        </w:rPr>
        <w:t xml:space="preserve">The recent study suggests that inefficient capital budgeting can be due to bias sunk cost (Guenzel 2025).  </w:t>
      </w:r>
    </w:p>
    <w:p w14:paraId="465F44FB" w14:textId="5371D38F" w:rsidR="00783729" w:rsidRPr="00783729" w:rsidRDefault="00783729" w:rsidP="00F24948">
      <w:pPr>
        <w:pStyle w:val="Heading2"/>
        <w:rPr>
          <w:rFonts w:eastAsia="Times New Roman"/>
          <w:lang w:eastAsia="en-GB"/>
        </w:rPr>
      </w:pPr>
      <w:bookmarkStart w:id="7" w:name="_Toc238233848"/>
      <w:r w:rsidRPr="00783729">
        <w:rPr>
          <w:rFonts w:eastAsia="Times New Roman"/>
          <w:lang w:eastAsia="en-GB"/>
        </w:rPr>
        <w:t>3.2 Objectives</w:t>
      </w:r>
      <w:r w:rsidR="00AC13EE">
        <w:rPr>
          <w:rFonts w:eastAsia="Times New Roman"/>
          <w:lang w:eastAsia="en-GB"/>
        </w:rPr>
        <w:t>:</w:t>
      </w:r>
      <w:bookmarkEnd w:id="7"/>
    </w:p>
    <w:p w14:paraId="19AD0592" w14:textId="53F15013" w:rsidR="00783729" w:rsidRPr="00BB796F" w:rsidRDefault="004E15F2" w:rsidP="00783729">
      <w:pPr>
        <w:spacing w:before="100" w:beforeAutospacing="1" w:after="100" w:afterAutospacing="1" w:line="240" w:lineRule="auto"/>
        <w:rPr>
          <w:rFonts w:ascii="Calibri" w:eastAsia="Times New Roman" w:hAnsi="Calibri" w:cs="Calibri"/>
          <w:kern w:val="0"/>
          <w:lang w:eastAsia="en-GB"/>
          <w14:ligatures w14:val="none"/>
        </w:rPr>
      </w:pPr>
      <w:r w:rsidRPr="00BB796F">
        <w:rPr>
          <w:rFonts w:ascii="Calibri" w:eastAsia="Times New Roman" w:hAnsi="Calibri" w:cs="Calibri"/>
          <w:kern w:val="0"/>
          <w:lang w:eastAsia="en-GB"/>
          <w14:ligatures w14:val="none"/>
        </w:rPr>
        <w:t>The objective of the report is to evaluate PPL’s incremental free cash flows over the nine-year period. Analyse the investment against 18% benchmark rate using NPV and IRR. Identify whether the project is completely feasible in case of complete removal of contract manufacturing and determine strategic and operation cost.</w:t>
      </w:r>
    </w:p>
    <w:p w14:paraId="4EE1B643" w14:textId="50CDF23C" w:rsidR="00783729" w:rsidRPr="00783729" w:rsidRDefault="00783729" w:rsidP="00F24948">
      <w:pPr>
        <w:pStyle w:val="Heading2"/>
        <w:rPr>
          <w:rFonts w:eastAsia="Times New Roman"/>
          <w:lang w:eastAsia="en-GB"/>
        </w:rPr>
      </w:pPr>
      <w:bookmarkStart w:id="8" w:name="_Toc238233849"/>
      <w:r w:rsidRPr="00783729">
        <w:rPr>
          <w:rFonts w:eastAsia="Times New Roman"/>
          <w:lang w:eastAsia="en-GB"/>
        </w:rPr>
        <w:t>3.3 Method</w:t>
      </w:r>
      <w:r w:rsidR="00AC13EE">
        <w:rPr>
          <w:rFonts w:eastAsia="Times New Roman"/>
          <w:lang w:eastAsia="en-GB"/>
        </w:rPr>
        <w:t>:</w:t>
      </w:r>
      <w:bookmarkEnd w:id="8"/>
    </w:p>
    <w:p w14:paraId="4419FF08" w14:textId="051D8A1D" w:rsidR="00783729" w:rsidRPr="00783729" w:rsidRDefault="00706153" w:rsidP="00783729">
      <w:pPr>
        <w:spacing w:before="100" w:beforeAutospacing="1" w:after="100" w:afterAutospacing="1" w:line="240" w:lineRule="auto"/>
        <w:rPr>
          <w:rFonts w:ascii="Calibri" w:eastAsia="Times New Roman" w:hAnsi="Calibri" w:cs="Calibri"/>
          <w:kern w:val="0"/>
          <w:lang w:eastAsia="en-GB"/>
          <w14:ligatures w14:val="none"/>
        </w:rPr>
      </w:pPr>
      <w:r w:rsidRPr="00BB796F">
        <w:rPr>
          <w:rFonts w:ascii="Calibri" w:eastAsia="Times New Roman" w:hAnsi="Calibri" w:cs="Calibri"/>
          <w:kern w:val="0"/>
          <w:lang w:eastAsia="en-GB"/>
          <w14:ligatures w14:val="none"/>
        </w:rPr>
        <w:t xml:space="preserve">The report uses incremental free-cash flow analysis method, where there is a change in the cash flow for accepted projects and excluded for sunk and loan expenditure. The 12-year tax life depreciation is followed, and the accounting depreciation and amortisation of new modifications are ignored as they are considered under non-cash finances. A compromised working capital of </w:t>
      </w:r>
      <w:r w:rsidRPr="00783729">
        <w:rPr>
          <w:rFonts w:ascii="Calibri" w:eastAsia="Times New Roman" w:hAnsi="Calibri" w:cs="Calibri"/>
          <w:kern w:val="0"/>
          <w:lang w:eastAsia="en-GB"/>
          <w14:ligatures w14:val="none"/>
        </w:rPr>
        <w:t xml:space="preserve">$195,000 </w:t>
      </w:r>
      <w:r w:rsidRPr="00BB796F">
        <w:rPr>
          <w:rFonts w:ascii="Calibri" w:eastAsia="Times New Roman" w:hAnsi="Calibri" w:cs="Calibri"/>
          <w:kern w:val="0"/>
          <w:lang w:eastAsia="en-GB"/>
          <w14:ligatures w14:val="none"/>
        </w:rPr>
        <w:t xml:space="preserve">resulting in increased inventory, with a closing balance recovered by the end of year 9. The disposal of equipment’s is incorporated on after-tax basis, while the annual projected cash flows are discounted at 18% nominal required return. The current capital investment is consistent with the use of discounted cash flow methods </w:t>
      </w:r>
      <w:r w:rsidR="00783729" w:rsidRPr="00783729">
        <w:rPr>
          <w:rFonts w:ascii="Calibri" w:eastAsia="Times New Roman" w:hAnsi="Calibri" w:cs="Calibri"/>
          <w:kern w:val="0"/>
          <w:lang w:eastAsia="en-GB"/>
          <w14:ligatures w14:val="none"/>
        </w:rPr>
        <w:t>(Siziba and Hall 2021; Sureka et al. 2022).</w:t>
      </w:r>
    </w:p>
    <w:p w14:paraId="7476D4A9" w14:textId="07D2C71C" w:rsidR="00783729" w:rsidRPr="00783729" w:rsidRDefault="00783729" w:rsidP="00F24948">
      <w:pPr>
        <w:pStyle w:val="Heading2"/>
        <w:rPr>
          <w:rFonts w:eastAsia="Times New Roman"/>
          <w:lang w:eastAsia="en-GB"/>
        </w:rPr>
      </w:pPr>
      <w:bookmarkStart w:id="9" w:name="_Toc238233850"/>
      <w:r w:rsidRPr="00783729">
        <w:rPr>
          <w:rFonts w:eastAsia="Times New Roman"/>
          <w:lang w:eastAsia="en-GB"/>
        </w:rPr>
        <w:t>3.4 Key Findings</w:t>
      </w:r>
      <w:r w:rsidR="00AC13EE">
        <w:rPr>
          <w:rFonts w:eastAsia="Times New Roman"/>
          <w:lang w:eastAsia="en-GB"/>
        </w:rPr>
        <w:t>:</w:t>
      </w:r>
      <w:bookmarkEnd w:id="9"/>
    </w:p>
    <w:p w14:paraId="2445D7E6" w14:textId="46C70ABB" w:rsidR="00AE7B6E" w:rsidRPr="00BB796F" w:rsidRDefault="005A17F6" w:rsidP="00783729">
      <w:pPr>
        <w:spacing w:before="100" w:beforeAutospacing="1" w:after="100" w:afterAutospacing="1" w:line="240" w:lineRule="auto"/>
        <w:rPr>
          <w:rFonts w:ascii="Calibri" w:eastAsia="Times New Roman" w:hAnsi="Calibri" w:cs="Calibri"/>
          <w:kern w:val="0"/>
          <w:lang w:eastAsia="en-GB"/>
          <w14:ligatures w14:val="none"/>
        </w:rPr>
      </w:pPr>
      <w:r w:rsidRPr="00BB796F">
        <w:rPr>
          <w:rFonts w:ascii="Calibri" w:eastAsia="Times New Roman" w:hAnsi="Calibri" w:cs="Calibri"/>
          <w:kern w:val="0"/>
          <w:lang w:eastAsia="en-GB"/>
          <w14:ligatures w14:val="none"/>
        </w:rPr>
        <w:t xml:space="preserve">The base case offers a robust financial backing for the project, with </w:t>
      </w:r>
      <w:proofErr w:type="gramStart"/>
      <w:r w:rsidRPr="00BB796F">
        <w:rPr>
          <w:rFonts w:ascii="Calibri" w:eastAsia="Times New Roman" w:hAnsi="Calibri" w:cs="Calibri"/>
          <w:kern w:val="0"/>
          <w:lang w:eastAsia="en-GB"/>
          <w14:ligatures w14:val="none"/>
        </w:rPr>
        <w:t>a</w:t>
      </w:r>
      <w:proofErr w:type="gramEnd"/>
      <w:r w:rsidRPr="00BB796F">
        <w:rPr>
          <w:rFonts w:ascii="Calibri" w:eastAsia="Times New Roman" w:hAnsi="Calibri" w:cs="Calibri"/>
          <w:kern w:val="0"/>
          <w:lang w:eastAsia="en-GB"/>
          <w14:ligatures w14:val="none"/>
        </w:rPr>
        <w:t xml:space="preserve"> $</w:t>
      </w:r>
      <w:r w:rsidRPr="00783729">
        <w:rPr>
          <w:rFonts w:ascii="Calibri" w:eastAsia="Times New Roman" w:hAnsi="Calibri" w:cs="Calibri"/>
          <w:kern w:val="0"/>
          <w:lang w:eastAsia="en-GB"/>
          <w14:ligatures w14:val="none"/>
        </w:rPr>
        <w:t xml:space="preserve">855,358 NPV </w:t>
      </w:r>
      <w:r w:rsidRPr="00BB796F">
        <w:rPr>
          <w:rFonts w:ascii="Calibri" w:eastAsia="Times New Roman" w:hAnsi="Calibri" w:cs="Calibri"/>
          <w:kern w:val="0"/>
          <w:lang w:eastAsia="en-GB"/>
          <w14:ligatures w14:val="none"/>
        </w:rPr>
        <w:t xml:space="preserve">indicating future discounted cashflow crossing the required investment by </w:t>
      </w:r>
      <w:r w:rsidRPr="00783729">
        <w:rPr>
          <w:rFonts w:ascii="Calibri" w:eastAsia="Times New Roman" w:hAnsi="Calibri" w:cs="Calibri"/>
          <w:kern w:val="0"/>
          <w:lang w:eastAsia="en-GB"/>
          <w14:ligatures w14:val="none"/>
        </w:rPr>
        <w:t>approximately $0.86 million</w:t>
      </w:r>
      <w:r w:rsidRPr="00BB796F">
        <w:rPr>
          <w:rFonts w:ascii="Calibri" w:eastAsia="Times New Roman" w:hAnsi="Calibri" w:cs="Calibri"/>
          <w:kern w:val="0"/>
          <w:lang w:eastAsia="en-GB"/>
          <w14:ligatures w14:val="none"/>
        </w:rPr>
        <w:t xml:space="preserve"> and IRR of 26.45% indicating a considerable buffer over the 18% benchmark by PPL. </w:t>
      </w:r>
      <w:r w:rsidR="00C40333" w:rsidRPr="00BB796F">
        <w:rPr>
          <w:rFonts w:ascii="Calibri" w:eastAsia="Times New Roman" w:hAnsi="Calibri" w:cs="Calibri"/>
          <w:kern w:val="0"/>
          <w:lang w:eastAsia="en-GB"/>
          <w14:ligatures w14:val="none"/>
        </w:rPr>
        <w:t>Due to advertising and receivables, the year 1 cash flow is negative. However, it becomes positive from year 2. The project benefits are reduced due to the c</w:t>
      </w:r>
      <w:r w:rsidR="00C40333" w:rsidRPr="00783729">
        <w:rPr>
          <w:rFonts w:ascii="Calibri" w:eastAsia="Times New Roman" w:hAnsi="Calibri" w:cs="Calibri"/>
          <w:kern w:val="0"/>
          <w:lang w:eastAsia="en-GB"/>
          <w14:ligatures w14:val="none"/>
        </w:rPr>
        <w:t>annibalisation of the current tablet</w:t>
      </w:r>
      <w:r w:rsidR="00C40333" w:rsidRPr="00BB796F">
        <w:rPr>
          <w:rFonts w:ascii="Calibri" w:eastAsia="Times New Roman" w:hAnsi="Calibri" w:cs="Calibri"/>
          <w:kern w:val="0"/>
          <w:lang w:eastAsia="en-GB"/>
          <w14:ligatures w14:val="none"/>
        </w:rPr>
        <w:t xml:space="preserve">. By year 9 a recovery is estimated approximately </w:t>
      </w:r>
      <w:r w:rsidR="00C40333" w:rsidRPr="00783729">
        <w:rPr>
          <w:rFonts w:ascii="Calibri" w:eastAsia="Times New Roman" w:hAnsi="Calibri" w:cs="Calibri"/>
          <w:kern w:val="0"/>
          <w:lang w:eastAsia="en-GB"/>
          <w14:ligatures w14:val="none"/>
        </w:rPr>
        <w:t xml:space="preserve">$697,235 </w:t>
      </w:r>
      <w:r w:rsidR="00C40333" w:rsidRPr="00BB796F">
        <w:rPr>
          <w:rFonts w:ascii="Calibri" w:eastAsia="Times New Roman" w:hAnsi="Calibri" w:cs="Calibri"/>
          <w:kern w:val="0"/>
          <w:lang w:eastAsia="en-GB"/>
          <w14:ligatures w14:val="none"/>
        </w:rPr>
        <w:t xml:space="preserve">under working capital and after-tax equipment salvage by </w:t>
      </w:r>
      <w:r w:rsidR="00C40333" w:rsidRPr="00783729">
        <w:rPr>
          <w:rFonts w:ascii="Calibri" w:eastAsia="Times New Roman" w:hAnsi="Calibri" w:cs="Calibri"/>
          <w:kern w:val="0"/>
          <w:lang w:eastAsia="en-GB"/>
          <w14:ligatures w14:val="none"/>
        </w:rPr>
        <w:t>$281,625</w:t>
      </w:r>
      <w:r w:rsidR="00D8620B" w:rsidRPr="00BB796F">
        <w:rPr>
          <w:rFonts w:ascii="Calibri" w:eastAsia="Times New Roman" w:hAnsi="Calibri" w:cs="Calibri"/>
          <w:kern w:val="0"/>
          <w:lang w:eastAsia="en-GB"/>
          <w14:ligatures w14:val="none"/>
        </w:rPr>
        <w:t>.</w:t>
      </w:r>
    </w:p>
    <w:p w14:paraId="1794E9EE" w14:textId="5B902577" w:rsidR="00D8620B" w:rsidRPr="00BB796F" w:rsidRDefault="00D8620B" w:rsidP="00E96AC1">
      <w:pPr>
        <w:rPr>
          <w:rFonts w:ascii="Calibri" w:hAnsi="Calibri" w:cs="Calibri"/>
          <w:lang w:eastAsia="en-GB"/>
        </w:rPr>
      </w:pPr>
      <w:r w:rsidRPr="00BB796F">
        <w:rPr>
          <w:rFonts w:ascii="Calibri" w:hAnsi="Calibri" w:cs="Calibri"/>
          <w:lang w:eastAsia="en-GB"/>
        </w:rPr>
        <w:t xml:space="preserve">The investment case does weaken by no-contract sensitivity materials. Removing contract revenue like raw material, factory overhead cost and $55,000 Year 1 contract specific wage component reduces the NPV to $295,119 and IRR to 21.00%. The discounted payback </w:t>
      </w:r>
      <w:r w:rsidRPr="00BB796F">
        <w:rPr>
          <w:rFonts w:ascii="Calibri" w:hAnsi="Calibri" w:cs="Calibri"/>
          <w:lang w:eastAsia="en-GB"/>
        </w:rPr>
        <w:lastRenderedPageBreak/>
        <w:t xml:space="preserve">increases from 6.56 to 8.28 years and the NPV falls thereafter by approximately $560,239, while IRR falls by 5.45% points. However, NPV remains positive and IRR continues to remain above 18%. </w:t>
      </w:r>
    </w:p>
    <w:p w14:paraId="781299BB" w14:textId="57D856A1" w:rsidR="00D8620B" w:rsidRPr="00BB796F" w:rsidRDefault="00D8620B" w:rsidP="00E96AC1">
      <w:pPr>
        <w:rPr>
          <w:rFonts w:ascii="Calibri" w:hAnsi="Calibri" w:cs="Calibri"/>
          <w:lang w:eastAsia="en-GB"/>
        </w:rPr>
      </w:pPr>
      <w:r w:rsidRPr="00BB796F">
        <w:rPr>
          <w:rFonts w:ascii="Calibri" w:hAnsi="Calibri" w:cs="Calibri"/>
          <w:lang w:eastAsia="en-GB"/>
        </w:rPr>
        <w:t xml:space="preserve">The evidence justifies Anna’s view towards new products, while Tom’s concern remains operationally same because contract work </w:t>
      </w:r>
      <w:r w:rsidR="00AA19CD" w:rsidRPr="00BB796F">
        <w:rPr>
          <w:rFonts w:ascii="Calibri" w:hAnsi="Calibri" w:cs="Calibri"/>
          <w:lang w:eastAsia="en-GB"/>
        </w:rPr>
        <w:t xml:space="preserve">increases the project value. Forecasting risk remains as Anna evaluates new product sales to grow by 6%, whereas John and Miguel consider the sales to go up by 12%. The case specifically identifies these conflicting opinions, although the focus is towards the removal of contract manufacturing. </w:t>
      </w:r>
    </w:p>
    <w:p w14:paraId="4598B4CD" w14:textId="3C2D3272" w:rsidR="00783729" w:rsidRPr="00783729" w:rsidRDefault="00783729" w:rsidP="00F24948">
      <w:pPr>
        <w:pStyle w:val="Heading2"/>
        <w:rPr>
          <w:rFonts w:eastAsia="Times New Roman"/>
          <w:lang w:eastAsia="en-GB"/>
        </w:rPr>
      </w:pPr>
      <w:bookmarkStart w:id="10" w:name="_Toc238233851"/>
      <w:r w:rsidRPr="00783729">
        <w:rPr>
          <w:rFonts w:eastAsia="Times New Roman"/>
          <w:lang w:eastAsia="en-GB"/>
        </w:rPr>
        <w:t>3.5 Conclusion</w:t>
      </w:r>
      <w:r w:rsidR="00AC13EE">
        <w:rPr>
          <w:rFonts w:eastAsia="Times New Roman"/>
          <w:lang w:eastAsia="en-GB"/>
        </w:rPr>
        <w:t>:</w:t>
      </w:r>
      <w:bookmarkEnd w:id="10"/>
    </w:p>
    <w:p w14:paraId="77E11857" w14:textId="4D2BEABD" w:rsidR="00E96AC1" w:rsidRPr="00BB796F" w:rsidRDefault="00D53969" w:rsidP="00783729">
      <w:pPr>
        <w:spacing w:before="100" w:beforeAutospacing="1" w:after="100" w:afterAutospacing="1" w:line="240" w:lineRule="auto"/>
        <w:rPr>
          <w:rFonts w:ascii="Calibri" w:eastAsia="Times New Roman" w:hAnsi="Calibri" w:cs="Calibri"/>
          <w:kern w:val="0"/>
          <w:lang w:eastAsia="en-GB"/>
          <w14:ligatures w14:val="none"/>
        </w:rPr>
      </w:pPr>
      <w:r w:rsidRPr="00BB796F">
        <w:rPr>
          <w:rFonts w:ascii="Calibri" w:eastAsia="Times New Roman" w:hAnsi="Calibri" w:cs="Calibri"/>
          <w:kern w:val="0"/>
          <w:lang w:eastAsia="en-GB"/>
          <w14:ligatures w14:val="none"/>
        </w:rPr>
        <w:t xml:space="preserve">The shareholder value is expected to be generated in this analysis, where the base case highlights a positive NPV and IRR of a nine-year return payback period. The project remains financially acceptable after completely removing contract manufacturing and support independent investment towards new products. However, substantial decline in NPV under no-contract indicates the utilisation of unused space strengthens the project’s margin of safety. Therefore, the financial case is beneficial but highly depends upon the implementation and management of non-financial risk. </w:t>
      </w:r>
    </w:p>
    <w:p w14:paraId="040CE702" w14:textId="2CF51EE0" w:rsidR="00783729" w:rsidRPr="00783729" w:rsidRDefault="00783729" w:rsidP="00F24948">
      <w:pPr>
        <w:pStyle w:val="Heading2"/>
        <w:rPr>
          <w:rFonts w:eastAsia="Times New Roman"/>
          <w:lang w:eastAsia="en-GB"/>
        </w:rPr>
      </w:pPr>
      <w:bookmarkStart w:id="11" w:name="_Toc238233852"/>
      <w:r w:rsidRPr="00783729">
        <w:rPr>
          <w:rFonts w:eastAsia="Times New Roman"/>
          <w:lang w:eastAsia="en-GB"/>
        </w:rPr>
        <w:t>3.6 Recommendation</w:t>
      </w:r>
      <w:r w:rsidR="00AC13EE">
        <w:rPr>
          <w:rFonts w:eastAsia="Times New Roman"/>
          <w:lang w:eastAsia="en-GB"/>
        </w:rPr>
        <w:t>:</w:t>
      </w:r>
      <w:bookmarkEnd w:id="11"/>
    </w:p>
    <w:p w14:paraId="1C256677" w14:textId="16D6DBA9" w:rsidR="00C96430" w:rsidRPr="00662CD4" w:rsidRDefault="00D53969" w:rsidP="00662CD4">
      <w:pPr>
        <w:spacing w:before="100" w:beforeAutospacing="1" w:after="100" w:afterAutospacing="1" w:line="240" w:lineRule="auto"/>
        <w:rPr>
          <w:rFonts w:ascii="Calibri" w:eastAsia="Times New Roman" w:hAnsi="Calibri" w:cs="Calibri"/>
          <w:kern w:val="0"/>
          <w:lang w:eastAsia="en-GB"/>
          <w14:ligatures w14:val="none"/>
        </w:rPr>
      </w:pPr>
      <w:r w:rsidRPr="00BB796F">
        <w:rPr>
          <w:rFonts w:ascii="Calibri" w:eastAsia="Times New Roman" w:hAnsi="Calibri" w:cs="Calibri"/>
          <w:kern w:val="0"/>
          <w:lang w:eastAsia="en-GB"/>
          <w14:ligatures w14:val="none"/>
        </w:rPr>
        <w:t xml:space="preserve">Psyllium husk powder project should be accepted by PPL, with appropriate implementation conditions. The </w:t>
      </w:r>
      <w:r w:rsidR="00AA7BA6" w:rsidRPr="00BB796F">
        <w:rPr>
          <w:rFonts w:ascii="Calibri" w:eastAsia="Times New Roman" w:hAnsi="Calibri" w:cs="Calibri"/>
          <w:kern w:val="0"/>
          <w:lang w:eastAsia="en-GB"/>
          <w14:ligatures w14:val="none"/>
        </w:rPr>
        <w:t xml:space="preserve">Indian </w:t>
      </w:r>
      <w:r w:rsidRPr="00BB796F">
        <w:rPr>
          <w:rFonts w:ascii="Calibri" w:eastAsia="Times New Roman" w:hAnsi="Calibri" w:cs="Calibri"/>
          <w:kern w:val="0"/>
          <w:lang w:eastAsia="en-GB"/>
          <w14:ligatures w14:val="none"/>
        </w:rPr>
        <w:t xml:space="preserve">agreement should be finalised </w:t>
      </w:r>
      <w:r w:rsidR="00AA7BA6" w:rsidRPr="00BB796F">
        <w:rPr>
          <w:rFonts w:ascii="Calibri" w:eastAsia="Times New Roman" w:hAnsi="Calibri" w:cs="Calibri"/>
          <w:kern w:val="0"/>
          <w:lang w:eastAsia="en-GB"/>
          <w14:ligatures w14:val="none"/>
        </w:rPr>
        <w:t xml:space="preserve">before significant capital commitment and clear targets towards contract manufacturing utilisation. The Board should have early review towards the new product sales, operating cost, contract volumes and working capital.  The recommendation totally depends on future incremental cash flow patterns and uncovered sunk expenditure. It is important to treat contract manufacturing as an important booster but limit the condition to have a strong and viable financial investment. </w:t>
      </w:r>
    </w:p>
    <w:p w14:paraId="2C53EE35" w14:textId="7CEFF20A" w:rsidR="00A02EA2" w:rsidRPr="00A02EA2" w:rsidRDefault="00A02EA2" w:rsidP="00F24948">
      <w:pPr>
        <w:pStyle w:val="Heading1"/>
        <w:rPr>
          <w:rFonts w:eastAsia="Times New Roman"/>
          <w:lang w:eastAsia="en-GB"/>
        </w:rPr>
      </w:pPr>
      <w:bookmarkStart w:id="12" w:name="_Toc238233853"/>
      <w:r w:rsidRPr="00A02EA2">
        <w:rPr>
          <w:rFonts w:eastAsia="Times New Roman"/>
          <w:lang w:eastAsia="en-GB"/>
        </w:rPr>
        <w:t>4. Sensitivity Analysis and Strategic Factors</w:t>
      </w:r>
      <w:bookmarkEnd w:id="12"/>
    </w:p>
    <w:p w14:paraId="2AE620E0" w14:textId="3C957771" w:rsidR="00A02EA2" w:rsidRPr="00BB796F" w:rsidRDefault="00A02EA2" w:rsidP="00F24948">
      <w:pPr>
        <w:pStyle w:val="Heading2"/>
        <w:rPr>
          <w:rFonts w:eastAsia="Times New Roman"/>
          <w:lang w:eastAsia="en-GB"/>
        </w:rPr>
      </w:pPr>
      <w:bookmarkStart w:id="13" w:name="_Toc238233854"/>
      <w:r w:rsidRPr="00A02EA2">
        <w:rPr>
          <w:rFonts w:eastAsia="Times New Roman"/>
          <w:lang w:eastAsia="en-GB"/>
        </w:rPr>
        <w:t>4.1 Exclusion of Contract Manufacturing</w:t>
      </w:r>
      <w:r w:rsidRPr="00BB796F">
        <w:rPr>
          <w:rFonts w:eastAsia="Times New Roman"/>
          <w:lang w:eastAsia="en-GB"/>
        </w:rPr>
        <w:t>:</w:t>
      </w:r>
      <w:bookmarkEnd w:id="13"/>
    </w:p>
    <w:p w14:paraId="1208E8F9" w14:textId="2381A120" w:rsidR="00A02EA2" w:rsidRPr="00BB796F" w:rsidRDefault="00A02EA2" w:rsidP="00662CD4">
      <w:r w:rsidRPr="00BB796F">
        <w:t xml:space="preserve">The raw material cost, 18% variable overhead cost, sales are removed under sensitivity analysis </w:t>
      </w:r>
      <w:r w:rsidR="004153CF" w:rsidRPr="00BB796F">
        <w:t xml:space="preserve">to contract revenue and the $55,000 Year 1 contract-specific wage with future escalation. All the other assumptions are held constant. </w:t>
      </w:r>
    </w:p>
    <w:p w14:paraId="3D4EDE97" w14:textId="6A41AB6E" w:rsidR="004153CF" w:rsidRPr="00A02EA2" w:rsidRDefault="004153CF" w:rsidP="00662CD4">
      <w:r w:rsidRPr="00BB796F">
        <w:rPr>
          <w:noProof/>
        </w:rPr>
        <w:drawing>
          <wp:inline distT="0" distB="0" distL="0" distR="0" wp14:anchorId="745A880E" wp14:editId="252C1E06">
            <wp:extent cx="5731510" cy="1336675"/>
            <wp:effectExtent l="0" t="0" r="0" b="0"/>
            <wp:docPr id="102973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37200" name=""/>
                    <pic:cNvPicPr/>
                  </pic:nvPicPr>
                  <pic:blipFill>
                    <a:blip r:embed="rId24"/>
                    <a:stretch>
                      <a:fillRect/>
                    </a:stretch>
                  </pic:blipFill>
                  <pic:spPr>
                    <a:xfrm>
                      <a:off x="0" y="0"/>
                      <a:ext cx="5731510" cy="1336675"/>
                    </a:xfrm>
                    <a:prstGeom prst="rect">
                      <a:avLst/>
                    </a:prstGeom>
                  </pic:spPr>
                </pic:pic>
              </a:graphicData>
            </a:graphic>
          </wp:inline>
        </w:drawing>
      </w:r>
    </w:p>
    <w:p w14:paraId="5D3BBEBE" w14:textId="75FDFB73" w:rsidR="003B7427" w:rsidRPr="00BB796F" w:rsidRDefault="003B7427" w:rsidP="00662CD4">
      <w:r w:rsidRPr="00BB796F">
        <w:lastRenderedPageBreak/>
        <w:t xml:space="preserve">The project is financially acceptable without contract manufacturing, as the NPV is positive and IRR remains positive and IRR is above the required benchmark of 18%. However, the reduction in NPV of 65.5% signifies the additional value accumulated using spare capacity. Anna’s concern towards the uncertain contract forecasts is backed by financial viability perspective, while Tom’s concern towards low utilisation remains. </w:t>
      </w:r>
    </w:p>
    <w:p w14:paraId="54D14972" w14:textId="6042CC20" w:rsidR="00B951EF" w:rsidRPr="00BB796F" w:rsidRDefault="00662CD4" w:rsidP="00F24948">
      <w:pPr>
        <w:pStyle w:val="Heading2"/>
        <w:numPr>
          <w:ilvl w:val="1"/>
          <w:numId w:val="6"/>
        </w:numPr>
      </w:pPr>
      <w:r>
        <w:t xml:space="preserve"> </w:t>
      </w:r>
      <w:bookmarkStart w:id="14" w:name="_Toc238233855"/>
      <w:r w:rsidR="00E127DB" w:rsidRPr="00BB796F">
        <w:t>Strategic, Operational and Supply-Chain Factors</w:t>
      </w:r>
      <w:r w:rsidR="00BB796F">
        <w:t>:</w:t>
      </w:r>
      <w:bookmarkEnd w:id="14"/>
    </w:p>
    <w:p w14:paraId="76142CEB" w14:textId="69B92562" w:rsidR="00F24948" w:rsidRPr="00662CD4" w:rsidRDefault="00662CD4" w:rsidP="00662CD4">
      <w:pPr>
        <w:pStyle w:val="Heading3"/>
      </w:pPr>
      <w:bookmarkStart w:id="15" w:name="_Toc238233856"/>
      <w:r>
        <w:t xml:space="preserve">4.2.1 </w:t>
      </w:r>
      <w:r w:rsidR="00E127DB" w:rsidRPr="00662CD4">
        <w:t>Supply chain:</w:t>
      </w:r>
      <w:bookmarkEnd w:id="15"/>
      <w:r w:rsidR="00E127DB" w:rsidRPr="00662CD4">
        <w:t xml:space="preserve"> </w:t>
      </w:r>
    </w:p>
    <w:p w14:paraId="79CD42D6" w14:textId="1814EEA7" w:rsidR="00E127DB" w:rsidRPr="00F24948" w:rsidRDefault="00E127DB" w:rsidP="00F24948">
      <w:pPr>
        <w:rPr>
          <w:rFonts w:ascii="Calibri" w:hAnsi="Calibri" w:cs="Calibri"/>
        </w:rPr>
      </w:pPr>
      <w:r w:rsidRPr="00F24948">
        <w:rPr>
          <w:rFonts w:ascii="Calibri" w:hAnsi="Calibri" w:cs="Calibri"/>
        </w:rPr>
        <w:t xml:space="preserve">PPL is exposed on concentration risk as the proposed psyllium supply relies on one Indian supplier, with the agreement yet to be signed. Heavy reliance on psyllium production in India may create potential supply risk due to agricultural and weather-related factors </w:t>
      </w:r>
      <w:r w:rsidR="00BB796F" w:rsidRPr="00F24948">
        <w:rPr>
          <w:rFonts w:ascii="Calibri" w:hAnsi="Calibri" w:cs="Calibri"/>
        </w:rPr>
        <w:t>(</w:t>
      </w:r>
      <w:proofErr w:type="spellStart"/>
      <w:r w:rsidR="00BB796F" w:rsidRPr="00F24948">
        <w:rPr>
          <w:rFonts w:ascii="Calibri" w:hAnsi="Calibri" w:cs="Calibri"/>
        </w:rPr>
        <w:t>Naruka</w:t>
      </w:r>
      <w:proofErr w:type="spellEnd"/>
      <w:r w:rsidR="00BB796F" w:rsidRPr="00F24948">
        <w:rPr>
          <w:rFonts w:ascii="Calibri" w:hAnsi="Calibri" w:cs="Calibri"/>
        </w:rPr>
        <w:t xml:space="preserve"> et al. 2019)</w:t>
      </w:r>
      <w:r w:rsidRPr="00F24948">
        <w:rPr>
          <w:rFonts w:ascii="Calibri" w:hAnsi="Calibri" w:cs="Calibri"/>
        </w:rPr>
        <w:t xml:space="preserve">. PPL should therefore secure the supply agreement and keep appropriate safety stock. Fluctuation in exchange rate between AUD/INR currency should be managed as it affects the AUD cost of feign currency payments </w:t>
      </w:r>
      <w:r w:rsidR="00BB796F" w:rsidRPr="00F24948">
        <w:rPr>
          <w:rFonts w:ascii="Calibri" w:hAnsi="Calibri" w:cs="Calibri"/>
        </w:rPr>
        <w:t>(Atkin and Harris 2023)</w:t>
      </w:r>
      <w:r w:rsidRPr="00F24948">
        <w:rPr>
          <w:rFonts w:ascii="Calibri" w:hAnsi="Calibri" w:cs="Calibri"/>
        </w:rPr>
        <w:t>.</w:t>
      </w:r>
    </w:p>
    <w:p w14:paraId="1D6664B4" w14:textId="57DDBE59" w:rsidR="00F24948" w:rsidRPr="00662CD4" w:rsidRDefault="00662CD4" w:rsidP="00662CD4">
      <w:pPr>
        <w:pStyle w:val="Heading3"/>
      </w:pPr>
      <w:bookmarkStart w:id="16" w:name="_Toc238233857"/>
      <w:r>
        <w:t xml:space="preserve">4.2.2 </w:t>
      </w:r>
      <w:r w:rsidR="00E127DB" w:rsidRPr="00662CD4">
        <w:t>Operational:</w:t>
      </w:r>
      <w:bookmarkEnd w:id="16"/>
      <w:r w:rsidR="00E127DB" w:rsidRPr="00662CD4">
        <w:t xml:space="preserve"> </w:t>
      </w:r>
    </w:p>
    <w:p w14:paraId="6438BADE" w14:textId="1F9EA1F5" w:rsidR="00662CD4" w:rsidRPr="00662CD4" w:rsidRDefault="00F24948" w:rsidP="00662CD4">
      <w:pPr>
        <w:rPr>
          <w:rFonts w:ascii="Calibri" w:hAnsi="Calibri" w:cs="Calibri"/>
        </w:rPr>
      </w:pPr>
      <w:r>
        <w:rPr>
          <w:rFonts w:ascii="Calibri" w:hAnsi="Calibri" w:cs="Calibri"/>
        </w:rPr>
        <w:t>S</w:t>
      </w:r>
      <w:r w:rsidR="00E127DB" w:rsidRPr="00F24948">
        <w:rPr>
          <w:rFonts w:ascii="Calibri" w:hAnsi="Calibri" w:cs="Calibri"/>
        </w:rPr>
        <w:t xml:space="preserve">ignificant proportion of the equipment could remain idle as it initially operates at only around 40% which creates an operational utilisation risk. Contract manufacturing could utilize spare capacity, although the sensitivity analysis shows that PPL should not depend on it to make the project viable. Powder production is a new manufacturing activity for PPL which involves new process, quality-control and consistency risks. TGA requires the manufacturers to ensure that the medicine they produce are in accordance with applicable manufacturing standards </w:t>
      </w:r>
      <w:r w:rsidR="00BB796F" w:rsidRPr="00F24948">
        <w:rPr>
          <w:rFonts w:ascii="Calibri" w:hAnsi="Calibri" w:cs="Calibri"/>
        </w:rPr>
        <w:t>(Therapeutic Goods Administration 2026a)</w:t>
      </w:r>
      <w:r w:rsidR="00E127DB" w:rsidRPr="00F24948">
        <w:rPr>
          <w:rFonts w:ascii="Calibri" w:hAnsi="Calibri" w:cs="Calibri"/>
        </w:rPr>
        <w:t>.</w:t>
      </w:r>
    </w:p>
    <w:p w14:paraId="17E0D665" w14:textId="5551A9D0" w:rsidR="00F24948" w:rsidRPr="00662CD4" w:rsidRDefault="00662CD4" w:rsidP="00662CD4">
      <w:pPr>
        <w:pStyle w:val="Heading3"/>
      </w:pPr>
      <w:bookmarkStart w:id="17" w:name="_Toc238233858"/>
      <w:r>
        <w:t xml:space="preserve">4.2.3 </w:t>
      </w:r>
      <w:r w:rsidR="00E127DB" w:rsidRPr="00662CD4">
        <w:t>Strategic and regulatory:</w:t>
      </w:r>
      <w:bookmarkEnd w:id="17"/>
      <w:r w:rsidR="00E127DB" w:rsidRPr="00662CD4">
        <w:t xml:space="preserve"> </w:t>
      </w:r>
    </w:p>
    <w:p w14:paraId="5DD6D745" w14:textId="6335894A" w:rsidR="00BB796F" w:rsidRDefault="00E127DB" w:rsidP="00F24948">
      <w:pPr>
        <w:rPr>
          <w:rFonts w:ascii="Calibri" w:hAnsi="Calibri" w:cs="Calibri"/>
        </w:rPr>
      </w:pPr>
      <w:r w:rsidRPr="00F24948">
        <w:rPr>
          <w:rFonts w:ascii="Calibri" w:hAnsi="Calibri" w:cs="Calibri"/>
        </w:rPr>
        <w:t xml:space="preserve">PPL must also consider Australian and New Zealand regulatory requirements, especially product classification, labelling and advertising claims. The TGA also oblige manufacturers regarding advertising claims for therapeutic goods to be accurate, balanced and substantiated by appropriate evidence </w:t>
      </w:r>
      <w:r w:rsidR="00BB796F" w:rsidRPr="00F24948">
        <w:rPr>
          <w:rFonts w:ascii="Calibri" w:hAnsi="Calibri" w:cs="Calibri"/>
        </w:rPr>
        <w:t>(Therapeutic Goods Administration 2026b)</w:t>
      </w:r>
      <w:r w:rsidRPr="00F24948">
        <w:rPr>
          <w:rFonts w:ascii="Calibri" w:hAnsi="Calibri" w:cs="Calibri"/>
        </w:rPr>
        <w:t>. The product’s natural ingredients and reduced side effects provide a competitive advantage, competitors may imitate these features, while some sales may cannibalise PPL's existing tablet product. Thus, PPL should ensure the new product generates significant incremental demand rather than merely shifting existing customers.</w:t>
      </w:r>
    </w:p>
    <w:p w14:paraId="58826644" w14:textId="77777777" w:rsidR="00662CD4" w:rsidRDefault="00662CD4" w:rsidP="00662CD4">
      <w:pPr>
        <w:rPr>
          <w:lang w:eastAsia="en-GB"/>
        </w:rPr>
      </w:pPr>
    </w:p>
    <w:p w14:paraId="4FF38CDD" w14:textId="77777777" w:rsidR="00662CD4" w:rsidRDefault="00662CD4" w:rsidP="00F24948">
      <w:pPr>
        <w:pStyle w:val="Heading1"/>
        <w:rPr>
          <w:rFonts w:eastAsia="Times New Roman"/>
          <w:lang w:eastAsia="en-GB"/>
        </w:rPr>
      </w:pPr>
    </w:p>
    <w:p w14:paraId="2E5EA0F6" w14:textId="77777777" w:rsidR="00662CD4" w:rsidRPr="00662CD4" w:rsidRDefault="00662CD4" w:rsidP="00662CD4">
      <w:pPr>
        <w:rPr>
          <w:lang w:eastAsia="en-GB"/>
        </w:rPr>
      </w:pPr>
    </w:p>
    <w:p w14:paraId="541F0A9B" w14:textId="41B4CB99" w:rsidR="00BB796F" w:rsidRPr="00BB796F" w:rsidRDefault="00AC13EE" w:rsidP="00F24948">
      <w:pPr>
        <w:pStyle w:val="Heading1"/>
        <w:rPr>
          <w:rFonts w:eastAsia="Times New Roman"/>
          <w:lang w:eastAsia="en-GB"/>
        </w:rPr>
      </w:pPr>
      <w:bookmarkStart w:id="18" w:name="_Toc238233859"/>
      <w:r w:rsidRPr="00AC13EE">
        <w:rPr>
          <w:rFonts w:eastAsia="Times New Roman"/>
          <w:lang w:eastAsia="en-GB"/>
        </w:rPr>
        <w:lastRenderedPageBreak/>
        <w:t xml:space="preserve">5. </w:t>
      </w:r>
      <w:r w:rsidR="00BB796F" w:rsidRPr="00BB796F">
        <w:rPr>
          <w:rFonts w:eastAsia="Times New Roman"/>
          <w:lang w:eastAsia="en-GB"/>
        </w:rPr>
        <w:t>References</w:t>
      </w:r>
      <w:bookmarkEnd w:id="18"/>
    </w:p>
    <w:p w14:paraId="45E6B4B9" w14:textId="3BDEE8BD" w:rsidR="00BB796F" w:rsidRPr="00BB796F" w:rsidRDefault="00BB796F" w:rsidP="00BB796F">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BB796F">
        <w:rPr>
          <w:rFonts w:ascii="Calibri" w:eastAsia="Times New Roman" w:hAnsi="Calibri" w:cs="Calibri"/>
          <w:color w:val="000000" w:themeColor="text1"/>
          <w:kern w:val="0"/>
          <w:lang w:eastAsia="en-GB"/>
          <w14:ligatures w14:val="none"/>
        </w:rPr>
        <w:t xml:space="preserve">Atkin, T &amp; Harris, J 2023, ‘Foreign currency exposure and hedging in Australia’, RBA Bulletin, 16 March, viewed 21 August 2026, https://www.rba.gov.au/publications/bulletin/2023/mar/foreign-currency-exposure-and-hedging-in-australia.html. </w:t>
      </w:r>
    </w:p>
    <w:p w14:paraId="3EB003EF" w14:textId="4264931A" w:rsidR="00BB796F" w:rsidRPr="00BB796F" w:rsidRDefault="00BB796F" w:rsidP="00BB796F">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BB796F">
        <w:rPr>
          <w:rFonts w:ascii="Calibri" w:eastAsia="Times New Roman" w:hAnsi="Calibri" w:cs="Calibri"/>
          <w:color w:val="000000" w:themeColor="text1"/>
          <w:kern w:val="0"/>
          <w:lang w:eastAsia="en-GB"/>
          <w14:ligatures w14:val="none"/>
        </w:rPr>
        <w:t xml:space="preserve">Guenzel, M 2025, ‘In too deep: The effect of sunk costs on corporate investment’, The Journal of Finance, vol. 80, no. 3, pp. 1593–1646, viewed 21 August 2026, https://doi.org/10.1111/jofi.13430. </w:t>
      </w:r>
    </w:p>
    <w:p w14:paraId="0193C2CB" w14:textId="79EBDCDD" w:rsidR="00BB796F" w:rsidRPr="00BB796F" w:rsidRDefault="00BB796F" w:rsidP="00BB796F">
      <w:pPr>
        <w:spacing w:before="100" w:beforeAutospacing="1" w:after="100" w:afterAutospacing="1" w:line="240" w:lineRule="auto"/>
        <w:rPr>
          <w:rFonts w:ascii="Calibri" w:eastAsia="Times New Roman" w:hAnsi="Calibri" w:cs="Calibri"/>
          <w:color w:val="000000" w:themeColor="text1"/>
          <w:kern w:val="0"/>
          <w:lang w:eastAsia="en-GB"/>
          <w14:ligatures w14:val="none"/>
        </w:rPr>
      </w:pPr>
      <w:proofErr w:type="spellStart"/>
      <w:r w:rsidRPr="00BB796F">
        <w:rPr>
          <w:rFonts w:ascii="Calibri" w:eastAsia="Times New Roman" w:hAnsi="Calibri" w:cs="Calibri"/>
          <w:color w:val="000000" w:themeColor="text1"/>
          <w:kern w:val="0"/>
          <w:lang w:eastAsia="en-GB"/>
          <w14:ligatures w14:val="none"/>
        </w:rPr>
        <w:t>Naruka</w:t>
      </w:r>
      <w:proofErr w:type="spellEnd"/>
      <w:r w:rsidRPr="00BB796F">
        <w:rPr>
          <w:rFonts w:ascii="Calibri" w:eastAsia="Times New Roman" w:hAnsi="Calibri" w:cs="Calibri"/>
          <w:color w:val="000000" w:themeColor="text1"/>
          <w:kern w:val="0"/>
          <w:lang w:eastAsia="en-GB"/>
          <w14:ligatures w14:val="none"/>
        </w:rPr>
        <w:t xml:space="preserve">, IS, Singh, PP, Haldar, A &amp; Shekhawat, HVS 2019, ‘Cultivating </w:t>
      </w:r>
      <w:proofErr w:type="spellStart"/>
      <w:r w:rsidRPr="00BB796F">
        <w:rPr>
          <w:rFonts w:ascii="Calibri" w:eastAsia="Times New Roman" w:hAnsi="Calibri" w:cs="Calibri"/>
          <w:color w:val="000000" w:themeColor="text1"/>
          <w:kern w:val="0"/>
          <w:lang w:eastAsia="en-GB"/>
          <w14:ligatures w14:val="none"/>
        </w:rPr>
        <w:t>isabgol</w:t>
      </w:r>
      <w:proofErr w:type="spellEnd"/>
      <w:r w:rsidRPr="00BB796F">
        <w:rPr>
          <w:rFonts w:ascii="Calibri" w:eastAsia="Times New Roman" w:hAnsi="Calibri" w:cs="Calibri"/>
          <w:color w:val="000000" w:themeColor="text1"/>
          <w:kern w:val="0"/>
          <w:lang w:eastAsia="en-GB"/>
          <w14:ligatures w14:val="none"/>
        </w:rPr>
        <w:t xml:space="preserve"> in rainfed areas’, Indian Horticulture, vol. 64, no. 2, 27 August, viewed 21 August 2026, https://epubs.icar.org.in/index.php/IndHort/article/view/93099. </w:t>
      </w:r>
    </w:p>
    <w:p w14:paraId="1CA4867E" w14:textId="50274F3B" w:rsidR="00BB796F" w:rsidRPr="00BB796F" w:rsidRDefault="00BB796F" w:rsidP="00BB796F">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BB796F">
        <w:rPr>
          <w:rFonts w:ascii="Calibri" w:eastAsia="Times New Roman" w:hAnsi="Calibri" w:cs="Calibri"/>
          <w:color w:val="000000" w:themeColor="text1"/>
          <w:kern w:val="0"/>
          <w:lang w:eastAsia="en-GB"/>
          <w14:ligatures w14:val="none"/>
        </w:rPr>
        <w:t xml:space="preserve">Siziba, S &amp; Hall, JH 2021, ‘The evolution of the application of capital budgeting techniques in enterprises’, Global Finance Journal, vol. 47, article 100504, pp. 1–18, viewed 21 August 2026, https://doi.org/10.1016/j.gfj.2019.100504. </w:t>
      </w:r>
    </w:p>
    <w:p w14:paraId="6EC851B5" w14:textId="0E57CFA6" w:rsidR="00BB796F" w:rsidRPr="00BB796F" w:rsidRDefault="00BB796F" w:rsidP="00BB796F">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BB796F">
        <w:rPr>
          <w:rFonts w:ascii="Calibri" w:eastAsia="Times New Roman" w:hAnsi="Calibri" w:cs="Calibri"/>
          <w:color w:val="000000" w:themeColor="text1"/>
          <w:kern w:val="0"/>
          <w:lang w:eastAsia="en-GB"/>
          <w14:ligatures w14:val="none"/>
        </w:rPr>
        <w:t xml:space="preserve">Sureka, R, Kumar, S, </w:t>
      </w:r>
      <w:proofErr w:type="spellStart"/>
      <w:r w:rsidRPr="00BB796F">
        <w:rPr>
          <w:rFonts w:ascii="Calibri" w:eastAsia="Times New Roman" w:hAnsi="Calibri" w:cs="Calibri"/>
          <w:color w:val="000000" w:themeColor="text1"/>
          <w:kern w:val="0"/>
          <w:lang w:eastAsia="en-GB"/>
          <w14:ligatures w14:val="none"/>
        </w:rPr>
        <w:t>Colombage</w:t>
      </w:r>
      <w:proofErr w:type="spellEnd"/>
      <w:r w:rsidRPr="00BB796F">
        <w:rPr>
          <w:rFonts w:ascii="Calibri" w:eastAsia="Times New Roman" w:hAnsi="Calibri" w:cs="Calibri"/>
          <w:color w:val="000000" w:themeColor="text1"/>
          <w:kern w:val="0"/>
          <w:lang w:eastAsia="en-GB"/>
          <w14:ligatures w14:val="none"/>
        </w:rPr>
        <w:t xml:space="preserve">, S &amp; Abedin, MZ 2022, ‘Five decades of research on capital budgeting – A systematic review and future research agenda’, Research in International Business and Finance, vol. 60, article 101609, viewed 21 August 2026, https://doi.org/10.1016/j.ribaf.2021.101609. </w:t>
      </w:r>
    </w:p>
    <w:p w14:paraId="15F39277" w14:textId="15C07D4D" w:rsidR="00BB796F" w:rsidRPr="00BB796F" w:rsidRDefault="00BB796F" w:rsidP="00BB796F">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BB796F">
        <w:rPr>
          <w:rFonts w:ascii="Calibri" w:eastAsia="Times New Roman" w:hAnsi="Calibri" w:cs="Calibri"/>
          <w:color w:val="000000" w:themeColor="text1"/>
          <w:kern w:val="0"/>
          <w:lang w:eastAsia="en-GB"/>
          <w14:ligatures w14:val="none"/>
        </w:rPr>
        <w:t xml:space="preserve">Therapeutic Goods Administration 2026a, ‘Manufacturing for registered complementary medicines’, Therapeutic Goods Administration, viewed 21 August 2026, https://www.tga.gov.au/products/medicines/registered-complementary-medicines/manufacturing. </w:t>
      </w:r>
    </w:p>
    <w:p w14:paraId="18E9D61F" w14:textId="05646B52" w:rsidR="00692E1B" w:rsidRDefault="00BB796F" w:rsidP="00BB796F">
      <w:pPr>
        <w:spacing w:before="100" w:beforeAutospacing="1" w:after="100" w:afterAutospacing="1" w:line="240" w:lineRule="auto"/>
        <w:rPr>
          <w:rFonts w:ascii="Calibri" w:eastAsia="Times New Roman" w:hAnsi="Calibri" w:cs="Calibri"/>
          <w:kern w:val="0"/>
          <w:lang w:eastAsia="en-GB"/>
          <w14:ligatures w14:val="none"/>
        </w:rPr>
      </w:pPr>
      <w:r w:rsidRPr="00BB796F">
        <w:rPr>
          <w:rFonts w:ascii="Calibri" w:eastAsia="Times New Roman" w:hAnsi="Calibri" w:cs="Calibri"/>
          <w:color w:val="000000" w:themeColor="text1"/>
          <w:kern w:val="0"/>
          <w:lang w:eastAsia="en-GB"/>
          <w14:ligatures w14:val="none"/>
        </w:rPr>
        <w:t>Therapeutic Goods Administration 2026b, ‘Labelling and advertising for registered complementary medicines’, Therapeutic Goods Administration, viewed 21 August 2026, https://www.tga.gov.au/products/medicines/registered-complementary-medicines/labelling-and-advertising.</w:t>
      </w:r>
      <w:r w:rsidRPr="00BB796F">
        <w:rPr>
          <w:rFonts w:ascii="Calibri" w:eastAsia="Times New Roman" w:hAnsi="Calibri" w:cs="Calibri"/>
          <w:kern w:val="0"/>
          <w:lang w:eastAsia="en-GB"/>
          <w14:ligatures w14:val="none"/>
        </w:rPr>
        <w:t xml:space="preserve"> </w:t>
      </w:r>
    </w:p>
    <w:p w14:paraId="15928366" w14:textId="77777777" w:rsidR="00692E1B" w:rsidRDefault="00692E1B" w:rsidP="00BB796F">
      <w:pPr>
        <w:spacing w:before="100" w:beforeAutospacing="1" w:after="100" w:afterAutospacing="1" w:line="240" w:lineRule="auto"/>
        <w:rPr>
          <w:rFonts w:ascii="Calibri" w:eastAsia="Times New Roman" w:hAnsi="Calibri" w:cs="Calibri"/>
          <w:b/>
          <w:bCs/>
          <w:kern w:val="0"/>
          <w:lang w:eastAsia="en-GB"/>
          <w14:ligatures w14:val="none"/>
        </w:rPr>
      </w:pPr>
    </w:p>
    <w:p w14:paraId="745F4F78" w14:textId="77777777" w:rsidR="00692E1B" w:rsidRDefault="00692E1B" w:rsidP="00BB796F">
      <w:pPr>
        <w:spacing w:before="100" w:beforeAutospacing="1" w:after="100" w:afterAutospacing="1" w:line="240" w:lineRule="auto"/>
        <w:rPr>
          <w:rFonts w:ascii="Calibri" w:eastAsia="Times New Roman" w:hAnsi="Calibri" w:cs="Calibri"/>
          <w:b/>
          <w:bCs/>
          <w:kern w:val="0"/>
          <w:lang w:eastAsia="en-GB"/>
          <w14:ligatures w14:val="none"/>
        </w:rPr>
      </w:pPr>
    </w:p>
    <w:p w14:paraId="3CDF0DF5" w14:textId="77777777" w:rsidR="00692E1B" w:rsidRDefault="00692E1B" w:rsidP="00BB796F">
      <w:pPr>
        <w:spacing w:before="100" w:beforeAutospacing="1" w:after="100" w:afterAutospacing="1" w:line="240" w:lineRule="auto"/>
        <w:rPr>
          <w:rFonts w:ascii="Calibri" w:eastAsia="Times New Roman" w:hAnsi="Calibri" w:cs="Calibri"/>
          <w:b/>
          <w:bCs/>
          <w:kern w:val="0"/>
          <w:lang w:eastAsia="en-GB"/>
          <w14:ligatures w14:val="none"/>
        </w:rPr>
      </w:pPr>
    </w:p>
    <w:p w14:paraId="7F7DD7A8" w14:textId="77777777" w:rsidR="00662CD4" w:rsidRDefault="00662CD4" w:rsidP="00BB796F">
      <w:pPr>
        <w:spacing w:before="100" w:beforeAutospacing="1" w:after="100" w:afterAutospacing="1" w:line="240" w:lineRule="auto"/>
        <w:rPr>
          <w:rFonts w:ascii="Calibri" w:eastAsia="Times New Roman" w:hAnsi="Calibri" w:cs="Calibri"/>
          <w:b/>
          <w:bCs/>
          <w:kern w:val="0"/>
          <w:lang w:eastAsia="en-GB"/>
          <w14:ligatures w14:val="none"/>
        </w:rPr>
      </w:pPr>
    </w:p>
    <w:p w14:paraId="0F475F3C" w14:textId="77777777" w:rsidR="00662CD4" w:rsidRDefault="00662CD4" w:rsidP="00BB796F">
      <w:pPr>
        <w:spacing w:before="100" w:beforeAutospacing="1" w:after="100" w:afterAutospacing="1" w:line="240" w:lineRule="auto"/>
        <w:rPr>
          <w:rFonts w:ascii="Calibri" w:eastAsia="Times New Roman" w:hAnsi="Calibri" w:cs="Calibri"/>
          <w:b/>
          <w:bCs/>
          <w:kern w:val="0"/>
          <w:lang w:eastAsia="en-GB"/>
          <w14:ligatures w14:val="none"/>
        </w:rPr>
      </w:pPr>
    </w:p>
    <w:p w14:paraId="60456085" w14:textId="0778B5B1" w:rsidR="00692E1B" w:rsidRPr="0046358E" w:rsidRDefault="00692E1B" w:rsidP="00F24948">
      <w:pPr>
        <w:pStyle w:val="Heading1"/>
        <w:rPr>
          <w:rFonts w:eastAsia="Times New Roman"/>
          <w:lang w:eastAsia="en-GB"/>
        </w:rPr>
      </w:pPr>
      <w:bookmarkStart w:id="19" w:name="_Toc238233860"/>
      <w:r w:rsidRPr="0046358E">
        <w:rPr>
          <w:rFonts w:eastAsia="Times New Roman"/>
          <w:lang w:eastAsia="en-GB"/>
        </w:rPr>
        <w:lastRenderedPageBreak/>
        <w:t>6. Appendix</w:t>
      </w:r>
      <w:bookmarkEnd w:id="19"/>
    </w:p>
    <w:p w14:paraId="4B33CB19" w14:textId="01314F1C" w:rsidR="00692E1B" w:rsidRPr="0046358E" w:rsidRDefault="00692E1B" w:rsidP="00662CD4">
      <w:r w:rsidRPr="0046358E">
        <w:t>Appendix A — Detailed Year-by-Year Cash Flow Schedule:</w:t>
      </w:r>
    </w:p>
    <w:p w14:paraId="5852F4A4" w14:textId="1137F6BD" w:rsidR="005B2FFB" w:rsidRPr="005B2FFB" w:rsidRDefault="00692E1B" w:rsidP="00662CD4">
      <w:pPr>
        <w:rPr>
          <w:rFonts w:eastAsia="Times New Roman"/>
          <w:b/>
          <w:bCs/>
          <w:kern w:val="0"/>
          <w:lang w:eastAsia="en-GB"/>
          <w14:ligatures w14:val="none"/>
        </w:rPr>
      </w:pPr>
      <w:r w:rsidRPr="0046358E">
        <w:rPr>
          <w:rFonts w:eastAsia="Times New Roman"/>
          <w:b/>
          <w:bCs/>
          <w:noProof/>
          <w:kern w:val="0"/>
          <w:lang w:eastAsia="en-GB"/>
          <w14:ligatures w14:val="none"/>
        </w:rPr>
        <w:drawing>
          <wp:inline distT="0" distB="0" distL="0" distR="0" wp14:anchorId="4C03334D" wp14:editId="31A1D7F3">
            <wp:extent cx="6064250" cy="3625794"/>
            <wp:effectExtent l="0" t="0" r="0" b="0"/>
            <wp:docPr id="131268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7898" name=""/>
                    <pic:cNvPicPr/>
                  </pic:nvPicPr>
                  <pic:blipFill>
                    <a:blip r:embed="rId25"/>
                    <a:stretch>
                      <a:fillRect/>
                    </a:stretch>
                  </pic:blipFill>
                  <pic:spPr>
                    <a:xfrm>
                      <a:off x="0" y="0"/>
                      <a:ext cx="6089713" cy="3641018"/>
                    </a:xfrm>
                    <a:prstGeom prst="rect">
                      <a:avLst/>
                    </a:prstGeom>
                  </pic:spPr>
                </pic:pic>
              </a:graphicData>
            </a:graphic>
          </wp:inline>
        </w:drawing>
      </w:r>
    </w:p>
    <w:p w14:paraId="287F6F2D" w14:textId="77777777" w:rsidR="005B2FFB" w:rsidRDefault="005B2FFB" w:rsidP="00662CD4"/>
    <w:p w14:paraId="26AC6F40" w14:textId="01800D00" w:rsidR="00692E1B" w:rsidRPr="0046358E" w:rsidRDefault="00692E1B" w:rsidP="00662CD4">
      <w:r w:rsidRPr="0046358E">
        <w:t>Appendix B — Tax Depreciation and Terminal Value Schedule:</w:t>
      </w:r>
    </w:p>
    <w:p w14:paraId="396D6965" w14:textId="5AB53E2C" w:rsidR="00692E1B" w:rsidRPr="0046358E" w:rsidRDefault="00692E1B" w:rsidP="00662CD4">
      <w:r w:rsidRPr="0046358E">
        <w:rPr>
          <w:noProof/>
        </w:rPr>
        <w:drawing>
          <wp:inline distT="0" distB="0" distL="0" distR="0" wp14:anchorId="761F1199" wp14:editId="06FF74FE">
            <wp:extent cx="6063157" cy="1639614"/>
            <wp:effectExtent l="0" t="0" r="0" b="0"/>
            <wp:docPr id="92790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9804" name=""/>
                    <pic:cNvPicPr/>
                  </pic:nvPicPr>
                  <pic:blipFill>
                    <a:blip r:embed="rId26"/>
                    <a:stretch>
                      <a:fillRect/>
                    </a:stretch>
                  </pic:blipFill>
                  <pic:spPr>
                    <a:xfrm>
                      <a:off x="0" y="0"/>
                      <a:ext cx="6142907" cy="1661180"/>
                    </a:xfrm>
                    <a:prstGeom prst="rect">
                      <a:avLst/>
                    </a:prstGeom>
                  </pic:spPr>
                </pic:pic>
              </a:graphicData>
            </a:graphic>
          </wp:inline>
        </w:drawing>
      </w:r>
    </w:p>
    <w:p w14:paraId="0F8EFF03" w14:textId="77777777" w:rsidR="005B2FFB" w:rsidRDefault="005B2FFB" w:rsidP="00662CD4"/>
    <w:p w14:paraId="6B72E43A" w14:textId="77777777" w:rsidR="005B2FFB" w:rsidRDefault="005B2FFB" w:rsidP="00662CD4"/>
    <w:p w14:paraId="73E4B5E6" w14:textId="77777777" w:rsidR="005B2FFB" w:rsidRDefault="005B2FFB" w:rsidP="00662CD4"/>
    <w:p w14:paraId="6B844DCA" w14:textId="77777777" w:rsidR="005B2FFB" w:rsidRDefault="005B2FFB" w:rsidP="00662CD4"/>
    <w:p w14:paraId="7131ADE5" w14:textId="77777777" w:rsidR="005B2FFB" w:rsidRDefault="005B2FFB" w:rsidP="00662CD4"/>
    <w:p w14:paraId="40A4C7FB" w14:textId="77777777" w:rsidR="005B2FFB" w:rsidRDefault="005B2FFB" w:rsidP="00662CD4"/>
    <w:p w14:paraId="6EA9BFD5" w14:textId="22696718" w:rsidR="00692E1B" w:rsidRPr="0046358E" w:rsidRDefault="00692E1B" w:rsidP="00662CD4">
      <w:r w:rsidRPr="0046358E">
        <w:lastRenderedPageBreak/>
        <w:t>Appendix C — Working Capital Schedule:</w:t>
      </w:r>
    </w:p>
    <w:p w14:paraId="437FD85E" w14:textId="39FE2DE6" w:rsidR="0046358E" w:rsidRDefault="00692E1B" w:rsidP="00662CD4">
      <w:pPr>
        <w:rPr>
          <w:rFonts w:eastAsia="Times New Roman"/>
          <w:kern w:val="0"/>
          <w:lang w:eastAsia="en-GB"/>
          <w14:ligatures w14:val="none"/>
        </w:rPr>
      </w:pPr>
      <w:r w:rsidRPr="0046358E">
        <w:rPr>
          <w:rFonts w:eastAsia="Times New Roman"/>
          <w:noProof/>
          <w:kern w:val="0"/>
          <w:lang w:eastAsia="en-GB"/>
          <w14:ligatures w14:val="none"/>
        </w:rPr>
        <w:drawing>
          <wp:inline distT="0" distB="0" distL="0" distR="0" wp14:anchorId="5D3AB7FE" wp14:editId="72BE892A">
            <wp:extent cx="6061834" cy="1900361"/>
            <wp:effectExtent l="0" t="0" r="0" b="5080"/>
            <wp:docPr id="174223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36984" name=""/>
                    <pic:cNvPicPr/>
                  </pic:nvPicPr>
                  <pic:blipFill>
                    <a:blip r:embed="rId27"/>
                    <a:stretch>
                      <a:fillRect/>
                    </a:stretch>
                  </pic:blipFill>
                  <pic:spPr>
                    <a:xfrm>
                      <a:off x="0" y="0"/>
                      <a:ext cx="6284552" cy="1970182"/>
                    </a:xfrm>
                    <a:prstGeom prst="rect">
                      <a:avLst/>
                    </a:prstGeom>
                  </pic:spPr>
                </pic:pic>
              </a:graphicData>
            </a:graphic>
          </wp:inline>
        </w:drawing>
      </w:r>
    </w:p>
    <w:p w14:paraId="352A4E41" w14:textId="77777777" w:rsidR="00662CD4" w:rsidRDefault="00662CD4" w:rsidP="00662CD4">
      <w:pPr>
        <w:rPr>
          <w:rFonts w:eastAsia="Times New Roman"/>
          <w:kern w:val="0"/>
          <w:lang w:eastAsia="en-GB"/>
          <w14:ligatures w14:val="none"/>
        </w:rPr>
      </w:pPr>
    </w:p>
    <w:p w14:paraId="2FF6BC84" w14:textId="469AA149" w:rsidR="00692E1B" w:rsidRDefault="00692E1B" w:rsidP="00662CD4">
      <w:pPr>
        <w:rPr>
          <w:rFonts w:eastAsia="Times New Roman"/>
          <w:kern w:val="0"/>
          <w:lang w:eastAsia="en-GB"/>
          <w14:ligatures w14:val="none"/>
        </w:rPr>
      </w:pPr>
      <w:r w:rsidRPr="00692E1B">
        <w:rPr>
          <w:rFonts w:eastAsia="Times New Roman"/>
          <w:kern w:val="0"/>
          <w:lang w:eastAsia="en-GB"/>
          <w14:ligatures w14:val="none"/>
        </w:rPr>
        <w:t>Appendix D — No-Contract Manufacturing Sensitivity</w:t>
      </w:r>
      <w:r w:rsidR="0046358E" w:rsidRPr="0046358E">
        <w:rPr>
          <w:rFonts w:eastAsia="Times New Roman"/>
          <w:kern w:val="0"/>
          <w:lang w:eastAsia="en-GB"/>
          <w14:ligatures w14:val="none"/>
        </w:rPr>
        <w:t>:</w:t>
      </w:r>
    </w:p>
    <w:p w14:paraId="1DD16125" w14:textId="048EDE0E" w:rsidR="0046358E" w:rsidRPr="00692E1B" w:rsidRDefault="00E956AD" w:rsidP="00662CD4">
      <w:pPr>
        <w:rPr>
          <w:rFonts w:eastAsia="Times New Roman"/>
          <w:kern w:val="0"/>
          <w:lang w:eastAsia="en-GB"/>
          <w14:ligatures w14:val="none"/>
        </w:rPr>
      </w:pPr>
      <w:r w:rsidRPr="00E956AD">
        <w:rPr>
          <w:noProof/>
        </w:rPr>
        <w:drawing>
          <wp:inline distT="0" distB="0" distL="0" distR="0" wp14:anchorId="05C87523" wp14:editId="39964DF1">
            <wp:extent cx="2933700" cy="969558"/>
            <wp:effectExtent l="0" t="0" r="0" b="0"/>
            <wp:docPr id="189168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80688" name=""/>
                    <pic:cNvPicPr/>
                  </pic:nvPicPr>
                  <pic:blipFill>
                    <a:blip r:embed="rId28"/>
                    <a:stretch>
                      <a:fillRect/>
                    </a:stretch>
                  </pic:blipFill>
                  <pic:spPr>
                    <a:xfrm>
                      <a:off x="0" y="0"/>
                      <a:ext cx="3029863" cy="1001339"/>
                    </a:xfrm>
                    <a:prstGeom prst="rect">
                      <a:avLst/>
                    </a:prstGeom>
                  </pic:spPr>
                </pic:pic>
              </a:graphicData>
            </a:graphic>
          </wp:inline>
        </w:drawing>
      </w:r>
    </w:p>
    <w:p w14:paraId="6030577D" w14:textId="77777777" w:rsidR="00BB796F" w:rsidRPr="00692E1B" w:rsidRDefault="00BB796F" w:rsidP="00662CD4"/>
    <w:p w14:paraId="706B422E" w14:textId="77777777" w:rsidR="00BB796F" w:rsidRPr="00BB796F" w:rsidRDefault="00BB796F" w:rsidP="00BB796F">
      <w:pPr>
        <w:rPr>
          <w:rFonts w:ascii="Calibri" w:hAnsi="Calibri" w:cs="Calibri"/>
        </w:rPr>
      </w:pPr>
    </w:p>
    <w:p w14:paraId="730DF718" w14:textId="77777777" w:rsidR="00E127DB" w:rsidRPr="00BB796F" w:rsidRDefault="00E127DB" w:rsidP="00BE7449">
      <w:pPr>
        <w:pStyle w:val="pdq2pgselectionanchorcontainer"/>
        <w:rPr>
          <w:rFonts w:ascii="Calibri" w:hAnsi="Calibri" w:cs="Calibri"/>
          <w:lang w:val="en-US"/>
        </w:rPr>
      </w:pPr>
    </w:p>
    <w:sectPr w:rsidR="00E127DB" w:rsidRPr="00BB796F" w:rsidSect="00C96430">
      <w:footerReference w:type="even" r:id="rId29"/>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E94F0" w14:textId="77777777" w:rsidR="0014764A" w:rsidRDefault="0014764A" w:rsidP="00C96430">
      <w:pPr>
        <w:spacing w:after="0" w:line="240" w:lineRule="auto"/>
      </w:pPr>
      <w:r>
        <w:separator/>
      </w:r>
    </w:p>
  </w:endnote>
  <w:endnote w:type="continuationSeparator" w:id="0">
    <w:p w14:paraId="3EC75F8C" w14:textId="77777777" w:rsidR="0014764A" w:rsidRDefault="0014764A" w:rsidP="00C96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429199"/>
      <w:docPartObj>
        <w:docPartGallery w:val="Page Numbers (Bottom of Page)"/>
        <w:docPartUnique/>
      </w:docPartObj>
    </w:sdtPr>
    <w:sdtContent>
      <w:p w14:paraId="4B9366F1" w14:textId="0470354E" w:rsidR="00C96430" w:rsidRDefault="00C96430" w:rsidP="00071E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93A7A6" w14:textId="77777777" w:rsidR="00C96430" w:rsidRDefault="00C96430" w:rsidP="00C964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059611"/>
      <w:docPartObj>
        <w:docPartGallery w:val="Page Numbers (Bottom of Page)"/>
        <w:docPartUnique/>
      </w:docPartObj>
    </w:sdtPr>
    <w:sdtContent>
      <w:p w14:paraId="15466536" w14:textId="6CB136A8" w:rsidR="00C96430" w:rsidRDefault="00C96430" w:rsidP="00071E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A1EE79" w14:textId="77777777" w:rsidR="00C96430" w:rsidRDefault="00C96430" w:rsidP="00C964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6D2DE" w14:textId="77777777" w:rsidR="0014764A" w:rsidRDefault="0014764A" w:rsidP="00C96430">
      <w:pPr>
        <w:spacing w:after="0" w:line="240" w:lineRule="auto"/>
      </w:pPr>
      <w:r>
        <w:separator/>
      </w:r>
    </w:p>
  </w:footnote>
  <w:footnote w:type="continuationSeparator" w:id="0">
    <w:p w14:paraId="489B10AF" w14:textId="77777777" w:rsidR="0014764A" w:rsidRDefault="0014764A" w:rsidP="00C96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B53"/>
    <w:multiLevelType w:val="hybridMultilevel"/>
    <w:tmpl w:val="B970B0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7B6F49"/>
    <w:multiLevelType w:val="hybridMultilevel"/>
    <w:tmpl w:val="8A3EDC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666B21"/>
    <w:multiLevelType w:val="multilevel"/>
    <w:tmpl w:val="40D46922"/>
    <w:lvl w:ilvl="0">
      <w:start w:val="4"/>
      <w:numFmt w:val="decimal"/>
      <w:lvlText w:val="%1"/>
      <w:lvlJc w:val="left"/>
      <w:pPr>
        <w:ind w:left="500" w:hanging="500"/>
      </w:pPr>
      <w:rPr>
        <w:rFonts w:hint="default"/>
        <w:b/>
      </w:rPr>
    </w:lvl>
    <w:lvl w:ilvl="1">
      <w:start w:val="2"/>
      <w:numFmt w:val="decimal"/>
      <w:lvlText w:val="%1.%2"/>
      <w:lvlJc w:val="left"/>
      <w:pPr>
        <w:ind w:left="500" w:hanging="50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3CE25B58"/>
    <w:multiLevelType w:val="hybridMultilevel"/>
    <w:tmpl w:val="DDD0F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B37932"/>
    <w:multiLevelType w:val="hybridMultilevel"/>
    <w:tmpl w:val="823E06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8C04F1"/>
    <w:multiLevelType w:val="multilevel"/>
    <w:tmpl w:val="79623704"/>
    <w:lvl w:ilvl="0">
      <w:start w:val="4"/>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AF53330"/>
    <w:multiLevelType w:val="multilevel"/>
    <w:tmpl w:val="F1F85BC4"/>
    <w:lvl w:ilvl="0">
      <w:start w:val="4"/>
      <w:numFmt w:val="decimal"/>
      <w:lvlText w:val="%1"/>
      <w:lvlJc w:val="left"/>
      <w:pPr>
        <w:ind w:left="500" w:hanging="500"/>
      </w:pPr>
      <w:rPr>
        <w:rFonts w:hint="default"/>
        <w:b/>
      </w:rPr>
    </w:lvl>
    <w:lvl w:ilvl="1">
      <w:start w:val="2"/>
      <w:numFmt w:val="decimal"/>
      <w:lvlText w:val="%1.%2"/>
      <w:lvlJc w:val="left"/>
      <w:pPr>
        <w:ind w:left="500" w:hanging="50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642F2003"/>
    <w:multiLevelType w:val="hybridMultilevel"/>
    <w:tmpl w:val="F4C48B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7854999">
    <w:abstractNumId w:val="3"/>
  </w:num>
  <w:num w:numId="2" w16cid:durableId="956526765">
    <w:abstractNumId w:val="7"/>
  </w:num>
  <w:num w:numId="3" w16cid:durableId="246892349">
    <w:abstractNumId w:val="1"/>
  </w:num>
  <w:num w:numId="4" w16cid:durableId="1785416106">
    <w:abstractNumId w:val="4"/>
  </w:num>
  <w:num w:numId="5" w16cid:durableId="500583641">
    <w:abstractNumId w:val="0"/>
  </w:num>
  <w:num w:numId="6" w16cid:durableId="2044330318">
    <w:abstractNumId w:val="5"/>
  </w:num>
  <w:num w:numId="7" w16cid:durableId="1890800109">
    <w:abstractNumId w:val="6"/>
  </w:num>
  <w:num w:numId="8" w16cid:durableId="1246960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6C"/>
    <w:rsid w:val="00004770"/>
    <w:rsid w:val="00051DFD"/>
    <w:rsid w:val="000B55E4"/>
    <w:rsid w:val="000D310C"/>
    <w:rsid w:val="0014764A"/>
    <w:rsid w:val="00194384"/>
    <w:rsid w:val="001B4A27"/>
    <w:rsid w:val="00281CD6"/>
    <w:rsid w:val="002E3E40"/>
    <w:rsid w:val="00374B11"/>
    <w:rsid w:val="003B7427"/>
    <w:rsid w:val="004153CF"/>
    <w:rsid w:val="00452E3C"/>
    <w:rsid w:val="0046358E"/>
    <w:rsid w:val="004E15F2"/>
    <w:rsid w:val="0052587B"/>
    <w:rsid w:val="00535357"/>
    <w:rsid w:val="005A17F6"/>
    <w:rsid w:val="005B2FFB"/>
    <w:rsid w:val="00662CD4"/>
    <w:rsid w:val="00692E1B"/>
    <w:rsid w:val="007013E8"/>
    <w:rsid w:val="00706153"/>
    <w:rsid w:val="00724860"/>
    <w:rsid w:val="00736063"/>
    <w:rsid w:val="00744E4C"/>
    <w:rsid w:val="00783729"/>
    <w:rsid w:val="007C650E"/>
    <w:rsid w:val="00800786"/>
    <w:rsid w:val="00814F92"/>
    <w:rsid w:val="009B48CF"/>
    <w:rsid w:val="009F28BE"/>
    <w:rsid w:val="00A02EA2"/>
    <w:rsid w:val="00A07340"/>
    <w:rsid w:val="00A34ED5"/>
    <w:rsid w:val="00A70AB4"/>
    <w:rsid w:val="00A9496C"/>
    <w:rsid w:val="00AA19CD"/>
    <w:rsid w:val="00AA7BA6"/>
    <w:rsid w:val="00AC13EE"/>
    <w:rsid w:val="00AE7B6E"/>
    <w:rsid w:val="00B376DF"/>
    <w:rsid w:val="00B617C0"/>
    <w:rsid w:val="00B951EF"/>
    <w:rsid w:val="00BB796F"/>
    <w:rsid w:val="00BC048E"/>
    <w:rsid w:val="00BC04FA"/>
    <w:rsid w:val="00BE7449"/>
    <w:rsid w:val="00C22117"/>
    <w:rsid w:val="00C318EE"/>
    <w:rsid w:val="00C40333"/>
    <w:rsid w:val="00C96430"/>
    <w:rsid w:val="00CF2FD8"/>
    <w:rsid w:val="00D53969"/>
    <w:rsid w:val="00D764EF"/>
    <w:rsid w:val="00D8620B"/>
    <w:rsid w:val="00DD4475"/>
    <w:rsid w:val="00E127DB"/>
    <w:rsid w:val="00E60F70"/>
    <w:rsid w:val="00E956AD"/>
    <w:rsid w:val="00E96AC1"/>
    <w:rsid w:val="00F10F4F"/>
    <w:rsid w:val="00F24948"/>
    <w:rsid w:val="00F3237E"/>
    <w:rsid w:val="00FB33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6453"/>
  <w15:chartTrackingRefBased/>
  <w15:docId w15:val="{517EBD9C-2355-7843-B0F8-9FF9EE64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4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4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96C"/>
    <w:rPr>
      <w:rFonts w:eastAsiaTheme="majorEastAsia" w:cstheme="majorBidi"/>
      <w:color w:val="272727" w:themeColor="text1" w:themeTint="D8"/>
    </w:rPr>
  </w:style>
  <w:style w:type="paragraph" w:styleId="Title">
    <w:name w:val="Title"/>
    <w:basedOn w:val="Normal"/>
    <w:next w:val="Normal"/>
    <w:link w:val="TitleChar"/>
    <w:uiPriority w:val="10"/>
    <w:qFormat/>
    <w:rsid w:val="00A9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96C"/>
    <w:pPr>
      <w:spacing w:before="160"/>
      <w:jc w:val="center"/>
    </w:pPr>
    <w:rPr>
      <w:i/>
      <w:iCs/>
      <w:color w:val="404040" w:themeColor="text1" w:themeTint="BF"/>
    </w:rPr>
  </w:style>
  <w:style w:type="character" w:customStyle="1" w:styleId="QuoteChar">
    <w:name w:val="Quote Char"/>
    <w:basedOn w:val="DefaultParagraphFont"/>
    <w:link w:val="Quote"/>
    <w:uiPriority w:val="29"/>
    <w:rsid w:val="00A9496C"/>
    <w:rPr>
      <w:i/>
      <w:iCs/>
      <w:color w:val="404040" w:themeColor="text1" w:themeTint="BF"/>
    </w:rPr>
  </w:style>
  <w:style w:type="paragraph" w:styleId="ListParagraph">
    <w:name w:val="List Paragraph"/>
    <w:basedOn w:val="Normal"/>
    <w:uiPriority w:val="34"/>
    <w:qFormat/>
    <w:rsid w:val="00A9496C"/>
    <w:pPr>
      <w:ind w:left="720"/>
      <w:contextualSpacing/>
    </w:pPr>
  </w:style>
  <w:style w:type="character" w:styleId="IntenseEmphasis">
    <w:name w:val="Intense Emphasis"/>
    <w:basedOn w:val="DefaultParagraphFont"/>
    <w:uiPriority w:val="21"/>
    <w:qFormat/>
    <w:rsid w:val="00A9496C"/>
    <w:rPr>
      <w:i/>
      <w:iCs/>
      <w:color w:val="0F4761" w:themeColor="accent1" w:themeShade="BF"/>
    </w:rPr>
  </w:style>
  <w:style w:type="paragraph" w:styleId="IntenseQuote">
    <w:name w:val="Intense Quote"/>
    <w:basedOn w:val="Normal"/>
    <w:next w:val="Normal"/>
    <w:link w:val="IntenseQuoteChar"/>
    <w:uiPriority w:val="30"/>
    <w:qFormat/>
    <w:rsid w:val="00A9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96C"/>
    <w:rPr>
      <w:i/>
      <w:iCs/>
      <w:color w:val="0F4761" w:themeColor="accent1" w:themeShade="BF"/>
    </w:rPr>
  </w:style>
  <w:style w:type="character" w:styleId="IntenseReference">
    <w:name w:val="Intense Reference"/>
    <w:basedOn w:val="DefaultParagraphFont"/>
    <w:uiPriority w:val="32"/>
    <w:qFormat/>
    <w:rsid w:val="00A9496C"/>
    <w:rPr>
      <w:b/>
      <w:bCs/>
      <w:smallCaps/>
      <w:color w:val="0F4761" w:themeColor="accent1" w:themeShade="BF"/>
      <w:spacing w:val="5"/>
    </w:rPr>
  </w:style>
  <w:style w:type="table" w:styleId="TableGrid">
    <w:name w:val="Table Grid"/>
    <w:basedOn w:val="TableNormal"/>
    <w:uiPriority w:val="39"/>
    <w:rsid w:val="00A94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496C"/>
    <w:rPr>
      <w:b/>
      <w:bCs/>
    </w:rPr>
  </w:style>
  <w:style w:type="character" w:styleId="CommentReference">
    <w:name w:val="annotation reference"/>
    <w:basedOn w:val="DefaultParagraphFont"/>
    <w:uiPriority w:val="99"/>
    <w:semiHidden/>
    <w:unhideWhenUsed/>
    <w:rsid w:val="00281CD6"/>
    <w:rPr>
      <w:sz w:val="16"/>
      <w:szCs w:val="16"/>
    </w:rPr>
  </w:style>
  <w:style w:type="paragraph" w:styleId="CommentText">
    <w:name w:val="annotation text"/>
    <w:basedOn w:val="Normal"/>
    <w:link w:val="CommentTextChar"/>
    <w:uiPriority w:val="99"/>
    <w:semiHidden/>
    <w:unhideWhenUsed/>
    <w:rsid w:val="00281CD6"/>
    <w:pPr>
      <w:spacing w:line="240" w:lineRule="auto"/>
    </w:pPr>
    <w:rPr>
      <w:sz w:val="20"/>
      <w:szCs w:val="20"/>
    </w:rPr>
  </w:style>
  <w:style w:type="character" w:customStyle="1" w:styleId="CommentTextChar">
    <w:name w:val="Comment Text Char"/>
    <w:basedOn w:val="DefaultParagraphFont"/>
    <w:link w:val="CommentText"/>
    <w:uiPriority w:val="99"/>
    <w:semiHidden/>
    <w:rsid w:val="00281CD6"/>
    <w:rPr>
      <w:sz w:val="20"/>
      <w:szCs w:val="20"/>
    </w:rPr>
  </w:style>
  <w:style w:type="paragraph" w:styleId="CommentSubject">
    <w:name w:val="annotation subject"/>
    <w:basedOn w:val="CommentText"/>
    <w:next w:val="CommentText"/>
    <w:link w:val="CommentSubjectChar"/>
    <w:uiPriority w:val="99"/>
    <w:semiHidden/>
    <w:unhideWhenUsed/>
    <w:rsid w:val="00281CD6"/>
    <w:rPr>
      <w:b/>
      <w:bCs/>
    </w:rPr>
  </w:style>
  <w:style w:type="character" w:customStyle="1" w:styleId="CommentSubjectChar">
    <w:name w:val="Comment Subject Char"/>
    <w:basedOn w:val="CommentTextChar"/>
    <w:link w:val="CommentSubject"/>
    <w:uiPriority w:val="99"/>
    <w:semiHidden/>
    <w:rsid w:val="00281CD6"/>
    <w:rPr>
      <w:b/>
      <w:bCs/>
      <w:sz w:val="20"/>
      <w:szCs w:val="20"/>
    </w:rPr>
  </w:style>
  <w:style w:type="paragraph" w:styleId="NormalWeb">
    <w:name w:val="Normal (Web)"/>
    <w:basedOn w:val="Normal"/>
    <w:uiPriority w:val="99"/>
    <w:semiHidden/>
    <w:unhideWhenUsed/>
    <w:rsid w:val="00CF2F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dq2pgselectionanchorcontainer">
    <w:name w:val="pdq2pg_selectionanchorcontainer"/>
    <w:basedOn w:val="Normal"/>
    <w:rsid w:val="00FB33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BB796F"/>
    <w:rPr>
      <w:i/>
      <w:iCs/>
    </w:rPr>
  </w:style>
  <w:style w:type="character" w:styleId="Hyperlink">
    <w:name w:val="Hyperlink"/>
    <w:basedOn w:val="DefaultParagraphFont"/>
    <w:uiPriority w:val="99"/>
    <w:unhideWhenUsed/>
    <w:rsid w:val="00BB796F"/>
    <w:rPr>
      <w:color w:val="0000FF"/>
      <w:u w:val="single"/>
    </w:rPr>
  </w:style>
  <w:style w:type="paragraph" w:styleId="Footer">
    <w:name w:val="footer"/>
    <w:basedOn w:val="Normal"/>
    <w:link w:val="FooterChar"/>
    <w:uiPriority w:val="99"/>
    <w:unhideWhenUsed/>
    <w:rsid w:val="00C964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6430"/>
  </w:style>
  <w:style w:type="character" w:styleId="PageNumber">
    <w:name w:val="page number"/>
    <w:basedOn w:val="DefaultParagraphFont"/>
    <w:uiPriority w:val="99"/>
    <w:semiHidden/>
    <w:unhideWhenUsed/>
    <w:rsid w:val="00C96430"/>
  </w:style>
  <w:style w:type="paragraph" w:styleId="TOCHeading">
    <w:name w:val="TOC Heading"/>
    <w:basedOn w:val="Heading1"/>
    <w:next w:val="Normal"/>
    <w:uiPriority w:val="39"/>
    <w:unhideWhenUsed/>
    <w:qFormat/>
    <w:rsid w:val="00662CD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62CD4"/>
    <w:pPr>
      <w:spacing w:before="120" w:after="120"/>
    </w:pPr>
    <w:rPr>
      <w:b/>
      <w:bCs/>
      <w:caps/>
      <w:sz w:val="20"/>
      <w:szCs w:val="20"/>
    </w:rPr>
  </w:style>
  <w:style w:type="paragraph" w:styleId="TOC2">
    <w:name w:val="toc 2"/>
    <w:basedOn w:val="Normal"/>
    <w:next w:val="Normal"/>
    <w:autoRedefine/>
    <w:uiPriority w:val="39"/>
    <w:unhideWhenUsed/>
    <w:rsid w:val="00662CD4"/>
    <w:pPr>
      <w:spacing w:after="0"/>
      <w:ind w:left="240"/>
    </w:pPr>
    <w:rPr>
      <w:smallCaps/>
      <w:sz w:val="20"/>
      <w:szCs w:val="20"/>
    </w:rPr>
  </w:style>
  <w:style w:type="paragraph" w:styleId="TOC3">
    <w:name w:val="toc 3"/>
    <w:basedOn w:val="Normal"/>
    <w:next w:val="Normal"/>
    <w:autoRedefine/>
    <w:uiPriority w:val="39"/>
    <w:unhideWhenUsed/>
    <w:rsid w:val="00662CD4"/>
    <w:pPr>
      <w:spacing w:after="0"/>
      <w:ind w:left="480"/>
    </w:pPr>
    <w:rPr>
      <w:i/>
      <w:iCs/>
      <w:sz w:val="20"/>
      <w:szCs w:val="20"/>
    </w:rPr>
  </w:style>
  <w:style w:type="paragraph" w:styleId="TOC4">
    <w:name w:val="toc 4"/>
    <w:basedOn w:val="Normal"/>
    <w:next w:val="Normal"/>
    <w:autoRedefine/>
    <w:uiPriority w:val="39"/>
    <w:semiHidden/>
    <w:unhideWhenUsed/>
    <w:rsid w:val="00662CD4"/>
    <w:pPr>
      <w:spacing w:after="0"/>
      <w:ind w:left="720"/>
    </w:pPr>
    <w:rPr>
      <w:sz w:val="18"/>
      <w:szCs w:val="18"/>
    </w:rPr>
  </w:style>
  <w:style w:type="paragraph" w:styleId="TOC5">
    <w:name w:val="toc 5"/>
    <w:basedOn w:val="Normal"/>
    <w:next w:val="Normal"/>
    <w:autoRedefine/>
    <w:uiPriority w:val="39"/>
    <w:semiHidden/>
    <w:unhideWhenUsed/>
    <w:rsid w:val="00662CD4"/>
    <w:pPr>
      <w:spacing w:after="0"/>
      <w:ind w:left="960"/>
    </w:pPr>
    <w:rPr>
      <w:sz w:val="18"/>
      <w:szCs w:val="18"/>
    </w:rPr>
  </w:style>
  <w:style w:type="paragraph" w:styleId="TOC6">
    <w:name w:val="toc 6"/>
    <w:basedOn w:val="Normal"/>
    <w:next w:val="Normal"/>
    <w:autoRedefine/>
    <w:uiPriority w:val="39"/>
    <w:semiHidden/>
    <w:unhideWhenUsed/>
    <w:rsid w:val="00662CD4"/>
    <w:pPr>
      <w:spacing w:after="0"/>
      <w:ind w:left="1200"/>
    </w:pPr>
    <w:rPr>
      <w:sz w:val="18"/>
      <w:szCs w:val="18"/>
    </w:rPr>
  </w:style>
  <w:style w:type="paragraph" w:styleId="TOC7">
    <w:name w:val="toc 7"/>
    <w:basedOn w:val="Normal"/>
    <w:next w:val="Normal"/>
    <w:autoRedefine/>
    <w:uiPriority w:val="39"/>
    <w:semiHidden/>
    <w:unhideWhenUsed/>
    <w:rsid w:val="00662CD4"/>
    <w:pPr>
      <w:spacing w:after="0"/>
      <w:ind w:left="1440"/>
    </w:pPr>
    <w:rPr>
      <w:sz w:val="18"/>
      <w:szCs w:val="18"/>
    </w:rPr>
  </w:style>
  <w:style w:type="paragraph" w:styleId="TOC8">
    <w:name w:val="toc 8"/>
    <w:basedOn w:val="Normal"/>
    <w:next w:val="Normal"/>
    <w:autoRedefine/>
    <w:uiPriority w:val="39"/>
    <w:semiHidden/>
    <w:unhideWhenUsed/>
    <w:rsid w:val="00662CD4"/>
    <w:pPr>
      <w:spacing w:after="0"/>
      <w:ind w:left="1680"/>
    </w:pPr>
    <w:rPr>
      <w:sz w:val="18"/>
      <w:szCs w:val="18"/>
    </w:rPr>
  </w:style>
  <w:style w:type="paragraph" w:styleId="TOC9">
    <w:name w:val="toc 9"/>
    <w:basedOn w:val="Normal"/>
    <w:next w:val="Normal"/>
    <w:autoRedefine/>
    <w:uiPriority w:val="39"/>
    <w:semiHidden/>
    <w:unhideWhenUsed/>
    <w:rsid w:val="00662CD4"/>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3:53.401"/>
    </inkml:context>
    <inkml:brush xml:id="br0">
      <inkml:brushProperty name="width" value="0.2" units="cm"/>
      <inkml:brushProperty name="height" value="0.2" units="cm"/>
    </inkml:brush>
  </inkml:definitions>
  <inkml:trace contextRef="#ctx0" brushRef="#br0">0 1 24575,'18'0'0,"-3"0"0,-4 0 0,0 0 0,0 0 0,2 0 0,-1 0 0,1 0 0,1 0 0,2 0 0,4 0 0,1 0 0,-1 0 0,0 0 0,-3 0 0,-2 0 0,-1 0 0,-1 0 0,0 0 0,-1 0 0,1 0 0,-1 0 0,1 0 0,0 0 0,-2 0 0,0 0 0,-1 0 0,1 0 0,2 0 0,-2 0 0,0 0 0,0 0 0,0 0 0,2 0 0,-1 0 0,1 0 0,0 0 0,-1 0 0,2 0 0,1 0 0,-1 0 0,2 0 0,1 0 0,1 0 0,3 0 0,0 0 0,1 0 0,2 0 0,0 0 0,1 0 0,-2 0 0,-2 0 0,0 0 0,-3 0 0,-2 0 0,-1 0 0,-3 0 0,1 2 0,-1-1 0,-1 1 0,0 0 0,0 0 0,0-1 0,2 2 0,-1-1 0,1-1 0,0 1 0,-1-1 0,1 1 0,-1 0 0,3 1 0,-1-2 0,1 2 0,-1 0 0,-1-2 0,-1 1 0,1-2 0,1 0 0,1 1 0,1 1 0,4-1 0,5 1 0,4-2 0,4 0 0,-3 1 0,-2 1 0,-6 0 0,-5-1 0,-2-1 0,-3 0 0,-2 0 0,-2 0 0,-2 0 0,0 0 0,1 1 0,1 1 0,-1-1 0,0 0 0,0-1 0,-1 0 0,0 0 0,0 0 0,1 0 0,-1 0 0,1 0 0,0 0 0,1 0 0,0 0 0,0 1 0,0 1 0,0 0 0,1-1 0,0-1 0,0 0 0,1 0 0,-1 0 0,2 0 0,0 0 0,0 0 0,0 0 0,-1 0 0,-2 0 0,0 0 0,0 2 0,1-1 0,-1 1 0,0-1 0,-1-1 0,-2 0 0,0 0 0,0 0 0,0-2 0,-1-3 0,-4 0 0,-2-4 0,1 5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3:47.834"/>
    </inkml:context>
    <inkml:brush xml:id="br0">
      <inkml:brushProperty name="width" value="0.2" units="cm"/>
      <inkml:brushProperty name="height" value="0.2" units="cm"/>
    </inkml:brush>
  </inkml:definitions>
  <inkml:trace contextRef="#ctx0" brushRef="#br0">1 39 24575,'17'0'0,"-1"0"0,-5 0 0,1 0 0,1 0 0,0 0 0,-1 0 0,3 0 0,0 0 0,2 0 0,-1 0 0,0 0 0,0 0 0,-2 0 0,1 0 0,-3 0 0,1 0 0,-2-1 0,-1-1 0,-1 0 0,-3 1 0,1 1 0,-2 0 0,1 0 0,1-1 0,-1 1 0,1-1 0,-1 0 0,0-1 0,2 1 0,1 0 0,1 1 0,2-1 0,1-1 0,-1 0 0,1 1 0,1 0 0,2 0 0,2-1 0,0 1 0,0-2 0,-1 1 0,-2 1 0,-1-1 0,-1 2 0,-1-1 0,1-1 0,-1 0 0,2 1 0,1 1 0,4 0 0,6 0 0,3 0 0,1 0 0,-1 0 0,-3 0 0,-3 0 0,-2 0 0,-3 0 0,-1 0 0,-1 0 0,-1 0 0,0 0 0,-3 0 0,-1 0 0,0 0 0,0 0 0,0 0 0,-1 0 0,1 0 0,-1 0 0,0 0 0,0 0 0,1 0 0,-1 0 0,0 0 0,0 0 0,0 0 0,-1 0 0,2 0 0,-2 0 0,1 0 0,2 0 0,0 0 0,2 0 0,-1 0 0,1 0 0,0 0 0,-1 0 0,1 0 0,1 0 0,2 0 0,2 0 0,2 0 0,1 0 0,-1 0 0,0 0 0,-2 0 0,-2 0 0,-2 0 0,-1 0 0,0 0 0,-1 0 0,1 0 0,-1 0 0,2 0 0,1 0 0,2 0 0,1 0 0,1 0 0,2 0 0,-1 0 0,0 0 0,-1 0 0,-1 0 0,-3 0 0,-1 0 0,-1 0 0,-1 0 0,1 0 0,0 0 0,1 0 0,1 0 0,-1 0 0,0 0 0,-1 0 0,-1 0 0,-1 0 0,-1 0 0,0 0 0,-1 0 0,1 0 0,0 0 0,1 0 0,0 0 0,0 0 0,0 0 0,0 0 0,0 0 0,1 0 0,1 0 0,0 0 0,1 0 0,0 0 0,1 0 0,-2 0 0,-2 0 0,-1 0 0,1 0 0,0 0 0,-1 0 0,-1 0 0,-1 0 0,2 0 0,0 0 0,1 0 0,2 0 0,0 0 0,-1 0 0,1 0 0,0 0 0,2 0 0,-1 0 0,1 0 0,-3 0 0,-2 0 0,0 0 0,-2 0 0,1 0 0,0 0 0,1 0 0,1 0 0,-2 0 0,1 0 0,-1 0 0,0 0 0,-1 0 0,0 0 0,0 0 0,-2 0 0,3 0 0,-1 0 0,0 0 0,1 0 0,-1 0 0,1 0 0,2 0 0,0 0 0,2 0 0,0 0 0,-1 0 0,1 0 0,-1 0 0,1 0 0,-2 0 0,0 0 0,0 0 0,-1 0 0,1 0 0,0 0 0,0 0 0,-1 0 0,1 0 0,-1 0 0,-1 1 0,-1 0 0,-2 0 0,1 1 0,0-2 0,1 0 0,-1 0 0,-2 0 0,1 0 0,0 1 0,-1 1 0,0-1 0,1 0 0,0 1 0,-2 3 0,-3 0 0,-2 1 0,-5-3 0,1-2 0,-5 1 0,4 0 0,-3 2 0,0-1 0,0-2 0,1-1 0,1 0 0,0 1 0,0 0 0,0 0 0,1 1 0,0-1 0,-2-1 0,0 0 0,-1 0 0,-2 0 0,2 0 0,1 0 0,-1 0 0,1 0 0,0 0 0,0 0 0,2 0 0,1 0 0,-1 0 0,0 0 0,0 0 0,-1 0 0,3 0 0,-2 0 0,0 0 0,1 0 0,-2 0 0,2 0 0,-1 0 0,1 0 0,-1 0 0,1 0 0,-1 0 0,-2 0 0,0 0 0,-1 0 0,0 0 0,0 0 0,-1 0 0,0 0 0,-1 0 0,-1 2 0,1-1 0,2 1 0,1-1 0,1-1 0,0 0 0,0 0 0,1 0 0,-1 0 0,0 0 0,1 0 0,-1 0 0,1 0 0,1 1 0,-1 1 0,1 0 0,0-1 0,-1-1 0,0 0 0,-1 0 0,-1 0 0,1 0 0,1 0 0,1 1 0,-1 1 0,1 0 0,-2-1 0,2-1 0,0 0 0,-1 0 0,-1 0 0,2 0 0,-2 0 0,1 0 0,1 0 0,-1 0 0,2-3 0,1-4 0,1 2 0,2-2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3:39.084"/>
    </inkml:context>
    <inkml:brush xml:id="br0">
      <inkml:brushProperty name="width" value="0.2" units="cm"/>
      <inkml:brushProperty name="height" value="0.2" units="cm"/>
    </inkml:brush>
  </inkml:definitions>
  <inkml:trace contextRef="#ctx0" brushRef="#br0">0 7 24575,'18'0'0,"-3"0"0,-7 0 0,1 0 0,2 0 0,-3 0 0,4 0 0,-3 0 0,1 0 0,2 0 0,-2 0 0,1 0 0,0 0 0,1 0 0,0 0 0,2 0 0,0 0 0,2 0 0,2 0 0,1 0 0,0 0 0,1 0 0,2 0 0,1 0 0,1 0 0,0 0 0,-2 0 0,-1 0 0,-3 0 0,-1 0 0,-3 0 0,-2 0 0,1 0 0,0 0 0,-1 0 0,1 0 0,-1 0 0,1 0 0,0 0 0,1 0 0,2 0 0,2 0 0,1 0 0,1 0 0,0 0 0,1 0 0,-3 0 0,-1 0 0,-3 0 0,-1 0 0,-1 0 0,1 0 0,-2 0 0,-1 0 0,0 0 0,-1 0 0,1 0 0,-1 0 0,0 0 0,0 0 0,2 0 0,1 0 0,3 0 0,3 0 0,5 0 0,3 0 0,3 0 0,1-1 0,1 0 0,-3-1 0,-3 0 0,-4 1 0,-4 1 0,-3 0 0,-1 0 0,0 0 0,-1 0 0,-1 0 0,-1 0 0,-2 0 0,1 0 0,-1 0 0,2 0 0,-1 0 0,2 0 0,1 0 0,2 0 0,3 0 0,2 0 0,3 0 0,1 0 0,1 0 0,3 0 0,2 0 0,1 0 0,0 0 0,-3 0 0,-3 0 0,-1 0 0,-3 0 0,-2 0 0,-2 0 0,-2 0 0,-1 0 0,0 0 0,-2 0 0,-1 0 0,-1 0 0,0 0 0,0 0 0,1 0 0,-1 0 0,1 0 0,-1 0 0,1 0 0,1 0 0,1 0 0,3 0 0,0 0 0,0 0 0,1 0 0,0 0 0,2 0 0,2 0 0,2 0 0,1 0 0,-1 0 0,-2 0 0,-2 0 0,-2 0 0,-3 0 0,0 0 0,0 0 0,-1 0 0,1 0 0,-1 0 0,1 0 0,0 0 0,-1 0 0,1 0 0,-1 0 0,1 0 0,-1 0 0,1 0 0,0 0 0,1 0 0,0 0 0,1 0 0,-1 0 0,1 0 0,-1 0 0,1 0 0,-1 0 0,0 0 0,1 0 0,-1 0 0,1 0 0,-3 0 0,-1 0 0,-1 0 0,-2 0 0,-1 0 0,-1 0 0,2 0 0,-1 0 0,1 0 0,1 0 0,0 0 0,2 0 0,0 0 0,0 0 0,-2 0 0,-2 0 0,0 0 0,-1 0 0,0 0 0,-1 0 0,0 0 0,0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3:07.903"/>
    </inkml:context>
    <inkml:brush xml:id="br0">
      <inkml:brushProperty name="width" value="0.2" units="cm"/>
      <inkml:brushProperty name="height" value="0.2" units="cm"/>
    </inkml:brush>
  </inkml:definitions>
  <inkml:trace contextRef="#ctx0" brushRef="#br0">44 46 24575,'16'0'0,"-3"0"0,-8 0 0,0 0 0,0 0 0,1 0 0,0 0 0,0 0 0,3 0 0,0 0 0,0 0 0,-1 0 0,-1 0 0,0 0 0,0 0 0,0 0 0,0 0 0,0 0 0,1 0 0,-1 0 0,2 0 0,0 0 0,-2 0 0,0 0 0,-2 0 0,0 0 0,3 0 0,-2 0 0,3 0 0,-1 0 0,-1 0 0,1 0 0,-1 0 0,0 0 0,1 0 0,0 0 0,-1 0 0,1 0 0,0 0 0,3 0 0,2 0 0,4-2 0,7-1 0,9-1 0,9 1 0,5 2 0,2 0 0,-1 1 0,-5 0 0,-8-2 0,-7 0 0,-8 1 0,-4-1 0,-2 2 0,-3 0 0,0-1 0,-2-1 0,-1 0 0,1 1 0,1 0 0,0-1 0,1 0 0,0-1 0,-2 2 0,2-1 0,-1 1 0,-1 1 0,1-1 0,0 1 0,1 0 0,0 0 0,0 0 0,1 0 0,-1 0 0,0 0 0,0 0 0,1 0 0,-1 0 0,-2 0 0,-1 0 0,-1 0 0,-1 0 0,0 0 0,0 0 0,0 0 0,0 0 0,-1 0 0,0 0 0,0 0 0,1 0 0,-1-1 0,0-1 0,0 1 0,1-1 0,-22 5 0,13-2 0,-18 1 0</inkml:trace>
  <inkml:trace contextRef="#ctx0" brushRef="#br0" timeOffset="2331">0 30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3:00.234"/>
    </inkml:context>
    <inkml:brush xml:id="br0">
      <inkml:brushProperty name="width" value="0.2" units="cm"/>
      <inkml:brushProperty name="height" value="0.2" units="cm"/>
    </inkml:brush>
  </inkml:definitions>
  <inkml:trace contextRef="#ctx0" brushRef="#br0">1 20 24575,'15'0'0,"-2"0"0,-6 0 0,-1 0 0,1 0 0,-1 0 0,-2 0 0,3 0 0,2 0 0,0 0 0,2 0 0,-2 0 0,-1 0 0,1 0 0,2 0 0,-2 0 0,2 0 0,0 0 0,0 0 0,2 0 0,-1 0 0,1 0 0,0 0 0,-1 0 0,1 0 0,-1 0 0,1 0 0,-2 0 0,-1 0 0,1 0 0,1-1 0,0-1 0,1 0 0,0 1 0,-1 1 0,1 0 0,-1 0 0,1 0 0,-1 0 0,1 0 0,1-1 0,0-1 0,1 0 0,0 1 0,1 0 0,0 1 0,2 0 0,1-2 0,1 1 0,-2-1 0,0 0 0,-1 2 0,-3 0 0,0 0 0,-2 0 0,-1 0 0,0 0 0,0 0 0,2 0 0,2 0 0,1 0 0,0 0 0,1 0 0,-1 0 0,-2 0 0,1 0 0,-1 0 0,1 0 0,-1 0 0,0 0 0,1 0 0,-1 0 0,1 0 0,-1 0 0,1 0 0,0 0 0,1 0 0,1 0 0,1 0 0,-1 0 0,1 0 0,1 0 0,-2 0 0,0 0 0,-3 0 0,-2 0 0,1 0 0,2 0 0,-1 0 0,2 0 0,-1 0 0,1 0 0,0 0 0,0 0 0,0 0 0,2 0 0,3 0 0,1 0 0,2 0 0,-1 0 0,2 0 0,-1 0 0,-2 0 0,-4 0 0,-3 0 0,-1 0 0,-3 0 0,-2 0 0,-1 0 0,-1 0 0,1 0 0,1 0 0,-2 0 0,1 0 0,0 0 0,-1 0 0,2 0 0,-1 0 0,0 0 0,1 0 0,0 0 0,0 0 0,2 0 0,0 0 0,2 0 0,0 0 0,2 0 0,3 0 0,2 0 0,2 0 0,-1 0 0,0 0 0,-3 0 0,-5 0 0,-1 0 0,-4 0 0,-2 0 0,0 0 0,1 0 0,-1 0 0,0 0 0,1 0 0,-1 0 0,1 0 0,0 0 0,0 0 0,-1 0 0,0 0 0,-1 0 0,0 0 0,2 0 0,1 0 0,-1 0 0,1 0 0,-1 0 0,0 0 0,0 0 0,1 0 0,1 0 0,0 0 0,0 0 0,0 0 0,1 0 0,-1 0 0,1 0 0,1 0 0,0 0 0,2 0 0,-1 0 0,-2 0 0,0 0 0,-2 0 0,-1 0 0,0 0 0,-1 0 0,0 0 0,0 0 0,-1 0 0,0 0 0,0 0 0,2 0 0,0 0 0,0 0 0,2 0 0,-1 0 0,1 0 0,2 0 0,-1 0 0,1 0 0,-1 0 0,1 0 0,2 0 0,0 0 0,-1 0 0,3 0 0,1 0 0,2 0 0,0 0 0,-1 0 0,-3 0 0,-2 0 0,1 0 0,0 0 0,-1 0 0,2 0 0,1 0 0,0 0 0,-1 0 0,-1 0 0,-1 0 0,1 0 0,-1 0 0,1 2 0,0-1 0,-1 1 0,-1-1 0,-1-1 0,-1 0 0,0 0 0,2 0 0,2 0 0,1 0 0,2 0 0,4 0 0,1 0 0,-1 0 0,0 0 0,-3 0 0,-2 0 0,1 0 0,-2 2 0,1-1 0,-1 1 0,-1-1 0,-1-1 0,-2 0 0,-2 0 0,-1 0 0,-1 0 0,0 0 0,1 0 0,0 0 0,2 0 0,0 0 0,0 0 0,0 0 0,0 0 0,-2 0 0,1 0 0,1 0 0,1 0 0,-1 0 0,0 0 0,0 0 0,1 0 0,-1 0 0,-1 0 0,-1 0 0,1 0 0,0 0 0,1 0 0,1 0 0,2 0 0,0 0 0,1 0 0,0 0 0,-1 0 0,-1 0 0,0 0 0,-1 0 0,-3 0 0,1 0 0,-1 0 0,-1 0 0,1 0 0,1 0 0,1 0 0,1 0 0,-2 0 0,2 0 0,-2 0 0,1 0 0,0 0 0,-1 0 0,0 0 0,1 0 0,-1 0 0,1 0 0,-2 0 0,-1 0 0,0 0 0,1 0 0,0 0 0,2 0 0,1 0 0,-1 0 0,1 0 0,-2 0 0,-1 0 0,0 0 0,-2 0 0,1 0 0,1 0 0,1 0 0,1 0 0,0 0 0,-1 0 0,0 0 0,-1 0 0,0 0 0,-1 0 0,0 0 0,0 0 0,0 0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2:38.351"/>
    </inkml:context>
    <inkml:brush xml:id="br0">
      <inkml:brushProperty name="width" value="0.2" units="cm"/>
      <inkml:brushProperty name="height" value="0.2" units="cm"/>
    </inkml:brush>
  </inkml:definitions>
  <inkml:trace contextRef="#ctx0" brushRef="#br0">1 20 24575,'16'0'0,"-3"0"0,-7 0 0,0 0 0,-1 0 0,2 0 0,0 0 0,0 0 0,1 0 0,-2 0 0,0 0 0,-1 0 0,0 0 0,0 0 0,0 0 0,2 0 0,-1 0 0,-1 0 0,1 0 0,-2 0 0,2 0 0,-1 0 0,1 0 0,0 0 0,0 0 0,-1 0 0,0 0 0,1 0 0,0 0 0,0 0 0,0 0 0,-1 0 0,1 0 0,0 0 0,-1 0 0,1 0 0,1 0 0,1 0 0,2 0 0,0 0 0,-1 0 0,2 0 0,0 0 0,1 0 0,2 0 0,3 0 0,1 0 0,2 0 0,1 0 0,-1 0 0,-2 0 0,0 0 0,-2 0 0,-2 0 0,0 0 0,-2 0 0,-1 0 0,-1 0 0,-2 0 0,0 0 0,-2 0 0,1 0 0,-2 0 0,1 0 0,1 0 0,-1 0 0,0 0 0,1 0 0,0 0 0,0 0 0,0 0 0,2 0 0,-1 0 0,2 0 0,-1 0 0,-1 0 0,1 0 0,-1 0 0,1 0 0,1 0 0,-1 0 0,2 0 0,0 0 0,1 0 0,-2 0 0,1 0 0,0 0 0,2 0 0,-2 0 0,0 0 0,-2 0 0,0 0 0,-1 0 0,-1 0 0,0 0 0,-2 0 0,3 0 0,-1 0 0,1 0 0,-1 0 0,1 0 0,0 0 0,1 0 0,0 0 0,0 0 0,0 0 0,-1 0 0,1 0 0,0 0 0,0 0 0,2 0 0,-1 0 0,0 0 0,-1 0 0,-1 0 0,1 0 0,-1 0 0,1 0 0,0 0 0,1 0 0,1 0 0,1 0 0,0 0 0,1 0 0,-1 0 0,1 0 0,0 0 0,-1 0 0,1 0 0,-1 0 0,1 0 0,0 0 0,-1 0 0,1 0 0,-1 0 0,0 0 0,-2 0 0,0 0 0,-1 0 0,-1 0 0,-1 0 0,0 0 0,-1 0 0,1 0 0,0 0 0,1 0 0,1 0 0,-1 0 0,1 0 0,-1 0 0,2 0 0,0 0 0,-1 0 0,2 0 0,0 0 0,1 0 0,4 0 0,2 0 0,5 0 0,1 0 0,0 0 0,-1 0 0,-3 0 0,-3 0 0,-3 0 0,-2 0 0,-3 0 0,-2 0 0,-2 0 0,1 0 0,1 0 0,0 0 0,0 0 0,0 0 0,-1 0 0,2 0 0,-1 0 0,2 0 0,2 0 0,1 0 0,0 0 0,1 0 0,-2 0 0,0 0 0,-1 0 0,0 0 0,1 0 0,0 0 0,0 0 0,2 0 0,-1 0 0,1 0 0,0 0 0,-1 0 0,1 0 0,2 0 0,1 0 0,2 0 0,-1 0 0,1 0 0,-2 0 0,1 0 0,-1 0 0,-1 0 0,-1 0 0,-1 0 0,0 0 0,-1 0 0,1 0 0,-1 0 0,1 0 0,-1 0 0,1 0 0,-1 0 0,-1 0 0,0 0 0,0 0 0,1 0 0,1 0 0,3 0 0,1 0 0,3 0 0,0 0 0,-2 0 0,-1 0 0,-1 0 0,-3 0 0,-1 0 0,1 0 0,-1 0 0,1 0 0,0 1 0,-2 1 0,0 0 0,-1-1 0,1-1 0,0 0 0,-1 1 0,0 1 0,-1 0 0,0 0 0,1 0 0,1 0 0,1 1 0,1-1 0,-1 0 0,1 1 0,-2-1 0,0 0 0,-1 0 0,2 0 0,0-1 0,0-1 0,-2 0 0,-1 0 0,0 0 0,-1 0 0,1 0 0,-1 0 0,-2 0 0,2 0 0,-1 0 0,1 0 0,-1 0 0,1 0 0,0 0 0,1 0 0,-1 0 0,0 0 0,1 0 0,0 0 0,1 0 0,-1 0 0,2 0 0,-2 0 0,0 0 0,-1 0 0,-1 0 0,0 0 0,0 0 0,1 0 0,1 0 0,-1 0 0,0 0 0,0 0 0,1 0 0,-1 0 0,0 0 0,0 0 0,0 0 0,0 0 0,0 0 0,-1 0 0,0 0 0,0 0 0,1 0 0,-1 0 0,1 0 0,0 0 0,2 0 0,0 0 0,0 0 0,1 0 0,-3 0 0,0 0 0,1 0 0,-1 0 0,2 0 0,1 0 0,1 0 0,0 0 0,1 0 0,0 0 0,1 0 0,2 0 0,1 0 0,1 0 0,-2 0 0,-2 0 0,1 0 0,-3 0 0,0 0 0,-1 0 0,-1 0 0,-1 0 0,1 0 0,-1 0 0,2 0 0,-1 0 0,-1 0 0,2 0 0,-2 0 0,1 0 0,0 0 0,-1 0 0,1 0 0,0 0 0,1 0 0,-2 0 0,2 0 0,0 0 0,0-1 0,4 0 0,-1-1 0,1 1 0,-1 0 0,-1 1 0,-1-1 0,1-1 0,-2 0 0,-1 1 0,0 1 0,-2 0 0,1 0 0,-1-1 0,2-1 0,0 0 0,2 0 0,2 0 0,0 0 0,1-1 0,-1 1 0,0 0 0,1-1 0,0 2 0,-1-2 0,-2 0 0,1 0 0,0 0 0,-1 2 0,-1-1 0,-2 2 0,-1 0 0,-1-1 0,0 0 0,1 0 0,0-1 0,0 1 0,3 1 0,0 0 0,2 0 0,3 0 0,2 0 0,5 0 0,4 0 0,2 0 0,-1 0 0,-3 0 0,-5 0 0,-4 0 0,-2 0 0,-3 0 0,-2 0 0,-2 0 0,-1 0 0,-1 0 0,0 0 0,2 0 0,1 0 0,3 0 0,1 0 0,-1 0 0,0 0 0,0 0 0,0 0 0,2 0 0,-1 0 0,-1 0 0,0 0 0,0 0 0,-1 0 0,-1 0 0,-1 0 0,-1 0 0,-1 0 0,-1 0 0,1 0 0,-1 0 0,2 0 0,0 0 0,2 0 0,0 0 0,2 0 0,-1 0 0,0 0 0,-2 0 0,-1 0 0,-1 0 0,-1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116CA-2754-CE40-8DDD-E9BC7EFF9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Panneer Selvan .</dc:creator>
  <cp:keywords/>
  <dc:description/>
  <cp:lastModifiedBy>Namesh Panneer Selvan .</cp:lastModifiedBy>
  <cp:revision>3</cp:revision>
  <dcterms:created xsi:type="dcterms:W3CDTF">2026-08-21T10:21:00Z</dcterms:created>
  <dcterms:modified xsi:type="dcterms:W3CDTF">2026-09-15T08:44:00Z</dcterms:modified>
</cp:coreProperties>
</file>