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F6095" w14:textId="77777777" w:rsidR="00C908C3" w:rsidRPr="00E86FB4" w:rsidRDefault="00C908C3" w:rsidP="00E86FB4">
      <w:pPr>
        <w:spacing w:after="0" w:line="360" w:lineRule="auto"/>
        <w:rPr>
          <w:rFonts w:ascii="Calibri" w:eastAsia="Times New Roman" w:hAnsi="Calibri" w:cs="Calibri"/>
          <w:b/>
          <w:bCs/>
          <w:color w:val="EE0000"/>
          <w:sz w:val="13"/>
          <w:szCs w:val="13"/>
        </w:rPr>
      </w:pPr>
    </w:p>
    <w:p w14:paraId="094CD0B4" w14:textId="7E5F093C" w:rsidR="00C908C3" w:rsidRPr="00CC6DE1" w:rsidRDefault="005E633B" w:rsidP="00E86FB4">
      <w:pPr>
        <w:spacing w:after="0" w:line="360" w:lineRule="auto"/>
        <w:jc w:val="center"/>
        <w:rPr>
          <w:rFonts w:ascii="Calibri" w:eastAsia="Times New Roman" w:hAnsi="Calibri" w:cs="Calibri"/>
          <w:b/>
          <w:bCs/>
          <w:color w:val="EE0000"/>
          <w:sz w:val="72"/>
          <w:szCs w:val="72"/>
        </w:rPr>
      </w:pPr>
      <w:r>
        <w:rPr>
          <w:rFonts w:ascii="Calibri" w:eastAsia="Times New Roman" w:hAnsi="Calibri" w:cs="Calibri"/>
          <w:b/>
          <w:bCs/>
          <w:noProof/>
          <w:color w:val="EE0000"/>
          <w:sz w:val="48"/>
          <w:szCs w:val="48"/>
        </w:rPr>
        <mc:AlternateContent>
          <mc:Choice Requires="wpi">
            <w:drawing>
              <wp:anchor distT="0" distB="0" distL="114300" distR="114300" simplePos="0" relativeHeight="251669504" behindDoc="0" locked="0" layoutInCell="1" allowOverlap="1" wp14:anchorId="1EF242ED" wp14:editId="36712A54">
                <wp:simplePos x="0" y="0"/>
                <wp:positionH relativeFrom="column">
                  <wp:posOffset>3552800</wp:posOffset>
                </wp:positionH>
                <wp:positionV relativeFrom="paragraph">
                  <wp:posOffset>2654723</wp:posOffset>
                </wp:positionV>
                <wp:extent cx="343080" cy="20880"/>
                <wp:effectExtent l="76200" t="76200" r="50800" b="81280"/>
                <wp:wrapNone/>
                <wp:docPr id="216145009"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343080" cy="20880"/>
                      </w14:xfrm>
                    </w14:contentPart>
                  </a:graphicData>
                </a:graphic>
              </wp:anchor>
            </w:drawing>
          </mc:Choice>
          <mc:Fallback>
            <w:pict>
              <v:shapetype w14:anchorId="3AC080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76.95pt;margin-top:206.25pt;width:32.65pt;height:7.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">
                <v:imagedata r:id="rId12"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68480" behindDoc="0" locked="0" layoutInCell="1" allowOverlap="1" wp14:anchorId="55B9CFD7" wp14:editId="6C6F9D15">
                <wp:simplePos x="0" y="0"/>
                <wp:positionH relativeFrom="column">
                  <wp:posOffset>3544520</wp:posOffset>
                </wp:positionH>
                <wp:positionV relativeFrom="paragraph">
                  <wp:posOffset>2478323</wp:posOffset>
                </wp:positionV>
                <wp:extent cx="347400" cy="7560"/>
                <wp:effectExtent l="76200" t="76200" r="59055" b="81915"/>
                <wp:wrapNone/>
                <wp:docPr id="7546996"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347400" cy="7560"/>
                      </w14:xfrm>
                    </w14:contentPart>
                  </a:graphicData>
                </a:graphic>
              </wp:anchor>
            </w:drawing>
          </mc:Choice>
          <mc:Fallback>
            <w:pict>
              <v:shape w14:anchorId="671C9BD3" id="Ink 11" o:spid="_x0000_s1026" type="#_x0000_t75" style="position:absolute;margin-left:276.3pt;margin-top:192.35pt;width:33pt;height:6.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">
                <v:imagedata r:id="rId14"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67456" behindDoc="0" locked="0" layoutInCell="1" allowOverlap="1" wp14:anchorId="5F1F91D5" wp14:editId="2F6660DF">
                <wp:simplePos x="0" y="0"/>
                <wp:positionH relativeFrom="column">
                  <wp:posOffset>3545240</wp:posOffset>
                </wp:positionH>
                <wp:positionV relativeFrom="paragraph">
                  <wp:posOffset>2294003</wp:posOffset>
                </wp:positionV>
                <wp:extent cx="340200" cy="5040"/>
                <wp:effectExtent l="76200" t="76200" r="53975" b="84455"/>
                <wp:wrapNone/>
                <wp:docPr id="1363563619"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40200" cy="5040"/>
                      </w14:xfrm>
                    </w14:contentPart>
                  </a:graphicData>
                </a:graphic>
              </wp:anchor>
            </w:drawing>
          </mc:Choice>
          <mc:Fallback>
            <w:pict>
              <v:shape w14:anchorId="1B5B9200" id="Ink 10" o:spid="_x0000_s1026" type="#_x0000_t75" style="position:absolute;margin-left:276.35pt;margin-top:177.85pt;width:32.5pt;height:6.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">
                <v:imagedata r:id="rId16"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66432" behindDoc="0" locked="0" layoutInCell="1" allowOverlap="1" wp14:anchorId="034A7F6F" wp14:editId="196A1776">
                <wp:simplePos x="0" y="0"/>
                <wp:positionH relativeFrom="column">
                  <wp:posOffset>3550640</wp:posOffset>
                </wp:positionH>
                <wp:positionV relativeFrom="paragraph">
                  <wp:posOffset>2093483</wp:posOffset>
                </wp:positionV>
                <wp:extent cx="333720" cy="9720"/>
                <wp:effectExtent l="76200" t="76200" r="47625" b="79375"/>
                <wp:wrapNone/>
                <wp:docPr id="552571136"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333720" cy="9720"/>
                      </w14:xfrm>
                    </w14:contentPart>
                  </a:graphicData>
                </a:graphic>
              </wp:anchor>
            </w:drawing>
          </mc:Choice>
          <mc:Fallback>
            <w:pict>
              <v:shape w14:anchorId="0D83F8B7" id="Ink 9" o:spid="_x0000_s1026" type="#_x0000_t75" style="position:absolute;margin-left:276.8pt;margin-top:162.05pt;width:31.95pt;height:6.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">
                <v:imagedata r:id="rId18"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65408" behindDoc="0" locked="0" layoutInCell="1" allowOverlap="1" wp14:anchorId="25BB37C2" wp14:editId="373D3987">
                <wp:simplePos x="0" y="0"/>
                <wp:positionH relativeFrom="column">
                  <wp:posOffset>3549200</wp:posOffset>
                </wp:positionH>
                <wp:positionV relativeFrom="paragraph">
                  <wp:posOffset>1919963</wp:posOffset>
                </wp:positionV>
                <wp:extent cx="322920" cy="2880"/>
                <wp:effectExtent l="63500" t="76200" r="58420" b="73660"/>
                <wp:wrapNone/>
                <wp:docPr id="1981270564" name="Ink 8"/>
                <wp:cNvGraphicFramePr/>
                <a:graphic xmlns:a="http://schemas.openxmlformats.org/drawingml/2006/main">
                  <a:graphicData uri="http://schemas.microsoft.com/office/word/2010/wordprocessingInk">
                    <w14:contentPart bwMode="auto" r:id="rId19">
                      <w14:nvContentPartPr>
                        <w14:cNvContentPartPr/>
                      </w14:nvContentPartPr>
                      <w14:xfrm>
                        <a:off x="0" y="0"/>
                        <a:ext cx="322920" cy="2880"/>
                      </w14:xfrm>
                    </w14:contentPart>
                  </a:graphicData>
                </a:graphic>
              </wp:anchor>
            </w:drawing>
          </mc:Choice>
          <mc:Fallback>
            <w:pict>
              <v:shape w14:anchorId="62376CCE" id="Ink 8" o:spid="_x0000_s1026" type="#_x0000_t75" style="position:absolute;margin-left:276.6pt;margin-top:148.4pt;width:31.1pt;height:5.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">
                <v:imagedata r:id="rId20"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64384" behindDoc="0" locked="0" layoutInCell="1" allowOverlap="1" wp14:anchorId="546B3B12" wp14:editId="16535295">
                <wp:simplePos x="0" y="0"/>
                <wp:positionH relativeFrom="column">
                  <wp:posOffset>1085360</wp:posOffset>
                </wp:positionH>
                <wp:positionV relativeFrom="paragraph">
                  <wp:posOffset>2667323</wp:posOffset>
                </wp:positionV>
                <wp:extent cx="887760" cy="3240"/>
                <wp:effectExtent l="76200" t="76200" r="52070" b="85725"/>
                <wp:wrapNone/>
                <wp:docPr id="1860372548"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887760" cy="3240"/>
                      </w14:xfrm>
                    </w14:contentPart>
                  </a:graphicData>
                </a:graphic>
              </wp:anchor>
            </w:drawing>
          </mc:Choice>
          <mc:Fallback>
            <w:pict>
              <v:shape w14:anchorId="7F0501CD" id="Ink 6" o:spid="_x0000_s1026" type="#_x0000_t75" style="position:absolute;margin-left:82.65pt;margin-top:207.25pt;width:75.55pt;height:5.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">
                <v:imagedata r:id="rId22"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63360" behindDoc="0" locked="0" layoutInCell="1" allowOverlap="1" wp14:anchorId="7270AA88" wp14:editId="4B8F5301">
                <wp:simplePos x="0" y="0"/>
                <wp:positionH relativeFrom="column">
                  <wp:posOffset>1085720</wp:posOffset>
                </wp:positionH>
                <wp:positionV relativeFrom="paragraph">
                  <wp:posOffset>2481923</wp:posOffset>
                </wp:positionV>
                <wp:extent cx="751320" cy="12240"/>
                <wp:effectExtent l="76200" t="76200" r="48895" b="76835"/>
                <wp:wrapNone/>
                <wp:docPr id="1107615121" name="Ink 5"/>
                <wp:cNvGraphicFramePr/>
                <a:graphic xmlns:a="http://schemas.openxmlformats.org/drawingml/2006/main">
                  <a:graphicData uri="http://schemas.microsoft.com/office/word/2010/wordprocessingInk">
                    <w14:contentPart bwMode="auto" r:id="rId23">
                      <w14:nvContentPartPr>
                        <w14:cNvContentPartPr/>
                      </w14:nvContentPartPr>
                      <w14:xfrm>
                        <a:off x="0" y="0"/>
                        <a:ext cx="751320" cy="12240"/>
                      </w14:xfrm>
                    </w14:contentPart>
                  </a:graphicData>
                </a:graphic>
              </wp:anchor>
            </w:drawing>
          </mc:Choice>
          <mc:Fallback>
            <w:pict>
              <v:shape w14:anchorId="1A4F8B32" id="Ink 5" o:spid="_x0000_s1026" type="#_x0000_t75" style="position:absolute;margin-left:82.65pt;margin-top:192.65pt;width:64.8pt;height:6.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">
                <v:imagedata r:id="rId24"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62336" behindDoc="0" locked="0" layoutInCell="1" allowOverlap="1" wp14:anchorId="60FC488D" wp14:editId="5CCA9E24">
                <wp:simplePos x="0" y="0"/>
                <wp:positionH relativeFrom="column">
                  <wp:posOffset>1087120</wp:posOffset>
                </wp:positionH>
                <wp:positionV relativeFrom="paragraph">
                  <wp:posOffset>2272665</wp:posOffset>
                </wp:positionV>
                <wp:extent cx="981710" cy="22040"/>
                <wp:effectExtent l="76200" t="76200" r="72390" b="80010"/>
                <wp:wrapNone/>
                <wp:docPr id="1894473164" name="Ink 4"/>
                <wp:cNvGraphicFramePr/>
                <a:graphic xmlns:a="http://schemas.openxmlformats.org/drawingml/2006/main">
                  <a:graphicData uri="http://schemas.microsoft.com/office/word/2010/wordprocessingInk">
                    <w14:contentPart bwMode="auto" r:id="rId25">
                      <w14:nvContentPartPr>
                        <w14:cNvContentPartPr/>
                      </w14:nvContentPartPr>
                      <w14:xfrm>
                        <a:off x="0" y="0"/>
                        <a:ext cx="981710" cy="22040"/>
                      </w14:xfrm>
                    </w14:contentPart>
                  </a:graphicData>
                </a:graphic>
              </wp:anchor>
            </w:drawing>
          </mc:Choice>
          <mc:Fallback>
            <w:pict>
              <v:shape w14:anchorId="0E38397D" id="Ink 4" o:spid="_x0000_s1026" type="#_x0000_t75" style="position:absolute;margin-left:82.75pt;margin-top:176.15pt;width:82.95pt;height:7.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">
                <v:imagedata r:id="rId26" o:title=""/>
              </v:shape>
            </w:pict>
          </mc:Fallback>
        </mc:AlternateContent>
      </w:r>
      <w:r>
        <w:rPr>
          <w:rFonts w:ascii="Calibri" w:eastAsia="Times New Roman" w:hAnsi="Calibri" w:cs="Calibri"/>
          <w:b/>
          <w:bCs/>
          <w:noProof/>
          <w:color w:val="EE0000"/>
          <w:sz w:val="48"/>
          <w:szCs w:val="48"/>
        </w:rPr>
        <mc:AlternateContent>
          <mc:Choice Requires="wpi">
            <w:drawing>
              <wp:anchor distT="0" distB="0" distL="114300" distR="114300" simplePos="0" relativeHeight="251659264" behindDoc="0" locked="0" layoutInCell="1" allowOverlap="1" wp14:anchorId="0F2C8B47" wp14:editId="1509AC35">
                <wp:simplePos x="0" y="0"/>
                <wp:positionH relativeFrom="column">
                  <wp:posOffset>1085360</wp:posOffset>
                </wp:positionH>
                <wp:positionV relativeFrom="paragraph">
                  <wp:posOffset>2093483</wp:posOffset>
                </wp:positionV>
                <wp:extent cx="532440" cy="14760"/>
                <wp:effectExtent l="76200" t="76200" r="52070" b="74295"/>
                <wp:wrapNone/>
                <wp:docPr id="369419750" name="Ink 1"/>
                <wp:cNvGraphicFramePr/>
                <a:graphic xmlns:a="http://schemas.openxmlformats.org/drawingml/2006/main">
                  <a:graphicData uri="http://schemas.microsoft.com/office/word/2010/wordprocessingInk">
                    <w14:contentPart bwMode="auto" r:id="rId27">
                      <w14:nvContentPartPr>
                        <w14:cNvContentPartPr/>
                      </w14:nvContentPartPr>
                      <w14:xfrm>
                        <a:off x="0" y="0"/>
                        <a:ext cx="532440" cy="14760"/>
                      </w14:xfrm>
                    </w14:contentPart>
                  </a:graphicData>
                </a:graphic>
              </wp:anchor>
            </w:drawing>
          </mc:Choice>
          <mc:Fallback>
            <w:pict>
              <v:shape w14:anchorId="00A3294F" id="Ink 1" o:spid="_x0000_s1026" type="#_x0000_t75" style="position:absolute;margin-left:82.6pt;margin-top:162pt;width:47.55pt;height:6.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">
                <v:imagedata r:id="rId28" o:title=""/>
              </v:shape>
            </w:pict>
          </mc:Fallback>
        </mc:AlternateContent>
      </w:r>
      <w:r w:rsidR="001B3D49" w:rsidRPr="00E86FB4">
        <w:rPr>
          <w:rFonts w:ascii="Calibri" w:eastAsia="Times New Roman" w:hAnsi="Calibri" w:cs="Calibri"/>
          <w:b/>
          <w:bCs/>
          <w:noProof/>
          <w:color w:val="EE0000"/>
          <w:sz w:val="48"/>
          <w:szCs w:val="48"/>
        </w:rPr>
        <w:drawing>
          <wp:inline distT="0" distB="0" distL="0" distR="0" wp14:anchorId="21CDA10C" wp14:editId="279C5DAD">
            <wp:extent cx="5404359" cy="4370832"/>
            <wp:effectExtent l="0" t="0" r="6350" b="0"/>
            <wp:docPr id="69798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1367" name=""/>
                    <pic:cNvPicPr/>
                  </pic:nvPicPr>
                  <pic:blipFill>
                    <a:blip r:embed="rId29"/>
                    <a:stretch>
                      <a:fillRect/>
                    </a:stretch>
                  </pic:blipFill>
                  <pic:spPr>
                    <a:xfrm>
                      <a:off x="0" y="0"/>
                      <a:ext cx="5514214" cy="4459679"/>
                    </a:xfrm>
                    <a:prstGeom prst="rect">
                      <a:avLst/>
                    </a:prstGeom>
                  </pic:spPr>
                </pic:pic>
              </a:graphicData>
            </a:graphic>
          </wp:inline>
        </w:drawing>
      </w:r>
    </w:p>
    <w:p w14:paraId="7F15D069" w14:textId="3A543A2F" w:rsidR="00C908C3" w:rsidRPr="00CC6DE1" w:rsidRDefault="00E86FB4" w:rsidP="00F94996">
      <w:pPr>
        <w:spacing w:after="0" w:line="360" w:lineRule="auto"/>
        <w:jc w:val="center"/>
        <w:rPr>
          <w:rFonts w:ascii="Calibri" w:eastAsia="Times New Roman" w:hAnsi="Calibri" w:cs="Calibri"/>
          <w:b/>
          <w:bCs/>
          <w:color w:val="EE0000"/>
          <w:sz w:val="72"/>
          <w:szCs w:val="72"/>
        </w:rPr>
      </w:pPr>
      <w:r w:rsidRPr="00E86FB4">
        <w:rPr>
          <w:rFonts w:ascii="Calibri" w:eastAsia="Times New Roman" w:hAnsi="Calibri" w:cs="Calibri"/>
          <w:b/>
          <w:bCs/>
          <w:noProof/>
          <w:color w:val="EE0000"/>
          <w:sz w:val="72"/>
          <w:szCs w:val="72"/>
        </w:rPr>
        <w:drawing>
          <wp:inline distT="0" distB="0" distL="0" distR="0" wp14:anchorId="6DD090C6" wp14:editId="175F0320">
            <wp:extent cx="5357842" cy="3096215"/>
            <wp:effectExtent l="0" t="0" r="1905" b="3175"/>
            <wp:docPr id="83633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31445" name=""/>
                    <pic:cNvPicPr/>
                  </pic:nvPicPr>
                  <pic:blipFill>
                    <a:blip r:embed="rId30"/>
                    <a:stretch>
                      <a:fillRect/>
                    </a:stretch>
                  </pic:blipFill>
                  <pic:spPr>
                    <a:xfrm>
                      <a:off x="0" y="0"/>
                      <a:ext cx="5384605" cy="3111681"/>
                    </a:xfrm>
                    <a:prstGeom prst="rect">
                      <a:avLst/>
                    </a:prstGeom>
                  </pic:spPr>
                </pic:pic>
              </a:graphicData>
            </a:graphic>
          </wp:inline>
        </w:drawing>
      </w:r>
    </w:p>
    <w:p w14:paraId="4FA6AE2B" w14:textId="77777777" w:rsidR="00C908C3" w:rsidRDefault="00C908C3" w:rsidP="00F94996">
      <w:pPr>
        <w:spacing w:after="0" w:line="360" w:lineRule="auto"/>
        <w:rPr>
          <w:rFonts w:ascii="Calibri" w:eastAsia="Times New Roman" w:hAnsi="Calibri" w:cs="Calibri"/>
          <w:b/>
          <w:bCs/>
          <w:color w:val="EE0000"/>
          <w:sz w:val="72"/>
          <w:szCs w:val="72"/>
        </w:rPr>
      </w:pPr>
    </w:p>
    <w:p w14:paraId="5B20BEB9" w14:textId="77777777" w:rsidR="00F94996" w:rsidRPr="00CC6DE1" w:rsidRDefault="00F94996" w:rsidP="00F94996">
      <w:pPr>
        <w:spacing w:after="0" w:line="360" w:lineRule="auto"/>
        <w:rPr>
          <w:rFonts w:ascii="Calibri" w:eastAsia="Times New Roman" w:hAnsi="Calibri" w:cs="Calibri"/>
          <w:b/>
          <w:bCs/>
          <w:color w:val="EE0000"/>
          <w:sz w:val="72"/>
          <w:szCs w:val="72"/>
        </w:rPr>
      </w:pPr>
    </w:p>
    <w:p w14:paraId="16E443F1" w14:textId="77777777" w:rsidR="00C908C3" w:rsidRPr="00CC6DE1" w:rsidRDefault="00C908C3" w:rsidP="00CC6DE1">
      <w:pPr>
        <w:spacing w:after="0" w:line="360" w:lineRule="auto"/>
        <w:jc w:val="center"/>
        <w:rPr>
          <w:rFonts w:ascii="Calibri" w:eastAsia="Times New Roman" w:hAnsi="Calibri" w:cs="Calibri"/>
          <w:b/>
          <w:bCs/>
          <w:color w:val="EE0000"/>
          <w:sz w:val="72"/>
          <w:szCs w:val="72"/>
        </w:rPr>
      </w:pPr>
    </w:p>
    <w:p w14:paraId="5DC93B84" w14:textId="1A31C677" w:rsidR="00C908C3" w:rsidRPr="00377876" w:rsidRDefault="0097073E" w:rsidP="00CC6DE1">
      <w:pPr>
        <w:spacing w:after="0" w:line="360" w:lineRule="auto"/>
        <w:jc w:val="center"/>
        <w:rPr>
          <w:rFonts w:ascii="Calibri" w:eastAsia="Times New Roman" w:hAnsi="Calibri" w:cs="Calibri"/>
          <w:b/>
          <w:bCs/>
          <w:color w:val="EE0000"/>
          <w:sz w:val="76"/>
          <w:szCs w:val="76"/>
        </w:rPr>
      </w:pPr>
      <w:r w:rsidRPr="00377876">
        <w:rPr>
          <w:rFonts w:ascii="Calibri" w:eastAsia="Times New Roman" w:hAnsi="Calibri" w:cs="Calibri"/>
          <w:b/>
          <w:bCs/>
          <w:color w:val="EE0000"/>
          <w:sz w:val="76"/>
          <w:szCs w:val="76"/>
        </w:rPr>
        <w:t>RIO TINTO</w:t>
      </w:r>
    </w:p>
    <w:p w14:paraId="73355CE0" w14:textId="68C80C5F" w:rsidR="00377876" w:rsidRPr="00377876" w:rsidRDefault="0097073E" w:rsidP="00377876">
      <w:pPr>
        <w:spacing w:after="0" w:line="360" w:lineRule="auto"/>
        <w:jc w:val="center"/>
        <w:rPr>
          <w:rFonts w:ascii="Calibri" w:eastAsia="Times New Roman" w:hAnsi="Calibri" w:cs="Calibri"/>
          <w:b/>
          <w:bCs/>
          <w:color w:val="000000" w:themeColor="text1"/>
          <w:sz w:val="52"/>
          <w:szCs w:val="52"/>
        </w:rPr>
      </w:pPr>
      <w:r w:rsidRPr="00377876">
        <w:rPr>
          <w:rFonts w:ascii="Calibri" w:eastAsia="Times New Roman" w:hAnsi="Calibri" w:cs="Calibri"/>
          <w:b/>
          <w:bCs/>
          <w:color w:val="000000" w:themeColor="text1"/>
          <w:sz w:val="52"/>
          <w:szCs w:val="52"/>
        </w:rPr>
        <w:t>Financial Analysis and Investment Recommendation</w:t>
      </w:r>
    </w:p>
    <w:p w14:paraId="2D61D2A1" w14:textId="4A47530D" w:rsidR="0097073E" w:rsidRPr="00377876" w:rsidRDefault="00CC6DE1" w:rsidP="00CC6DE1">
      <w:pPr>
        <w:spacing w:after="0" w:line="360" w:lineRule="auto"/>
        <w:jc w:val="center"/>
        <w:rPr>
          <w:rFonts w:ascii="Calibri" w:eastAsia="Times New Roman" w:hAnsi="Calibri" w:cs="Calibri"/>
          <w:b/>
          <w:bCs/>
          <w:color w:val="000000" w:themeColor="text1"/>
          <w:sz w:val="40"/>
          <w:szCs w:val="40"/>
        </w:rPr>
      </w:pPr>
      <w:r w:rsidRPr="00377876">
        <w:rPr>
          <w:rFonts w:ascii="Calibri" w:eastAsia="Times New Roman" w:hAnsi="Calibri" w:cs="Calibri"/>
          <w:b/>
          <w:bCs/>
          <w:color w:val="000000" w:themeColor="text1"/>
          <w:sz w:val="40"/>
          <w:szCs w:val="40"/>
        </w:rPr>
        <w:t xml:space="preserve">BUSM7083 Security Analysis and Portfolio Theory – Group Assignment </w:t>
      </w:r>
    </w:p>
    <w:p w14:paraId="077F3F18" w14:textId="77777777" w:rsidR="00CC6DE1" w:rsidRPr="00377876" w:rsidRDefault="00CC6DE1" w:rsidP="00CC6DE1">
      <w:pPr>
        <w:spacing w:after="0" w:line="360" w:lineRule="auto"/>
        <w:jc w:val="center"/>
        <w:rPr>
          <w:rFonts w:ascii="Calibri" w:eastAsia="Times New Roman" w:hAnsi="Calibri" w:cs="Calibri"/>
          <w:b/>
          <w:bCs/>
          <w:color w:val="EE0000"/>
          <w:sz w:val="18"/>
          <w:szCs w:val="18"/>
        </w:rPr>
      </w:pPr>
    </w:p>
    <w:p w14:paraId="2DAC624F" w14:textId="77777777" w:rsidR="00F94996" w:rsidRDefault="00F94996" w:rsidP="00CC6DE1">
      <w:pPr>
        <w:spacing w:after="0"/>
        <w:rPr>
          <w:rFonts w:ascii="Calibri" w:eastAsia="Times New Roman" w:hAnsi="Calibri" w:cs="Calibri"/>
          <w:b/>
          <w:bCs/>
          <w:color w:val="2F5496"/>
        </w:rPr>
      </w:pPr>
    </w:p>
    <w:p w14:paraId="590F62C8" w14:textId="77777777" w:rsidR="00F94996" w:rsidRDefault="00F94996" w:rsidP="00CC6DE1">
      <w:pPr>
        <w:spacing w:after="0"/>
        <w:rPr>
          <w:rFonts w:ascii="Calibri" w:eastAsia="Times New Roman" w:hAnsi="Calibri" w:cs="Calibri"/>
          <w:b/>
          <w:bCs/>
          <w:color w:val="2F5496"/>
        </w:rPr>
      </w:pPr>
    </w:p>
    <w:p w14:paraId="3D789C97" w14:textId="77777777" w:rsidR="00F94996" w:rsidRDefault="00F94996" w:rsidP="00CC6DE1">
      <w:pPr>
        <w:spacing w:after="0"/>
        <w:rPr>
          <w:rFonts w:ascii="Calibri" w:eastAsia="Times New Roman" w:hAnsi="Calibri" w:cs="Calibri"/>
          <w:b/>
          <w:bCs/>
          <w:color w:val="2F5496"/>
        </w:rPr>
      </w:pPr>
    </w:p>
    <w:p w14:paraId="6E41A99E" w14:textId="77777777" w:rsidR="00F94996" w:rsidRDefault="00F94996" w:rsidP="00CC6DE1">
      <w:pPr>
        <w:spacing w:after="0"/>
        <w:rPr>
          <w:rFonts w:ascii="Calibri" w:eastAsia="Times New Roman" w:hAnsi="Calibri" w:cs="Calibri"/>
          <w:b/>
          <w:bCs/>
          <w:color w:val="2F5496"/>
        </w:rPr>
      </w:pPr>
    </w:p>
    <w:p w14:paraId="09EDA157" w14:textId="77777777" w:rsidR="00F94996" w:rsidRDefault="00F94996" w:rsidP="00CC6DE1">
      <w:pPr>
        <w:spacing w:after="0"/>
        <w:rPr>
          <w:rFonts w:ascii="Calibri" w:eastAsia="Times New Roman" w:hAnsi="Calibri" w:cs="Calibri"/>
          <w:b/>
          <w:bCs/>
          <w:color w:val="2F5496"/>
        </w:rPr>
      </w:pPr>
    </w:p>
    <w:p w14:paraId="1E35FCD5" w14:textId="77777777" w:rsidR="00F94996" w:rsidRDefault="00F94996" w:rsidP="00CC6DE1">
      <w:pPr>
        <w:spacing w:after="0"/>
        <w:rPr>
          <w:rFonts w:ascii="Calibri" w:eastAsia="Times New Roman" w:hAnsi="Calibri" w:cs="Calibri"/>
          <w:b/>
          <w:bCs/>
          <w:color w:val="2F5496"/>
        </w:rPr>
      </w:pPr>
    </w:p>
    <w:p w14:paraId="327C5744" w14:textId="77777777" w:rsidR="00F94996" w:rsidRDefault="00F94996" w:rsidP="00CC6DE1">
      <w:pPr>
        <w:spacing w:after="0"/>
        <w:rPr>
          <w:rFonts w:ascii="Calibri" w:eastAsia="Times New Roman" w:hAnsi="Calibri" w:cs="Calibri"/>
          <w:b/>
          <w:bCs/>
          <w:color w:val="2F5496"/>
        </w:rPr>
      </w:pPr>
    </w:p>
    <w:p w14:paraId="3350FFC7" w14:textId="77777777" w:rsidR="00F94996" w:rsidRDefault="00F94996" w:rsidP="00CC6DE1">
      <w:pPr>
        <w:spacing w:after="0"/>
        <w:rPr>
          <w:rFonts w:ascii="Calibri" w:eastAsia="Times New Roman" w:hAnsi="Calibri" w:cs="Calibri"/>
          <w:b/>
          <w:bCs/>
          <w:color w:val="2F5496"/>
        </w:rPr>
      </w:pPr>
    </w:p>
    <w:p w14:paraId="2557AFA6" w14:textId="77777777" w:rsidR="00F94996" w:rsidRDefault="00F94996" w:rsidP="00CC6DE1">
      <w:pPr>
        <w:spacing w:after="0"/>
        <w:rPr>
          <w:rFonts w:ascii="Calibri" w:eastAsia="Times New Roman" w:hAnsi="Calibri" w:cs="Calibri"/>
          <w:b/>
          <w:bCs/>
          <w:color w:val="2F5496"/>
        </w:rPr>
      </w:pPr>
    </w:p>
    <w:p w14:paraId="2D4F3A11" w14:textId="77777777" w:rsidR="00F94996" w:rsidRDefault="00F94996" w:rsidP="00CC6DE1">
      <w:pPr>
        <w:spacing w:after="0"/>
        <w:rPr>
          <w:rFonts w:ascii="Calibri" w:eastAsia="Times New Roman" w:hAnsi="Calibri" w:cs="Calibri"/>
          <w:b/>
          <w:bCs/>
          <w:color w:val="2F5496"/>
        </w:rPr>
      </w:pPr>
    </w:p>
    <w:p w14:paraId="5CFB58EF" w14:textId="7D2D4C52" w:rsidR="000F49A4" w:rsidRPr="00CC6DE1" w:rsidRDefault="000F49A4" w:rsidP="00CC6DE1">
      <w:pPr>
        <w:spacing w:after="0"/>
        <w:rPr>
          <w:rFonts w:ascii="Calibri" w:eastAsia="Times New Roman" w:hAnsi="Calibri" w:cs="Calibri"/>
          <w:b/>
          <w:bCs/>
          <w:color w:val="2F5496"/>
        </w:rPr>
      </w:pPr>
      <w:r w:rsidRPr="00CC6DE1">
        <w:rPr>
          <w:rFonts w:ascii="Calibri" w:eastAsia="Times New Roman" w:hAnsi="Calibri" w:cs="Calibri"/>
          <w:b/>
          <w:bCs/>
          <w:color w:val="2F5496"/>
        </w:rPr>
        <w:br w:type="page"/>
      </w:r>
    </w:p>
    <w:sdt>
      <w:sdtPr>
        <w:rPr>
          <w:rFonts w:ascii="Calibri" w:eastAsiaTheme="minorEastAsia" w:hAnsi="Calibri" w:cs="Calibri"/>
          <w:b w:val="0"/>
          <w:bCs w:val="0"/>
          <w:color w:val="auto"/>
          <w:sz w:val="24"/>
          <w:szCs w:val="24"/>
          <w:lang w:eastAsia="ja-JP"/>
        </w:rPr>
        <w:id w:val="641932671"/>
        <w:docPartObj>
          <w:docPartGallery w:val="Table of Contents"/>
          <w:docPartUnique/>
        </w:docPartObj>
      </w:sdtPr>
      <w:sdtEndPr>
        <w:rPr>
          <w:noProof/>
          <w:sz w:val="22"/>
          <w:szCs w:val="22"/>
        </w:rPr>
      </w:sdtEndPr>
      <w:sdtContent>
        <w:p w14:paraId="663278BA" w14:textId="73CD0E6E" w:rsidR="000F49A4" w:rsidRPr="00CE2324" w:rsidRDefault="000F49A4" w:rsidP="00CC6DE1">
          <w:pPr>
            <w:pStyle w:val="TOCHeading"/>
            <w:spacing w:before="0"/>
            <w:rPr>
              <w:rFonts w:ascii="Calibri" w:eastAsiaTheme="minorEastAsia" w:hAnsi="Calibri" w:cs="Calibri"/>
              <w:b w:val="0"/>
              <w:bCs w:val="0"/>
              <w:color w:val="auto"/>
              <w:sz w:val="24"/>
              <w:szCs w:val="24"/>
              <w:lang w:eastAsia="ja-JP"/>
            </w:rPr>
          </w:pPr>
          <w:r w:rsidRPr="00CE2324">
            <w:rPr>
              <w:rFonts w:ascii="Calibri" w:hAnsi="Calibri" w:cs="Calibri"/>
              <w:sz w:val="48"/>
              <w:szCs w:val="48"/>
            </w:rPr>
            <w:t>Table of Contents</w:t>
          </w:r>
        </w:p>
        <w:p w14:paraId="44991060" w14:textId="4EC45602" w:rsidR="00F94996" w:rsidRPr="00CE2324" w:rsidRDefault="000F49A4">
          <w:pPr>
            <w:pStyle w:val="TOC1"/>
            <w:tabs>
              <w:tab w:val="right" w:leader="dot" w:pos="9350"/>
            </w:tabs>
            <w:rPr>
              <w:rFonts w:cstheme="minorBidi"/>
              <w:b w:val="0"/>
              <w:bCs w:val="0"/>
              <w:i w:val="0"/>
              <w:iCs w:val="0"/>
              <w:noProof/>
              <w:kern w:val="2"/>
              <w:szCs w:val="24"/>
              <w:lang w:val="en-AU" w:eastAsia="en-GB"/>
              <w14:ligatures w14:val="standardContextual"/>
            </w:rPr>
          </w:pPr>
          <w:r w:rsidRPr="00CE2324">
            <w:rPr>
              <w:rFonts w:ascii="Calibri" w:hAnsi="Calibri" w:cs="Calibri"/>
              <w:b w:val="0"/>
              <w:bCs w:val="0"/>
              <w:i w:val="0"/>
              <w:iCs w:val="0"/>
              <w:sz w:val="40"/>
              <w:szCs w:val="40"/>
            </w:rPr>
            <w:fldChar w:fldCharType="begin"/>
          </w:r>
          <w:r w:rsidRPr="00CE2324">
            <w:rPr>
              <w:rFonts w:ascii="Calibri" w:hAnsi="Calibri" w:cs="Calibri"/>
              <w:i w:val="0"/>
              <w:iCs w:val="0"/>
              <w:sz w:val="40"/>
              <w:szCs w:val="40"/>
            </w:rPr>
            <w:instrText xml:space="preserve"> TOC \o "1-3" \h \z \u </w:instrText>
          </w:r>
          <w:r w:rsidRPr="00CE2324">
            <w:rPr>
              <w:rFonts w:ascii="Calibri" w:hAnsi="Calibri" w:cs="Calibri"/>
              <w:b w:val="0"/>
              <w:bCs w:val="0"/>
              <w:i w:val="0"/>
              <w:iCs w:val="0"/>
              <w:sz w:val="40"/>
              <w:szCs w:val="40"/>
            </w:rPr>
            <w:fldChar w:fldCharType="separate"/>
          </w:r>
          <w:hyperlink w:anchor="_Toc231593013" w:history="1">
            <w:r w:rsidR="00F94996" w:rsidRPr="00CE2324">
              <w:rPr>
                <w:rStyle w:val="Hyperlink"/>
                <w:rFonts w:ascii="Calibri" w:eastAsia="Times New Roman" w:hAnsi="Calibri" w:cs="Calibri"/>
                <w:i w:val="0"/>
                <w:iCs w:val="0"/>
                <w:noProof/>
              </w:rPr>
              <w:t>1. Introduction:</w:t>
            </w:r>
            <w:r w:rsidR="00F94996" w:rsidRPr="00CE2324">
              <w:rPr>
                <w:i w:val="0"/>
                <w:iCs w:val="0"/>
                <w:noProof/>
                <w:webHidden/>
              </w:rPr>
              <w:tab/>
            </w:r>
            <w:r w:rsidR="00F94996" w:rsidRPr="00CE2324">
              <w:rPr>
                <w:i w:val="0"/>
                <w:iCs w:val="0"/>
                <w:noProof/>
                <w:webHidden/>
              </w:rPr>
              <w:fldChar w:fldCharType="begin"/>
            </w:r>
            <w:r w:rsidR="00F94996" w:rsidRPr="00CE2324">
              <w:rPr>
                <w:i w:val="0"/>
                <w:iCs w:val="0"/>
                <w:noProof/>
                <w:webHidden/>
              </w:rPr>
              <w:instrText xml:space="preserve"> PAGEREF _Toc231593013 \h </w:instrText>
            </w:r>
            <w:r w:rsidR="00F94996" w:rsidRPr="00CE2324">
              <w:rPr>
                <w:i w:val="0"/>
                <w:iCs w:val="0"/>
                <w:noProof/>
                <w:webHidden/>
              </w:rPr>
            </w:r>
            <w:r w:rsidR="00F94996" w:rsidRPr="00CE2324">
              <w:rPr>
                <w:i w:val="0"/>
                <w:iCs w:val="0"/>
                <w:noProof/>
                <w:webHidden/>
              </w:rPr>
              <w:fldChar w:fldCharType="separate"/>
            </w:r>
            <w:r w:rsidR="00F94996" w:rsidRPr="00CE2324">
              <w:rPr>
                <w:i w:val="0"/>
                <w:iCs w:val="0"/>
                <w:noProof/>
                <w:webHidden/>
              </w:rPr>
              <w:t>4</w:t>
            </w:r>
            <w:r w:rsidR="00F94996" w:rsidRPr="00CE2324">
              <w:rPr>
                <w:i w:val="0"/>
                <w:iCs w:val="0"/>
                <w:noProof/>
                <w:webHidden/>
              </w:rPr>
              <w:fldChar w:fldCharType="end"/>
            </w:r>
          </w:hyperlink>
        </w:p>
        <w:p w14:paraId="3F161A5A" w14:textId="571EECC3" w:rsidR="00F94996" w:rsidRPr="00CE2324" w:rsidRDefault="00F94996">
          <w:pPr>
            <w:pStyle w:val="TOC1"/>
            <w:tabs>
              <w:tab w:val="right" w:leader="dot" w:pos="9350"/>
            </w:tabs>
            <w:rPr>
              <w:rFonts w:cstheme="minorBidi"/>
              <w:b w:val="0"/>
              <w:bCs w:val="0"/>
              <w:i w:val="0"/>
              <w:iCs w:val="0"/>
              <w:noProof/>
              <w:kern w:val="2"/>
              <w:szCs w:val="24"/>
              <w:lang w:val="en-AU" w:eastAsia="en-GB"/>
              <w14:ligatures w14:val="standardContextual"/>
            </w:rPr>
          </w:pPr>
          <w:hyperlink w:anchor="_Toc231593014" w:history="1">
            <w:r w:rsidRPr="00CE2324">
              <w:rPr>
                <w:rStyle w:val="Hyperlink"/>
                <w:rFonts w:ascii="Calibri" w:eastAsia="Times New Roman" w:hAnsi="Calibri" w:cs="Calibri"/>
                <w:i w:val="0"/>
                <w:iCs w:val="0"/>
                <w:noProof/>
              </w:rPr>
              <w:t>2. Global Mining Industry Overview</w:t>
            </w:r>
            <w:r w:rsidRPr="00CE2324">
              <w:rPr>
                <w:i w:val="0"/>
                <w:iCs w:val="0"/>
                <w:noProof/>
                <w:webHidden/>
              </w:rPr>
              <w:tab/>
            </w:r>
            <w:r w:rsidRPr="00CE2324">
              <w:rPr>
                <w:i w:val="0"/>
                <w:iCs w:val="0"/>
                <w:noProof/>
                <w:webHidden/>
              </w:rPr>
              <w:fldChar w:fldCharType="begin"/>
            </w:r>
            <w:r w:rsidRPr="00CE2324">
              <w:rPr>
                <w:i w:val="0"/>
                <w:iCs w:val="0"/>
                <w:noProof/>
                <w:webHidden/>
              </w:rPr>
              <w:instrText xml:space="preserve"> PAGEREF _Toc231593014 \h </w:instrText>
            </w:r>
            <w:r w:rsidRPr="00CE2324">
              <w:rPr>
                <w:i w:val="0"/>
                <w:iCs w:val="0"/>
                <w:noProof/>
                <w:webHidden/>
              </w:rPr>
            </w:r>
            <w:r w:rsidRPr="00CE2324">
              <w:rPr>
                <w:i w:val="0"/>
                <w:iCs w:val="0"/>
                <w:noProof/>
                <w:webHidden/>
              </w:rPr>
              <w:fldChar w:fldCharType="separate"/>
            </w:r>
            <w:r w:rsidRPr="00CE2324">
              <w:rPr>
                <w:i w:val="0"/>
                <w:iCs w:val="0"/>
                <w:noProof/>
                <w:webHidden/>
              </w:rPr>
              <w:t>5</w:t>
            </w:r>
            <w:r w:rsidRPr="00CE2324">
              <w:rPr>
                <w:i w:val="0"/>
                <w:iCs w:val="0"/>
                <w:noProof/>
                <w:webHidden/>
              </w:rPr>
              <w:fldChar w:fldCharType="end"/>
            </w:r>
          </w:hyperlink>
        </w:p>
        <w:p w14:paraId="4DFDC29D" w14:textId="095966F8" w:rsidR="00F94996" w:rsidRPr="00CE2324" w:rsidRDefault="00F94996">
          <w:pPr>
            <w:pStyle w:val="TOC2"/>
            <w:tabs>
              <w:tab w:val="right" w:leader="dot" w:pos="9350"/>
            </w:tabs>
            <w:rPr>
              <w:rFonts w:cstheme="minorBidi"/>
              <w:b w:val="0"/>
              <w:bCs w:val="0"/>
              <w:noProof/>
              <w:kern w:val="2"/>
              <w:sz w:val="24"/>
              <w:szCs w:val="24"/>
              <w:lang w:val="en-AU" w:eastAsia="en-GB"/>
              <w14:ligatures w14:val="standardContextual"/>
            </w:rPr>
          </w:pPr>
          <w:hyperlink w:anchor="_Toc231593015" w:history="1">
            <w:r w:rsidRPr="00CE2324">
              <w:rPr>
                <w:rStyle w:val="Hyperlink"/>
                <w:rFonts w:ascii="Calibri" w:eastAsia="Arial" w:hAnsi="Calibri" w:cs="Calibri"/>
                <w:noProof/>
                <w:lang w:val="en-IN"/>
              </w:rPr>
              <w:t>2.1 Competitor Comparison</w:t>
            </w:r>
            <w:r w:rsidRPr="00CE2324">
              <w:rPr>
                <w:noProof/>
                <w:webHidden/>
              </w:rPr>
              <w:tab/>
            </w:r>
            <w:r w:rsidRPr="00CE2324">
              <w:rPr>
                <w:noProof/>
                <w:webHidden/>
              </w:rPr>
              <w:fldChar w:fldCharType="begin"/>
            </w:r>
            <w:r w:rsidRPr="00CE2324">
              <w:rPr>
                <w:noProof/>
                <w:webHidden/>
              </w:rPr>
              <w:instrText xml:space="preserve"> PAGEREF _Toc231593015 \h </w:instrText>
            </w:r>
            <w:r w:rsidRPr="00CE2324">
              <w:rPr>
                <w:noProof/>
                <w:webHidden/>
              </w:rPr>
            </w:r>
            <w:r w:rsidRPr="00CE2324">
              <w:rPr>
                <w:noProof/>
                <w:webHidden/>
              </w:rPr>
              <w:fldChar w:fldCharType="separate"/>
            </w:r>
            <w:r w:rsidRPr="00CE2324">
              <w:rPr>
                <w:noProof/>
                <w:webHidden/>
              </w:rPr>
              <w:t>5</w:t>
            </w:r>
            <w:r w:rsidRPr="00CE2324">
              <w:rPr>
                <w:noProof/>
                <w:webHidden/>
              </w:rPr>
              <w:fldChar w:fldCharType="end"/>
            </w:r>
          </w:hyperlink>
        </w:p>
        <w:p w14:paraId="1B1FEBA9" w14:textId="571C7439" w:rsidR="00F94996" w:rsidRPr="00CE2324" w:rsidRDefault="00F94996">
          <w:pPr>
            <w:pStyle w:val="TOC2"/>
            <w:tabs>
              <w:tab w:val="right" w:leader="dot" w:pos="9350"/>
            </w:tabs>
            <w:rPr>
              <w:rFonts w:cstheme="minorBidi"/>
              <w:b w:val="0"/>
              <w:bCs w:val="0"/>
              <w:noProof/>
              <w:kern w:val="2"/>
              <w:sz w:val="24"/>
              <w:szCs w:val="24"/>
              <w:lang w:val="en-AU" w:eastAsia="en-GB"/>
              <w14:ligatures w14:val="standardContextual"/>
            </w:rPr>
          </w:pPr>
          <w:hyperlink w:anchor="_Toc231593016" w:history="1">
            <w:r w:rsidRPr="00CE2324">
              <w:rPr>
                <w:rStyle w:val="Hyperlink"/>
                <w:rFonts w:ascii="Calibri" w:eastAsia="Arial" w:hAnsi="Calibri" w:cs="Calibri"/>
                <w:noProof/>
                <w:lang w:val="en-IN"/>
              </w:rPr>
              <w:t>2.2 Competitive Position Analysis</w:t>
            </w:r>
            <w:r w:rsidRPr="00CE2324">
              <w:rPr>
                <w:noProof/>
                <w:webHidden/>
              </w:rPr>
              <w:tab/>
            </w:r>
            <w:r w:rsidRPr="00CE2324">
              <w:rPr>
                <w:noProof/>
                <w:webHidden/>
              </w:rPr>
              <w:fldChar w:fldCharType="begin"/>
            </w:r>
            <w:r w:rsidRPr="00CE2324">
              <w:rPr>
                <w:noProof/>
                <w:webHidden/>
              </w:rPr>
              <w:instrText xml:space="preserve"> PAGEREF _Toc231593016 \h </w:instrText>
            </w:r>
            <w:r w:rsidRPr="00CE2324">
              <w:rPr>
                <w:noProof/>
                <w:webHidden/>
              </w:rPr>
            </w:r>
            <w:r w:rsidRPr="00CE2324">
              <w:rPr>
                <w:noProof/>
                <w:webHidden/>
              </w:rPr>
              <w:fldChar w:fldCharType="separate"/>
            </w:r>
            <w:r w:rsidRPr="00CE2324">
              <w:rPr>
                <w:noProof/>
                <w:webHidden/>
              </w:rPr>
              <w:t>6</w:t>
            </w:r>
            <w:r w:rsidRPr="00CE2324">
              <w:rPr>
                <w:noProof/>
                <w:webHidden/>
              </w:rPr>
              <w:fldChar w:fldCharType="end"/>
            </w:r>
          </w:hyperlink>
        </w:p>
        <w:p w14:paraId="32A07814" w14:textId="149453AF" w:rsidR="00F94996" w:rsidRPr="00CE2324" w:rsidRDefault="00F94996">
          <w:pPr>
            <w:pStyle w:val="TOC1"/>
            <w:tabs>
              <w:tab w:val="right" w:leader="dot" w:pos="9350"/>
            </w:tabs>
            <w:rPr>
              <w:rFonts w:cstheme="minorBidi"/>
              <w:b w:val="0"/>
              <w:bCs w:val="0"/>
              <w:i w:val="0"/>
              <w:iCs w:val="0"/>
              <w:noProof/>
              <w:kern w:val="2"/>
              <w:szCs w:val="24"/>
              <w:lang w:val="en-AU" w:eastAsia="en-GB"/>
              <w14:ligatures w14:val="standardContextual"/>
            </w:rPr>
          </w:pPr>
          <w:hyperlink w:anchor="_Toc231593017" w:history="1">
            <w:r w:rsidRPr="00CE2324">
              <w:rPr>
                <w:rStyle w:val="Hyperlink"/>
                <w:rFonts w:ascii="Calibri" w:eastAsia="Times New Roman" w:hAnsi="Calibri" w:cs="Calibri"/>
                <w:i w:val="0"/>
                <w:iCs w:val="0"/>
                <w:noProof/>
                <w:lang w:val="en-IN"/>
              </w:rPr>
              <w:t>3. Historical Financial Performance</w:t>
            </w:r>
            <w:r w:rsidRPr="00CE2324">
              <w:rPr>
                <w:i w:val="0"/>
                <w:iCs w:val="0"/>
                <w:noProof/>
                <w:webHidden/>
              </w:rPr>
              <w:tab/>
            </w:r>
            <w:r w:rsidRPr="00CE2324">
              <w:rPr>
                <w:i w:val="0"/>
                <w:iCs w:val="0"/>
                <w:noProof/>
                <w:webHidden/>
              </w:rPr>
              <w:fldChar w:fldCharType="begin"/>
            </w:r>
            <w:r w:rsidRPr="00CE2324">
              <w:rPr>
                <w:i w:val="0"/>
                <w:iCs w:val="0"/>
                <w:noProof/>
                <w:webHidden/>
              </w:rPr>
              <w:instrText xml:space="preserve"> PAGEREF _Toc231593017 \h </w:instrText>
            </w:r>
            <w:r w:rsidRPr="00CE2324">
              <w:rPr>
                <w:i w:val="0"/>
                <w:iCs w:val="0"/>
                <w:noProof/>
                <w:webHidden/>
              </w:rPr>
            </w:r>
            <w:r w:rsidRPr="00CE2324">
              <w:rPr>
                <w:i w:val="0"/>
                <w:iCs w:val="0"/>
                <w:noProof/>
                <w:webHidden/>
              </w:rPr>
              <w:fldChar w:fldCharType="separate"/>
            </w:r>
            <w:r w:rsidRPr="00CE2324">
              <w:rPr>
                <w:i w:val="0"/>
                <w:iCs w:val="0"/>
                <w:noProof/>
                <w:webHidden/>
              </w:rPr>
              <w:t>7</w:t>
            </w:r>
            <w:r w:rsidRPr="00CE2324">
              <w:rPr>
                <w:i w:val="0"/>
                <w:iCs w:val="0"/>
                <w:noProof/>
                <w:webHidden/>
              </w:rPr>
              <w:fldChar w:fldCharType="end"/>
            </w:r>
          </w:hyperlink>
        </w:p>
        <w:p w14:paraId="512B6E42" w14:textId="5A27D9D6" w:rsidR="00F94996" w:rsidRPr="00CE2324" w:rsidRDefault="00F94996">
          <w:pPr>
            <w:pStyle w:val="TOC1"/>
            <w:tabs>
              <w:tab w:val="right" w:leader="dot" w:pos="9350"/>
            </w:tabs>
            <w:rPr>
              <w:rFonts w:cstheme="minorBidi"/>
              <w:b w:val="0"/>
              <w:bCs w:val="0"/>
              <w:i w:val="0"/>
              <w:iCs w:val="0"/>
              <w:noProof/>
              <w:kern w:val="2"/>
              <w:szCs w:val="24"/>
              <w:lang w:val="en-AU" w:eastAsia="en-GB"/>
              <w14:ligatures w14:val="standardContextual"/>
            </w:rPr>
          </w:pPr>
          <w:hyperlink w:anchor="_Toc231593018" w:history="1">
            <w:r w:rsidRPr="00CE2324">
              <w:rPr>
                <w:rStyle w:val="Hyperlink"/>
                <w:rFonts w:ascii="Calibri" w:eastAsia="Times New Roman" w:hAnsi="Calibri" w:cs="Calibri"/>
                <w:i w:val="0"/>
                <w:iCs w:val="0"/>
                <w:noProof/>
                <w:lang w:val="en-IN"/>
              </w:rPr>
              <w:t>3.1 Key Valuation Assumptions</w:t>
            </w:r>
            <w:r w:rsidRPr="00CE2324">
              <w:rPr>
                <w:i w:val="0"/>
                <w:iCs w:val="0"/>
                <w:noProof/>
                <w:webHidden/>
              </w:rPr>
              <w:tab/>
            </w:r>
            <w:r w:rsidRPr="00CE2324">
              <w:rPr>
                <w:i w:val="0"/>
                <w:iCs w:val="0"/>
                <w:noProof/>
                <w:webHidden/>
              </w:rPr>
              <w:fldChar w:fldCharType="begin"/>
            </w:r>
            <w:r w:rsidRPr="00CE2324">
              <w:rPr>
                <w:i w:val="0"/>
                <w:iCs w:val="0"/>
                <w:noProof/>
                <w:webHidden/>
              </w:rPr>
              <w:instrText xml:space="preserve"> PAGEREF _Toc231593018 \h </w:instrText>
            </w:r>
            <w:r w:rsidRPr="00CE2324">
              <w:rPr>
                <w:i w:val="0"/>
                <w:iCs w:val="0"/>
                <w:noProof/>
                <w:webHidden/>
              </w:rPr>
            </w:r>
            <w:r w:rsidRPr="00CE2324">
              <w:rPr>
                <w:i w:val="0"/>
                <w:iCs w:val="0"/>
                <w:noProof/>
                <w:webHidden/>
              </w:rPr>
              <w:fldChar w:fldCharType="separate"/>
            </w:r>
            <w:r w:rsidRPr="00CE2324">
              <w:rPr>
                <w:i w:val="0"/>
                <w:iCs w:val="0"/>
                <w:noProof/>
                <w:webHidden/>
              </w:rPr>
              <w:t>8</w:t>
            </w:r>
            <w:r w:rsidRPr="00CE2324">
              <w:rPr>
                <w:i w:val="0"/>
                <w:iCs w:val="0"/>
                <w:noProof/>
                <w:webHidden/>
              </w:rPr>
              <w:fldChar w:fldCharType="end"/>
            </w:r>
          </w:hyperlink>
        </w:p>
        <w:p w14:paraId="0A31AF66" w14:textId="42A690DA" w:rsidR="00F94996" w:rsidRPr="00CE2324" w:rsidRDefault="00F94996">
          <w:pPr>
            <w:pStyle w:val="TOC1"/>
            <w:tabs>
              <w:tab w:val="right" w:leader="dot" w:pos="9350"/>
            </w:tabs>
            <w:rPr>
              <w:rFonts w:cstheme="minorBidi"/>
              <w:b w:val="0"/>
              <w:bCs w:val="0"/>
              <w:i w:val="0"/>
              <w:iCs w:val="0"/>
              <w:noProof/>
              <w:kern w:val="2"/>
              <w:szCs w:val="24"/>
              <w:lang w:val="en-AU" w:eastAsia="en-GB"/>
              <w14:ligatures w14:val="standardContextual"/>
            </w:rPr>
          </w:pPr>
          <w:hyperlink w:anchor="_Toc231593019" w:history="1">
            <w:r w:rsidRPr="00CE2324">
              <w:rPr>
                <w:rStyle w:val="Hyperlink"/>
                <w:rFonts w:ascii="Calibri" w:eastAsia="Times New Roman" w:hAnsi="Calibri" w:cs="Calibri"/>
                <w:i w:val="0"/>
                <w:iCs w:val="0"/>
                <w:noProof/>
                <w:lang w:val="en-IN"/>
              </w:rPr>
              <w:t>4. Discounted Cash Flow (DCF) Valuation Model – Rio Tinto</w:t>
            </w:r>
            <w:r w:rsidRPr="00CE2324">
              <w:rPr>
                <w:i w:val="0"/>
                <w:iCs w:val="0"/>
                <w:noProof/>
                <w:webHidden/>
              </w:rPr>
              <w:tab/>
            </w:r>
            <w:r w:rsidRPr="00CE2324">
              <w:rPr>
                <w:i w:val="0"/>
                <w:iCs w:val="0"/>
                <w:noProof/>
                <w:webHidden/>
              </w:rPr>
              <w:fldChar w:fldCharType="begin"/>
            </w:r>
            <w:r w:rsidRPr="00CE2324">
              <w:rPr>
                <w:i w:val="0"/>
                <w:iCs w:val="0"/>
                <w:noProof/>
                <w:webHidden/>
              </w:rPr>
              <w:instrText xml:space="preserve"> PAGEREF _Toc231593019 \h </w:instrText>
            </w:r>
            <w:r w:rsidRPr="00CE2324">
              <w:rPr>
                <w:i w:val="0"/>
                <w:iCs w:val="0"/>
                <w:noProof/>
                <w:webHidden/>
              </w:rPr>
            </w:r>
            <w:r w:rsidRPr="00CE2324">
              <w:rPr>
                <w:i w:val="0"/>
                <w:iCs w:val="0"/>
                <w:noProof/>
                <w:webHidden/>
              </w:rPr>
              <w:fldChar w:fldCharType="separate"/>
            </w:r>
            <w:r w:rsidRPr="00CE2324">
              <w:rPr>
                <w:i w:val="0"/>
                <w:iCs w:val="0"/>
                <w:noProof/>
                <w:webHidden/>
              </w:rPr>
              <w:t>8</w:t>
            </w:r>
            <w:r w:rsidRPr="00CE2324">
              <w:rPr>
                <w:i w:val="0"/>
                <w:iCs w:val="0"/>
                <w:noProof/>
                <w:webHidden/>
              </w:rPr>
              <w:fldChar w:fldCharType="end"/>
            </w:r>
          </w:hyperlink>
        </w:p>
        <w:p w14:paraId="2F22923B" w14:textId="770B275B" w:rsidR="00F94996" w:rsidRPr="00CE2324" w:rsidRDefault="00F94996">
          <w:pPr>
            <w:pStyle w:val="TOC1"/>
            <w:tabs>
              <w:tab w:val="right" w:leader="dot" w:pos="9350"/>
            </w:tabs>
            <w:rPr>
              <w:rFonts w:cstheme="minorBidi"/>
              <w:b w:val="0"/>
              <w:bCs w:val="0"/>
              <w:i w:val="0"/>
              <w:iCs w:val="0"/>
              <w:noProof/>
              <w:kern w:val="2"/>
              <w:szCs w:val="24"/>
              <w:lang w:val="en-AU" w:eastAsia="en-GB"/>
              <w14:ligatures w14:val="standardContextual"/>
            </w:rPr>
          </w:pPr>
          <w:hyperlink w:anchor="_Toc231593020" w:history="1">
            <w:r w:rsidRPr="00CE2324">
              <w:rPr>
                <w:rStyle w:val="Hyperlink"/>
                <w:rFonts w:ascii="Calibri" w:eastAsia="Arial" w:hAnsi="Calibri" w:cs="Calibri"/>
                <w:i w:val="0"/>
                <w:iCs w:val="0"/>
                <w:noProof/>
              </w:rPr>
              <w:t>5. Investment Scenario Analysis</w:t>
            </w:r>
            <w:r w:rsidRPr="00CE2324">
              <w:rPr>
                <w:i w:val="0"/>
                <w:iCs w:val="0"/>
                <w:noProof/>
                <w:webHidden/>
              </w:rPr>
              <w:tab/>
            </w:r>
            <w:r w:rsidRPr="00CE2324">
              <w:rPr>
                <w:i w:val="0"/>
                <w:iCs w:val="0"/>
                <w:noProof/>
                <w:webHidden/>
              </w:rPr>
              <w:fldChar w:fldCharType="begin"/>
            </w:r>
            <w:r w:rsidRPr="00CE2324">
              <w:rPr>
                <w:i w:val="0"/>
                <w:iCs w:val="0"/>
                <w:noProof/>
                <w:webHidden/>
              </w:rPr>
              <w:instrText xml:space="preserve"> PAGEREF _Toc231593020 \h </w:instrText>
            </w:r>
            <w:r w:rsidRPr="00CE2324">
              <w:rPr>
                <w:i w:val="0"/>
                <w:iCs w:val="0"/>
                <w:noProof/>
                <w:webHidden/>
              </w:rPr>
            </w:r>
            <w:r w:rsidRPr="00CE2324">
              <w:rPr>
                <w:i w:val="0"/>
                <w:iCs w:val="0"/>
                <w:noProof/>
                <w:webHidden/>
              </w:rPr>
              <w:fldChar w:fldCharType="separate"/>
            </w:r>
            <w:r w:rsidRPr="00CE2324">
              <w:rPr>
                <w:i w:val="0"/>
                <w:iCs w:val="0"/>
                <w:noProof/>
                <w:webHidden/>
              </w:rPr>
              <w:t>11</w:t>
            </w:r>
            <w:r w:rsidRPr="00CE2324">
              <w:rPr>
                <w:i w:val="0"/>
                <w:iCs w:val="0"/>
                <w:noProof/>
                <w:webHidden/>
              </w:rPr>
              <w:fldChar w:fldCharType="end"/>
            </w:r>
          </w:hyperlink>
        </w:p>
        <w:p w14:paraId="5C50A16C" w14:textId="332401DE" w:rsidR="00F94996" w:rsidRPr="00CE2324" w:rsidRDefault="00F94996">
          <w:pPr>
            <w:pStyle w:val="TOC2"/>
            <w:tabs>
              <w:tab w:val="right" w:leader="dot" w:pos="9350"/>
            </w:tabs>
            <w:rPr>
              <w:rFonts w:cstheme="minorBidi"/>
              <w:b w:val="0"/>
              <w:bCs w:val="0"/>
              <w:noProof/>
              <w:kern w:val="2"/>
              <w:sz w:val="24"/>
              <w:szCs w:val="24"/>
              <w:lang w:val="en-AU" w:eastAsia="en-GB"/>
              <w14:ligatures w14:val="standardContextual"/>
            </w:rPr>
          </w:pPr>
          <w:hyperlink w:anchor="_Toc231593021" w:history="1">
            <w:r w:rsidRPr="00CE2324">
              <w:rPr>
                <w:rStyle w:val="Hyperlink"/>
                <w:rFonts w:ascii="Calibri" w:eastAsia="Arial" w:hAnsi="Calibri" w:cs="Calibri"/>
                <w:noProof/>
              </w:rPr>
              <w:t>5.1 Valuation vs Current Share Price</w:t>
            </w:r>
            <w:r w:rsidRPr="00CE2324">
              <w:rPr>
                <w:noProof/>
                <w:webHidden/>
              </w:rPr>
              <w:tab/>
            </w:r>
            <w:r w:rsidRPr="00CE2324">
              <w:rPr>
                <w:noProof/>
                <w:webHidden/>
              </w:rPr>
              <w:fldChar w:fldCharType="begin"/>
            </w:r>
            <w:r w:rsidRPr="00CE2324">
              <w:rPr>
                <w:noProof/>
                <w:webHidden/>
              </w:rPr>
              <w:instrText xml:space="preserve"> PAGEREF _Toc231593021 \h </w:instrText>
            </w:r>
            <w:r w:rsidRPr="00CE2324">
              <w:rPr>
                <w:noProof/>
                <w:webHidden/>
              </w:rPr>
            </w:r>
            <w:r w:rsidRPr="00CE2324">
              <w:rPr>
                <w:noProof/>
                <w:webHidden/>
              </w:rPr>
              <w:fldChar w:fldCharType="separate"/>
            </w:r>
            <w:r w:rsidRPr="00CE2324">
              <w:rPr>
                <w:noProof/>
                <w:webHidden/>
              </w:rPr>
              <w:t>11</w:t>
            </w:r>
            <w:r w:rsidRPr="00CE2324">
              <w:rPr>
                <w:noProof/>
                <w:webHidden/>
              </w:rPr>
              <w:fldChar w:fldCharType="end"/>
            </w:r>
          </w:hyperlink>
        </w:p>
        <w:p w14:paraId="1C4D8AB9" w14:textId="4A2BE311" w:rsidR="00F94996" w:rsidRPr="00CE2324" w:rsidRDefault="00F94996">
          <w:pPr>
            <w:pStyle w:val="TOC2"/>
            <w:tabs>
              <w:tab w:val="right" w:leader="dot" w:pos="9350"/>
            </w:tabs>
            <w:rPr>
              <w:rFonts w:cstheme="minorBidi"/>
              <w:b w:val="0"/>
              <w:bCs w:val="0"/>
              <w:noProof/>
              <w:kern w:val="2"/>
              <w:sz w:val="24"/>
              <w:szCs w:val="24"/>
              <w:lang w:val="en-AU" w:eastAsia="en-GB"/>
              <w14:ligatures w14:val="standardContextual"/>
            </w:rPr>
          </w:pPr>
          <w:hyperlink w:anchor="_Toc231593022" w:history="1">
            <w:r w:rsidRPr="00CE2324">
              <w:rPr>
                <w:rStyle w:val="Hyperlink"/>
                <w:rFonts w:ascii="Calibri" w:eastAsia="Arial" w:hAnsi="Calibri" w:cs="Calibri"/>
                <w:noProof/>
              </w:rPr>
              <w:t>5.2 Recommendation</w:t>
            </w:r>
            <w:r w:rsidRPr="00CE2324">
              <w:rPr>
                <w:noProof/>
                <w:webHidden/>
              </w:rPr>
              <w:tab/>
            </w:r>
            <w:r w:rsidRPr="00CE2324">
              <w:rPr>
                <w:noProof/>
                <w:webHidden/>
              </w:rPr>
              <w:fldChar w:fldCharType="begin"/>
            </w:r>
            <w:r w:rsidRPr="00CE2324">
              <w:rPr>
                <w:noProof/>
                <w:webHidden/>
              </w:rPr>
              <w:instrText xml:space="preserve"> PAGEREF _Toc231593022 \h </w:instrText>
            </w:r>
            <w:r w:rsidRPr="00CE2324">
              <w:rPr>
                <w:noProof/>
                <w:webHidden/>
              </w:rPr>
            </w:r>
            <w:r w:rsidRPr="00CE2324">
              <w:rPr>
                <w:noProof/>
                <w:webHidden/>
              </w:rPr>
              <w:fldChar w:fldCharType="separate"/>
            </w:r>
            <w:r w:rsidRPr="00CE2324">
              <w:rPr>
                <w:noProof/>
                <w:webHidden/>
              </w:rPr>
              <w:t>11</w:t>
            </w:r>
            <w:r w:rsidRPr="00CE2324">
              <w:rPr>
                <w:noProof/>
                <w:webHidden/>
              </w:rPr>
              <w:fldChar w:fldCharType="end"/>
            </w:r>
          </w:hyperlink>
        </w:p>
        <w:p w14:paraId="65CF908E" w14:textId="36910E40" w:rsidR="00F94996" w:rsidRPr="00CE2324" w:rsidRDefault="00F94996">
          <w:pPr>
            <w:pStyle w:val="TOC2"/>
            <w:tabs>
              <w:tab w:val="right" w:leader="dot" w:pos="9350"/>
            </w:tabs>
            <w:rPr>
              <w:rFonts w:cstheme="minorBidi"/>
              <w:b w:val="0"/>
              <w:bCs w:val="0"/>
              <w:noProof/>
              <w:kern w:val="2"/>
              <w:sz w:val="24"/>
              <w:szCs w:val="24"/>
              <w:lang w:val="en-AU" w:eastAsia="en-GB"/>
              <w14:ligatures w14:val="standardContextual"/>
            </w:rPr>
          </w:pPr>
          <w:hyperlink w:anchor="_Toc231593023" w:history="1">
            <w:r w:rsidRPr="00CE2324">
              <w:rPr>
                <w:rStyle w:val="Hyperlink"/>
                <w:rFonts w:ascii="Calibri" w:eastAsia="Arial" w:hAnsi="Calibri" w:cs="Calibri"/>
                <w:noProof/>
              </w:rPr>
              <w:t>5.3 Security Manager Analysis</w:t>
            </w:r>
            <w:r w:rsidRPr="00CE2324">
              <w:rPr>
                <w:noProof/>
                <w:webHidden/>
              </w:rPr>
              <w:tab/>
            </w:r>
            <w:r w:rsidRPr="00CE2324">
              <w:rPr>
                <w:noProof/>
                <w:webHidden/>
              </w:rPr>
              <w:fldChar w:fldCharType="begin"/>
            </w:r>
            <w:r w:rsidRPr="00CE2324">
              <w:rPr>
                <w:noProof/>
                <w:webHidden/>
              </w:rPr>
              <w:instrText xml:space="preserve"> PAGEREF _Toc231593023 \h </w:instrText>
            </w:r>
            <w:r w:rsidRPr="00CE2324">
              <w:rPr>
                <w:noProof/>
                <w:webHidden/>
              </w:rPr>
            </w:r>
            <w:r w:rsidRPr="00CE2324">
              <w:rPr>
                <w:noProof/>
                <w:webHidden/>
              </w:rPr>
              <w:fldChar w:fldCharType="separate"/>
            </w:r>
            <w:r w:rsidRPr="00CE2324">
              <w:rPr>
                <w:noProof/>
                <w:webHidden/>
              </w:rPr>
              <w:t>11</w:t>
            </w:r>
            <w:r w:rsidRPr="00CE2324">
              <w:rPr>
                <w:noProof/>
                <w:webHidden/>
              </w:rPr>
              <w:fldChar w:fldCharType="end"/>
            </w:r>
          </w:hyperlink>
        </w:p>
        <w:p w14:paraId="66E97E03" w14:textId="266B63B9" w:rsidR="00F94996" w:rsidRPr="00CE2324" w:rsidRDefault="00F94996">
          <w:pPr>
            <w:pStyle w:val="TOC1"/>
            <w:tabs>
              <w:tab w:val="right" w:leader="dot" w:pos="9350"/>
            </w:tabs>
            <w:rPr>
              <w:rFonts w:cstheme="minorBidi"/>
              <w:b w:val="0"/>
              <w:bCs w:val="0"/>
              <w:i w:val="0"/>
              <w:iCs w:val="0"/>
              <w:noProof/>
              <w:kern w:val="2"/>
              <w:szCs w:val="24"/>
              <w:lang w:val="en-AU" w:eastAsia="en-GB"/>
              <w14:ligatures w14:val="standardContextual"/>
            </w:rPr>
          </w:pPr>
          <w:hyperlink w:anchor="_Toc231593024" w:history="1">
            <w:r w:rsidRPr="00CE2324">
              <w:rPr>
                <w:rStyle w:val="Hyperlink"/>
                <w:rFonts w:ascii="Calibri" w:eastAsia="Arial" w:hAnsi="Calibri" w:cs="Calibri"/>
                <w:i w:val="0"/>
                <w:iCs w:val="0"/>
                <w:noProof/>
                <w:lang w:val="en-IN"/>
              </w:rPr>
              <w:t>References</w:t>
            </w:r>
            <w:r w:rsidRPr="00CE2324">
              <w:rPr>
                <w:i w:val="0"/>
                <w:iCs w:val="0"/>
                <w:noProof/>
                <w:webHidden/>
              </w:rPr>
              <w:tab/>
            </w:r>
            <w:r w:rsidRPr="00CE2324">
              <w:rPr>
                <w:i w:val="0"/>
                <w:iCs w:val="0"/>
                <w:noProof/>
                <w:webHidden/>
              </w:rPr>
              <w:fldChar w:fldCharType="begin"/>
            </w:r>
            <w:r w:rsidRPr="00CE2324">
              <w:rPr>
                <w:i w:val="0"/>
                <w:iCs w:val="0"/>
                <w:noProof/>
                <w:webHidden/>
              </w:rPr>
              <w:instrText xml:space="preserve"> PAGEREF _Toc231593024 \h </w:instrText>
            </w:r>
            <w:r w:rsidRPr="00CE2324">
              <w:rPr>
                <w:i w:val="0"/>
                <w:iCs w:val="0"/>
                <w:noProof/>
                <w:webHidden/>
              </w:rPr>
            </w:r>
            <w:r w:rsidRPr="00CE2324">
              <w:rPr>
                <w:i w:val="0"/>
                <w:iCs w:val="0"/>
                <w:noProof/>
                <w:webHidden/>
              </w:rPr>
              <w:fldChar w:fldCharType="separate"/>
            </w:r>
            <w:r w:rsidRPr="00CE2324">
              <w:rPr>
                <w:i w:val="0"/>
                <w:iCs w:val="0"/>
                <w:noProof/>
                <w:webHidden/>
              </w:rPr>
              <w:t>13</w:t>
            </w:r>
            <w:r w:rsidRPr="00CE2324">
              <w:rPr>
                <w:i w:val="0"/>
                <w:iCs w:val="0"/>
                <w:noProof/>
                <w:webHidden/>
              </w:rPr>
              <w:fldChar w:fldCharType="end"/>
            </w:r>
          </w:hyperlink>
        </w:p>
        <w:p w14:paraId="394E5468" w14:textId="26941E8B" w:rsidR="000F49A4" w:rsidRPr="00CE2324" w:rsidRDefault="000F49A4" w:rsidP="00CC6DE1">
          <w:pPr>
            <w:spacing w:after="0"/>
            <w:rPr>
              <w:rFonts w:ascii="Calibri" w:hAnsi="Calibri" w:cs="Calibri"/>
              <w:color w:val="156082" w:themeColor="accent1"/>
            </w:rPr>
          </w:pPr>
          <w:r w:rsidRPr="00CE2324">
            <w:rPr>
              <w:rFonts w:ascii="Calibri" w:hAnsi="Calibri" w:cs="Calibri"/>
              <w:b/>
              <w:bCs/>
              <w:noProof/>
              <w:sz w:val="40"/>
              <w:szCs w:val="40"/>
            </w:rPr>
            <w:fldChar w:fldCharType="end"/>
          </w:r>
        </w:p>
      </w:sdtContent>
    </w:sdt>
    <w:p w14:paraId="6FCDA514" w14:textId="0DE7FBA1" w:rsidR="000F49A4" w:rsidRPr="00CC6DE1" w:rsidRDefault="000F49A4" w:rsidP="00CC6DE1">
      <w:pPr>
        <w:spacing w:after="0"/>
        <w:rPr>
          <w:rFonts w:ascii="Calibri" w:eastAsia="Times New Roman" w:hAnsi="Calibri" w:cs="Calibri"/>
          <w:b/>
          <w:bCs/>
          <w:color w:val="2F5496"/>
        </w:rPr>
      </w:pPr>
    </w:p>
    <w:p w14:paraId="4242DFE8" w14:textId="77777777" w:rsidR="00553308" w:rsidRPr="00CC6DE1" w:rsidRDefault="00553308" w:rsidP="00CC6DE1">
      <w:pPr>
        <w:spacing w:after="0"/>
        <w:rPr>
          <w:rFonts w:ascii="Calibri" w:eastAsia="Times New Roman" w:hAnsi="Calibri" w:cs="Calibri"/>
          <w:b/>
          <w:bCs/>
          <w:color w:val="2F5496"/>
        </w:rPr>
      </w:pPr>
    </w:p>
    <w:p w14:paraId="54B65FC2" w14:textId="77777777" w:rsidR="00553308" w:rsidRPr="00CC6DE1" w:rsidRDefault="00553308" w:rsidP="00CC6DE1">
      <w:pPr>
        <w:spacing w:after="0"/>
        <w:rPr>
          <w:rFonts w:ascii="Calibri" w:eastAsia="Times New Roman" w:hAnsi="Calibri" w:cs="Calibri"/>
          <w:b/>
          <w:bCs/>
          <w:color w:val="2F5496"/>
        </w:rPr>
      </w:pPr>
    </w:p>
    <w:p w14:paraId="2A6F0DFD" w14:textId="77777777" w:rsidR="00553308" w:rsidRPr="00CC6DE1" w:rsidRDefault="00553308" w:rsidP="00CC6DE1">
      <w:pPr>
        <w:spacing w:after="0"/>
        <w:rPr>
          <w:rFonts w:ascii="Calibri" w:eastAsia="Times New Roman" w:hAnsi="Calibri" w:cs="Calibri"/>
          <w:b/>
          <w:bCs/>
          <w:color w:val="2F5496"/>
        </w:rPr>
      </w:pPr>
    </w:p>
    <w:p w14:paraId="58E00A62" w14:textId="77777777" w:rsidR="00553308" w:rsidRPr="00CC6DE1" w:rsidRDefault="00553308" w:rsidP="00CC6DE1">
      <w:pPr>
        <w:spacing w:after="0"/>
        <w:rPr>
          <w:rFonts w:ascii="Calibri" w:eastAsia="Times New Roman" w:hAnsi="Calibri" w:cs="Calibri"/>
          <w:b/>
          <w:bCs/>
          <w:color w:val="2F5496"/>
        </w:rPr>
      </w:pPr>
    </w:p>
    <w:p w14:paraId="72F688A5" w14:textId="77777777" w:rsidR="00553308" w:rsidRPr="00CC6DE1" w:rsidRDefault="00553308" w:rsidP="00CC6DE1">
      <w:pPr>
        <w:spacing w:after="0"/>
        <w:rPr>
          <w:rFonts w:ascii="Calibri" w:eastAsia="Times New Roman" w:hAnsi="Calibri" w:cs="Calibri"/>
          <w:b/>
          <w:bCs/>
          <w:color w:val="2F5496"/>
        </w:rPr>
      </w:pPr>
    </w:p>
    <w:p w14:paraId="5B5C9911" w14:textId="77777777" w:rsidR="00553308" w:rsidRPr="00CC6DE1" w:rsidRDefault="00553308" w:rsidP="00CC6DE1">
      <w:pPr>
        <w:spacing w:after="0"/>
        <w:rPr>
          <w:rFonts w:ascii="Calibri" w:eastAsia="Times New Roman" w:hAnsi="Calibri" w:cs="Calibri"/>
          <w:b/>
          <w:bCs/>
          <w:color w:val="2F5496"/>
        </w:rPr>
      </w:pPr>
    </w:p>
    <w:p w14:paraId="176A7E8D" w14:textId="77777777" w:rsidR="00553308" w:rsidRPr="00CC6DE1" w:rsidRDefault="00553308" w:rsidP="00CC6DE1">
      <w:pPr>
        <w:spacing w:after="0"/>
        <w:rPr>
          <w:rFonts w:ascii="Calibri" w:eastAsia="Times New Roman" w:hAnsi="Calibri" w:cs="Calibri"/>
          <w:b/>
          <w:bCs/>
          <w:color w:val="2F5496"/>
        </w:rPr>
      </w:pPr>
    </w:p>
    <w:p w14:paraId="2C215E47" w14:textId="77777777" w:rsidR="00553308" w:rsidRPr="00CC6DE1" w:rsidRDefault="00553308" w:rsidP="00CC6DE1">
      <w:pPr>
        <w:spacing w:after="0"/>
        <w:rPr>
          <w:rFonts w:ascii="Calibri" w:eastAsia="Times New Roman" w:hAnsi="Calibri" w:cs="Calibri"/>
          <w:b/>
          <w:bCs/>
          <w:color w:val="2F5496"/>
        </w:rPr>
      </w:pPr>
    </w:p>
    <w:p w14:paraId="194452CF" w14:textId="77777777" w:rsidR="00553308" w:rsidRPr="00CC6DE1" w:rsidRDefault="00553308" w:rsidP="00CC6DE1">
      <w:pPr>
        <w:spacing w:after="0"/>
        <w:rPr>
          <w:rFonts w:ascii="Calibri" w:eastAsia="Times New Roman" w:hAnsi="Calibri" w:cs="Calibri"/>
          <w:b/>
          <w:bCs/>
          <w:color w:val="2F5496"/>
        </w:rPr>
      </w:pPr>
    </w:p>
    <w:p w14:paraId="52083384" w14:textId="77777777" w:rsidR="00025712" w:rsidRPr="00CC6DE1" w:rsidRDefault="00025712" w:rsidP="00CC6DE1">
      <w:pPr>
        <w:spacing w:after="0"/>
        <w:rPr>
          <w:rFonts w:ascii="Calibri" w:eastAsia="Times New Roman" w:hAnsi="Calibri" w:cs="Calibri"/>
          <w:b/>
          <w:bCs/>
          <w:color w:val="2F5496"/>
        </w:rPr>
      </w:pPr>
    </w:p>
    <w:p w14:paraId="36064A0C" w14:textId="77777777" w:rsidR="00AC125E" w:rsidRPr="00CC6DE1" w:rsidRDefault="00AC125E" w:rsidP="00CC6DE1">
      <w:pPr>
        <w:spacing w:after="0"/>
        <w:rPr>
          <w:rFonts w:ascii="Calibri" w:eastAsia="Times New Roman" w:hAnsi="Calibri" w:cs="Calibri"/>
          <w:b/>
          <w:bCs/>
          <w:color w:val="2F5496"/>
        </w:rPr>
      </w:pPr>
    </w:p>
    <w:p w14:paraId="5EA32078" w14:textId="77777777" w:rsidR="00AC125E" w:rsidRPr="00CC6DE1" w:rsidRDefault="00AC125E" w:rsidP="00CC6DE1">
      <w:pPr>
        <w:spacing w:after="0"/>
        <w:rPr>
          <w:rFonts w:ascii="Calibri" w:eastAsia="Times New Roman" w:hAnsi="Calibri" w:cs="Calibri"/>
          <w:b/>
          <w:bCs/>
          <w:color w:val="2F5496"/>
        </w:rPr>
      </w:pPr>
    </w:p>
    <w:p w14:paraId="55EBDB03" w14:textId="77777777" w:rsidR="00AC125E" w:rsidRPr="00CC6DE1" w:rsidRDefault="00AC125E" w:rsidP="00CC6DE1">
      <w:pPr>
        <w:spacing w:after="0"/>
        <w:rPr>
          <w:rFonts w:ascii="Calibri" w:eastAsia="Times New Roman" w:hAnsi="Calibri" w:cs="Calibri"/>
          <w:b/>
          <w:bCs/>
          <w:color w:val="2F5496"/>
        </w:rPr>
      </w:pPr>
    </w:p>
    <w:p w14:paraId="6505814D" w14:textId="77777777" w:rsidR="00AC125E" w:rsidRPr="00CC6DE1" w:rsidRDefault="00AC125E" w:rsidP="00CC6DE1">
      <w:pPr>
        <w:spacing w:after="0"/>
        <w:rPr>
          <w:rFonts w:ascii="Calibri" w:eastAsia="Times New Roman" w:hAnsi="Calibri" w:cs="Calibri"/>
          <w:b/>
          <w:bCs/>
          <w:color w:val="2F5496"/>
        </w:rPr>
      </w:pPr>
    </w:p>
    <w:p w14:paraId="370646A9" w14:textId="77777777" w:rsidR="00AC125E" w:rsidRPr="00CC6DE1" w:rsidRDefault="00AC125E" w:rsidP="00CC6DE1">
      <w:pPr>
        <w:spacing w:after="0"/>
        <w:rPr>
          <w:rFonts w:ascii="Calibri" w:eastAsia="Times New Roman" w:hAnsi="Calibri" w:cs="Calibri"/>
          <w:b/>
          <w:bCs/>
          <w:color w:val="2F5496"/>
        </w:rPr>
      </w:pPr>
    </w:p>
    <w:p w14:paraId="3043353B" w14:textId="77777777" w:rsidR="00AC125E" w:rsidRPr="00CC6DE1" w:rsidRDefault="00AC125E" w:rsidP="00CC6DE1">
      <w:pPr>
        <w:spacing w:after="0"/>
        <w:rPr>
          <w:rFonts w:ascii="Calibri" w:eastAsia="Times New Roman" w:hAnsi="Calibri" w:cs="Calibri"/>
          <w:b/>
          <w:bCs/>
          <w:color w:val="2F5496"/>
        </w:rPr>
      </w:pPr>
    </w:p>
    <w:p w14:paraId="37890016" w14:textId="77777777" w:rsidR="00AC125E" w:rsidRPr="00CC6DE1" w:rsidRDefault="00AC125E" w:rsidP="00CC6DE1">
      <w:pPr>
        <w:spacing w:after="0"/>
        <w:rPr>
          <w:rFonts w:ascii="Calibri" w:eastAsia="Times New Roman" w:hAnsi="Calibri" w:cs="Calibri"/>
          <w:b/>
          <w:bCs/>
          <w:color w:val="2F5496"/>
        </w:rPr>
      </w:pPr>
    </w:p>
    <w:p w14:paraId="54F0D827" w14:textId="77777777" w:rsidR="00025712" w:rsidRPr="00CC6DE1" w:rsidRDefault="00025712" w:rsidP="00CC6DE1">
      <w:pPr>
        <w:spacing w:after="0"/>
        <w:rPr>
          <w:rFonts w:ascii="Calibri" w:eastAsia="Times New Roman" w:hAnsi="Calibri" w:cs="Calibri"/>
          <w:b/>
          <w:bCs/>
          <w:color w:val="2F5496"/>
        </w:rPr>
      </w:pPr>
    </w:p>
    <w:p w14:paraId="233EF8DD" w14:textId="5319EC62" w:rsidR="00122CA7" w:rsidRPr="00CC6DE1" w:rsidRDefault="0097073E" w:rsidP="00CC6DE1">
      <w:pPr>
        <w:pStyle w:val="Heading1"/>
        <w:spacing w:before="0" w:after="0" w:line="360" w:lineRule="auto"/>
        <w:jc w:val="both"/>
        <w:rPr>
          <w:rFonts w:ascii="Calibri" w:hAnsi="Calibri" w:cs="Calibri"/>
          <w:sz w:val="24"/>
          <w:szCs w:val="24"/>
        </w:rPr>
      </w:pPr>
      <w:bookmarkStart w:id="0" w:name="_Toc231593013"/>
      <w:r w:rsidRPr="00150736">
        <w:rPr>
          <w:rFonts w:ascii="Calibri" w:eastAsia="Times New Roman" w:hAnsi="Calibri" w:cs="Calibri"/>
          <w:b/>
          <w:bCs/>
          <w:color w:val="2F5496"/>
          <w:sz w:val="28"/>
          <w:szCs w:val="28"/>
        </w:rPr>
        <w:lastRenderedPageBreak/>
        <w:t xml:space="preserve">1. </w:t>
      </w:r>
      <w:r w:rsidR="3712997C" w:rsidRPr="00150736">
        <w:rPr>
          <w:rFonts w:ascii="Calibri" w:eastAsia="Times New Roman" w:hAnsi="Calibri" w:cs="Calibri"/>
          <w:b/>
          <w:bCs/>
          <w:color w:val="2F5496"/>
          <w:sz w:val="28"/>
          <w:szCs w:val="28"/>
        </w:rPr>
        <w:t>I</w:t>
      </w:r>
      <w:r w:rsidR="096CF1D8" w:rsidRPr="00150736">
        <w:rPr>
          <w:rFonts w:ascii="Calibri" w:eastAsia="Times New Roman" w:hAnsi="Calibri" w:cs="Calibri"/>
          <w:b/>
          <w:bCs/>
          <w:color w:val="2F5496"/>
          <w:sz w:val="28"/>
          <w:szCs w:val="28"/>
        </w:rPr>
        <w:t>ntroduction:</w:t>
      </w:r>
      <w:bookmarkEnd w:id="0"/>
    </w:p>
    <w:p w14:paraId="38C0F03A" w14:textId="32213F57" w:rsidR="00661708" w:rsidRPr="00CC6DE1" w:rsidRDefault="00661708" w:rsidP="00CC6DE1">
      <w:pPr>
        <w:spacing w:after="0" w:line="360" w:lineRule="auto"/>
        <w:jc w:val="both"/>
        <w:rPr>
          <w:rFonts w:ascii="Calibri" w:eastAsia="Times New Roman" w:hAnsi="Calibri" w:cs="Calibri"/>
          <w:lang w:val="en-AU" w:eastAsia="en-GB"/>
        </w:rPr>
      </w:pPr>
      <w:r w:rsidRPr="00CC6DE1">
        <w:rPr>
          <w:rFonts w:ascii="Calibri" w:eastAsia="Times New Roman" w:hAnsi="Calibri" w:cs="Calibri"/>
          <w:lang w:val="en-AU" w:eastAsia="en-GB"/>
        </w:rPr>
        <w:t xml:space="preserve">Rio Tinto, </w:t>
      </w:r>
      <w:r w:rsidR="00DE4F61" w:rsidRPr="00CC6DE1">
        <w:rPr>
          <w:rFonts w:ascii="Calibri" w:eastAsia="Times New Roman" w:hAnsi="Calibri" w:cs="Calibri"/>
          <w:lang w:val="en-AU" w:eastAsia="en-GB"/>
        </w:rPr>
        <w:t>a globally recognised mining</w:t>
      </w:r>
      <w:r w:rsidR="0057757B" w:rsidRPr="00CC6DE1">
        <w:rPr>
          <w:rFonts w:ascii="Calibri" w:eastAsia="Times New Roman" w:hAnsi="Calibri" w:cs="Calibri"/>
          <w:lang w:val="en-AU" w:eastAsia="en-GB"/>
        </w:rPr>
        <w:t xml:space="preserve"> and metals company, with operations across regions and commodity groups like iron ore, aluminium, copper and lithium production. The company was established in 1873, and has developed </w:t>
      </w:r>
      <w:r w:rsidR="00FD07FC" w:rsidRPr="00CC6DE1">
        <w:rPr>
          <w:rFonts w:ascii="Calibri" w:eastAsia="Times New Roman" w:hAnsi="Calibri" w:cs="Calibri"/>
          <w:lang w:val="en-AU" w:eastAsia="en-GB"/>
        </w:rPr>
        <w:t>a robust portfolio of large-scale, low-cost mining assets catering to its position as the prominent global supplier of raw materials for industrial development and sustainable energy development (Rio Tinto, 2025).</w:t>
      </w:r>
    </w:p>
    <w:p w14:paraId="4B7852A9" w14:textId="77777777" w:rsidR="00354F5D" w:rsidRDefault="00354F5D" w:rsidP="00CC6DE1">
      <w:pPr>
        <w:spacing w:after="0" w:line="360" w:lineRule="auto"/>
        <w:jc w:val="both"/>
        <w:rPr>
          <w:rFonts w:ascii="Calibri" w:eastAsia="Times New Roman" w:hAnsi="Calibri" w:cs="Calibri"/>
          <w:lang w:val="en-AU" w:eastAsia="en-GB"/>
        </w:rPr>
      </w:pPr>
    </w:p>
    <w:p w14:paraId="315C718A" w14:textId="31D4CAE4" w:rsidR="00FD07FC" w:rsidRPr="00CC6DE1" w:rsidRDefault="00FD07FC" w:rsidP="00CC6DE1">
      <w:pPr>
        <w:spacing w:after="0" w:line="360" w:lineRule="auto"/>
        <w:jc w:val="both"/>
        <w:rPr>
          <w:rFonts w:ascii="Calibri" w:eastAsia="Times New Roman" w:hAnsi="Calibri" w:cs="Calibri"/>
          <w:lang w:val="en-AU" w:eastAsia="en-GB"/>
        </w:rPr>
      </w:pPr>
      <w:r w:rsidRPr="00CC6DE1">
        <w:rPr>
          <w:rFonts w:ascii="Calibri" w:eastAsia="Times New Roman" w:hAnsi="Calibri" w:cs="Calibri"/>
          <w:lang w:val="en-AU" w:eastAsia="en-GB"/>
        </w:rPr>
        <w:t xml:space="preserve">The mining sector </w:t>
      </w:r>
      <w:r w:rsidR="00BA438C" w:rsidRPr="00CC6DE1">
        <w:rPr>
          <w:rFonts w:ascii="Calibri" w:eastAsia="Times New Roman" w:hAnsi="Calibri" w:cs="Calibri"/>
          <w:lang w:val="en-AU" w:eastAsia="en-GB"/>
        </w:rPr>
        <w:t>plays</w:t>
      </w:r>
      <w:r w:rsidRPr="00CC6DE1">
        <w:rPr>
          <w:rFonts w:ascii="Calibri" w:eastAsia="Times New Roman" w:hAnsi="Calibri" w:cs="Calibri"/>
          <w:lang w:val="en-AU" w:eastAsia="en-GB"/>
        </w:rPr>
        <w:t xml:space="preserve"> a fundamental role in </w:t>
      </w:r>
      <w:r w:rsidR="00BA438C" w:rsidRPr="00CC6DE1">
        <w:rPr>
          <w:rFonts w:ascii="Calibri" w:eastAsia="Times New Roman" w:hAnsi="Calibri" w:cs="Calibri"/>
          <w:lang w:val="en-AU" w:eastAsia="en-GB"/>
        </w:rPr>
        <w:t xml:space="preserve">global economic growth, </w:t>
      </w:r>
      <w:r w:rsidR="00BA438C" w:rsidRPr="00CC6DE1">
        <w:rPr>
          <w:rFonts w:ascii="Calibri" w:hAnsi="Calibri" w:cs="Calibri"/>
        </w:rPr>
        <w:t xml:space="preserve">infrastructure </w:t>
      </w:r>
      <w:r w:rsidR="00BA438C" w:rsidRPr="00CC6DE1">
        <w:rPr>
          <w:rFonts w:ascii="Calibri" w:eastAsia="Times New Roman" w:hAnsi="Calibri" w:cs="Calibri"/>
          <w:lang w:val="en-AU" w:eastAsia="en-GB"/>
        </w:rPr>
        <w:t xml:space="preserve">expansion and technological development. Given the increase in industrialisation, urbanisation and transition towards decarbonisation of global energy sector have increased the demand for fundamental minerals like copper and lithium (Hund et al., 2020). </w:t>
      </w:r>
    </w:p>
    <w:p w14:paraId="684DF754" w14:textId="77777777" w:rsidR="00354F5D" w:rsidRDefault="00354F5D" w:rsidP="00CC6DE1">
      <w:pPr>
        <w:spacing w:after="0" w:line="360" w:lineRule="auto"/>
        <w:jc w:val="both"/>
        <w:rPr>
          <w:rFonts w:ascii="Calibri" w:eastAsia="Times New Roman" w:hAnsi="Calibri" w:cs="Calibri"/>
          <w:lang w:val="en-AU" w:eastAsia="en-GB"/>
        </w:rPr>
      </w:pPr>
    </w:p>
    <w:p w14:paraId="74045F24" w14:textId="62080252" w:rsidR="00FD07FC" w:rsidRPr="00CC6DE1" w:rsidRDefault="00BA438C" w:rsidP="00CC6DE1">
      <w:pPr>
        <w:spacing w:after="0" w:line="360" w:lineRule="auto"/>
        <w:jc w:val="both"/>
        <w:rPr>
          <w:rFonts w:ascii="Calibri" w:eastAsia="Times New Roman" w:hAnsi="Calibri" w:cs="Calibri"/>
          <w:lang w:val="en-AU" w:eastAsia="en-GB"/>
        </w:rPr>
      </w:pPr>
      <w:r w:rsidRPr="00CC6DE1">
        <w:rPr>
          <w:rFonts w:ascii="Calibri" w:eastAsia="Times New Roman" w:hAnsi="Calibri" w:cs="Calibri"/>
          <w:lang w:val="en-AU" w:eastAsia="en-GB"/>
        </w:rPr>
        <w:t xml:space="preserve">Rio Tinto derives majority of its revenues from iron ore operations, with China accounting as their largest market. Simultaneously, the company also focuses </w:t>
      </w:r>
      <w:r w:rsidR="00F47322" w:rsidRPr="00CC6DE1">
        <w:rPr>
          <w:rFonts w:ascii="Calibri" w:eastAsia="Times New Roman" w:hAnsi="Calibri" w:cs="Calibri"/>
          <w:lang w:val="en-AU" w:eastAsia="en-GB"/>
        </w:rPr>
        <w:t xml:space="preserve">on strategic commodities, including copper and lithium to reduce their dependence over traditional iron ore earnings and enhance their long-term growth opportunities (Rio Tinto, 2025). Growth initiatives like </w:t>
      </w:r>
      <w:proofErr w:type="spellStart"/>
      <w:r w:rsidR="00F47322" w:rsidRPr="00CC6DE1">
        <w:rPr>
          <w:rFonts w:ascii="Calibri" w:eastAsia="Times New Roman" w:hAnsi="Calibri" w:cs="Calibri"/>
          <w:lang w:val="en-AU" w:eastAsia="en-GB"/>
        </w:rPr>
        <w:t>Oyu</w:t>
      </w:r>
      <w:proofErr w:type="spellEnd"/>
      <w:r w:rsidR="00F47322" w:rsidRPr="00CC6DE1">
        <w:rPr>
          <w:rFonts w:ascii="Calibri" w:eastAsia="Times New Roman" w:hAnsi="Calibri" w:cs="Calibri"/>
          <w:lang w:val="en-AU" w:eastAsia="en-GB"/>
        </w:rPr>
        <w:t xml:space="preserve"> Tolgoi in Mongolia and </w:t>
      </w:r>
      <w:proofErr w:type="spellStart"/>
      <w:r w:rsidR="00F47322" w:rsidRPr="00CC6DE1">
        <w:rPr>
          <w:rFonts w:ascii="Calibri" w:eastAsia="Times New Roman" w:hAnsi="Calibri" w:cs="Calibri"/>
          <w:lang w:val="en-AU" w:eastAsia="en-GB"/>
        </w:rPr>
        <w:t>Simandou</w:t>
      </w:r>
      <w:proofErr w:type="spellEnd"/>
      <w:r w:rsidR="00F47322" w:rsidRPr="00CC6DE1">
        <w:rPr>
          <w:rFonts w:ascii="Calibri" w:eastAsia="Times New Roman" w:hAnsi="Calibri" w:cs="Calibri"/>
          <w:lang w:val="en-AU" w:eastAsia="en-GB"/>
        </w:rPr>
        <w:t xml:space="preserve"> in Guinea are anticipated to make significant contribution towards the company’s competitive position in the global mining industry. </w:t>
      </w:r>
    </w:p>
    <w:p w14:paraId="780E4DC7" w14:textId="77777777" w:rsidR="00354F5D" w:rsidRDefault="00354F5D" w:rsidP="00CC6DE1">
      <w:pPr>
        <w:spacing w:after="0" w:line="360" w:lineRule="auto"/>
        <w:jc w:val="both"/>
        <w:rPr>
          <w:rFonts w:ascii="Calibri" w:eastAsia="Times New Roman" w:hAnsi="Calibri" w:cs="Calibri"/>
          <w:lang w:val="en-AU" w:eastAsia="en-GB"/>
        </w:rPr>
      </w:pPr>
    </w:p>
    <w:p w14:paraId="49D08C97" w14:textId="12162ECE" w:rsidR="00F47322" w:rsidRPr="00CC6DE1" w:rsidRDefault="00521784" w:rsidP="00CC6DE1">
      <w:pPr>
        <w:spacing w:after="0" w:line="360" w:lineRule="auto"/>
        <w:jc w:val="both"/>
        <w:rPr>
          <w:rFonts w:ascii="Calibri" w:hAnsi="Calibri" w:cs="Calibri"/>
        </w:rPr>
      </w:pPr>
      <w:r w:rsidRPr="00CC6DE1">
        <w:rPr>
          <w:rFonts w:ascii="Calibri" w:eastAsia="Times New Roman" w:hAnsi="Calibri" w:cs="Calibri"/>
          <w:lang w:val="en-AU" w:eastAsia="en-GB"/>
        </w:rPr>
        <w:t xml:space="preserve">Although the company is well positioned, it operates within a cyclical industrial standard. Due to volatility in global economic activity and increasing demand for critical minerals the company has </w:t>
      </w:r>
      <w:r w:rsidRPr="00CC6DE1">
        <w:rPr>
          <w:rFonts w:ascii="Calibri" w:hAnsi="Calibri" w:cs="Calibri"/>
        </w:rPr>
        <w:t>significantly influenced the investment decisions and commodity prices (International Energy Agency, 2024).</w:t>
      </w:r>
    </w:p>
    <w:p w14:paraId="1A3295C8" w14:textId="77777777" w:rsidR="00354F5D" w:rsidRDefault="00354F5D" w:rsidP="00CC6DE1">
      <w:pPr>
        <w:spacing w:after="0" w:line="360" w:lineRule="auto"/>
        <w:jc w:val="both"/>
        <w:rPr>
          <w:rFonts w:ascii="Calibri" w:eastAsia="Times New Roman" w:hAnsi="Calibri" w:cs="Calibri"/>
          <w:lang w:val="en-AU" w:eastAsia="en-GB"/>
        </w:rPr>
      </w:pPr>
    </w:p>
    <w:p w14:paraId="5ECF7371" w14:textId="57CACD4B" w:rsidR="00661708" w:rsidRPr="00CC6DE1" w:rsidRDefault="00521784" w:rsidP="00CC6DE1">
      <w:pPr>
        <w:spacing w:after="0" w:line="360" w:lineRule="auto"/>
        <w:jc w:val="both"/>
        <w:rPr>
          <w:rFonts w:ascii="Calibri" w:eastAsia="Times New Roman" w:hAnsi="Calibri" w:cs="Calibri"/>
          <w:lang w:val="en-AU" w:eastAsia="en-GB"/>
        </w:rPr>
      </w:pPr>
      <w:r w:rsidRPr="00CC6DE1">
        <w:rPr>
          <w:rFonts w:ascii="Calibri" w:eastAsia="Times New Roman" w:hAnsi="Calibri" w:cs="Calibri"/>
          <w:lang w:val="en-AU" w:eastAsia="en-GB"/>
        </w:rPr>
        <w:t xml:space="preserve">Considering these opportunities and challenges, it is essential to assess Rio Tinto’s current market </w:t>
      </w:r>
      <w:r w:rsidR="00F6303F" w:rsidRPr="00CC6DE1">
        <w:rPr>
          <w:rFonts w:ascii="Calibri" w:eastAsia="Times New Roman" w:hAnsi="Calibri" w:cs="Calibri"/>
          <w:lang w:val="en-AU" w:eastAsia="en-GB"/>
        </w:rPr>
        <w:t xml:space="preserve">valuation. Therefore, in this report we are using Rio Tinto’s 5 years of historical financial performance to analyse and create Discounted Cash Flow (DCF) valuation model and present an investment recommendation. </w:t>
      </w:r>
    </w:p>
    <w:p w14:paraId="66ADD965" w14:textId="77777777" w:rsidR="00F1636D" w:rsidRPr="00CC6DE1" w:rsidRDefault="00F1636D" w:rsidP="00CC6DE1">
      <w:pPr>
        <w:spacing w:after="0" w:line="360" w:lineRule="auto"/>
        <w:jc w:val="both"/>
        <w:rPr>
          <w:rFonts w:ascii="Calibri" w:eastAsia="Times New Roman" w:hAnsi="Calibri" w:cs="Calibri"/>
        </w:rPr>
      </w:pPr>
    </w:p>
    <w:p w14:paraId="001F3E41" w14:textId="21A8E3D6" w:rsidR="00F1636D" w:rsidRPr="00354F5D" w:rsidRDefault="0ADBEEFD" w:rsidP="00354F5D">
      <w:pPr>
        <w:pStyle w:val="Heading1"/>
        <w:spacing w:before="0" w:after="0" w:line="360" w:lineRule="auto"/>
        <w:jc w:val="both"/>
        <w:rPr>
          <w:rFonts w:ascii="Calibri" w:eastAsia="Times New Roman" w:hAnsi="Calibri" w:cs="Calibri"/>
          <w:b/>
          <w:bCs/>
          <w:color w:val="2F5496"/>
          <w:sz w:val="28"/>
          <w:szCs w:val="28"/>
        </w:rPr>
      </w:pPr>
      <w:bookmarkStart w:id="1" w:name="_Toc231593014"/>
      <w:r w:rsidRPr="00150736">
        <w:rPr>
          <w:rFonts w:ascii="Calibri" w:eastAsia="Times New Roman" w:hAnsi="Calibri" w:cs="Calibri"/>
          <w:b/>
          <w:bCs/>
          <w:color w:val="2F5496"/>
          <w:sz w:val="28"/>
          <w:szCs w:val="28"/>
        </w:rPr>
        <w:lastRenderedPageBreak/>
        <w:t>2. Global Mining Industry Overview</w:t>
      </w:r>
      <w:bookmarkEnd w:id="1"/>
    </w:p>
    <w:p w14:paraId="133D4910" w14:textId="523C2AD8" w:rsidR="0ADBEEFD" w:rsidRPr="00CC6DE1" w:rsidRDefault="0ADBEEFD" w:rsidP="00CC6DE1">
      <w:pPr>
        <w:spacing w:after="0" w:line="360" w:lineRule="auto"/>
        <w:rPr>
          <w:rFonts w:ascii="Calibri" w:eastAsia="Times New Roman" w:hAnsi="Calibri" w:cs="Calibri"/>
          <w:lang w:val="en-IN"/>
        </w:rPr>
      </w:pPr>
      <w:r w:rsidRPr="00CC6DE1">
        <w:rPr>
          <w:rFonts w:ascii="Calibri" w:eastAsia="Times New Roman" w:hAnsi="Calibri" w:cs="Calibri"/>
          <w:lang w:val="en-IN"/>
        </w:rPr>
        <w:t xml:space="preserve">Iron ore has an estimated global value of approximately $297-372 </w:t>
      </w:r>
      <w:r w:rsidR="24EBD4E4" w:rsidRPr="00CC6DE1">
        <w:rPr>
          <w:rFonts w:ascii="Calibri" w:eastAsia="Times New Roman" w:hAnsi="Calibri" w:cs="Calibri"/>
          <w:lang w:val="en-IN"/>
        </w:rPr>
        <w:t>billion</w:t>
      </w:r>
      <w:r w:rsidRPr="00CC6DE1">
        <w:rPr>
          <w:rFonts w:ascii="Calibri" w:eastAsia="Times New Roman" w:hAnsi="Calibri" w:cs="Calibri"/>
          <w:lang w:val="en-IN"/>
        </w:rPr>
        <w:t xml:space="preserve"> in 2024</w:t>
      </w:r>
      <w:r w:rsidR="0084696D" w:rsidRPr="00CC6DE1">
        <w:rPr>
          <w:rFonts w:ascii="Calibri" w:eastAsia="Times New Roman" w:hAnsi="Calibri" w:cs="Calibri"/>
          <w:lang w:val="en-IN"/>
        </w:rPr>
        <w:t xml:space="preserve"> </w:t>
      </w:r>
      <w:r w:rsidR="0084696D" w:rsidRPr="00CC6DE1">
        <w:rPr>
          <w:rFonts w:ascii="Calibri" w:hAnsi="Calibri" w:cs="Calibri"/>
        </w:rPr>
        <w:t>(Grand View Research 2025)</w:t>
      </w:r>
      <w:r w:rsidRPr="00CC6DE1">
        <w:rPr>
          <w:rFonts w:ascii="Calibri" w:eastAsia="Times New Roman" w:hAnsi="Calibri" w:cs="Calibri"/>
          <w:lang w:val="en-IN"/>
        </w:rPr>
        <w:t xml:space="preserve">. The overall seaborne market was reported to be $299 </w:t>
      </w:r>
      <w:r w:rsidR="6EF3F2F8" w:rsidRPr="00CC6DE1">
        <w:rPr>
          <w:rFonts w:ascii="Calibri" w:eastAsia="Times New Roman" w:hAnsi="Calibri" w:cs="Calibri"/>
          <w:lang w:val="en-IN"/>
        </w:rPr>
        <w:t>billion</w:t>
      </w:r>
      <w:r w:rsidRPr="00CC6DE1">
        <w:rPr>
          <w:rFonts w:ascii="Calibri" w:eastAsia="Times New Roman" w:hAnsi="Calibri" w:cs="Calibri"/>
          <w:lang w:val="en-IN"/>
        </w:rPr>
        <w:t xml:space="preserve"> by </w:t>
      </w:r>
      <w:r w:rsidR="6A32410C" w:rsidRPr="00CC6DE1">
        <w:rPr>
          <w:rFonts w:ascii="Calibri" w:eastAsia="Times New Roman" w:hAnsi="Calibri" w:cs="Calibri"/>
          <w:lang w:val="en-IN"/>
        </w:rPr>
        <w:t>IBISWorld</w:t>
      </w:r>
      <w:r w:rsidR="0084696D" w:rsidRPr="00CC6DE1">
        <w:rPr>
          <w:rFonts w:ascii="Calibri" w:eastAsia="Times New Roman" w:hAnsi="Calibri" w:cs="Calibri"/>
          <w:lang w:val="en-IN"/>
        </w:rPr>
        <w:t xml:space="preserve"> </w:t>
      </w:r>
      <w:r w:rsidR="0084696D" w:rsidRPr="00CC6DE1">
        <w:rPr>
          <w:rFonts w:ascii="Calibri" w:hAnsi="Calibri" w:cs="Calibri"/>
        </w:rPr>
        <w:t>(IBISWorld 2024)</w:t>
      </w:r>
      <w:r w:rsidR="6A32410C" w:rsidRPr="00CC6DE1">
        <w:rPr>
          <w:rFonts w:ascii="Calibri" w:eastAsia="Times New Roman" w:hAnsi="Calibri" w:cs="Calibri"/>
          <w:lang w:val="en-IN"/>
        </w:rPr>
        <w:t>.</w:t>
      </w:r>
      <w:r w:rsidRPr="00CC6DE1">
        <w:rPr>
          <w:rFonts w:ascii="Calibri" w:eastAsia="Times New Roman" w:hAnsi="Calibri" w:cs="Calibri"/>
          <w:lang w:val="en-IN"/>
        </w:rPr>
        <w:t xml:space="preserve"> Forecasted growth for this industry is expected to occur at a compound annual growth rate (CAGR) of 2-4% during the period from </w:t>
      </w:r>
      <w:r w:rsidR="1825C28D" w:rsidRPr="00CC6DE1">
        <w:rPr>
          <w:rFonts w:ascii="Calibri" w:eastAsia="Times New Roman" w:hAnsi="Calibri" w:cs="Calibri"/>
          <w:lang w:val="en-IN"/>
        </w:rPr>
        <w:t>2030 due</w:t>
      </w:r>
      <w:r w:rsidRPr="00CC6DE1">
        <w:rPr>
          <w:rFonts w:ascii="Calibri" w:eastAsia="Times New Roman" w:hAnsi="Calibri" w:cs="Calibri"/>
          <w:lang w:val="en-IN"/>
        </w:rPr>
        <w:t xml:space="preserve"> to increasing demand for steel resulting from both urbanization in developing countries and infrastructure developments</w:t>
      </w:r>
      <w:r w:rsidR="0084696D" w:rsidRPr="00CC6DE1">
        <w:rPr>
          <w:rFonts w:ascii="Calibri" w:eastAsia="Times New Roman" w:hAnsi="Calibri" w:cs="Calibri"/>
          <w:lang w:val="en-IN"/>
        </w:rPr>
        <w:t xml:space="preserve"> </w:t>
      </w:r>
      <w:r w:rsidR="0084696D" w:rsidRPr="00CC6DE1">
        <w:rPr>
          <w:rFonts w:ascii="Calibri" w:hAnsi="Calibri" w:cs="Calibri"/>
        </w:rPr>
        <w:t>(Grand View Research 2025; Market Research Future 2026)</w:t>
      </w:r>
      <w:r w:rsidRPr="00CC6DE1">
        <w:rPr>
          <w:rFonts w:ascii="Calibri" w:eastAsia="Times New Roman" w:hAnsi="Calibri" w:cs="Calibri"/>
          <w:lang w:val="en-IN"/>
        </w:rPr>
        <w:t xml:space="preserve">. As such, China will remain the dominant player within the global iron ore </w:t>
      </w:r>
      <w:r w:rsidR="64862EC7" w:rsidRPr="00CC6DE1">
        <w:rPr>
          <w:rFonts w:ascii="Calibri" w:eastAsia="Times New Roman" w:hAnsi="Calibri" w:cs="Calibri"/>
          <w:lang w:val="en-IN"/>
        </w:rPr>
        <w:t>marketplace,</w:t>
      </w:r>
      <w:r w:rsidRPr="00CC6DE1">
        <w:rPr>
          <w:rFonts w:ascii="Calibri" w:eastAsia="Times New Roman" w:hAnsi="Calibri" w:cs="Calibri"/>
          <w:lang w:val="en-IN"/>
        </w:rPr>
        <w:t xml:space="preserve"> accounting for nearly 62% of all iron ore consumed globally</w:t>
      </w:r>
      <w:r w:rsidR="0084696D" w:rsidRPr="00CC6DE1">
        <w:rPr>
          <w:rFonts w:ascii="Calibri" w:eastAsia="Times New Roman" w:hAnsi="Calibri" w:cs="Calibri"/>
          <w:lang w:val="en-IN"/>
        </w:rPr>
        <w:t xml:space="preserve"> </w:t>
      </w:r>
      <w:r w:rsidR="0084696D" w:rsidRPr="00CC6DE1">
        <w:rPr>
          <w:rFonts w:ascii="Calibri" w:hAnsi="Calibri" w:cs="Calibri"/>
        </w:rPr>
        <w:t>(IBISWorld 2024)</w:t>
      </w:r>
      <w:r w:rsidRPr="00CC6DE1">
        <w:rPr>
          <w:rFonts w:ascii="Calibri" w:eastAsia="Times New Roman" w:hAnsi="Calibri" w:cs="Calibri"/>
          <w:lang w:val="en-IN"/>
        </w:rPr>
        <w:t xml:space="preserve">. Due to this, companies that operate within the mining segment of the iron ore supply </w:t>
      </w:r>
      <w:r w:rsidR="3670D53B" w:rsidRPr="00CC6DE1">
        <w:rPr>
          <w:rFonts w:ascii="Calibri" w:eastAsia="Times New Roman" w:hAnsi="Calibri" w:cs="Calibri"/>
          <w:lang w:val="en-IN"/>
        </w:rPr>
        <w:t>chain,</w:t>
      </w:r>
      <w:r w:rsidRPr="00CC6DE1">
        <w:rPr>
          <w:rFonts w:ascii="Calibri" w:eastAsia="Times New Roman" w:hAnsi="Calibri" w:cs="Calibri"/>
          <w:lang w:val="en-IN"/>
        </w:rPr>
        <w:t xml:space="preserve"> such as Rio </w:t>
      </w:r>
      <w:r w:rsidR="4A3683C1" w:rsidRPr="00CC6DE1">
        <w:rPr>
          <w:rFonts w:ascii="Calibri" w:eastAsia="Times New Roman" w:hAnsi="Calibri" w:cs="Calibri"/>
          <w:lang w:val="en-IN"/>
        </w:rPr>
        <w:t>Tinto,</w:t>
      </w:r>
      <w:r w:rsidRPr="00CC6DE1">
        <w:rPr>
          <w:rFonts w:ascii="Calibri" w:eastAsia="Times New Roman" w:hAnsi="Calibri" w:cs="Calibri"/>
          <w:lang w:val="en-IN"/>
        </w:rPr>
        <w:t xml:space="preserve"> have limited ability to adapt to changes in either Chinese economic policy or fluctuations in </w:t>
      </w:r>
      <w:r w:rsidR="76B095F8" w:rsidRPr="00CC6DE1">
        <w:rPr>
          <w:rFonts w:ascii="Calibri" w:eastAsia="Times New Roman" w:hAnsi="Calibri" w:cs="Calibri"/>
          <w:lang w:val="en-IN"/>
        </w:rPr>
        <w:t>the production</w:t>
      </w:r>
      <w:r w:rsidRPr="00CC6DE1">
        <w:rPr>
          <w:rFonts w:ascii="Calibri" w:eastAsia="Times New Roman" w:hAnsi="Calibri" w:cs="Calibri"/>
          <w:lang w:val="en-IN"/>
        </w:rPr>
        <w:t xml:space="preserve"> of steel. In addition to providing a major source of growing demand for iron ore within the region, India and Southeast Asia are also acting as a "counterbalance" to declining property construction in China</w:t>
      </w:r>
      <w:r w:rsidR="0084696D" w:rsidRPr="00CC6DE1">
        <w:rPr>
          <w:rFonts w:ascii="Calibri" w:eastAsia="Times New Roman" w:hAnsi="Calibri" w:cs="Calibri"/>
          <w:lang w:val="en-IN"/>
        </w:rPr>
        <w:t xml:space="preserve"> </w:t>
      </w:r>
      <w:r w:rsidR="0084696D" w:rsidRPr="00CC6DE1">
        <w:rPr>
          <w:rFonts w:ascii="Calibri" w:hAnsi="Calibri" w:cs="Calibri"/>
        </w:rPr>
        <w:t>(Market Research Future 2026)</w:t>
      </w:r>
      <w:r w:rsidRPr="00CC6DE1">
        <w:rPr>
          <w:rFonts w:ascii="Calibri" w:eastAsia="Times New Roman" w:hAnsi="Calibri" w:cs="Calibri"/>
          <w:lang w:val="en-IN"/>
        </w:rPr>
        <w:t>. However, there are three main challenges facing the iron ore industry</w:t>
      </w:r>
      <w:r w:rsidR="52ED1D76" w:rsidRPr="00CC6DE1">
        <w:rPr>
          <w:rFonts w:ascii="Calibri" w:eastAsia="Times New Roman" w:hAnsi="Calibri" w:cs="Calibri"/>
          <w:lang w:val="en-IN"/>
        </w:rPr>
        <w:t>, including</w:t>
      </w:r>
      <w:r w:rsidRPr="00CC6DE1">
        <w:rPr>
          <w:rFonts w:ascii="Calibri" w:eastAsia="Times New Roman" w:hAnsi="Calibri" w:cs="Calibri"/>
          <w:lang w:val="en-IN"/>
        </w:rPr>
        <w:t xml:space="preserve"> commodity price volatility (iron ore prices declined approximately 13% in the first half of 2025); tighter environmental regulation; and the potential for hydrogen</w:t>
      </w:r>
      <w:r w:rsidR="50142641" w:rsidRPr="00CC6DE1">
        <w:rPr>
          <w:rFonts w:ascii="Calibri" w:eastAsia="Times New Roman" w:hAnsi="Calibri" w:cs="Calibri"/>
          <w:lang w:val="en-IN"/>
        </w:rPr>
        <w:t>-based</w:t>
      </w:r>
      <w:r w:rsidRPr="00CC6DE1">
        <w:rPr>
          <w:rFonts w:ascii="Calibri" w:eastAsia="Times New Roman" w:hAnsi="Calibri" w:cs="Calibri"/>
          <w:lang w:val="en-IN"/>
        </w:rPr>
        <w:t xml:space="preserve"> "green steel" technologies to ultimately lead to reduced demand for traditional blast furnace grade iron ore over the course of the next several decades</w:t>
      </w:r>
      <w:r w:rsidR="0084696D" w:rsidRPr="00CC6DE1">
        <w:rPr>
          <w:rFonts w:ascii="Calibri" w:eastAsia="Times New Roman" w:hAnsi="Calibri" w:cs="Calibri"/>
          <w:lang w:val="en-IN"/>
        </w:rPr>
        <w:t xml:space="preserve"> (Persistence Market Research 2024; Grand View Research 2025)</w:t>
      </w:r>
      <w:r w:rsidRPr="00CC6DE1">
        <w:rPr>
          <w:rFonts w:ascii="Calibri" w:eastAsia="Times New Roman" w:hAnsi="Calibri" w:cs="Calibri"/>
          <w:lang w:val="en-IN"/>
        </w:rPr>
        <w:t>.</w:t>
      </w:r>
    </w:p>
    <w:p w14:paraId="510EC6BC" w14:textId="77777777" w:rsidR="00025712" w:rsidRPr="00CC6DE1" w:rsidRDefault="00025712" w:rsidP="00CC6DE1">
      <w:pPr>
        <w:pStyle w:val="Heading2"/>
        <w:spacing w:before="0" w:line="360" w:lineRule="auto"/>
        <w:rPr>
          <w:rFonts w:ascii="Calibri" w:eastAsia="Arial" w:hAnsi="Calibri" w:cs="Calibri"/>
          <w:b/>
          <w:bCs/>
          <w:sz w:val="24"/>
          <w:szCs w:val="24"/>
          <w:lang w:val="en-IN"/>
        </w:rPr>
      </w:pPr>
    </w:p>
    <w:p w14:paraId="34140A78" w14:textId="67395BD6" w:rsidR="00F1636D" w:rsidRPr="00354F5D" w:rsidRDefault="0ADBEEFD" w:rsidP="00354F5D">
      <w:pPr>
        <w:pStyle w:val="Heading2"/>
        <w:spacing w:before="0" w:line="360" w:lineRule="auto"/>
        <w:rPr>
          <w:rFonts w:ascii="Calibri" w:eastAsia="Arial" w:hAnsi="Calibri" w:cs="Calibri"/>
          <w:b/>
          <w:bCs/>
          <w:sz w:val="28"/>
          <w:szCs w:val="28"/>
          <w:lang w:val="en-IN"/>
        </w:rPr>
      </w:pPr>
      <w:bookmarkStart w:id="2" w:name="_Toc231593015"/>
      <w:r w:rsidRPr="00150736">
        <w:rPr>
          <w:rFonts w:ascii="Calibri" w:eastAsia="Arial" w:hAnsi="Calibri" w:cs="Calibri"/>
          <w:b/>
          <w:bCs/>
          <w:sz w:val="28"/>
          <w:szCs w:val="28"/>
          <w:lang w:val="en-IN"/>
        </w:rPr>
        <w:t>2.</w:t>
      </w:r>
      <w:r w:rsidR="000F49A4" w:rsidRPr="00150736">
        <w:rPr>
          <w:rFonts w:ascii="Calibri" w:eastAsia="Arial" w:hAnsi="Calibri" w:cs="Calibri"/>
          <w:b/>
          <w:bCs/>
          <w:sz w:val="28"/>
          <w:szCs w:val="28"/>
          <w:lang w:val="en-IN"/>
        </w:rPr>
        <w:t>1</w:t>
      </w:r>
      <w:r w:rsidRPr="00150736">
        <w:rPr>
          <w:rFonts w:ascii="Calibri" w:eastAsia="Arial" w:hAnsi="Calibri" w:cs="Calibri"/>
          <w:b/>
          <w:bCs/>
          <w:sz w:val="28"/>
          <w:szCs w:val="28"/>
          <w:lang w:val="en-IN"/>
        </w:rPr>
        <w:t xml:space="preserve"> Competitor Comparison</w:t>
      </w:r>
      <w:bookmarkEnd w:id="2"/>
    </w:p>
    <w:p w14:paraId="39AE8028" w14:textId="3EEAF4E3" w:rsidR="0ADBEEFD" w:rsidRDefault="0ADBEEFD" w:rsidP="00CC6DE1">
      <w:pPr>
        <w:spacing w:after="0" w:line="360" w:lineRule="auto"/>
        <w:jc w:val="both"/>
        <w:rPr>
          <w:rFonts w:ascii="Calibri" w:eastAsia="Times New Roman" w:hAnsi="Calibri" w:cs="Calibri"/>
          <w:color w:val="000000" w:themeColor="text1"/>
          <w:lang w:val="en-IN"/>
        </w:rPr>
      </w:pPr>
      <w:r w:rsidRPr="00CC6DE1">
        <w:rPr>
          <w:rFonts w:ascii="Calibri" w:eastAsia="Times New Roman" w:hAnsi="Calibri" w:cs="Calibri"/>
          <w:color w:val="000000" w:themeColor="text1"/>
          <w:lang w:val="en-IN"/>
        </w:rPr>
        <w:t>Rio Tinto is a direct competitor to BHP Group, Vale S.A. and Fortescue Metals Group (FMG), which are responsible for about 70% of all seaborne iron ore globally. The chart below outlines the main financial and operational performance measures of each of these companies for 2024.</w:t>
      </w:r>
    </w:p>
    <w:p w14:paraId="42AC8E24" w14:textId="77777777" w:rsidR="002E357F" w:rsidRDefault="002E357F" w:rsidP="00CC6DE1">
      <w:pPr>
        <w:spacing w:after="0" w:line="360" w:lineRule="auto"/>
        <w:jc w:val="both"/>
        <w:rPr>
          <w:rFonts w:ascii="Calibri" w:eastAsia="Times New Roman" w:hAnsi="Calibri" w:cs="Calibri"/>
          <w:color w:val="000000" w:themeColor="text1"/>
          <w:lang w:val="en-IN"/>
        </w:rPr>
      </w:pPr>
    </w:p>
    <w:p w14:paraId="785FC540" w14:textId="77777777" w:rsidR="00354F5D" w:rsidRPr="00CC6DE1" w:rsidRDefault="00354F5D" w:rsidP="00CC6DE1">
      <w:pPr>
        <w:spacing w:after="0" w:line="360" w:lineRule="auto"/>
        <w:jc w:val="both"/>
        <w:rPr>
          <w:rFonts w:ascii="Calibri" w:eastAsia="Times New Roman" w:hAnsi="Calibri" w:cs="Calibri"/>
          <w:color w:val="000000" w:themeColor="text1"/>
          <w:lang w:val="en-IN"/>
        </w:rPr>
      </w:pPr>
    </w:p>
    <w:p w14:paraId="1616834D" w14:textId="4B2EA9FB" w:rsidR="00944E40" w:rsidRPr="00CC6DE1" w:rsidRDefault="00150736" w:rsidP="00D62B74">
      <w:pPr>
        <w:spacing w:after="0" w:line="360" w:lineRule="auto"/>
        <w:jc w:val="center"/>
        <w:rPr>
          <w:rFonts w:ascii="Calibri" w:eastAsia="Times New Roman" w:hAnsi="Calibri" w:cs="Calibri"/>
          <w:lang w:val="en-IN"/>
        </w:rPr>
      </w:pPr>
      <w:r w:rsidRPr="00150736">
        <w:rPr>
          <w:rFonts w:ascii="Calibri" w:eastAsia="Times New Roman" w:hAnsi="Calibri" w:cs="Calibri"/>
          <w:noProof/>
          <w:lang w:val="en-IN"/>
        </w:rPr>
        <w:lastRenderedPageBreak/>
        <w:drawing>
          <wp:inline distT="0" distB="0" distL="0" distR="0" wp14:anchorId="134BE530" wp14:editId="7A5F45C6">
            <wp:extent cx="5943600" cy="895350"/>
            <wp:effectExtent l="0" t="0" r="0" b="6350"/>
            <wp:docPr id="19275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7164" name=""/>
                    <pic:cNvPicPr/>
                  </pic:nvPicPr>
                  <pic:blipFill>
                    <a:blip r:embed="rId31"/>
                    <a:stretch>
                      <a:fillRect/>
                    </a:stretch>
                  </pic:blipFill>
                  <pic:spPr>
                    <a:xfrm>
                      <a:off x="0" y="0"/>
                      <a:ext cx="5943600" cy="895350"/>
                    </a:xfrm>
                    <a:prstGeom prst="rect">
                      <a:avLst/>
                    </a:prstGeom>
                  </pic:spPr>
                </pic:pic>
              </a:graphicData>
            </a:graphic>
          </wp:inline>
        </w:drawing>
      </w:r>
    </w:p>
    <w:p w14:paraId="6B87988E" w14:textId="78D7731C" w:rsidR="0084696D" w:rsidRPr="00CC6DE1" w:rsidRDefault="000E7BC7" w:rsidP="00CC6DE1">
      <w:pPr>
        <w:spacing w:after="0" w:line="360" w:lineRule="auto"/>
        <w:jc w:val="center"/>
        <w:rPr>
          <w:rFonts w:ascii="Calibri" w:eastAsia="Times New Roman" w:hAnsi="Calibri" w:cs="Calibri"/>
          <w:b/>
          <w:bCs/>
          <w:lang w:val="en-IN"/>
        </w:rPr>
      </w:pPr>
      <w:r w:rsidRPr="00CC6DE1">
        <w:rPr>
          <w:rFonts w:ascii="Calibri" w:eastAsia="Times New Roman" w:hAnsi="Calibri" w:cs="Calibri"/>
          <w:b/>
          <w:bCs/>
          <w:lang w:val="en-IN"/>
        </w:rPr>
        <w:t>Competitor Comparison</w:t>
      </w:r>
    </w:p>
    <w:p w14:paraId="1687F8F9" w14:textId="360150DA" w:rsidR="0084696D" w:rsidRPr="00CC6DE1" w:rsidRDefault="0084696D" w:rsidP="00CC6DE1">
      <w:pPr>
        <w:spacing w:after="0" w:line="360" w:lineRule="auto"/>
        <w:jc w:val="center"/>
        <w:rPr>
          <w:rFonts w:ascii="Calibri" w:hAnsi="Calibri" w:cs="Calibri"/>
          <w:b/>
          <w:bCs/>
        </w:rPr>
      </w:pPr>
      <w:r w:rsidRPr="00CC6DE1">
        <w:rPr>
          <w:rFonts w:ascii="Calibri" w:hAnsi="Calibri" w:cs="Calibri"/>
          <w:b/>
          <w:bCs/>
        </w:rPr>
        <w:t xml:space="preserve">BHP Group (2024); Fortescue Group (2024); Rio Tinto (2026); </w:t>
      </w:r>
      <w:proofErr w:type="spellStart"/>
      <w:r w:rsidRPr="00CC6DE1">
        <w:rPr>
          <w:rFonts w:ascii="Calibri" w:hAnsi="Calibri" w:cs="Calibri"/>
          <w:b/>
          <w:bCs/>
        </w:rPr>
        <w:t>MatrixBCG</w:t>
      </w:r>
      <w:proofErr w:type="spellEnd"/>
      <w:r w:rsidRPr="00CC6DE1">
        <w:rPr>
          <w:rFonts w:ascii="Calibri" w:hAnsi="Calibri" w:cs="Calibri"/>
          <w:b/>
          <w:bCs/>
        </w:rPr>
        <w:t xml:space="preserve"> (2025)</w:t>
      </w:r>
    </w:p>
    <w:p w14:paraId="75564516" w14:textId="77777777" w:rsidR="00025712" w:rsidRPr="00CC6DE1" w:rsidRDefault="00025712" w:rsidP="00CC6DE1">
      <w:pPr>
        <w:spacing w:after="0" w:line="360" w:lineRule="auto"/>
        <w:jc w:val="center"/>
        <w:rPr>
          <w:rFonts w:ascii="Calibri" w:eastAsia="Times New Roman" w:hAnsi="Calibri" w:cs="Calibri"/>
          <w:b/>
          <w:bCs/>
          <w:lang w:val="en-IN"/>
        </w:rPr>
      </w:pPr>
    </w:p>
    <w:p w14:paraId="2714E300" w14:textId="0D1F1B7E" w:rsidR="00025712" w:rsidRPr="00354F5D" w:rsidRDefault="22E49C28" w:rsidP="00354F5D">
      <w:pPr>
        <w:pStyle w:val="Heading2"/>
        <w:spacing w:before="0" w:line="360" w:lineRule="auto"/>
        <w:rPr>
          <w:rFonts w:ascii="Calibri" w:eastAsia="Arial" w:hAnsi="Calibri" w:cs="Calibri"/>
          <w:b/>
          <w:bCs/>
          <w:sz w:val="28"/>
          <w:szCs w:val="28"/>
          <w:lang w:val="en-IN"/>
        </w:rPr>
      </w:pPr>
      <w:bookmarkStart w:id="3" w:name="_Toc231593016"/>
      <w:r w:rsidRPr="00D62B74">
        <w:rPr>
          <w:rFonts w:ascii="Calibri" w:eastAsia="Arial" w:hAnsi="Calibri" w:cs="Calibri"/>
          <w:b/>
          <w:bCs/>
          <w:sz w:val="28"/>
          <w:szCs w:val="28"/>
          <w:lang w:val="en-IN"/>
        </w:rPr>
        <w:t>2.</w:t>
      </w:r>
      <w:r w:rsidR="000F49A4" w:rsidRPr="00D62B74">
        <w:rPr>
          <w:rFonts w:ascii="Calibri" w:eastAsia="Arial" w:hAnsi="Calibri" w:cs="Calibri"/>
          <w:b/>
          <w:bCs/>
          <w:sz w:val="28"/>
          <w:szCs w:val="28"/>
          <w:lang w:val="en-IN"/>
        </w:rPr>
        <w:t>2</w:t>
      </w:r>
      <w:r w:rsidRPr="00D62B74">
        <w:rPr>
          <w:rFonts w:ascii="Calibri" w:eastAsia="Arial" w:hAnsi="Calibri" w:cs="Calibri"/>
          <w:b/>
          <w:bCs/>
          <w:sz w:val="28"/>
          <w:szCs w:val="28"/>
          <w:lang w:val="en-IN"/>
        </w:rPr>
        <w:t xml:space="preserve"> Competitive Position Analysis</w:t>
      </w:r>
      <w:bookmarkEnd w:id="3"/>
    </w:p>
    <w:p w14:paraId="15748AE3" w14:textId="54D718F2" w:rsidR="22E49C28" w:rsidRPr="00CC6DE1" w:rsidRDefault="22E49C28" w:rsidP="00CC6DE1">
      <w:pPr>
        <w:spacing w:after="0" w:line="360" w:lineRule="auto"/>
        <w:jc w:val="both"/>
        <w:rPr>
          <w:rFonts w:ascii="Calibri" w:eastAsia="Times New Roman" w:hAnsi="Calibri" w:cs="Calibri"/>
          <w:color w:val="000000" w:themeColor="text1"/>
          <w:lang w:val="en-IN"/>
        </w:rPr>
      </w:pPr>
      <w:r w:rsidRPr="00CC6DE1">
        <w:rPr>
          <w:rFonts w:ascii="Calibri" w:eastAsia="Times New Roman" w:hAnsi="Calibri" w:cs="Calibri"/>
          <w:color w:val="000000" w:themeColor="text1"/>
          <w:lang w:val="en-IN"/>
        </w:rPr>
        <w:t xml:space="preserve">The company competing most closely with Rio Tinto as an "iron ore" major player is BHP Group. BHP has been recognized as the world’s </w:t>
      </w:r>
      <w:r w:rsidRPr="00CC6DE1">
        <w:rPr>
          <w:rFonts w:ascii="Calibri" w:eastAsia="Times New Roman" w:hAnsi="Calibri" w:cs="Calibri"/>
          <w:lang w:val="en-IN"/>
        </w:rPr>
        <w:t>cheapest major</w:t>
      </w:r>
      <w:r w:rsidRPr="00CC6DE1">
        <w:rPr>
          <w:rFonts w:ascii="Calibri" w:eastAsia="Times New Roman" w:hAnsi="Calibri" w:cs="Calibri"/>
          <w:color w:val="000000" w:themeColor="text1"/>
          <w:lang w:val="en-IN"/>
        </w:rPr>
        <w:t xml:space="preserve"> iron ore-producing major producer for at least 4 consecutive years</w:t>
      </w:r>
      <w:r w:rsidR="0084696D" w:rsidRPr="00CC6DE1">
        <w:rPr>
          <w:rFonts w:ascii="Calibri" w:eastAsia="Times New Roman" w:hAnsi="Calibri" w:cs="Calibri"/>
          <w:color w:val="000000" w:themeColor="text1"/>
          <w:lang w:val="en-IN"/>
        </w:rPr>
        <w:t xml:space="preserve"> </w:t>
      </w:r>
      <w:r w:rsidR="0084696D" w:rsidRPr="00CC6DE1">
        <w:rPr>
          <w:rFonts w:ascii="Calibri" w:hAnsi="Calibri" w:cs="Calibri"/>
        </w:rPr>
        <w:t>(</w:t>
      </w:r>
      <w:proofErr w:type="spellStart"/>
      <w:r w:rsidR="0084696D" w:rsidRPr="00CC6DE1">
        <w:rPr>
          <w:rFonts w:ascii="Calibri" w:hAnsi="Calibri" w:cs="Calibri"/>
        </w:rPr>
        <w:t>PortersFiveForce</w:t>
      </w:r>
      <w:proofErr w:type="spellEnd"/>
      <w:r w:rsidR="0084696D" w:rsidRPr="00CC6DE1">
        <w:rPr>
          <w:rFonts w:ascii="Calibri" w:hAnsi="Calibri" w:cs="Calibri"/>
        </w:rPr>
        <w:t xml:space="preserve"> 2025)</w:t>
      </w:r>
      <w:r w:rsidRPr="00CC6DE1">
        <w:rPr>
          <w:rFonts w:ascii="Calibri" w:eastAsia="Times New Roman" w:hAnsi="Calibri" w:cs="Calibri"/>
          <w:color w:val="000000" w:themeColor="text1"/>
          <w:lang w:val="en-IN"/>
        </w:rPr>
        <w:t>, and the two companies are differentiated by their respective size measured in terms of market capitali</w:t>
      </w:r>
      <w:r w:rsidR="00F13385" w:rsidRPr="00CC6DE1">
        <w:rPr>
          <w:rFonts w:ascii="Calibri" w:eastAsia="Times New Roman" w:hAnsi="Calibri" w:cs="Calibri"/>
          <w:color w:val="000000" w:themeColor="text1"/>
          <w:lang w:val="en-IN"/>
        </w:rPr>
        <w:t>s</w:t>
      </w:r>
      <w:r w:rsidRPr="00CC6DE1">
        <w:rPr>
          <w:rFonts w:ascii="Calibri" w:eastAsia="Times New Roman" w:hAnsi="Calibri" w:cs="Calibri"/>
          <w:color w:val="000000" w:themeColor="text1"/>
          <w:lang w:val="en-IN"/>
        </w:rPr>
        <w:t xml:space="preserve">ation ($235 billion compared to $166 billion). Vale also supplies approximately one-quarter of the world’s iron ore needs. The </w:t>
      </w:r>
      <w:r w:rsidR="6E01CFD5" w:rsidRPr="00CC6DE1">
        <w:rPr>
          <w:rFonts w:ascii="Calibri" w:eastAsia="Times New Roman" w:hAnsi="Calibri" w:cs="Calibri"/>
          <w:lang w:val="en-IN"/>
        </w:rPr>
        <w:t>company</w:t>
      </w:r>
      <w:r w:rsidRPr="00CC6DE1">
        <w:rPr>
          <w:rFonts w:ascii="Calibri" w:eastAsia="Times New Roman" w:hAnsi="Calibri" w:cs="Calibri"/>
          <w:color w:val="000000" w:themeColor="text1"/>
          <w:lang w:val="en-IN"/>
        </w:rPr>
        <w:t xml:space="preserve"> primarily supplies high-quality (approximately 67% Fe) premium ore from its </w:t>
      </w:r>
      <w:proofErr w:type="spellStart"/>
      <w:r w:rsidRPr="00CC6DE1">
        <w:rPr>
          <w:rFonts w:ascii="Calibri" w:eastAsia="Times New Roman" w:hAnsi="Calibri" w:cs="Calibri"/>
          <w:color w:val="000000" w:themeColor="text1"/>
          <w:lang w:val="en-IN"/>
        </w:rPr>
        <w:t>Carajas</w:t>
      </w:r>
      <w:proofErr w:type="spellEnd"/>
      <w:r w:rsidRPr="00CC6DE1">
        <w:rPr>
          <w:rFonts w:ascii="Calibri" w:eastAsia="Times New Roman" w:hAnsi="Calibri" w:cs="Calibri"/>
          <w:color w:val="000000" w:themeColor="text1"/>
          <w:lang w:val="en-IN"/>
        </w:rPr>
        <w:t xml:space="preserve"> Region in Brazil</w:t>
      </w:r>
      <w:r w:rsidR="00F13385" w:rsidRPr="00CC6DE1">
        <w:rPr>
          <w:rFonts w:ascii="Calibri" w:eastAsia="Times New Roman" w:hAnsi="Calibri" w:cs="Calibri"/>
          <w:color w:val="000000" w:themeColor="text1"/>
          <w:lang w:val="en-IN"/>
        </w:rPr>
        <w:t xml:space="preserve"> </w:t>
      </w:r>
      <w:r w:rsidR="00F13385" w:rsidRPr="00CC6DE1">
        <w:rPr>
          <w:rFonts w:ascii="Calibri" w:hAnsi="Calibri" w:cs="Calibri"/>
        </w:rPr>
        <w:t>(</w:t>
      </w:r>
      <w:proofErr w:type="spellStart"/>
      <w:r w:rsidR="00F13385" w:rsidRPr="00CC6DE1">
        <w:rPr>
          <w:rFonts w:ascii="Calibri" w:hAnsi="Calibri" w:cs="Calibri"/>
        </w:rPr>
        <w:t>MatrixBCG</w:t>
      </w:r>
      <w:proofErr w:type="spellEnd"/>
      <w:r w:rsidR="00F13385" w:rsidRPr="00CC6DE1">
        <w:rPr>
          <w:rFonts w:ascii="Calibri" w:hAnsi="Calibri" w:cs="Calibri"/>
        </w:rPr>
        <w:t xml:space="preserve"> 2025)</w:t>
      </w:r>
      <w:r w:rsidRPr="00CC6DE1">
        <w:rPr>
          <w:rFonts w:ascii="Calibri" w:eastAsia="Times New Roman" w:hAnsi="Calibri" w:cs="Calibri"/>
          <w:color w:val="000000" w:themeColor="text1"/>
          <w:lang w:val="en-IN"/>
        </w:rPr>
        <w:t>. Vale's ore commands a higher price than the "standard" or "benchmark" grade of ore mined in Western Australia's Pilbara Region. Vale's decision-making regarding the amount of iron ore produced has significant impacts on global prices due to its role as a dominant global iron ore supplier.</w:t>
      </w:r>
    </w:p>
    <w:p w14:paraId="7EAF1F70" w14:textId="77777777" w:rsidR="00D62B74" w:rsidRDefault="00D62B74" w:rsidP="00CC6DE1">
      <w:pPr>
        <w:spacing w:after="0" w:line="360" w:lineRule="auto"/>
        <w:jc w:val="both"/>
        <w:rPr>
          <w:rFonts w:ascii="Calibri" w:eastAsia="Times New Roman" w:hAnsi="Calibri" w:cs="Calibri"/>
          <w:color w:val="000000" w:themeColor="text1"/>
          <w:lang w:val="en-IN"/>
        </w:rPr>
      </w:pPr>
    </w:p>
    <w:p w14:paraId="1B9E244D" w14:textId="1CD0508E" w:rsidR="6DF40F0D" w:rsidRPr="00D62B74" w:rsidRDefault="6DF40F0D" w:rsidP="00CC6DE1">
      <w:pPr>
        <w:spacing w:after="0" w:line="360" w:lineRule="auto"/>
        <w:jc w:val="both"/>
        <w:rPr>
          <w:rFonts w:ascii="Calibri" w:eastAsia="Times New Roman" w:hAnsi="Calibri" w:cs="Calibri"/>
          <w:lang w:val="en-AU" w:eastAsia="en-GB"/>
        </w:rPr>
      </w:pPr>
      <w:r w:rsidRPr="00CC6DE1">
        <w:rPr>
          <w:rFonts w:ascii="Calibri" w:eastAsia="Times New Roman" w:hAnsi="Calibri" w:cs="Calibri"/>
          <w:color w:val="000000" w:themeColor="text1"/>
          <w:lang w:val="en-IN"/>
        </w:rPr>
        <w:t>Fortescue is a pure</w:t>
      </w:r>
      <w:r w:rsidRPr="00CC6DE1">
        <w:rPr>
          <w:rFonts w:ascii="Calibri" w:eastAsia="Times New Roman" w:hAnsi="Calibri" w:cs="Calibri"/>
          <w:lang w:val="en-IN"/>
        </w:rPr>
        <w:t>-play</w:t>
      </w:r>
      <w:r w:rsidRPr="00CC6DE1">
        <w:rPr>
          <w:rFonts w:ascii="Calibri" w:eastAsia="Times New Roman" w:hAnsi="Calibri" w:cs="Calibri"/>
          <w:color w:val="000000" w:themeColor="text1"/>
          <w:lang w:val="en-IN"/>
        </w:rPr>
        <w:t xml:space="preserve"> iron ore producer that has announced pure-play ore with a lower grade (around 57-58% Fe)</w:t>
      </w:r>
      <w:r w:rsidR="00F13385" w:rsidRPr="00CC6DE1">
        <w:rPr>
          <w:rFonts w:ascii="Calibri" w:hAnsi="Calibri" w:cs="Calibri"/>
        </w:rPr>
        <w:t xml:space="preserve"> </w:t>
      </w:r>
      <w:r w:rsidRPr="00CC6DE1">
        <w:rPr>
          <w:rFonts w:ascii="Calibri" w:eastAsia="Times New Roman" w:hAnsi="Calibri" w:cs="Calibri"/>
          <w:color w:val="000000" w:themeColor="text1"/>
          <w:lang w:val="en-IN"/>
        </w:rPr>
        <w:t xml:space="preserve">than both BHP and </w:t>
      </w:r>
      <w:r w:rsidR="4F05A902" w:rsidRPr="00CC6DE1">
        <w:rPr>
          <w:rFonts w:ascii="Calibri" w:eastAsia="Times New Roman" w:hAnsi="Calibri" w:cs="Calibri"/>
          <w:lang w:val="en-IN"/>
        </w:rPr>
        <w:t>Vale but</w:t>
      </w:r>
      <w:r w:rsidRPr="00CC6DE1">
        <w:rPr>
          <w:rFonts w:ascii="Calibri" w:eastAsia="Times New Roman" w:hAnsi="Calibri" w:cs="Calibri"/>
          <w:color w:val="000000" w:themeColor="text1"/>
          <w:lang w:val="en-IN"/>
        </w:rPr>
        <w:t xml:space="preserve"> pays less per tonne for every tonne that it mines, allowing Fortescue to offer a lower price per tonne to customers. Fortescue's key competitive </w:t>
      </w:r>
      <w:r w:rsidRPr="00D62B74">
        <w:rPr>
          <w:rFonts w:ascii="Calibri" w:eastAsia="Times New Roman" w:hAnsi="Calibri" w:cs="Calibri"/>
          <w:lang w:val="en-AU" w:eastAsia="en-GB"/>
        </w:rPr>
        <w:t xml:space="preserve">edge lies in its capacity to provide massive amounts of ore at a very low </w:t>
      </w:r>
      <w:r w:rsidR="0BCF2CC8" w:rsidRPr="00D62B74">
        <w:rPr>
          <w:rFonts w:ascii="Calibri" w:eastAsia="Times New Roman" w:hAnsi="Calibri" w:cs="Calibri"/>
          <w:lang w:val="en-AU" w:eastAsia="en-GB"/>
        </w:rPr>
        <w:t>price and</w:t>
      </w:r>
      <w:r w:rsidRPr="00D62B74">
        <w:rPr>
          <w:rFonts w:ascii="Calibri" w:eastAsia="Times New Roman" w:hAnsi="Calibri" w:cs="Calibri"/>
          <w:lang w:val="en-AU" w:eastAsia="en-GB"/>
        </w:rPr>
        <w:t xml:space="preserve"> its aggressive push into green hydrogen and </w:t>
      </w:r>
      <w:r w:rsidR="7B8EFC92" w:rsidRPr="00D62B74">
        <w:rPr>
          <w:rFonts w:ascii="Calibri" w:eastAsia="Times New Roman" w:hAnsi="Calibri" w:cs="Calibri"/>
          <w:lang w:val="en-AU" w:eastAsia="en-GB"/>
        </w:rPr>
        <w:t>energy through</w:t>
      </w:r>
      <w:r w:rsidRPr="00D62B74">
        <w:rPr>
          <w:rFonts w:ascii="Calibri" w:eastAsia="Times New Roman" w:hAnsi="Calibri" w:cs="Calibri"/>
          <w:lang w:val="en-AU" w:eastAsia="en-GB"/>
        </w:rPr>
        <w:t xml:space="preserve"> its 100% owned subsidiary, Fortescue Future Industries</w:t>
      </w:r>
      <w:r w:rsidR="00F13385" w:rsidRPr="00D62B74">
        <w:rPr>
          <w:rFonts w:ascii="Calibri" w:eastAsia="Times New Roman" w:hAnsi="Calibri" w:cs="Calibri"/>
          <w:lang w:val="en-AU" w:eastAsia="en-GB"/>
        </w:rPr>
        <w:t xml:space="preserve"> (Fortescue Group 2024)</w:t>
      </w:r>
      <w:r w:rsidRPr="00D62B74">
        <w:rPr>
          <w:rFonts w:ascii="Calibri" w:eastAsia="Times New Roman" w:hAnsi="Calibri" w:cs="Calibri"/>
          <w:lang w:val="en-AU" w:eastAsia="en-GB"/>
        </w:rPr>
        <w:t>.</w:t>
      </w:r>
    </w:p>
    <w:p w14:paraId="442F8EB2" w14:textId="77777777" w:rsidR="00D62B74" w:rsidRDefault="00D62B74" w:rsidP="00D62B74">
      <w:pPr>
        <w:spacing w:after="0" w:line="360" w:lineRule="auto"/>
        <w:jc w:val="both"/>
        <w:rPr>
          <w:rFonts w:ascii="Calibri" w:eastAsia="Times New Roman" w:hAnsi="Calibri" w:cs="Calibri"/>
          <w:lang w:val="en-AU" w:eastAsia="en-GB"/>
        </w:rPr>
      </w:pPr>
    </w:p>
    <w:p w14:paraId="622A1C5A" w14:textId="345F6D0E" w:rsidR="004D79CA" w:rsidRPr="00D62B74" w:rsidRDefault="0066111D" w:rsidP="00D62B74">
      <w:pPr>
        <w:spacing w:after="0" w:line="360" w:lineRule="auto"/>
        <w:jc w:val="both"/>
        <w:rPr>
          <w:rFonts w:ascii="Calibri" w:eastAsia="Times New Roman" w:hAnsi="Calibri" w:cs="Calibri"/>
          <w:lang w:val="en-AU" w:eastAsia="en-GB"/>
        </w:rPr>
      </w:pPr>
      <w:r w:rsidRPr="00D62B74">
        <w:rPr>
          <w:rFonts w:ascii="Calibri" w:eastAsia="Times New Roman" w:hAnsi="Calibri" w:cs="Calibri"/>
          <w:lang w:val="en-AU" w:eastAsia="en-GB"/>
        </w:rPr>
        <w:t>Rio Tinto continues to maintain a strong competitive position among its competitors like BHP, Vale and Fortescue, by having a diversified commodity portfolio, assets with high quality iron ore and increasing exposure to copper and lithium. The company’s diversification strategy supports long-term stability.</w:t>
      </w:r>
    </w:p>
    <w:p w14:paraId="2AB7318D" w14:textId="7D6E722F" w:rsidR="00D62B74" w:rsidRPr="00354F5D" w:rsidRDefault="004D79CA" w:rsidP="00354F5D">
      <w:pPr>
        <w:pStyle w:val="Heading1"/>
        <w:spacing w:before="0" w:after="0" w:line="360" w:lineRule="auto"/>
        <w:rPr>
          <w:rFonts w:ascii="Calibri" w:eastAsia="Times New Roman" w:hAnsi="Calibri" w:cs="Calibri"/>
          <w:b/>
          <w:bCs/>
          <w:sz w:val="28"/>
          <w:szCs w:val="28"/>
          <w:lang w:val="en-IN"/>
        </w:rPr>
      </w:pPr>
      <w:bookmarkStart w:id="4" w:name="_Toc231593017"/>
      <w:r w:rsidRPr="004D79CA">
        <w:rPr>
          <w:rFonts w:ascii="Calibri" w:eastAsia="Times New Roman" w:hAnsi="Calibri" w:cs="Calibri"/>
          <w:b/>
          <w:bCs/>
          <w:sz w:val="28"/>
          <w:szCs w:val="28"/>
          <w:lang w:val="en-IN"/>
        </w:rPr>
        <w:lastRenderedPageBreak/>
        <w:t>3.</w:t>
      </w:r>
      <w:r w:rsidR="00D62B74">
        <w:rPr>
          <w:rFonts w:ascii="Calibri" w:eastAsia="Times New Roman" w:hAnsi="Calibri" w:cs="Calibri"/>
          <w:b/>
          <w:bCs/>
          <w:sz w:val="28"/>
          <w:szCs w:val="28"/>
          <w:lang w:val="en-IN"/>
        </w:rPr>
        <w:t xml:space="preserve"> </w:t>
      </w:r>
      <w:r w:rsidRPr="004D79CA">
        <w:rPr>
          <w:rFonts w:ascii="Calibri" w:eastAsia="Times New Roman" w:hAnsi="Calibri" w:cs="Calibri"/>
          <w:b/>
          <w:bCs/>
          <w:sz w:val="28"/>
          <w:szCs w:val="28"/>
          <w:lang w:val="en-IN"/>
        </w:rPr>
        <w:t>Historical Financial Performance</w:t>
      </w:r>
      <w:bookmarkEnd w:id="4"/>
    </w:p>
    <w:p w14:paraId="4C362767" w14:textId="2D798A30" w:rsidR="004D79CA" w:rsidRPr="00CC6DE1" w:rsidRDefault="00481E6A" w:rsidP="00CC6DE1">
      <w:pPr>
        <w:spacing w:after="0" w:line="240" w:lineRule="auto"/>
        <w:rPr>
          <w:rFonts w:ascii="Calibri" w:eastAsia="Times New Roman" w:hAnsi="Calibri" w:cs="Calibri"/>
          <w:lang w:val="en-AU" w:eastAsia="en-GB"/>
        </w:rPr>
      </w:pPr>
      <w:r w:rsidRPr="00CC6DE1">
        <w:rPr>
          <w:rFonts w:ascii="Calibri" w:eastAsia="Times New Roman" w:hAnsi="Calibri" w:cs="Calibri"/>
          <w:lang w:val="en-AU" w:eastAsia="en-GB"/>
        </w:rPr>
        <w:t xml:space="preserve">The historical performance of </w:t>
      </w:r>
      <w:r w:rsidR="00D62B74">
        <w:rPr>
          <w:rFonts w:ascii="Calibri" w:eastAsia="Times New Roman" w:hAnsi="Calibri" w:cs="Calibri"/>
          <w:lang w:val="en-AU" w:eastAsia="en-GB"/>
        </w:rPr>
        <w:t>Rio</w:t>
      </w:r>
      <w:r w:rsidRPr="00CC6DE1">
        <w:rPr>
          <w:rFonts w:ascii="Calibri" w:eastAsia="Times New Roman" w:hAnsi="Calibri" w:cs="Calibri"/>
          <w:lang w:val="en-AU" w:eastAsia="en-GB"/>
        </w:rPr>
        <w:t xml:space="preserve"> Tinto between FY2021 to FY2025 has demonstrated a robust mining portfolio in a demanding commodity market. The company witnessed a peak in its revenue at </w:t>
      </w:r>
      <w:r w:rsidRPr="004D79CA">
        <w:rPr>
          <w:rFonts w:ascii="Calibri" w:eastAsia="Times New Roman" w:hAnsi="Calibri" w:cs="Calibri"/>
          <w:lang w:val="en-AU" w:eastAsia="en-GB"/>
        </w:rPr>
        <w:t>US$63.5 billion in FY202</w:t>
      </w:r>
      <w:r w:rsidRPr="00CC6DE1">
        <w:rPr>
          <w:rFonts w:ascii="Calibri" w:eastAsia="Times New Roman" w:hAnsi="Calibri" w:cs="Calibri"/>
          <w:lang w:val="en-AU" w:eastAsia="en-GB"/>
        </w:rPr>
        <w:t>1</w:t>
      </w:r>
      <w:r w:rsidR="009F3826" w:rsidRPr="00CC6DE1">
        <w:rPr>
          <w:rFonts w:ascii="Calibri" w:eastAsia="Times New Roman" w:hAnsi="Calibri" w:cs="Calibri"/>
          <w:lang w:val="en-AU" w:eastAsia="en-GB"/>
        </w:rPr>
        <w:t xml:space="preserve"> which later declined to </w:t>
      </w:r>
      <w:r w:rsidR="009F3826" w:rsidRPr="004D79CA">
        <w:rPr>
          <w:rFonts w:ascii="Calibri" w:eastAsia="Times New Roman" w:hAnsi="Calibri" w:cs="Calibri"/>
          <w:lang w:val="en-AU" w:eastAsia="en-GB"/>
        </w:rPr>
        <w:t>US$53.7 billion in FY2024</w:t>
      </w:r>
      <w:r w:rsidR="009F3826" w:rsidRPr="00CC6DE1">
        <w:rPr>
          <w:rFonts w:ascii="Calibri" w:eastAsia="Times New Roman" w:hAnsi="Calibri" w:cs="Calibri"/>
          <w:lang w:val="en-AU" w:eastAsia="en-GB"/>
        </w:rPr>
        <w:t xml:space="preserve"> </w:t>
      </w:r>
      <w:r w:rsidR="009F3826" w:rsidRPr="004D79CA">
        <w:rPr>
          <w:rFonts w:ascii="Calibri" w:eastAsia="Times New Roman" w:hAnsi="Calibri" w:cs="Calibri"/>
          <w:lang w:val="en-AU" w:eastAsia="en-GB"/>
        </w:rPr>
        <w:t>and recovering to US$57.6 billion in FY2025 (Rio Tinto 2022; Rio Tinto 2026).</w:t>
      </w:r>
      <w:r w:rsidR="009F3826" w:rsidRPr="00CC6DE1">
        <w:rPr>
          <w:rFonts w:ascii="Calibri" w:eastAsia="Times New Roman" w:hAnsi="Calibri" w:cs="Calibri"/>
          <w:lang w:val="en-AU" w:eastAsia="en-GB"/>
        </w:rPr>
        <w:t xml:space="preserve"> The recovery was substantially supported by operations in commodities like copper, </w:t>
      </w:r>
      <w:r w:rsidR="009F3826" w:rsidRPr="004D79CA">
        <w:rPr>
          <w:rFonts w:ascii="Calibri" w:eastAsia="Times New Roman" w:hAnsi="Calibri" w:cs="Calibri"/>
          <w:lang w:val="en-AU" w:eastAsia="en-GB"/>
        </w:rPr>
        <w:t xml:space="preserve">aluminium </w:t>
      </w:r>
      <w:r w:rsidR="009F3826" w:rsidRPr="00CC6DE1">
        <w:rPr>
          <w:rFonts w:ascii="Calibri" w:eastAsia="Times New Roman" w:hAnsi="Calibri" w:cs="Calibri"/>
          <w:lang w:val="en-AU" w:eastAsia="en-GB"/>
        </w:rPr>
        <w:t>and lithium, which reduced their dependence on earnings through iron ore</w:t>
      </w:r>
      <w:r w:rsidR="004A5A2D" w:rsidRPr="00CC6DE1">
        <w:rPr>
          <w:rFonts w:ascii="Calibri" w:eastAsia="Times New Roman" w:hAnsi="Calibri" w:cs="Calibri"/>
          <w:lang w:val="en-AU" w:eastAsia="en-GB"/>
        </w:rPr>
        <w:t xml:space="preserve"> </w:t>
      </w:r>
      <w:r w:rsidR="004A5A2D" w:rsidRPr="00CC6DE1">
        <w:rPr>
          <w:rFonts w:ascii="Calibri" w:hAnsi="Calibri" w:cs="Calibri"/>
        </w:rPr>
        <w:t>(Rio Tinto 2026)</w:t>
      </w:r>
      <w:r w:rsidR="009F3826" w:rsidRPr="00CC6DE1">
        <w:rPr>
          <w:rFonts w:ascii="Calibri" w:eastAsia="Times New Roman" w:hAnsi="Calibri" w:cs="Calibri"/>
          <w:lang w:val="en-AU" w:eastAsia="en-GB"/>
        </w:rPr>
        <w:t xml:space="preserve">. </w:t>
      </w:r>
    </w:p>
    <w:p w14:paraId="0957A0FB" w14:textId="77777777" w:rsidR="009F3826" w:rsidRPr="00CC6DE1" w:rsidRDefault="009F3826" w:rsidP="00CC6DE1">
      <w:pPr>
        <w:spacing w:after="0" w:line="240" w:lineRule="auto"/>
        <w:rPr>
          <w:rFonts w:ascii="Calibri" w:eastAsia="Times New Roman" w:hAnsi="Calibri" w:cs="Calibri"/>
          <w:lang w:val="en-AU" w:eastAsia="en-GB"/>
        </w:rPr>
      </w:pPr>
    </w:p>
    <w:p w14:paraId="0DAD317F" w14:textId="33018048" w:rsidR="009F3826" w:rsidRPr="00CC6DE1" w:rsidRDefault="009F3826" w:rsidP="00CC6DE1">
      <w:pPr>
        <w:spacing w:after="0" w:line="240" w:lineRule="auto"/>
        <w:rPr>
          <w:rFonts w:ascii="Calibri" w:eastAsia="Times New Roman" w:hAnsi="Calibri" w:cs="Calibri"/>
          <w:lang w:val="en-AU" w:eastAsia="en-GB"/>
        </w:rPr>
      </w:pPr>
      <w:r w:rsidRPr="00CC6DE1">
        <w:rPr>
          <w:rFonts w:ascii="Calibri" w:eastAsia="Times New Roman" w:hAnsi="Calibri" w:cs="Calibri"/>
          <w:lang w:val="en-AU" w:eastAsia="en-GB"/>
        </w:rPr>
        <w:t xml:space="preserve">A significant decrease of </w:t>
      </w:r>
      <w:r w:rsidRPr="004D79CA">
        <w:rPr>
          <w:rFonts w:ascii="Calibri" w:eastAsia="Times New Roman" w:hAnsi="Calibri" w:cs="Calibri"/>
          <w:lang w:val="en-AU" w:eastAsia="en-GB"/>
        </w:rPr>
        <w:t xml:space="preserve">US$37.7 billion in FY2021 to US$25.4 billion in FY2025, </w:t>
      </w:r>
      <w:r w:rsidRPr="00CC6DE1">
        <w:rPr>
          <w:rFonts w:ascii="Calibri" w:eastAsia="Times New Roman" w:hAnsi="Calibri" w:cs="Calibri"/>
          <w:lang w:val="en-AU" w:eastAsia="en-GB"/>
        </w:rPr>
        <w:t>was identified in the underlying EBITDA</w:t>
      </w:r>
      <w:r w:rsidR="004A5A2D" w:rsidRPr="00CC6DE1">
        <w:rPr>
          <w:rFonts w:ascii="Calibri" w:eastAsia="Times New Roman" w:hAnsi="Calibri" w:cs="Calibri"/>
          <w:lang w:val="en-AU" w:eastAsia="en-GB"/>
        </w:rPr>
        <w:t xml:space="preserve"> </w:t>
      </w:r>
      <w:r w:rsidR="004A5A2D" w:rsidRPr="00CC6DE1">
        <w:rPr>
          <w:rFonts w:ascii="Calibri" w:hAnsi="Calibri" w:cs="Calibri"/>
        </w:rPr>
        <w:t>(Rio Tinto 2022; Rio Tinto 2026)</w:t>
      </w:r>
      <w:r w:rsidR="00CE310B" w:rsidRPr="00CC6DE1">
        <w:rPr>
          <w:rFonts w:ascii="Calibri" w:eastAsia="Times New Roman" w:hAnsi="Calibri" w:cs="Calibri"/>
          <w:lang w:val="en-AU" w:eastAsia="en-GB"/>
        </w:rPr>
        <w:t xml:space="preserve">, resulting a decline from 59.4% to 44.0% in the EBITDA margin. Although there was a decline in the profitability relative to </w:t>
      </w:r>
      <w:r w:rsidR="00CE310B" w:rsidRPr="004D79CA">
        <w:rPr>
          <w:rFonts w:ascii="Calibri" w:eastAsia="Times New Roman" w:hAnsi="Calibri" w:cs="Calibri"/>
          <w:lang w:val="en-AU" w:eastAsia="en-GB"/>
        </w:rPr>
        <w:t>cyclical highs</w:t>
      </w:r>
      <w:r w:rsidR="00CE310B" w:rsidRPr="00CC6DE1">
        <w:rPr>
          <w:rFonts w:ascii="Calibri" w:eastAsia="Times New Roman" w:hAnsi="Calibri" w:cs="Calibri"/>
          <w:lang w:val="en-AU" w:eastAsia="en-GB"/>
        </w:rPr>
        <w:t xml:space="preserve">, Rio Tinto sustained a strong growth margin through operating earnings and reported approximately </w:t>
      </w:r>
      <w:r w:rsidR="00CE310B" w:rsidRPr="004D79CA">
        <w:rPr>
          <w:rFonts w:ascii="Calibri" w:eastAsia="Times New Roman" w:hAnsi="Calibri" w:cs="Calibri"/>
          <w:lang w:val="en-AU" w:eastAsia="en-GB"/>
        </w:rPr>
        <w:t>US$10.0 billion in FY2025</w:t>
      </w:r>
      <w:r w:rsidR="00CE310B" w:rsidRPr="00CC6DE1">
        <w:rPr>
          <w:rFonts w:ascii="Calibri" w:eastAsia="Times New Roman" w:hAnsi="Calibri" w:cs="Calibri"/>
          <w:lang w:val="en-AU" w:eastAsia="en-GB"/>
        </w:rPr>
        <w:t>.</w:t>
      </w:r>
      <w:r w:rsidR="00087C80" w:rsidRPr="00CC6DE1">
        <w:rPr>
          <w:rFonts w:ascii="Calibri" w:eastAsia="Times New Roman" w:hAnsi="Calibri" w:cs="Calibri"/>
          <w:lang w:val="en-AU" w:eastAsia="en-GB"/>
        </w:rPr>
        <w:t xml:space="preserve"> This shows the company’s resilience to remain profitable across commodity price cycle. </w:t>
      </w:r>
    </w:p>
    <w:p w14:paraId="1AED4DD9" w14:textId="77777777" w:rsidR="00D62B74" w:rsidRDefault="00D62B74" w:rsidP="00CC6DE1">
      <w:pPr>
        <w:spacing w:after="0" w:line="240" w:lineRule="auto"/>
        <w:rPr>
          <w:rFonts w:ascii="Calibri" w:eastAsia="Times New Roman" w:hAnsi="Calibri" w:cs="Calibri"/>
          <w:lang w:val="en-AU" w:eastAsia="en-GB"/>
        </w:rPr>
      </w:pPr>
    </w:p>
    <w:p w14:paraId="7A8486FA" w14:textId="2E01ECFC" w:rsidR="004D79CA" w:rsidRDefault="00087C80" w:rsidP="00CC6DE1">
      <w:pPr>
        <w:spacing w:after="0" w:line="240" w:lineRule="auto"/>
        <w:rPr>
          <w:rFonts w:ascii="Calibri" w:eastAsia="Times New Roman" w:hAnsi="Calibri" w:cs="Calibri"/>
          <w:lang w:val="en-AU" w:eastAsia="en-GB"/>
        </w:rPr>
      </w:pPr>
      <w:r w:rsidRPr="00CC6DE1">
        <w:rPr>
          <w:rFonts w:ascii="Calibri" w:eastAsia="Times New Roman" w:hAnsi="Calibri" w:cs="Calibri"/>
          <w:lang w:val="en-AU" w:eastAsia="en-GB"/>
        </w:rPr>
        <w:t xml:space="preserve">Rio Tinto’s balance sheet indicates a period of strategic investments in major growth projects like </w:t>
      </w:r>
      <w:proofErr w:type="spellStart"/>
      <w:r w:rsidRPr="004D79CA">
        <w:rPr>
          <w:rFonts w:ascii="Calibri" w:eastAsia="Times New Roman" w:hAnsi="Calibri" w:cs="Calibri"/>
          <w:lang w:val="en-AU" w:eastAsia="en-GB"/>
        </w:rPr>
        <w:t>Oyu</w:t>
      </w:r>
      <w:proofErr w:type="spellEnd"/>
      <w:r w:rsidRPr="004D79CA">
        <w:rPr>
          <w:rFonts w:ascii="Calibri" w:eastAsia="Times New Roman" w:hAnsi="Calibri" w:cs="Calibri"/>
          <w:lang w:val="en-AU" w:eastAsia="en-GB"/>
        </w:rPr>
        <w:t xml:space="preserve"> Tolgoi, </w:t>
      </w:r>
      <w:proofErr w:type="spellStart"/>
      <w:r w:rsidRPr="004D79CA">
        <w:rPr>
          <w:rFonts w:ascii="Calibri" w:eastAsia="Times New Roman" w:hAnsi="Calibri" w:cs="Calibri"/>
          <w:lang w:val="en-AU" w:eastAsia="en-GB"/>
        </w:rPr>
        <w:t>Simandou</w:t>
      </w:r>
      <w:proofErr w:type="spellEnd"/>
      <w:r w:rsidRPr="004D79CA">
        <w:rPr>
          <w:rFonts w:ascii="Calibri" w:eastAsia="Times New Roman" w:hAnsi="Calibri" w:cs="Calibri"/>
          <w:lang w:val="en-AU" w:eastAsia="en-GB"/>
        </w:rPr>
        <w:t xml:space="preserve"> and lithium</w:t>
      </w:r>
      <w:r w:rsidRPr="00CC6DE1">
        <w:rPr>
          <w:rFonts w:ascii="Calibri" w:eastAsia="Times New Roman" w:hAnsi="Calibri" w:cs="Calibri"/>
          <w:lang w:val="en-AU" w:eastAsia="en-GB"/>
        </w:rPr>
        <w:t xml:space="preserve"> </w:t>
      </w:r>
      <w:r w:rsidRPr="004D79CA">
        <w:rPr>
          <w:rFonts w:ascii="Calibri" w:eastAsia="Times New Roman" w:hAnsi="Calibri" w:cs="Calibri"/>
          <w:lang w:val="en-AU" w:eastAsia="en-GB"/>
        </w:rPr>
        <w:t>related developments</w:t>
      </w:r>
      <w:r w:rsidR="004A5A2D" w:rsidRPr="00CC6DE1">
        <w:rPr>
          <w:rFonts w:ascii="Calibri" w:eastAsia="Times New Roman" w:hAnsi="Calibri" w:cs="Calibri"/>
          <w:lang w:val="en-AU" w:eastAsia="en-GB"/>
        </w:rPr>
        <w:t xml:space="preserve"> </w:t>
      </w:r>
      <w:r w:rsidR="004A5A2D" w:rsidRPr="00CC6DE1">
        <w:rPr>
          <w:rFonts w:ascii="Calibri" w:hAnsi="Calibri" w:cs="Calibri"/>
        </w:rPr>
        <w:t>(Rio Tinto 2025; Rio Tinto 2026)</w:t>
      </w:r>
      <w:r w:rsidRPr="00CC6DE1">
        <w:rPr>
          <w:rFonts w:ascii="Calibri" w:eastAsia="Times New Roman" w:hAnsi="Calibri" w:cs="Calibri"/>
          <w:lang w:val="en-AU" w:eastAsia="en-GB"/>
        </w:rPr>
        <w:t xml:space="preserve">, resulting an increase in their net debt through a cash surplus position </w:t>
      </w:r>
      <w:r w:rsidRPr="004D79CA">
        <w:rPr>
          <w:rFonts w:ascii="Calibri" w:eastAsia="Times New Roman" w:hAnsi="Calibri" w:cs="Calibri"/>
          <w:lang w:val="en-AU" w:eastAsia="en-GB"/>
        </w:rPr>
        <w:t>of US$1.6 billion in FY2021 to US$14.4 billion in FY2025</w:t>
      </w:r>
      <w:r w:rsidR="004A5A2D" w:rsidRPr="00CC6DE1">
        <w:rPr>
          <w:rFonts w:ascii="Calibri" w:eastAsia="Times New Roman" w:hAnsi="Calibri" w:cs="Calibri"/>
          <w:lang w:val="en-AU" w:eastAsia="en-GB"/>
        </w:rPr>
        <w:t xml:space="preserve"> </w:t>
      </w:r>
      <w:r w:rsidR="004A5A2D" w:rsidRPr="00CC6DE1">
        <w:rPr>
          <w:rFonts w:ascii="Calibri" w:hAnsi="Calibri" w:cs="Calibri"/>
        </w:rPr>
        <w:t>(Rio Tinto 2026)</w:t>
      </w:r>
      <w:r w:rsidRPr="00CC6DE1">
        <w:rPr>
          <w:rFonts w:ascii="Calibri" w:eastAsia="Times New Roman" w:hAnsi="Calibri" w:cs="Calibri"/>
          <w:lang w:val="en-AU" w:eastAsia="en-GB"/>
        </w:rPr>
        <w:t>.</w:t>
      </w:r>
    </w:p>
    <w:p w14:paraId="6F949B20" w14:textId="77777777" w:rsidR="00D62B74" w:rsidRPr="00CC6DE1" w:rsidRDefault="00D62B74" w:rsidP="00CC6DE1">
      <w:pPr>
        <w:spacing w:after="0" w:line="240" w:lineRule="auto"/>
        <w:rPr>
          <w:rFonts w:ascii="Calibri" w:eastAsia="Times New Roman" w:hAnsi="Calibri" w:cs="Calibri"/>
          <w:lang w:val="en-AU" w:eastAsia="en-GB"/>
        </w:rPr>
      </w:pPr>
    </w:p>
    <w:p w14:paraId="6918EBED" w14:textId="77777777" w:rsidR="000F7832" w:rsidRPr="00CC6DE1" w:rsidRDefault="000F7832" w:rsidP="00CC6DE1">
      <w:pPr>
        <w:spacing w:after="0" w:line="240" w:lineRule="auto"/>
        <w:rPr>
          <w:rFonts w:ascii="Calibri" w:eastAsia="Times New Roman" w:hAnsi="Calibri" w:cs="Calibri"/>
          <w:lang w:val="en-AU" w:eastAsia="en-GB"/>
        </w:rPr>
      </w:pPr>
    </w:p>
    <w:p w14:paraId="3AF3BAAA" w14:textId="7A79DFA4" w:rsidR="000F7832" w:rsidRPr="00CC6DE1" w:rsidRDefault="000F7832" w:rsidP="00CC6DE1">
      <w:pPr>
        <w:spacing w:after="0" w:line="240" w:lineRule="auto"/>
        <w:jc w:val="center"/>
        <w:rPr>
          <w:rFonts w:ascii="Calibri" w:eastAsia="Times New Roman" w:hAnsi="Calibri" w:cs="Calibri"/>
          <w:lang w:val="en-AU" w:eastAsia="en-GB"/>
        </w:rPr>
      </w:pPr>
      <w:r w:rsidRPr="00CC6DE1">
        <w:rPr>
          <w:rFonts w:ascii="Calibri" w:eastAsia="Times New Roman" w:hAnsi="Calibri" w:cs="Calibri"/>
          <w:noProof/>
          <w:lang w:val="en-AU" w:eastAsia="en-GB"/>
        </w:rPr>
        <w:drawing>
          <wp:inline distT="0" distB="0" distL="0" distR="0" wp14:anchorId="30858267" wp14:editId="7A308060">
            <wp:extent cx="4754880" cy="3052064"/>
            <wp:effectExtent l="0" t="0" r="0" b="0"/>
            <wp:docPr id="17969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0107" name=""/>
                    <pic:cNvPicPr/>
                  </pic:nvPicPr>
                  <pic:blipFill>
                    <a:blip r:embed="rId32"/>
                    <a:stretch>
                      <a:fillRect/>
                    </a:stretch>
                  </pic:blipFill>
                  <pic:spPr>
                    <a:xfrm>
                      <a:off x="0" y="0"/>
                      <a:ext cx="4797935" cy="3079700"/>
                    </a:xfrm>
                    <a:prstGeom prst="rect">
                      <a:avLst/>
                    </a:prstGeom>
                  </pic:spPr>
                </pic:pic>
              </a:graphicData>
            </a:graphic>
          </wp:inline>
        </w:drawing>
      </w:r>
    </w:p>
    <w:p w14:paraId="07719435" w14:textId="77777777" w:rsidR="00D62B74" w:rsidRDefault="00D62B74" w:rsidP="00CC6DE1">
      <w:pPr>
        <w:spacing w:after="0" w:line="240" w:lineRule="auto"/>
        <w:jc w:val="center"/>
      </w:pPr>
    </w:p>
    <w:p w14:paraId="54E6BF6D" w14:textId="15EB859D" w:rsidR="00E059F5" w:rsidRPr="00D62B74" w:rsidRDefault="00D62B74" w:rsidP="00CC6DE1">
      <w:pPr>
        <w:spacing w:after="0" w:line="240" w:lineRule="auto"/>
        <w:jc w:val="center"/>
        <w:rPr>
          <w:rFonts w:ascii="Calibri" w:eastAsia="Times New Roman" w:hAnsi="Calibri" w:cs="Calibri"/>
          <w:b/>
          <w:bCs/>
          <w:lang w:val="en-AU" w:eastAsia="en-GB"/>
        </w:rPr>
      </w:pPr>
      <w:r w:rsidRPr="00D62B74">
        <w:rPr>
          <w:rFonts w:ascii="Calibri" w:hAnsi="Calibri" w:cs="Calibri"/>
          <w:b/>
          <w:bCs/>
        </w:rPr>
        <w:t>Rio Tinto Revenue and EBITDA Trend</w:t>
      </w:r>
    </w:p>
    <w:p w14:paraId="26B156A8" w14:textId="77777777" w:rsidR="00087C80" w:rsidRPr="004D79CA" w:rsidRDefault="00087C80" w:rsidP="00CC6DE1">
      <w:pPr>
        <w:spacing w:after="0" w:line="240" w:lineRule="auto"/>
        <w:rPr>
          <w:rFonts w:ascii="Calibri" w:eastAsia="Times New Roman" w:hAnsi="Calibri" w:cs="Calibri"/>
          <w:lang w:val="en-AU" w:eastAsia="en-GB"/>
        </w:rPr>
      </w:pPr>
    </w:p>
    <w:p w14:paraId="44FB5469" w14:textId="111F64DF" w:rsidR="00D62B74" w:rsidRPr="004D79CA" w:rsidRDefault="004D79CA" w:rsidP="00354F5D">
      <w:pPr>
        <w:pStyle w:val="Heading1"/>
        <w:spacing w:before="0" w:after="0" w:line="360" w:lineRule="auto"/>
        <w:rPr>
          <w:rFonts w:ascii="Calibri" w:eastAsia="Times New Roman" w:hAnsi="Calibri" w:cs="Calibri"/>
          <w:b/>
          <w:bCs/>
          <w:sz w:val="28"/>
          <w:szCs w:val="28"/>
          <w:lang w:val="en-IN"/>
        </w:rPr>
      </w:pPr>
      <w:bookmarkStart w:id="5" w:name="_Toc231593018"/>
      <w:r w:rsidRPr="004D79CA">
        <w:rPr>
          <w:rFonts w:ascii="Calibri" w:eastAsia="Times New Roman" w:hAnsi="Calibri" w:cs="Calibri"/>
          <w:b/>
          <w:bCs/>
          <w:sz w:val="28"/>
          <w:szCs w:val="28"/>
          <w:lang w:val="en-IN"/>
        </w:rPr>
        <w:lastRenderedPageBreak/>
        <w:t>3.</w:t>
      </w:r>
      <w:r w:rsidR="00C01C77" w:rsidRPr="00D62B74">
        <w:rPr>
          <w:rFonts w:ascii="Calibri" w:eastAsia="Times New Roman" w:hAnsi="Calibri" w:cs="Calibri"/>
          <w:b/>
          <w:bCs/>
          <w:sz w:val="28"/>
          <w:szCs w:val="28"/>
          <w:lang w:val="en-IN"/>
        </w:rPr>
        <w:t>1</w:t>
      </w:r>
      <w:r w:rsidRPr="004D79CA">
        <w:rPr>
          <w:rFonts w:ascii="Calibri" w:eastAsia="Times New Roman" w:hAnsi="Calibri" w:cs="Calibri"/>
          <w:b/>
          <w:bCs/>
          <w:sz w:val="28"/>
          <w:szCs w:val="28"/>
          <w:lang w:val="en-IN"/>
        </w:rPr>
        <w:t xml:space="preserve"> Key Valuation Assumptions</w:t>
      </w:r>
      <w:bookmarkEnd w:id="5"/>
    </w:p>
    <w:p w14:paraId="29EDBE76" w14:textId="14BB6556" w:rsidR="00F1636D" w:rsidRDefault="005119F3" w:rsidP="00CC6DE1">
      <w:pPr>
        <w:spacing w:after="0" w:line="240" w:lineRule="auto"/>
        <w:rPr>
          <w:rFonts w:ascii="Calibri" w:eastAsia="Times New Roman" w:hAnsi="Calibri" w:cs="Calibri"/>
          <w:lang w:val="en-AU" w:eastAsia="en-GB"/>
        </w:rPr>
      </w:pPr>
      <w:r w:rsidRPr="00CC6DE1">
        <w:rPr>
          <w:rFonts w:ascii="Calibri" w:eastAsia="Times New Roman" w:hAnsi="Calibri" w:cs="Calibri"/>
          <w:lang w:val="en-AU" w:eastAsia="en-GB"/>
        </w:rPr>
        <w:t>The valuation model is entirely created around assumptions inferred from the historical performance and the commodity industry conditions. The company revenue is estimated to grow by approximately 3-4% annually over the forecasted period (2026 to 2030)</w:t>
      </w:r>
      <w:r w:rsidR="00FF5FC0" w:rsidRPr="00CC6DE1">
        <w:rPr>
          <w:rFonts w:ascii="Calibri" w:eastAsia="Times New Roman" w:hAnsi="Calibri" w:cs="Calibri"/>
          <w:lang w:val="en-AU" w:eastAsia="en-GB"/>
        </w:rPr>
        <w:t xml:space="preserve">. EBITDA margin assumed to be 44.5%, whereas the historical average of five years is 47.7% </w:t>
      </w:r>
      <w:r w:rsidR="00FF5FC0" w:rsidRPr="00CC6DE1">
        <w:rPr>
          <w:rFonts w:ascii="Calibri" w:hAnsi="Calibri" w:cs="Calibri"/>
        </w:rPr>
        <w:t>(Rio Tinto 2022; Rio Tinto 2023; Rio Tinto 2024; Rio Tinto 2025; Rio Tinto 2026)</w:t>
      </w:r>
      <w:r w:rsidR="00FF5FC0" w:rsidRPr="004D79CA">
        <w:rPr>
          <w:rFonts w:ascii="Calibri" w:eastAsia="Times New Roman" w:hAnsi="Calibri" w:cs="Calibri"/>
          <w:lang w:val="en-AU" w:eastAsia="en-GB"/>
        </w:rPr>
        <w:t>.</w:t>
      </w:r>
      <w:r w:rsidR="00FF5FC0" w:rsidRPr="00CC6DE1">
        <w:rPr>
          <w:rFonts w:ascii="Calibri" w:eastAsia="Times New Roman" w:hAnsi="Calibri" w:cs="Calibri"/>
          <w:lang w:val="en-AU" w:eastAsia="en-GB"/>
        </w:rPr>
        <w:t xml:space="preserve"> Further the EBIT margin is assumed to be at 26% with a tax rate of 28.0% and WACC of 7.5%. The terminal growth rate is at 2.5%. We have used these assumptions for providing a balanced and risk-aware estimation for Rio Tinto’s future cash flow.</w:t>
      </w:r>
    </w:p>
    <w:p w14:paraId="2A386911" w14:textId="77777777" w:rsidR="00D62B74" w:rsidRDefault="00D62B74" w:rsidP="00CC6DE1">
      <w:pPr>
        <w:spacing w:after="0" w:line="240" w:lineRule="auto"/>
        <w:rPr>
          <w:rFonts w:ascii="Calibri" w:eastAsia="Times New Roman" w:hAnsi="Calibri" w:cs="Calibri"/>
          <w:lang w:val="en-AU" w:eastAsia="en-GB"/>
        </w:rPr>
      </w:pPr>
    </w:p>
    <w:p w14:paraId="2871A55C" w14:textId="47FC36F2" w:rsidR="00D62B74" w:rsidRPr="00354F5D" w:rsidRDefault="00552CD2" w:rsidP="00354F5D">
      <w:pPr>
        <w:pStyle w:val="Heading1"/>
        <w:spacing w:before="0" w:after="0" w:line="360" w:lineRule="auto"/>
        <w:rPr>
          <w:rFonts w:ascii="Calibri" w:eastAsia="Times New Roman" w:hAnsi="Calibri" w:cs="Calibri"/>
          <w:b/>
          <w:bCs/>
          <w:sz w:val="28"/>
          <w:szCs w:val="28"/>
          <w:lang w:val="en-IN"/>
        </w:rPr>
      </w:pPr>
      <w:bookmarkStart w:id="6" w:name="_Toc231593019"/>
      <w:r w:rsidRPr="00D62B74">
        <w:rPr>
          <w:rFonts w:ascii="Calibri" w:eastAsia="Times New Roman" w:hAnsi="Calibri" w:cs="Calibri"/>
          <w:b/>
          <w:bCs/>
          <w:sz w:val="28"/>
          <w:szCs w:val="28"/>
          <w:lang w:val="en-IN"/>
        </w:rPr>
        <w:t>4</w:t>
      </w:r>
      <w:r w:rsidR="00D62B74">
        <w:rPr>
          <w:rFonts w:ascii="Calibri" w:eastAsia="Times New Roman" w:hAnsi="Calibri" w:cs="Calibri"/>
          <w:b/>
          <w:bCs/>
          <w:sz w:val="28"/>
          <w:szCs w:val="28"/>
          <w:lang w:val="en-IN"/>
        </w:rPr>
        <w:t xml:space="preserve">. </w:t>
      </w:r>
      <w:r w:rsidRPr="00D62B74">
        <w:rPr>
          <w:rFonts w:ascii="Calibri" w:eastAsia="Times New Roman" w:hAnsi="Calibri" w:cs="Calibri"/>
          <w:b/>
          <w:bCs/>
          <w:sz w:val="28"/>
          <w:szCs w:val="28"/>
          <w:lang w:val="en-IN"/>
        </w:rPr>
        <w:t>Discounted Cash Flow (DCF) Valuation Model – Rio Tinto</w:t>
      </w:r>
      <w:bookmarkEnd w:id="6"/>
    </w:p>
    <w:p w14:paraId="4BDE8FE7" w14:textId="2F714BB2" w:rsidR="00552CD2" w:rsidRPr="00CC6DE1" w:rsidRDefault="002F60A5" w:rsidP="00D62B74">
      <w:pPr>
        <w:pStyle w:val="NormalWeb"/>
        <w:spacing w:before="0" w:beforeAutospacing="0" w:after="0" w:afterAutospacing="0" w:line="360" w:lineRule="auto"/>
        <w:rPr>
          <w:rFonts w:ascii="Calibri" w:hAnsi="Calibri" w:cs="Calibri"/>
        </w:rPr>
      </w:pPr>
      <w:r w:rsidRPr="00CC6DE1">
        <w:rPr>
          <w:rFonts w:ascii="Calibri" w:hAnsi="Calibri" w:cs="Calibri"/>
        </w:rPr>
        <w:t xml:space="preserve">Our Discounted Cash Flow (DCF) model is based around the estimated enterprise value of Rio Tinto using the forecasted free cash flows from 2026 to 2030. The forecasting revenue, profitability, operating cash flows and capital expenditure </w:t>
      </w:r>
      <w:proofErr w:type="spellStart"/>
      <w:r w:rsidRPr="00CC6DE1">
        <w:rPr>
          <w:rFonts w:ascii="Calibri" w:hAnsi="Calibri" w:cs="Calibri"/>
        </w:rPr>
        <w:t>CapEx</w:t>
      </w:r>
      <w:proofErr w:type="spellEnd"/>
      <w:r w:rsidRPr="00CC6DE1">
        <w:rPr>
          <w:rFonts w:ascii="Calibri" w:hAnsi="Calibri" w:cs="Calibri"/>
        </w:rPr>
        <w:t xml:space="preserve">, are the information gathered using the historical financial data of the company from 2021 to 2025. </w:t>
      </w:r>
    </w:p>
    <w:p w14:paraId="41D36771" w14:textId="7639D6D6" w:rsidR="009743B1" w:rsidRPr="00CC6DE1" w:rsidRDefault="00585426" w:rsidP="00D62B74">
      <w:pPr>
        <w:pStyle w:val="NormalWeb"/>
        <w:spacing w:before="0" w:beforeAutospacing="0" w:after="0" w:afterAutospacing="0" w:line="360" w:lineRule="auto"/>
        <w:rPr>
          <w:rFonts w:ascii="Calibri" w:hAnsi="Calibri" w:cs="Calibri"/>
        </w:rPr>
      </w:pPr>
      <w:r w:rsidRPr="00CC6DE1">
        <w:rPr>
          <w:rFonts w:ascii="Calibri" w:hAnsi="Calibri" w:cs="Calibri"/>
        </w:rPr>
        <w:t xml:space="preserve">The model suggests a moderate growth from </w:t>
      </w:r>
      <w:r w:rsidRPr="00CC6DE1">
        <w:rPr>
          <w:rStyle w:val="Strong"/>
          <w:rFonts w:ascii="Calibri" w:hAnsi="Calibri" w:cs="Calibri"/>
          <w:b w:val="0"/>
          <w:bCs w:val="0"/>
        </w:rPr>
        <w:t>USD 59,944 million in 2026</w:t>
      </w:r>
      <w:r w:rsidRPr="00CC6DE1">
        <w:rPr>
          <w:rFonts w:ascii="Calibri" w:hAnsi="Calibri" w:cs="Calibri"/>
          <w:b/>
          <w:bCs/>
        </w:rPr>
        <w:t xml:space="preserve"> </w:t>
      </w:r>
      <w:r w:rsidRPr="00CC6DE1">
        <w:rPr>
          <w:rFonts w:ascii="Calibri" w:hAnsi="Calibri" w:cs="Calibri"/>
        </w:rPr>
        <w:t>to</w:t>
      </w:r>
      <w:r w:rsidRPr="00CC6DE1">
        <w:rPr>
          <w:rFonts w:ascii="Calibri" w:hAnsi="Calibri" w:cs="Calibri"/>
          <w:b/>
          <w:bCs/>
        </w:rPr>
        <w:t xml:space="preserve"> </w:t>
      </w:r>
      <w:r w:rsidRPr="00CC6DE1">
        <w:rPr>
          <w:rStyle w:val="Strong"/>
          <w:rFonts w:ascii="Calibri" w:hAnsi="Calibri" w:cs="Calibri"/>
          <w:b w:val="0"/>
          <w:bCs w:val="0"/>
        </w:rPr>
        <w:t xml:space="preserve">USD </w:t>
      </w:r>
      <w:r w:rsidR="006A48DE" w:rsidRPr="00CC6DE1">
        <w:rPr>
          <w:rFonts w:ascii="Calibri" w:hAnsi="Calibri" w:cs="Calibri"/>
        </w:rPr>
        <w:t>69,511</w:t>
      </w:r>
      <w:r w:rsidRPr="00CC6DE1">
        <w:rPr>
          <w:rStyle w:val="Strong"/>
          <w:rFonts w:ascii="Calibri" w:hAnsi="Calibri" w:cs="Calibri"/>
          <w:b w:val="0"/>
          <w:bCs w:val="0"/>
        </w:rPr>
        <w:t>million in 2030</w:t>
      </w:r>
      <w:r w:rsidRPr="00CC6DE1">
        <w:rPr>
          <w:rFonts w:ascii="Calibri" w:hAnsi="Calibri" w:cs="Calibri"/>
        </w:rPr>
        <w:t xml:space="preserve">, an approximate of 3-4% of annual growth based on the assumption of Rio Tinto’s mature market position, </w:t>
      </w:r>
      <w:r w:rsidR="009743B1" w:rsidRPr="00CC6DE1">
        <w:rPr>
          <w:rFonts w:ascii="Calibri" w:hAnsi="Calibri" w:cs="Calibri"/>
        </w:rPr>
        <w:t xml:space="preserve">sustained global demand for iron ore and copper and other investment expansion projects. </w:t>
      </w:r>
    </w:p>
    <w:p w14:paraId="293D968B" w14:textId="085E0E56" w:rsidR="009743B1" w:rsidRPr="00CC6DE1" w:rsidRDefault="009743B1" w:rsidP="00CC6DE1">
      <w:pPr>
        <w:pStyle w:val="NormalWeb"/>
        <w:spacing w:before="0" w:beforeAutospacing="0" w:after="0" w:afterAutospacing="0" w:line="360" w:lineRule="auto"/>
        <w:rPr>
          <w:rFonts w:ascii="Calibri" w:hAnsi="Calibri" w:cs="Calibri"/>
        </w:rPr>
      </w:pPr>
      <w:r w:rsidRPr="00CC6DE1">
        <w:rPr>
          <w:rFonts w:ascii="Calibri" w:hAnsi="Calibri" w:cs="Calibri"/>
        </w:rPr>
        <w:t xml:space="preserve">The estimated profitability is calculated by a margin of 44.5% of EBITDA and 26% of EBIT throughout the forecasted period. This resulted in an increased EBITDA from </w:t>
      </w:r>
      <w:r w:rsidRPr="00CC6DE1">
        <w:rPr>
          <w:rStyle w:val="Strong"/>
          <w:rFonts w:ascii="Calibri" w:hAnsi="Calibri" w:cs="Calibri"/>
          <w:b w:val="0"/>
          <w:bCs w:val="0"/>
        </w:rPr>
        <w:t>USD 26,675 million in 2026</w:t>
      </w:r>
      <w:r w:rsidRPr="00CC6DE1">
        <w:rPr>
          <w:rFonts w:ascii="Calibri" w:hAnsi="Calibri" w:cs="Calibri"/>
          <w:b/>
          <w:bCs/>
        </w:rPr>
        <w:t xml:space="preserve"> </w:t>
      </w:r>
      <w:r w:rsidRPr="00CC6DE1">
        <w:rPr>
          <w:rFonts w:ascii="Calibri" w:hAnsi="Calibri" w:cs="Calibri"/>
        </w:rPr>
        <w:t xml:space="preserve">to </w:t>
      </w:r>
      <w:r w:rsidRPr="00CC6DE1">
        <w:rPr>
          <w:rStyle w:val="Strong"/>
          <w:rFonts w:ascii="Calibri" w:hAnsi="Calibri" w:cs="Calibri"/>
          <w:b w:val="0"/>
          <w:bCs w:val="0"/>
        </w:rPr>
        <w:t xml:space="preserve">USD </w:t>
      </w:r>
      <w:r w:rsidR="006A48DE" w:rsidRPr="00CC6DE1">
        <w:rPr>
          <w:rFonts w:ascii="Calibri" w:hAnsi="Calibri" w:cs="Calibri"/>
        </w:rPr>
        <w:t>30,932</w:t>
      </w:r>
      <w:r w:rsidRPr="00CC6DE1">
        <w:rPr>
          <w:rStyle w:val="Strong"/>
          <w:rFonts w:ascii="Calibri" w:hAnsi="Calibri" w:cs="Calibri"/>
        </w:rPr>
        <w:t xml:space="preserve"> </w:t>
      </w:r>
      <w:r w:rsidRPr="00CC6DE1">
        <w:rPr>
          <w:rStyle w:val="Strong"/>
          <w:rFonts w:ascii="Calibri" w:hAnsi="Calibri" w:cs="Calibri"/>
          <w:b w:val="0"/>
          <w:bCs w:val="0"/>
        </w:rPr>
        <w:t>million in 2030, while on the other hand EBIT increased from 15,585 million</w:t>
      </w:r>
      <w:r w:rsidRPr="00CC6DE1">
        <w:rPr>
          <w:rFonts w:ascii="Calibri" w:hAnsi="Calibri" w:cs="Calibri"/>
          <w:b/>
          <w:bCs/>
        </w:rPr>
        <w:t xml:space="preserve"> </w:t>
      </w:r>
      <w:r w:rsidRPr="00CC6DE1">
        <w:rPr>
          <w:rFonts w:ascii="Calibri" w:hAnsi="Calibri" w:cs="Calibri"/>
        </w:rPr>
        <w:t>to</w:t>
      </w:r>
      <w:r w:rsidRPr="00CC6DE1">
        <w:rPr>
          <w:rFonts w:ascii="Calibri" w:hAnsi="Calibri" w:cs="Calibri"/>
          <w:b/>
          <w:bCs/>
        </w:rPr>
        <w:t xml:space="preserve"> </w:t>
      </w:r>
      <w:r w:rsidRPr="00CC6DE1">
        <w:rPr>
          <w:rStyle w:val="Strong"/>
          <w:rFonts w:ascii="Calibri" w:hAnsi="Calibri" w:cs="Calibri"/>
          <w:b w:val="0"/>
          <w:bCs w:val="0"/>
        </w:rPr>
        <w:t xml:space="preserve">USD </w:t>
      </w:r>
      <w:r w:rsidR="006A48DE" w:rsidRPr="00CC6DE1">
        <w:rPr>
          <w:rFonts w:ascii="Calibri" w:hAnsi="Calibri" w:cs="Calibri"/>
        </w:rPr>
        <w:t>18,073</w:t>
      </w:r>
      <w:r w:rsidRPr="00CC6DE1">
        <w:rPr>
          <w:rStyle w:val="Strong"/>
          <w:rFonts w:ascii="Calibri" w:hAnsi="Calibri" w:cs="Calibri"/>
          <w:b w:val="0"/>
          <w:bCs w:val="0"/>
        </w:rPr>
        <w:t xml:space="preserve"> million by the end of 2030.</w:t>
      </w:r>
    </w:p>
    <w:p w14:paraId="006D9B37" w14:textId="1FD2DCF4" w:rsidR="009743B1" w:rsidRPr="00CC6DE1" w:rsidRDefault="009743B1" w:rsidP="00CC6DE1">
      <w:pPr>
        <w:pStyle w:val="NormalWeb"/>
        <w:spacing w:before="0" w:beforeAutospacing="0" w:after="0" w:afterAutospacing="0" w:line="360" w:lineRule="auto"/>
        <w:rPr>
          <w:rFonts w:ascii="Calibri" w:hAnsi="Calibri" w:cs="Calibri"/>
        </w:rPr>
      </w:pPr>
      <w:r w:rsidRPr="00CC6DE1">
        <w:rPr>
          <w:rFonts w:ascii="Calibri" w:hAnsi="Calibri" w:cs="Calibri"/>
        </w:rPr>
        <w:t xml:space="preserve">Net Operating Profit After Tax – NOPAT, was calculated based on the assumption of a tax rate of 28% of EBIT value, resulting in an increased estimation of NOPAT from </w:t>
      </w:r>
      <w:r w:rsidRPr="00CC6DE1">
        <w:rPr>
          <w:rStyle w:val="Strong"/>
          <w:rFonts w:ascii="Calibri" w:hAnsi="Calibri" w:cs="Calibri"/>
          <w:b w:val="0"/>
          <w:bCs w:val="0"/>
        </w:rPr>
        <w:t>USD 11,221 million in 2026</w:t>
      </w:r>
      <w:r w:rsidRPr="00CC6DE1">
        <w:rPr>
          <w:rFonts w:ascii="Calibri" w:hAnsi="Calibri" w:cs="Calibri"/>
        </w:rPr>
        <w:t xml:space="preserve"> to </w:t>
      </w:r>
      <w:r w:rsidRPr="00CC6DE1">
        <w:rPr>
          <w:rStyle w:val="Strong"/>
          <w:rFonts w:ascii="Calibri" w:hAnsi="Calibri" w:cs="Calibri"/>
          <w:b w:val="0"/>
          <w:bCs w:val="0"/>
        </w:rPr>
        <w:t>USD</w:t>
      </w:r>
      <w:r w:rsidRPr="00CC6DE1">
        <w:rPr>
          <w:rStyle w:val="Strong"/>
          <w:rFonts w:ascii="Calibri" w:hAnsi="Calibri" w:cs="Calibri"/>
        </w:rPr>
        <w:t xml:space="preserve"> </w:t>
      </w:r>
      <w:r w:rsidR="006A48DE" w:rsidRPr="00CC6DE1">
        <w:rPr>
          <w:rFonts w:ascii="Calibri" w:hAnsi="Calibri" w:cs="Calibri"/>
        </w:rPr>
        <w:t>13,012</w:t>
      </w:r>
      <w:r w:rsidRPr="00CC6DE1">
        <w:rPr>
          <w:rStyle w:val="Strong"/>
          <w:rFonts w:ascii="Calibri" w:hAnsi="Calibri" w:cs="Calibri"/>
          <w:b w:val="0"/>
          <w:bCs w:val="0"/>
        </w:rPr>
        <w:t xml:space="preserve"> million in 2030</w:t>
      </w:r>
      <w:r w:rsidR="00025712" w:rsidRPr="00CC6DE1">
        <w:rPr>
          <w:rFonts w:ascii="Calibri" w:hAnsi="Calibri" w:cs="Calibri"/>
        </w:rPr>
        <w:t>.</w:t>
      </w:r>
    </w:p>
    <w:p w14:paraId="7AEBEAF9" w14:textId="5A692FB0" w:rsidR="00D62B74" w:rsidRDefault="009743B1" w:rsidP="00CC6DE1">
      <w:pPr>
        <w:pStyle w:val="NormalWeb"/>
        <w:spacing w:before="0" w:beforeAutospacing="0" w:after="0" w:afterAutospacing="0" w:line="360" w:lineRule="auto"/>
        <w:rPr>
          <w:rFonts w:ascii="Calibri" w:hAnsi="Calibri" w:cs="Calibri"/>
        </w:rPr>
      </w:pPr>
      <w:r w:rsidRPr="00CC6DE1">
        <w:rPr>
          <w:rFonts w:ascii="Calibri" w:hAnsi="Calibri" w:cs="Calibri"/>
        </w:rPr>
        <w:t>Using the historical relationships between EBITDA and EBIT</w:t>
      </w:r>
      <w:r w:rsidR="00A63217" w:rsidRPr="00CC6DE1">
        <w:rPr>
          <w:rFonts w:ascii="Calibri" w:hAnsi="Calibri" w:cs="Calibri"/>
        </w:rPr>
        <w:t xml:space="preserve">, the forecast for Depreciation &amp; Amortisation increases from </w:t>
      </w:r>
      <w:r w:rsidR="006A48DE" w:rsidRPr="00CC6DE1">
        <w:rPr>
          <w:rFonts w:ascii="Calibri" w:hAnsi="Calibri" w:cs="Calibri"/>
        </w:rPr>
        <w:t>USD 11,090 million to USD 12,859 million</w:t>
      </w:r>
      <w:r w:rsidR="00A63217" w:rsidRPr="00CC6DE1">
        <w:rPr>
          <w:rStyle w:val="Strong"/>
          <w:rFonts w:ascii="Calibri" w:hAnsi="Calibri" w:cs="Calibri"/>
          <w:b w:val="0"/>
          <w:bCs w:val="0"/>
        </w:rPr>
        <w:t xml:space="preserve"> in 2030</w:t>
      </w:r>
      <w:r w:rsidR="00A63217" w:rsidRPr="00CC6DE1">
        <w:rPr>
          <w:rFonts w:ascii="Calibri" w:hAnsi="Calibri" w:cs="Calibri"/>
        </w:rPr>
        <w:t>.</w:t>
      </w:r>
      <w:r w:rsidR="00BD4A9B" w:rsidRPr="00CC6DE1">
        <w:rPr>
          <w:rFonts w:ascii="Calibri" w:hAnsi="Calibri" w:cs="Calibri"/>
        </w:rPr>
        <w:t xml:space="preserve"> The projected </w:t>
      </w:r>
      <w:proofErr w:type="spellStart"/>
      <w:r w:rsidR="00BD4A9B" w:rsidRPr="00CC6DE1">
        <w:rPr>
          <w:rFonts w:ascii="Calibri" w:hAnsi="Calibri" w:cs="Calibri"/>
        </w:rPr>
        <w:t>CapEx</w:t>
      </w:r>
      <w:proofErr w:type="spellEnd"/>
      <w:r w:rsidR="00BD4A9B" w:rsidRPr="00CC6DE1">
        <w:rPr>
          <w:rFonts w:ascii="Calibri" w:hAnsi="Calibri" w:cs="Calibri"/>
        </w:rPr>
        <w:t xml:space="preserve"> was from </w:t>
      </w:r>
      <w:r w:rsidR="00BD4A9B" w:rsidRPr="00CC6DE1">
        <w:rPr>
          <w:rStyle w:val="Strong"/>
          <w:rFonts w:ascii="Calibri" w:hAnsi="Calibri" w:cs="Calibri"/>
          <w:b w:val="0"/>
          <w:bCs w:val="0"/>
        </w:rPr>
        <w:t>USD 12,520 million</w:t>
      </w:r>
      <w:r w:rsidR="00BD4A9B" w:rsidRPr="00CC6DE1">
        <w:rPr>
          <w:rFonts w:ascii="Calibri" w:hAnsi="Calibri" w:cs="Calibri"/>
          <w:b/>
          <w:bCs/>
        </w:rPr>
        <w:t xml:space="preserve"> </w:t>
      </w:r>
      <w:r w:rsidR="00BD4A9B" w:rsidRPr="00CC6DE1">
        <w:rPr>
          <w:rFonts w:ascii="Calibri" w:hAnsi="Calibri" w:cs="Calibri"/>
        </w:rPr>
        <w:t>to</w:t>
      </w:r>
      <w:r w:rsidR="00BD4A9B" w:rsidRPr="00CC6DE1">
        <w:rPr>
          <w:rFonts w:ascii="Calibri" w:hAnsi="Calibri" w:cs="Calibri"/>
          <w:b/>
          <w:bCs/>
        </w:rPr>
        <w:t xml:space="preserve"> </w:t>
      </w:r>
      <w:r w:rsidR="00BD4A9B" w:rsidRPr="00CC6DE1">
        <w:rPr>
          <w:rStyle w:val="Strong"/>
          <w:rFonts w:ascii="Calibri" w:hAnsi="Calibri" w:cs="Calibri"/>
          <w:b w:val="0"/>
          <w:bCs w:val="0"/>
        </w:rPr>
        <w:t>USD 13,288 million Showing an increasing trend.</w:t>
      </w:r>
      <w:r w:rsidR="00BD4A9B" w:rsidRPr="00CC6DE1">
        <w:rPr>
          <w:rStyle w:val="Strong"/>
          <w:rFonts w:ascii="Calibri" w:hAnsi="Calibri" w:cs="Calibri"/>
        </w:rPr>
        <w:t xml:space="preserve"> </w:t>
      </w:r>
      <w:r w:rsidR="00BD4A9B" w:rsidRPr="00CC6DE1">
        <w:rPr>
          <w:rStyle w:val="Strong"/>
          <w:rFonts w:ascii="Calibri" w:hAnsi="Calibri" w:cs="Calibri"/>
          <w:b w:val="0"/>
          <w:bCs w:val="0"/>
        </w:rPr>
        <w:t>Additionally, the changes in working capital were assumed to be from USD 300 million</w:t>
      </w:r>
      <w:r w:rsidR="00BD4A9B" w:rsidRPr="00CC6DE1">
        <w:rPr>
          <w:rFonts w:ascii="Calibri" w:hAnsi="Calibri" w:cs="Calibri"/>
          <w:b/>
          <w:bCs/>
        </w:rPr>
        <w:t xml:space="preserve"> </w:t>
      </w:r>
      <w:r w:rsidR="00BD4A9B" w:rsidRPr="00CC6DE1">
        <w:rPr>
          <w:rFonts w:ascii="Calibri" w:hAnsi="Calibri" w:cs="Calibri"/>
        </w:rPr>
        <w:t>in 2026 to</w:t>
      </w:r>
      <w:r w:rsidR="00BD4A9B" w:rsidRPr="00CC6DE1">
        <w:rPr>
          <w:rFonts w:ascii="Calibri" w:hAnsi="Calibri" w:cs="Calibri"/>
          <w:b/>
          <w:bCs/>
        </w:rPr>
        <w:t xml:space="preserve"> </w:t>
      </w:r>
      <w:r w:rsidR="00BD4A9B" w:rsidRPr="00CC6DE1">
        <w:rPr>
          <w:rStyle w:val="Strong"/>
          <w:rFonts w:ascii="Calibri" w:hAnsi="Calibri" w:cs="Calibri"/>
          <w:b w:val="0"/>
          <w:bCs w:val="0"/>
        </w:rPr>
        <w:t>USD 380 million</w:t>
      </w:r>
      <w:r w:rsidR="00BD4A9B" w:rsidRPr="00CC6DE1">
        <w:rPr>
          <w:rFonts w:ascii="Calibri" w:hAnsi="Calibri" w:cs="Calibri"/>
        </w:rPr>
        <w:t xml:space="preserve"> in 2030.</w:t>
      </w:r>
    </w:p>
    <w:p w14:paraId="024B6766" w14:textId="77777777" w:rsidR="00D62B74" w:rsidRPr="00CC6DE1" w:rsidRDefault="00D62B74" w:rsidP="00CC6DE1">
      <w:pPr>
        <w:pStyle w:val="NormalWeb"/>
        <w:spacing w:before="0" w:beforeAutospacing="0" w:after="0" w:afterAutospacing="0" w:line="360" w:lineRule="auto"/>
        <w:rPr>
          <w:rFonts w:ascii="Calibri" w:hAnsi="Calibri" w:cs="Calibri"/>
        </w:rPr>
      </w:pPr>
    </w:p>
    <w:p w14:paraId="15BD4725" w14:textId="5AC5AAFD" w:rsidR="00552CD2" w:rsidRPr="00CC6DE1" w:rsidRDefault="00552CD2" w:rsidP="00CC6DE1">
      <w:pPr>
        <w:pStyle w:val="NormalWeb"/>
        <w:spacing w:before="0" w:beforeAutospacing="0" w:after="0" w:afterAutospacing="0" w:line="360" w:lineRule="auto"/>
        <w:rPr>
          <w:rFonts w:ascii="Calibri" w:hAnsi="Calibri" w:cs="Calibri"/>
        </w:rPr>
      </w:pPr>
      <w:r w:rsidRPr="00CC6DE1">
        <w:rPr>
          <w:rFonts w:ascii="Calibri" w:hAnsi="Calibri" w:cs="Calibri"/>
        </w:rPr>
        <w:lastRenderedPageBreak/>
        <w:t>Free Cash Flow to Firm (FCFF) was calculated using the following formula:</w:t>
      </w:r>
    </w:p>
    <w:p w14:paraId="48E58152" w14:textId="77777777" w:rsidR="00025712" w:rsidRPr="00CC6DE1" w:rsidRDefault="00025712" w:rsidP="00CC6DE1">
      <w:pPr>
        <w:pStyle w:val="NormalWeb"/>
        <w:spacing w:before="0" w:beforeAutospacing="0" w:after="0" w:afterAutospacing="0" w:line="360" w:lineRule="auto"/>
        <w:rPr>
          <w:rFonts w:ascii="Calibri" w:hAnsi="Calibri" w:cs="Calibri"/>
        </w:rPr>
      </w:pPr>
    </w:p>
    <w:p w14:paraId="1B18A474" w14:textId="77792C0A" w:rsidR="00025712" w:rsidRPr="00D62B74" w:rsidRDefault="00025712" w:rsidP="00CC6DE1">
      <w:pPr>
        <w:pStyle w:val="NormalWeb"/>
        <w:spacing w:before="0" w:beforeAutospacing="0" w:after="0" w:afterAutospacing="0" w:line="360" w:lineRule="auto"/>
        <w:rPr>
          <w:rFonts w:ascii="Calibri" w:hAnsi="Calibri" w:cs="Calibri"/>
          <w:b/>
          <w:bCs/>
        </w:rPr>
      </w:pPr>
      <m:oMathPara>
        <m:oMath>
          <m:r>
            <m:rPr>
              <m:sty m:val="bi"/>
            </m:rPr>
            <w:rPr>
              <w:rFonts w:ascii="Cambria Math" w:hAnsi="Cambria Math" w:cs="Calibri"/>
            </w:rPr>
            <m:t>FCFF=NOPAT+Depreciation-CapEx-</m:t>
          </m:r>
          <m:r>
            <m:rPr>
              <m:sty m:val="b"/>
            </m:rPr>
            <w:rPr>
              <w:rFonts w:ascii="Cambria Math" w:hAnsi="Cambria Math" w:cs="Calibri"/>
            </w:rPr>
            <m:t>Δ</m:t>
          </m:r>
          <m:r>
            <m:rPr>
              <m:sty m:val="bi"/>
            </m:rPr>
            <w:rPr>
              <w:rFonts w:ascii="Cambria Math" w:hAnsi="Cambria Math" w:cs="Calibri"/>
            </w:rPr>
            <m:t>WC</m:t>
          </m:r>
        </m:oMath>
      </m:oMathPara>
    </w:p>
    <w:p w14:paraId="1F6E64CC" w14:textId="63F5DC15" w:rsidR="00BD4A9B" w:rsidRPr="00CC6DE1" w:rsidRDefault="00BD4A9B" w:rsidP="00CC6DE1">
      <w:pPr>
        <w:pStyle w:val="NormalWeb"/>
        <w:spacing w:before="0" w:beforeAutospacing="0" w:after="0" w:afterAutospacing="0" w:line="360" w:lineRule="auto"/>
        <w:rPr>
          <w:rFonts w:ascii="Calibri" w:hAnsi="Calibri" w:cs="Calibri"/>
        </w:rPr>
      </w:pPr>
      <w:r w:rsidRPr="00CC6DE1">
        <w:rPr>
          <w:rFonts w:ascii="Calibri" w:hAnsi="Calibri" w:cs="Calibri"/>
        </w:rPr>
        <w:t xml:space="preserve">As per this approach, the forecasted FCFF will increase from </w:t>
      </w:r>
      <w:r w:rsidRPr="00CC6DE1">
        <w:rPr>
          <w:rStyle w:val="Strong"/>
          <w:rFonts w:ascii="Calibri" w:hAnsi="Calibri" w:cs="Calibri"/>
          <w:b w:val="0"/>
          <w:bCs w:val="0"/>
        </w:rPr>
        <w:t xml:space="preserve">USD </w:t>
      </w:r>
      <w:r w:rsidR="003D43EB" w:rsidRPr="00CC6DE1">
        <w:rPr>
          <w:rFonts w:ascii="Calibri" w:hAnsi="Calibri" w:cs="Calibri"/>
        </w:rPr>
        <w:t>9,491</w:t>
      </w:r>
      <w:r w:rsidRPr="00CC6DE1">
        <w:rPr>
          <w:rStyle w:val="Strong"/>
          <w:rFonts w:ascii="Calibri" w:hAnsi="Calibri" w:cs="Calibri"/>
          <w:b w:val="0"/>
          <w:bCs w:val="0"/>
        </w:rPr>
        <w:t xml:space="preserve"> million in 2026</w:t>
      </w:r>
      <w:r w:rsidRPr="00CC6DE1">
        <w:rPr>
          <w:rFonts w:ascii="Calibri" w:hAnsi="Calibri" w:cs="Calibri"/>
        </w:rPr>
        <w:t xml:space="preserve"> to </w:t>
      </w:r>
      <w:r w:rsidRPr="00CC6DE1">
        <w:rPr>
          <w:rStyle w:val="Strong"/>
          <w:rFonts w:ascii="Calibri" w:hAnsi="Calibri" w:cs="Calibri"/>
          <w:b w:val="0"/>
          <w:bCs w:val="0"/>
        </w:rPr>
        <w:t xml:space="preserve">USD </w:t>
      </w:r>
      <w:r w:rsidR="003D43EB" w:rsidRPr="00CC6DE1">
        <w:rPr>
          <w:rFonts w:ascii="Calibri" w:hAnsi="Calibri" w:cs="Calibri"/>
        </w:rPr>
        <w:t>12,204</w:t>
      </w:r>
      <w:r w:rsidRPr="00CC6DE1">
        <w:rPr>
          <w:rStyle w:val="Strong"/>
          <w:rFonts w:ascii="Calibri" w:hAnsi="Calibri" w:cs="Calibri"/>
          <w:b w:val="0"/>
          <w:bCs w:val="0"/>
        </w:rPr>
        <w:t xml:space="preserve"> million in 2030</w:t>
      </w:r>
      <w:r w:rsidRPr="00CC6DE1">
        <w:rPr>
          <w:rFonts w:ascii="Calibri" w:hAnsi="Calibri" w:cs="Calibri"/>
        </w:rPr>
        <w:t>.</w:t>
      </w:r>
    </w:p>
    <w:p w14:paraId="23026593" w14:textId="1C14AB4C" w:rsidR="00944E40" w:rsidRDefault="009D12DD" w:rsidP="00CC6DE1">
      <w:pPr>
        <w:pStyle w:val="NormalWeb"/>
        <w:spacing w:before="0" w:beforeAutospacing="0" w:after="0" w:afterAutospacing="0" w:line="360" w:lineRule="auto"/>
        <w:rPr>
          <w:rStyle w:val="Strong"/>
          <w:rFonts w:ascii="Calibri" w:hAnsi="Calibri" w:cs="Calibri"/>
          <w:b w:val="0"/>
          <w:bCs w:val="0"/>
        </w:rPr>
      </w:pPr>
      <w:r w:rsidRPr="00CC6DE1">
        <w:rPr>
          <w:rFonts w:ascii="Calibri" w:hAnsi="Calibri" w:cs="Calibri"/>
        </w:rPr>
        <w:t xml:space="preserve">The forecasted cash flows were discounted to present value using a Weighted Average Cost of Capital (WACC) of </w:t>
      </w:r>
      <w:r w:rsidRPr="00CC6DE1">
        <w:rPr>
          <w:rStyle w:val="Strong"/>
          <w:rFonts w:ascii="Calibri" w:hAnsi="Calibri" w:cs="Calibri"/>
          <w:b w:val="0"/>
          <w:bCs w:val="0"/>
        </w:rPr>
        <w:t>7.5%</w:t>
      </w:r>
      <w:r w:rsidRPr="00CC6DE1">
        <w:rPr>
          <w:rFonts w:ascii="Calibri" w:hAnsi="Calibri" w:cs="Calibri"/>
        </w:rPr>
        <w:t xml:space="preserve">, and the Discount Factors ranged from </w:t>
      </w:r>
      <w:r w:rsidRPr="00CC6DE1">
        <w:rPr>
          <w:rStyle w:val="Strong"/>
          <w:rFonts w:ascii="Calibri" w:hAnsi="Calibri" w:cs="Calibri"/>
          <w:b w:val="0"/>
          <w:bCs w:val="0"/>
        </w:rPr>
        <w:t>0.930 in 2026</w:t>
      </w:r>
      <w:r w:rsidRPr="00CC6DE1">
        <w:rPr>
          <w:rFonts w:ascii="Calibri" w:hAnsi="Calibri" w:cs="Calibri"/>
          <w:b/>
          <w:bCs/>
        </w:rPr>
        <w:t xml:space="preserve"> </w:t>
      </w:r>
      <w:r w:rsidRPr="00CC6DE1">
        <w:rPr>
          <w:rFonts w:ascii="Calibri" w:hAnsi="Calibri" w:cs="Calibri"/>
        </w:rPr>
        <w:t xml:space="preserve">to </w:t>
      </w:r>
      <w:r w:rsidRPr="00CC6DE1">
        <w:rPr>
          <w:rStyle w:val="Strong"/>
          <w:rFonts w:ascii="Calibri" w:hAnsi="Calibri" w:cs="Calibri"/>
          <w:b w:val="0"/>
          <w:bCs w:val="0"/>
        </w:rPr>
        <w:t>0.697 in 2030</w:t>
      </w:r>
      <w:r w:rsidRPr="00CC6DE1">
        <w:rPr>
          <w:rFonts w:ascii="Calibri" w:hAnsi="Calibri" w:cs="Calibri"/>
        </w:rPr>
        <w:t xml:space="preserve">. This will result in approximately </w:t>
      </w:r>
      <w:r w:rsidRPr="00CC6DE1">
        <w:rPr>
          <w:rStyle w:val="Strong"/>
          <w:rFonts w:ascii="Calibri" w:hAnsi="Calibri" w:cs="Calibri"/>
          <w:b w:val="0"/>
          <w:bCs w:val="0"/>
        </w:rPr>
        <w:t xml:space="preserve">USD </w:t>
      </w:r>
      <w:r w:rsidR="006B67E4" w:rsidRPr="00CC6DE1">
        <w:rPr>
          <w:rFonts w:ascii="Calibri" w:hAnsi="Calibri" w:cs="Calibri"/>
        </w:rPr>
        <w:t xml:space="preserve">43.5 </w:t>
      </w:r>
      <w:r w:rsidRPr="00CC6DE1">
        <w:rPr>
          <w:rStyle w:val="Strong"/>
          <w:rFonts w:ascii="Calibri" w:hAnsi="Calibri" w:cs="Calibri"/>
          <w:b w:val="0"/>
          <w:bCs w:val="0"/>
        </w:rPr>
        <w:t>billion estimation for total present value of forecasted FCFF.</w:t>
      </w:r>
    </w:p>
    <w:p w14:paraId="2DC2544D" w14:textId="77777777" w:rsidR="00D62B74" w:rsidRPr="00CC6DE1" w:rsidRDefault="00D62B74" w:rsidP="00CC6DE1">
      <w:pPr>
        <w:pStyle w:val="NormalWeb"/>
        <w:spacing w:before="0" w:beforeAutospacing="0" w:after="0" w:afterAutospacing="0" w:line="360" w:lineRule="auto"/>
        <w:rPr>
          <w:rStyle w:val="Strong"/>
          <w:rFonts w:ascii="Calibri" w:hAnsi="Calibri" w:cs="Calibri"/>
        </w:rPr>
      </w:pPr>
    </w:p>
    <w:p w14:paraId="3D52CBF5" w14:textId="56715842" w:rsidR="00944E40" w:rsidRPr="00CC6DE1" w:rsidRDefault="00E059F5" w:rsidP="00CC6DE1">
      <w:pPr>
        <w:pStyle w:val="NormalWeb"/>
        <w:spacing w:before="0" w:beforeAutospacing="0" w:after="0" w:afterAutospacing="0" w:line="360" w:lineRule="auto"/>
        <w:jc w:val="center"/>
        <w:rPr>
          <w:rStyle w:val="Strong"/>
          <w:rFonts w:ascii="Calibri" w:hAnsi="Calibri" w:cs="Calibri"/>
          <w:b w:val="0"/>
          <w:bCs w:val="0"/>
        </w:rPr>
      </w:pPr>
      <w:r w:rsidRPr="00CC6DE1">
        <w:rPr>
          <w:rStyle w:val="Strong"/>
          <w:rFonts w:ascii="Calibri" w:hAnsi="Calibri" w:cs="Calibri"/>
          <w:b w:val="0"/>
          <w:bCs w:val="0"/>
          <w:noProof/>
        </w:rPr>
        <w:drawing>
          <wp:inline distT="0" distB="0" distL="0" distR="0" wp14:anchorId="475AFD8E" wp14:editId="19DFAC53">
            <wp:extent cx="4023360" cy="2412297"/>
            <wp:effectExtent l="0" t="0" r="2540" b="1270"/>
            <wp:docPr id="161436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61753" name=""/>
                    <pic:cNvPicPr/>
                  </pic:nvPicPr>
                  <pic:blipFill>
                    <a:blip r:embed="rId33"/>
                    <a:stretch>
                      <a:fillRect/>
                    </a:stretch>
                  </pic:blipFill>
                  <pic:spPr>
                    <a:xfrm>
                      <a:off x="0" y="0"/>
                      <a:ext cx="4046862" cy="2426388"/>
                    </a:xfrm>
                    <a:prstGeom prst="rect">
                      <a:avLst/>
                    </a:prstGeom>
                  </pic:spPr>
                </pic:pic>
              </a:graphicData>
            </a:graphic>
          </wp:inline>
        </w:drawing>
      </w:r>
    </w:p>
    <w:p w14:paraId="43123C3D" w14:textId="742F55E0" w:rsidR="00025712" w:rsidRDefault="000B0534" w:rsidP="00D62B74">
      <w:pPr>
        <w:pStyle w:val="NormalWeb"/>
        <w:spacing w:before="0" w:beforeAutospacing="0" w:after="0" w:afterAutospacing="0" w:line="360" w:lineRule="auto"/>
        <w:jc w:val="center"/>
        <w:rPr>
          <w:rStyle w:val="Strong"/>
          <w:rFonts w:ascii="Calibri" w:hAnsi="Calibri" w:cs="Calibri"/>
        </w:rPr>
      </w:pPr>
      <w:r w:rsidRPr="00CC6DE1">
        <w:rPr>
          <w:rStyle w:val="Strong"/>
          <w:rFonts w:ascii="Calibri" w:hAnsi="Calibri" w:cs="Calibri"/>
        </w:rPr>
        <w:t>DCF</w:t>
      </w:r>
      <w:r w:rsidR="000E7BC7" w:rsidRPr="00CC6DE1">
        <w:rPr>
          <w:rStyle w:val="Strong"/>
          <w:rFonts w:ascii="Calibri" w:hAnsi="Calibri" w:cs="Calibri"/>
        </w:rPr>
        <w:t xml:space="preserve"> Assumption</w:t>
      </w:r>
      <w:r w:rsidRPr="00CC6DE1">
        <w:rPr>
          <w:rStyle w:val="Strong"/>
          <w:rFonts w:ascii="Calibri" w:hAnsi="Calibri" w:cs="Calibri"/>
        </w:rPr>
        <w:t xml:space="preserve"> Table</w:t>
      </w:r>
    </w:p>
    <w:p w14:paraId="7ABAC6B8" w14:textId="77777777" w:rsidR="00D62B74" w:rsidRPr="00D62B74" w:rsidRDefault="00D62B74" w:rsidP="00D62B74">
      <w:pPr>
        <w:pStyle w:val="NormalWeb"/>
        <w:spacing w:before="0" w:beforeAutospacing="0" w:after="0" w:afterAutospacing="0" w:line="360" w:lineRule="auto"/>
        <w:jc w:val="center"/>
        <w:rPr>
          <w:rStyle w:val="Strong"/>
          <w:rFonts w:ascii="Calibri" w:hAnsi="Calibri" w:cs="Calibri"/>
        </w:rPr>
      </w:pPr>
    </w:p>
    <w:p w14:paraId="3902C5AC" w14:textId="7C7BF3CC" w:rsidR="009D12DD" w:rsidRPr="00CC6DE1" w:rsidRDefault="009D12DD" w:rsidP="00CC6DE1">
      <w:pPr>
        <w:pStyle w:val="NormalWeb"/>
        <w:spacing w:before="0" w:beforeAutospacing="0" w:after="0" w:afterAutospacing="0" w:line="360" w:lineRule="auto"/>
        <w:rPr>
          <w:rFonts w:ascii="Calibri" w:hAnsi="Calibri" w:cs="Calibri"/>
        </w:rPr>
      </w:pPr>
      <w:r w:rsidRPr="00CC6DE1">
        <w:rPr>
          <w:rStyle w:val="Strong"/>
          <w:rFonts w:ascii="Calibri" w:hAnsi="Calibri" w:cs="Calibri"/>
          <w:b w:val="0"/>
          <w:bCs w:val="0"/>
        </w:rPr>
        <w:t>A terminal growth rate of 2.5%</w:t>
      </w:r>
      <w:r w:rsidRPr="00CC6DE1">
        <w:rPr>
          <w:rStyle w:val="Strong"/>
          <w:rFonts w:ascii="Calibri" w:hAnsi="Calibri" w:cs="Calibri"/>
        </w:rPr>
        <w:t xml:space="preserve"> </w:t>
      </w:r>
      <w:r w:rsidRPr="00CC6DE1">
        <w:rPr>
          <w:rStyle w:val="Strong"/>
          <w:rFonts w:ascii="Calibri" w:hAnsi="Calibri" w:cs="Calibri"/>
          <w:b w:val="0"/>
          <w:bCs w:val="0"/>
        </w:rPr>
        <w:t xml:space="preserve">is applied </w:t>
      </w:r>
      <w:r w:rsidRPr="00CC6DE1">
        <w:rPr>
          <w:rFonts w:ascii="Calibri" w:hAnsi="Calibri" w:cs="Calibri"/>
        </w:rPr>
        <w:t xml:space="preserve">using the Gordon Growth Model </w:t>
      </w:r>
      <w:r w:rsidRPr="00CC6DE1">
        <w:rPr>
          <w:rStyle w:val="Strong"/>
          <w:rFonts w:ascii="Calibri" w:hAnsi="Calibri" w:cs="Calibri"/>
          <w:b w:val="0"/>
          <w:bCs w:val="0"/>
        </w:rPr>
        <w:t xml:space="preserve">to </w:t>
      </w:r>
      <w:r w:rsidRPr="00CC6DE1">
        <w:rPr>
          <w:rFonts w:ascii="Calibri" w:hAnsi="Calibri" w:cs="Calibri"/>
        </w:rPr>
        <w:t>estimate value beyond the explicit forecast period.</w:t>
      </w:r>
    </w:p>
    <w:p w14:paraId="77E7ACBF" w14:textId="77777777" w:rsidR="00D62B74" w:rsidRPr="00CC6DE1" w:rsidRDefault="00D62B74" w:rsidP="00CC6DE1">
      <w:pPr>
        <w:pStyle w:val="NormalWeb"/>
        <w:spacing w:before="0" w:beforeAutospacing="0" w:after="0" w:afterAutospacing="0" w:line="360" w:lineRule="auto"/>
        <w:rPr>
          <w:rFonts w:ascii="Calibri" w:hAnsi="Calibri" w:cs="Calibri"/>
          <w:color w:val="222222"/>
          <w:shd w:val="clear" w:color="auto" w:fill="FFFFFF"/>
        </w:rPr>
      </w:pPr>
    </w:p>
    <w:p w14:paraId="1DE52174" w14:textId="69750E41" w:rsidR="00552CD2" w:rsidRPr="00CC6DE1" w:rsidRDefault="00025712" w:rsidP="00CC6DE1">
      <w:pPr>
        <w:pStyle w:val="NormalWeb"/>
        <w:spacing w:before="0" w:beforeAutospacing="0" w:after="0" w:afterAutospacing="0" w:line="360" w:lineRule="auto"/>
        <w:rPr>
          <w:rFonts w:ascii="Calibri" w:hAnsi="Calibri" w:cs="Calibri"/>
          <w:b/>
          <w:bCs/>
        </w:rPr>
      </w:pPr>
      <m:oMathPara>
        <m:oMath>
          <m:r>
            <m:rPr>
              <m:sty m:val="bi"/>
            </m:rPr>
            <w:rPr>
              <w:rFonts w:ascii="Cambria Math" w:hAnsi="Cambria Math" w:cs="Calibri"/>
            </w:rPr>
            <m:t>TV=</m:t>
          </m:r>
          <m:f>
            <m:fPr>
              <m:ctrlPr>
                <w:rPr>
                  <w:rFonts w:ascii="Cambria Math" w:hAnsi="Cambria Math" w:cs="Calibri"/>
                  <w:b/>
                  <w:bCs/>
                </w:rPr>
              </m:ctrlPr>
            </m:fPr>
            <m:num>
              <m:r>
                <m:rPr>
                  <m:sty m:val="bi"/>
                </m:rPr>
                <w:rPr>
                  <w:rFonts w:ascii="Cambria Math" w:hAnsi="Cambria Math" w:cs="Calibri"/>
                </w:rPr>
                <m:t>FCF</m:t>
              </m:r>
              <m:sSub>
                <m:sSubPr>
                  <m:ctrlPr>
                    <w:rPr>
                      <w:rFonts w:ascii="Cambria Math" w:hAnsi="Cambria Math" w:cs="Calibri"/>
                      <w:b/>
                      <w:bCs/>
                    </w:rPr>
                  </m:ctrlPr>
                </m:sSubPr>
                <m:e>
                  <m:r>
                    <m:rPr>
                      <m:sty m:val="bi"/>
                    </m:rPr>
                    <w:rPr>
                      <w:rFonts w:ascii="Cambria Math" w:hAnsi="Cambria Math" w:cs="Calibri"/>
                    </w:rPr>
                    <m:t>F</m:t>
                  </m:r>
                </m:e>
                <m:sub>
                  <m:r>
                    <m:rPr>
                      <m:sty m:val="bi"/>
                    </m:rPr>
                    <w:rPr>
                      <w:rFonts w:ascii="Cambria Math" w:hAnsi="Cambria Math" w:cs="Calibri"/>
                    </w:rPr>
                    <m:t>2031</m:t>
                  </m:r>
                </m:sub>
              </m:sSub>
            </m:num>
            <m:den>
              <m:r>
                <m:rPr>
                  <m:sty m:val="bi"/>
                </m:rPr>
                <w:rPr>
                  <w:rFonts w:ascii="Cambria Math" w:hAnsi="Cambria Math" w:cs="Calibri"/>
                </w:rPr>
                <m:t>WACC-g</m:t>
              </m:r>
            </m:den>
          </m:f>
        </m:oMath>
      </m:oMathPara>
    </w:p>
    <w:p w14:paraId="784F169D" w14:textId="77777777" w:rsidR="0093439B" w:rsidRPr="00CC6DE1" w:rsidRDefault="0093439B" w:rsidP="00CC6DE1">
      <w:pPr>
        <w:pStyle w:val="NormalWeb"/>
        <w:spacing w:before="0" w:beforeAutospacing="0" w:after="0" w:afterAutospacing="0" w:line="360" w:lineRule="auto"/>
        <w:jc w:val="center"/>
        <w:rPr>
          <w:rFonts w:ascii="Calibri" w:hAnsi="Calibri" w:cs="Calibri"/>
        </w:rPr>
      </w:pPr>
      <w:r w:rsidRPr="00CC6DE1">
        <w:rPr>
          <w:rFonts w:ascii="Calibri" w:hAnsi="Calibri" w:cs="Calibri"/>
          <w:noProof/>
        </w:rPr>
        <w:lastRenderedPageBreak/>
        <w:drawing>
          <wp:inline distT="0" distB="0" distL="0" distR="0" wp14:anchorId="2667EA96" wp14:editId="7B9F33F0">
            <wp:extent cx="5650992" cy="3947846"/>
            <wp:effectExtent l="0" t="0" r="635" b="1905"/>
            <wp:docPr id="155462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29814" name=""/>
                    <pic:cNvPicPr/>
                  </pic:nvPicPr>
                  <pic:blipFill>
                    <a:blip r:embed="rId34"/>
                    <a:stretch>
                      <a:fillRect/>
                    </a:stretch>
                  </pic:blipFill>
                  <pic:spPr>
                    <a:xfrm>
                      <a:off x="0" y="0"/>
                      <a:ext cx="5658509" cy="3953098"/>
                    </a:xfrm>
                    <a:prstGeom prst="rect">
                      <a:avLst/>
                    </a:prstGeom>
                  </pic:spPr>
                </pic:pic>
              </a:graphicData>
            </a:graphic>
          </wp:inline>
        </w:drawing>
      </w:r>
    </w:p>
    <w:p w14:paraId="0D238311" w14:textId="0C75B229" w:rsidR="0093439B" w:rsidRPr="00CC6DE1" w:rsidRDefault="0093439B" w:rsidP="00CC6DE1">
      <w:pPr>
        <w:pStyle w:val="NormalWeb"/>
        <w:spacing w:before="0" w:beforeAutospacing="0" w:after="0" w:afterAutospacing="0" w:line="360" w:lineRule="auto"/>
        <w:jc w:val="center"/>
        <w:rPr>
          <w:rFonts w:ascii="Calibri" w:hAnsi="Calibri" w:cs="Calibri"/>
        </w:rPr>
      </w:pPr>
      <w:r w:rsidRPr="00CC6DE1">
        <w:rPr>
          <w:rFonts w:ascii="Calibri" w:hAnsi="Calibri" w:cs="Calibri"/>
          <w:b/>
          <w:bCs/>
        </w:rPr>
        <w:t>Terminal Value and Enterprise Value Bridge</w:t>
      </w:r>
    </w:p>
    <w:p w14:paraId="4160A37D" w14:textId="77777777" w:rsidR="00025712" w:rsidRPr="00CC6DE1" w:rsidRDefault="00025712" w:rsidP="00CC6DE1">
      <w:pPr>
        <w:pStyle w:val="NormalWeb"/>
        <w:spacing w:before="0" w:beforeAutospacing="0" w:after="0" w:afterAutospacing="0" w:line="360" w:lineRule="auto"/>
        <w:rPr>
          <w:rFonts w:ascii="Calibri" w:hAnsi="Calibri" w:cs="Calibri"/>
        </w:rPr>
      </w:pPr>
    </w:p>
    <w:p w14:paraId="5C57C462" w14:textId="52BCDA09" w:rsidR="003C66D8" w:rsidRPr="00CC6DE1" w:rsidRDefault="009D12DD" w:rsidP="00CC6DE1">
      <w:pPr>
        <w:pStyle w:val="NormalWeb"/>
        <w:spacing w:before="0" w:beforeAutospacing="0" w:after="0" w:afterAutospacing="0" w:line="360" w:lineRule="auto"/>
        <w:rPr>
          <w:rFonts w:ascii="Calibri" w:hAnsi="Calibri" w:cs="Calibri"/>
        </w:rPr>
      </w:pPr>
      <w:r w:rsidRPr="00CC6DE1">
        <w:rPr>
          <w:rFonts w:ascii="Calibri" w:hAnsi="Calibri" w:cs="Calibri"/>
        </w:rPr>
        <w:t xml:space="preserve">The terminal value FCFF 2031 was estimated at </w:t>
      </w:r>
      <w:r w:rsidRPr="00CC6DE1">
        <w:rPr>
          <w:rStyle w:val="Strong"/>
          <w:rFonts w:ascii="Calibri" w:hAnsi="Calibri" w:cs="Calibri"/>
          <w:b w:val="0"/>
          <w:bCs w:val="0"/>
        </w:rPr>
        <w:t xml:space="preserve">USD 10,925 million, </w:t>
      </w:r>
      <w:r w:rsidRPr="00CC6DE1">
        <w:rPr>
          <w:rFonts w:ascii="Calibri" w:hAnsi="Calibri" w:cs="Calibri"/>
        </w:rPr>
        <w:t xml:space="preserve">resulting in a terminal value of approximately </w:t>
      </w:r>
      <w:r w:rsidRPr="00CC6DE1">
        <w:rPr>
          <w:rStyle w:val="Strong"/>
          <w:rFonts w:ascii="Calibri" w:hAnsi="Calibri" w:cs="Calibri"/>
          <w:b w:val="0"/>
          <w:bCs w:val="0"/>
        </w:rPr>
        <w:t>USD 218.5 billion</w:t>
      </w:r>
      <w:r w:rsidRPr="00CC6DE1">
        <w:rPr>
          <w:rFonts w:ascii="Calibri" w:hAnsi="Calibri" w:cs="Calibri"/>
        </w:rPr>
        <w:t xml:space="preserve">. The present value of terminal value was estimated at </w:t>
      </w:r>
      <w:r w:rsidRPr="00CC6DE1">
        <w:rPr>
          <w:rStyle w:val="Strong"/>
          <w:rFonts w:ascii="Calibri" w:hAnsi="Calibri" w:cs="Calibri"/>
          <w:b w:val="0"/>
          <w:bCs w:val="0"/>
        </w:rPr>
        <w:t xml:space="preserve">USD </w:t>
      </w:r>
      <w:r w:rsidR="00F869ED" w:rsidRPr="00CC6DE1">
        <w:rPr>
          <w:rFonts w:ascii="Calibri" w:hAnsi="Calibri" w:cs="Calibri"/>
        </w:rPr>
        <w:t xml:space="preserve">174.3 </w:t>
      </w:r>
      <w:r w:rsidRPr="00CC6DE1">
        <w:rPr>
          <w:rStyle w:val="Strong"/>
          <w:rFonts w:ascii="Calibri" w:hAnsi="Calibri" w:cs="Calibri"/>
          <w:b w:val="0"/>
          <w:bCs w:val="0"/>
        </w:rPr>
        <w:t xml:space="preserve">billion, by discounting the TV to PV terms. </w:t>
      </w:r>
    </w:p>
    <w:p w14:paraId="55D4990C" w14:textId="5BDE4021" w:rsidR="0093439B" w:rsidRDefault="00552CD2" w:rsidP="00CC6DE1">
      <w:pPr>
        <w:pStyle w:val="NormalWeb"/>
        <w:spacing w:before="0" w:beforeAutospacing="0" w:after="0" w:afterAutospacing="0" w:line="360" w:lineRule="auto"/>
        <w:rPr>
          <w:rFonts w:ascii="Calibri" w:hAnsi="Calibri" w:cs="Calibri"/>
        </w:rPr>
      </w:pPr>
      <w:r w:rsidRPr="00CC6DE1">
        <w:rPr>
          <w:rFonts w:ascii="Calibri" w:hAnsi="Calibri" w:cs="Calibri"/>
        </w:rPr>
        <w:t xml:space="preserve">Finally, combining the discounted forecast cash flows and discounted terminal value resulted in an estimated enterprise value of approximately </w:t>
      </w:r>
      <w:r w:rsidRPr="00CC6DE1">
        <w:rPr>
          <w:rStyle w:val="Strong"/>
          <w:rFonts w:ascii="Calibri" w:hAnsi="Calibri" w:cs="Calibri"/>
          <w:b w:val="0"/>
          <w:bCs w:val="0"/>
        </w:rPr>
        <w:t xml:space="preserve">USD </w:t>
      </w:r>
      <w:r w:rsidR="004D79CA" w:rsidRPr="00CC6DE1">
        <w:rPr>
          <w:rStyle w:val="Strong"/>
          <w:rFonts w:ascii="Calibri" w:hAnsi="Calibri" w:cs="Calibri"/>
          <w:b w:val="0"/>
          <w:bCs w:val="0"/>
        </w:rPr>
        <w:t>217.8</w:t>
      </w:r>
      <w:r w:rsidRPr="00CC6DE1">
        <w:rPr>
          <w:rStyle w:val="Strong"/>
          <w:rFonts w:ascii="Calibri" w:hAnsi="Calibri" w:cs="Calibri"/>
          <w:b w:val="0"/>
          <w:bCs w:val="0"/>
        </w:rPr>
        <w:t xml:space="preserve"> billion</w:t>
      </w:r>
      <w:r w:rsidRPr="00CC6DE1">
        <w:rPr>
          <w:rFonts w:ascii="Calibri" w:hAnsi="Calibri" w:cs="Calibri"/>
        </w:rPr>
        <w:t xml:space="preserve"> for Rio Tinto.</w:t>
      </w:r>
      <w:r w:rsidR="00203202" w:rsidRPr="00CC6DE1">
        <w:rPr>
          <w:rFonts w:ascii="Calibri" w:hAnsi="Calibri" w:cs="Calibri"/>
        </w:rPr>
        <w:t xml:space="preserve"> After deducting FY2025 net debt of USD 14.4 billion, the resulting equity value was estimated at USD 203.4 billion, equivalent to an intrinsic value of USD 125.32 per share.</w:t>
      </w:r>
    </w:p>
    <w:p w14:paraId="38718133" w14:textId="77777777" w:rsidR="00D62B74" w:rsidRDefault="00D62B74" w:rsidP="00CC6DE1">
      <w:pPr>
        <w:pStyle w:val="NormalWeb"/>
        <w:spacing w:before="0" w:beforeAutospacing="0" w:after="0" w:afterAutospacing="0" w:line="360" w:lineRule="auto"/>
        <w:rPr>
          <w:rFonts w:ascii="Calibri" w:hAnsi="Calibri" w:cs="Calibri"/>
        </w:rPr>
      </w:pPr>
    </w:p>
    <w:p w14:paraId="44B1C90C" w14:textId="77777777" w:rsidR="00D62B74" w:rsidRDefault="00D62B74" w:rsidP="00CC6DE1">
      <w:pPr>
        <w:pStyle w:val="Heading1"/>
        <w:spacing w:before="0" w:after="0" w:line="360" w:lineRule="auto"/>
        <w:rPr>
          <w:rFonts w:ascii="Calibri" w:eastAsia="Arial" w:hAnsi="Calibri" w:cs="Calibri"/>
          <w:b/>
          <w:bCs/>
          <w:color w:val="1F4E79"/>
          <w:sz w:val="28"/>
          <w:szCs w:val="28"/>
        </w:rPr>
      </w:pPr>
    </w:p>
    <w:p w14:paraId="10AE0651" w14:textId="77777777" w:rsidR="00D62B74" w:rsidRDefault="00D62B74" w:rsidP="00D62B74"/>
    <w:p w14:paraId="326E280B" w14:textId="77777777" w:rsidR="00D62B74" w:rsidRPr="00D62B74" w:rsidRDefault="00D62B74" w:rsidP="00D62B74"/>
    <w:p w14:paraId="7325F1AE" w14:textId="584E08BB" w:rsidR="00AC125E" w:rsidRPr="00D62B74" w:rsidRDefault="00AC125E" w:rsidP="00CC6DE1">
      <w:pPr>
        <w:pStyle w:val="Heading1"/>
        <w:spacing w:before="0" w:after="0" w:line="360" w:lineRule="auto"/>
        <w:rPr>
          <w:rFonts w:ascii="Calibri" w:hAnsi="Calibri" w:cs="Calibri"/>
          <w:sz w:val="28"/>
          <w:szCs w:val="28"/>
        </w:rPr>
      </w:pPr>
      <w:bookmarkStart w:id="7" w:name="_Toc231593020"/>
      <w:r w:rsidRPr="00D62B74">
        <w:rPr>
          <w:rFonts w:ascii="Calibri" w:eastAsia="Arial" w:hAnsi="Calibri" w:cs="Calibri"/>
          <w:b/>
          <w:bCs/>
          <w:color w:val="1F4E79"/>
          <w:sz w:val="28"/>
          <w:szCs w:val="28"/>
        </w:rPr>
        <w:lastRenderedPageBreak/>
        <w:t>5</w:t>
      </w:r>
      <w:r w:rsidR="00D62B74" w:rsidRPr="00D62B74">
        <w:rPr>
          <w:rFonts w:ascii="Calibri" w:eastAsia="Arial" w:hAnsi="Calibri" w:cs="Calibri"/>
          <w:b/>
          <w:bCs/>
          <w:color w:val="1F4E79"/>
          <w:sz w:val="28"/>
          <w:szCs w:val="28"/>
        </w:rPr>
        <w:t xml:space="preserve">. </w:t>
      </w:r>
      <w:r w:rsidRPr="00D62B74">
        <w:rPr>
          <w:rFonts w:ascii="Calibri" w:eastAsia="Arial" w:hAnsi="Calibri" w:cs="Calibri"/>
          <w:b/>
          <w:bCs/>
          <w:color w:val="1F4E79"/>
          <w:sz w:val="28"/>
          <w:szCs w:val="28"/>
        </w:rPr>
        <w:t>Investment Scenario Analysis</w:t>
      </w:r>
      <w:bookmarkEnd w:id="7"/>
    </w:p>
    <w:p w14:paraId="4AE43A67" w14:textId="021065F5" w:rsidR="00D62B74" w:rsidRPr="00354F5D" w:rsidRDefault="00AC125E" w:rsidP="00354F5D">
      <w:pPr>
        <w:pStyle w:val="Heading2"/>
        <w:spacing w:before="0" w:line="360" w:lineRule="auto"/>
        <w:rPr>
          <w:rFonts w:ascii="Calibri" w:eastAsia="Arial" w:hAnsi="Calibri" w:cs="Calibri"/>
          <w:b/>
          <w:bCs/>
          <w:color w:val="2E74B5"/>
          <w:sz w:val="28"/>
          <w:szCs w:val="28"/>
        </w:rPr>
      </w:pPr>
      <w:bookmarkStart w:id="8" w:name="_Toc231593021"/>
      <w:r w:rsidRPr="00D62B74">
        <w:rPr>
          <w:rFonts w:ascii="Calibri" w:eastAsia="Arial" w:hAnsi="Calibri" w:cs="Calibri"/>
          <w:b/>
          <w:bCs/>
          <w:color w:val="2E74B5"/>
          <w:sz w:val="28"/>
          <w:szCs w:val="28"/>
        </w:rPr>
        <w:t>5.1 Valuation vs Current Share Price</w:t>
      </w:r>
      <w:bookmarkEnd w:id="8"/>
    </w:p>
    <w:p w14:paraId="59609AE6" w14:textId="1024FEA1" w:rsidR="002C0B26" w:rsidRDefault="00AC125E" w:rsidP="00CC6DE1">
      <w:pPr>
        <w:spacing w:after="0" w:line="360" w:lineRule="auto"/>
        <w:rPr>
          <w:rFonts w:ascii="Calibri" w:hAnsi="Calibri" w:cs="Calibri"/>
        </w:rPr>
      </w:pPr>
      <w:r w:rsidRPr="00CC6DE1">
        <w:rPr>
          <w:rFonts w:ascii="Calibri" w:hAnsi="Calibri" w:cs="Calibri"/>
        </w:rPr>
        <w:t>The DCF approach values Rio Tinto at USD $217.8 billion, when the forecast free cashflow is USD $9.5 billion in FY2026 and rises to USD $12.2 billion by FY2030 with WACC of 7.5% and the terminal growth rate of 2.5%. The current market price of ASX is USD$115.96 per share as of 2026 (Investing.com 2026). At current levels, there is modest undervalues market opportunity to buy Rio Tinto stock with an intrinsic value of AUD $194.30 per share</w:t>
      </w:r>
      <w:r w:rsidR="0079395A" w:rsidRPr="00CC6DE1">
        <w:rPr>
          <w:rFonts w:ascii="Calibri" w:hAnsi="Calibri" w:cs="Calibri"/>
        </w:rPr>
        <w:t xml:space="preserve"> compared to the current market price of AUD $179.79 per share</w:t>
      </w:r>
      <w:r w:rsidRPr="00CC6DE1">
        <w:rPr>
          <w:rFonts w:ascii="Calibri" w:hAnsi="Calibri" w:cs="Calibri"/>
        </w:rPr>
        <w:t xml:space="preserve"> providing an</w:t>
      </w:r>
      <w:r w:rsidR="0079395A" w:rsidRPr="00CC6DE1">
        <w:rPr>
          <w:rFonts w:ascii="Calibri" w:hAnsi="Calibri" w:cs="Calibri"/>
        </w:rPr>
        <w:t xml:space="preserve"> </w:t>
      </w:r>
      <w:r w:rsidR="00C67057" w:rsidRPr="00CC6DE1">
        <w:rPr>
          <w:rFonts w:ascii="Calibri" w:hAnsi="Calibri" w:cs="Calibri"/>
        </w:rPr>
        <w:t>upside potential of approximately 8.1%.</w:t>
      </w:r>
    </w:p>
    <w:p w14:paraId="4569A978" w14:textId="77777777" w:rsidR="00D62B74" w:rsidRPr="00CC6DE1" w:rsidRDefault="00D62B74" w:rsidP="00CC6DE1">
      <w:pPr>
        <w:spacing w:after="0" w:line="360" w:lineRule="auto"/>
        <w:rPr>
          <w:rFonts w:ascii="Calibri" w:hAnsi="Calibri" w:cs="Calibri"/>
        </w:rPr>
      </w:pPr>
    </w:p>
    <w:p w14:paraId="23197572" w14:textId="4A2423A6" w:rsidR="00D62B74" w:rsidRPr="00354F5D" w:rsidRDefault="00AC125E" w:rsidP="00354F5D">
      <w:pPr>
        <w:pStyle w:val="Heading2"/>
        <w:spacing w:before="0" w:line="360" w:lineRule="auto"/>
        <w:rPr>
          <w:rFonts w:ascii="Calibri" w:eastAsia="Arial" w:hAnsi="Calibri" w:cs="Calibri"/>
          <w:b/>
          <w:bCs/>
          <w:color w:val="2E74B5"/>
          <w:sz w:val="28"/>
          <w:szCs w:val="28"/>
        </w:rPr>
      </w:pPr>
      <w:bookmarkStart w:id="9" w:name="_Toc231593022"/>
      <w:r w:rsidRPr="00D62B74">
        <w:rPr>
          <w:rFonts w:ascii="Calibri" w:eastAsia="Arial" w:hAnsi="Calibri" w:cs="Calibri"/>
          <w:b/>
          <w:bCs/>
          <w:color w:val="2E74B5"/>
          <w:sz w:val="28"/>
          <w:szCs w:val="28"/>
        </w:rPr>
        <w:t>5.2 Recommendation</w:t>
      </w:r>
      <w:bookmarkEnd w:id="9"/>
    </w:p>
    <w:p w14:paraId="68934078" w14:textId="46387AEA" w:rsidR="00C67057" w:rsidRDefault="00AC125E" w:rsidP="00CC6DE1">
      <w:pPr>
        <w:spacing w:after="0" w:line="360" w:lineRule="auto"/>
        <w:rPr>
          <w:rFonts w:ascii="Calibri" w:hAnsi="Calibri" w:cs="Calibri"/>
        </w:rPr>
      </w:pPr>
      <w:r w:rsidRPr="00CC6DE1">
        <w:rPr>
          <w:rFonts w:ascii="Calibri" w:hAnsi="Calibri" w:cs="Calibri"/>
        </w:rPr>
        <w:t xml:space="preserve">The valuation does not provide a clear indication whether to buy or sell at current levels, although the margin of safety appears thin, it does however indicate that there is considerable intrinsic value embedded within the business as the EBITDA of USD $7.9 billion in FY2025 is expected to gradually increase as </w:t>
      </w:r>
      <w:proofErr w:type="spellStart"/>
      <w:r w:rsidRPr="00CC6DE1">
        <w:rPr>
          <w:rFonts w:ascii="Calibri" w:hAnsi="Calibri" w:cs="Calibri"/>
        </w:rPr>
        <w:t>CapEx</w:t>
      </w:r>
      <w:proofErr w:type="spellEnd"/>
      <w:r w:rsidRPr="00CC6DE1">
        <w:rPr>
          <w:rFonts w:ascii="Calibri" w:hAnsi="Calibri" w:cs="Calibri"/>
        </w:rPr>
        <w:t xml:space="preserve"> returns back to normal levels from FY2027 and the growth projects at </w:t>
      </w:r>
      <w:proofErr w:type="spellStart"/>
      <w:r w:rsidRPr="00CC6DE1">
        <w:rPr>
          <w:rFonts w:ascii="Calibri" w:hAnsi="Calibri" w:cs="Calibri"/>
        </w:rPr>
        <w:t>Oyu</w:t>
      </w:r>
      <w:proofErr w:type="spellEnd"/>
      <w:r w:rsidRPr="00CC6DE1">
        <w:rPr>
          <w:rFonts w:ascii="Calibri" w:hAnsi="Calibri" w:cs="Calibri"/>
        </w:rPr>
        <w:t xml:space="preserve"> Tolgoi and </w:t>
      </w:r>
      <w:proofErr w:type="spellStart"/>
      <w:r w:rsidRPr="00CC6DE1">
        <w:rPr>
          <w:rFonts w:ascii="Calibri" w:hAnsi="Calibri" w:cs="Calibri"/>
        </w:rPr>
        <w:t>Simandou</w:t>
      </w:r>
      <w:proofErr w:type="spellEnd"/>
      <w:r w:rsidRPr="00CC6DE1">
        <w:rPr>
          <w:rFonts w:ascii="Calibri" w:hAnsi="Calibri" w:cs="Calibri"/>
        </w:rPr>
        <w:t xml:space="preserve"> play out to schedule, underpinning the FCF forecast recovery from the lows in FY2025 of USD $4.0 billion. In terms of valuation, the stock fairly valued to slightly undervalued and hence, </w:t>
      </w:r>
      <w:r w:rsidR="00C67057" w:rsidRPr="00CC6DE1">
        <w:rPr>
          <w:rFonts w:ascii="Calibri" w:hAnsi="Calibri" w:cs="Calibri"/>
        </w:rPr>
        <w:t xml:space="preserve">based on the DCF model, Rio Tinto appears reasonably undervalued with an estimated upside potential of approximately 8.1%. Even though there is no substantial safety, the company appears to be strong on its balance sheet with a diversified commodity portfolio and futuristics growth projects. This clearly suggests a </w:t>
      </w:r>
      <w:r w:rsidR="00C67057" w:rsidRPr="00CC6DE1">
        <w:rPr>
          <w:rFonts w:ascii="Calibri" w:hAnsi="Calibri" w:cs="Calibri"/>
          <w:b/>
          <w:bCs/>
        </w:rPr>
        <w:t>BUY</w:t>
      </w:r>
      <w:r w:rsidR="00C67057" w:rsidRPr="00CC6DE1">
        <w:rPr>
          <w:rFonts w:ascii="Calibri" w:hAnsi="Calibri" w:cs="Calibri"/>
        </w:rPr>
        <w:t xml:space="preserve"> recommendation for investors with medium to long term investment plans. </w:t>
      </w:r>
    </w:p>
    <w:p w14:paraId="1A496C57" w14:textId="77777777" w:rsidR="00D62B74" w:rsidRPr="00CC6DE1" w:rsidRDefault="00D62B74" w:rsidP="00CC6DE1">
      <w:pPr>
        <w:spacing w:after="0" w:line="360" w:lineRule="auto"/>
        <w:rPr>
          <w:rFonts w:ascii="Calibri" w:hAnsi="Calibri" w:cs="Calibri"/>
        </w:rPr>
      </w:pPr>
    </w:p>
    <w:p w14:paraId="353AA560" w14:textId="67786142" w:rsidR="00D62B74" w:rsidRPr="00354F5D" w:rsidRDefault="00AC125E" w:rsidP="00354F5D">
      <w:pPr>
        <w:pStyle w:val="Heading2"/>
        <w:spacing w:before="0" w:line="360" w:lineRule="auto"/>
        <w:rPr>
          <w:rFonts w:ascii="Calibri" w:eastAsia="Arial" w:hAnsi="Calibri" w:cs="Calibri"/>
          <w:b/>
          <w:bCs/>
          <w:color w:val="2E74B5"/>
          <w:sz w:val="28"/>
          <w:szCs w:val="28"/>
        </w:rPr>
      </w:pPr>
      <w:bookmarkStart w:id="10" w:name="_Toc231593023"/>
      <w:r w:rsidRPr="00D62B74">
        <w:rPr>
          <w:rFonts w:ascii="Calibri" w:eastAsia="Arial" w:hAnsi="Calibri" w:cs="Calibri"/>
          <w:b/>
          <w:bCs/>
          <w:color w:val="2E74B5"/>
          <w:sz w:val="28"/>
          <w:szCs w:val="28"/>
        </w:rPr>
        <w:t>5.3 Security Manager Analysis</w:t>
      </w:r>
      <w:bookmarkEnd w:id="10"/>
    </w:p>
    <w:p w14:paraId="0DD4B449" w14:textId="741D3101" w:rsidR="00AC125E" w:rsidRPr="00CC6DE1" w:rsidRDefault="00AC125E" w:rsidP="00CC6DE1">
      <w:pPr>
        <w:spacing w:after="0" w:line="360" w:lineRule="auto"/>
        <w:rPr>
          <w:rFonts w:ascii="Calibri" w:hAnsi="Calibri" w:cs="Calibri"/>
        </w:rPr>
      </w:pPr>
      <w:r w:rsidRPr="00CC6DE1">
        <w:rPr>
          <w:rFonts w:ascii="Calibri" w:hAnsi="Calibri" w:cs="Calibri"/>
        </w:rPr>
        <w:t xml:space="preserve">There is no doubt that Rio Tinto’s core business is in good shape. The single-A credit rating, the operating cash flow of USD $16.8 billion in FY2025 and net debt/EBIDTA of 0.5x is a sign of robust balance sheet. Following through, with a strategy of diversifying its portfolio into copper, aluminium and lithium trading the revenue rebound of 7.4% to USD $57.6 billion for FY2025 has unequivocal data showing that it is working despite the persistent iron ore price pressure. </w:t>
      </w:r>
      <w:proofErr w:type="spellStart"/>
      <w:r w:rsidRPr="00CC6DE1">
        <w:rPr>
          <w:rFonts w:ascii="Calibri" w:hAnsi="Calibri" w:cs="Calibri"/>
        </w:rPr>
        <w:t>Oyu</w:t>
      </w:r>
      <w:proofErr w:type="spellEnd"/>
      <w:r w:rsidRPr="00CC6DE1">
        <w:rPr>
          <w:rFonts w:ascii="Calibri" w:hAnsi="Calibri" w:cs="Calibri"/>
        </w:rPr>
        <w:t xml:space="preserve"> Tolgoi ramp up has helped Copper segment grow its EBITDA by 114% for FY2025 (as part of the </w:t>
      </w:r>
      <w:r w:rsidRPr="00CC6DE1">
        <w:rPr>
          <w:rFonts w:ascii="Calibri" w:hAnsi="Calibri" w:cs="Calibri"/>
        </w:rPr>
        <w:lastRenderedPageBreak/>
        <w:t xml:space="preserve">group), bring the Iron Ore segment EBITDA down from ~73% for FY2021 to ~55% for FY2025. To the upside for the client is </w:t>
      </w:r>
      <w:proofErr w:type="spellStart"/>
      <w:r w:rsidRPr="00CC6DE1">
        <w:rPr>
          <w:rFonts w:ascii="Calibri" w:hAnsi="Calibri" w:cs="Calibri"/>
        </w:rPr>
        <w:t>CapEx</w:t>
      </w:r>
      <w:proofErr w:type="spellEnd"/>
      <w:r w:rsidRPr="00CC6DE1">
        <w:rPr>
          <w:rFonts w:ascii="Calibri" w:hAnsi="Calibri" w:cs="Calibri"/>
        </w:rPr>
        <w:t xml:space="preserve"> </w:t>
      </w:r>
      <w:proofErr w:type="spellStart"/>
      <w:r w:rsidRPr="00CC6DE1">
        <w:rPr>
          <w:rFonts w:ascii="Calibri" w:hAnsi="Calibri" w:cs="Calibri"/>
        </w:rPr>
        <w:t>normalisation</w:t>
      </w:r>
      <w:proofErr w:type="spellEnd"/>
      <w:r w:rsidRPr="00CC6DE1">
        <w:rPr>
          <w:rFonts w:ascii="Calibri" w:hAnsi="Calibri" w:cs="Calibri"/>
        </w:rPr>
        <w:t xml:space="preserve"> in FY 2027, </w:t>
      </w:r>
      <w:proofErr w:type="spellStart"/>
      <w:r w:rsidRPr="00CC6DE1">
        <w:rPr>
          <w:rFonts w:ascii="Calibri" w:hAnsi="Calibri" w:cs="Calibri"/>
        </w:rPr>
        <w:t>Simandou</w:t>
      </w:r>
      <w:proofErr w:type="spellEnd"/>
      <w:r w:rsidRPr="00CC6DE1">
        <w:rPr>
          <w:rFonts w:ascii="Calibri" w:hAnsi="Calibri" w:cs="Calibri"/>
        </w:rPr>
        <w:t xml:space="preserve"> and </w:t>
      </w:r>
      <w:proofErr w:type="spellStart"/>
      <w:r w:rsidRPr="00CC6DE1">
        <w:rPr>
          <w:rFonts w:ascii="Calibri" w:hAnsi="Calibri" w:cs="Calibri"/>
        </w:rPr>
        <w:t>Oyu</w:t>
      </w:r>
      <w:proofErr w:type="spellEnd"/>
      <w:r w:rsidRPr="00CC6DE1">
        <w:rPr>
          <w:rFonts w:ascii="Calibri" w:hAnsi="Calibri" w:cs="Calibri"/>
        </w:rPr>
        <w:t xml:space="preserve"> Tolgoi operating at full capacity, Lithium price recovery and fully franked dividends around USD $3.46 per share. The main downside risk would be a continued pull back in the iron ore price due to a slowdown in the Chinese property market which would pull down the valuation to bear case of USD $47.24</w:t>
      </w:r>
      <w:r w:rsidR="00C67057" w:rsidRPr="00CC6DE1">
        <w:rPr>
          <w:rFonts w:ascii="Calibri" w:hAnsi="Calibri" w:cs="Calibri"/>
        </w:rPr>
        <w:t>.</w:t>
      </w:r>
    </w:p>
    <w:p w14:paraId="633BA10C" w14:textId="3EFC103D" w:rsidR="00AC125E" w:rsidRPr="00CC6DE1" w:rsidRDefault="00E059F5" w:rsidP="00CC6DE1">
      <w:pPr>
        <w:spacing w:after="0" w:line="360" w:lineRule="auto"/>
        <w:rPr>
          <w:rFonts w:ascii="Calibri" w:hAnsi="Calibri" w:cs="Calibri"/>
        </w:rPr>
      </w:pPr>
      <w:r w:rsidRPr="00CC6DE1">
        <w:rPr>
          <w:rFonts w:ascii="Calibri" w:hAnsi="Calibri" w:cs="Calibri"/>
          <w:noProof/>
        </w:rPr>
        <w:drawing>
          <wp:inline distT="0" distB="0" distL="0" distR="0" wp14:anchorId="6707DA36" wp14:editId="2D30D238">
            <wp:extent cx="5843016" cy="2797281"/>
            <wp:effectExtent l="0" t="0" r="0" b="0"/>
            <wp:docPr id="123976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69630" name=""/>
                    <pic:cNvPicPr/>
                  </pic:nvPicPr>
                  <pic:blipFill>
                    <a:blip r:embed="rId35"/>
                    <a:stretch>
                      <a:fillRect/>
                    </a:stretch>
                  </pic:blipFill>
                  <pic:spPr>
                    <a:xfrm>
                      <a:off x="0" y="0"/>
                      <a:ext cx="5849871" cy="2800563"/>
                    </a:xfrm>
                    <a:prstGeom prst="rect">
                      <a:avLst/>
                    </a:prstGeom>
                  </pic:spPr>
                </pic:pic>
              </a:graphicData>
            </a:graphic>
          </wp:inline>
        </w:drawing>
      </w:r>
    </w:p>
    <w:p w14:paraId="0F9166FD" w14:textId="63DCE7D4" w:rsidR="0083247A" w:rsidRPr="00CC6DE1" w:rsidRDefault="00AC125E" w:rsidP="00CC6DE1">
      <w:pPr>
        <w:spacing w:after="0" w:line="360" w:lineRule="auto"/>
        <w:jc w:val="center"/>
        <w:rPr>
          <w:rFonts w:ascii="Calibri" w:hAnsi="Calibri" w:cs="Calibri"/>
          <w:lang w:val="en-IN"/>
        </w:rPr>
      </w:pPr>
      <w:r w:rsidRPr="00CC6DE1">
        <w:rPr>
          <w:rFonts w:ascii="Calibri" w:hAnsi="Calibri" w:cs="Calibri"/>
          <w:lang w:val="en-IN"/>
        </w:rPr>
        <w:t>Table 5: Scenario analysis and Recommendation</w:t>
      </w:r>
    </w:p>
    <w:p w14:paraId="2C5168DB" w14:textId="77777777" w:rsidR="00203202" w:rsidRPr="00CC6DE1" w:rsidRDefault="00203202" w:rsidP="00CC6DE1">
      <w:pPr>
        <w:spacing w:after="0" w:line="360" w:lineRule="auto"/>
        <w:rPr>
          <w:rFonts w:ascii="Calibri" w:hAnsi="Calibri" w:cs="Calibri"/>
          <w:lang w:val="en-IN"/>
        </w:rPr>
      </w:pPr>
    </w:p>
    <w:p w14:paraId="3D60BD67" w14:textId="7FD031FB" w:rsidR="00203202" w:rsidRPr="00CC6DE1" w:rsidRDefault="00203202" w:rsidP="00CC6DE1">
      <w:pPr>
        <w:spacing w:after="0" w:line="360" w:lineRule="auto"/>
        <w:rPr>
          <w:rFonts w:ascii="Calibri" w:hAnsi="Calibri" w:cs="Calibri"/>
          <w:lang w:val="en-IN"/>
        </w:rPr>
      </w:pPr>
      <w:r w:rsidRPr="00CC6DE1">
        <w:rPr>
          <w:rFonts w:ascii="Calibri" w:hAnsi="Calibri" w:cs="Calibri"/>
          <w:lang w:val="en-IN"/>
        </w:rPr>
        <w:t>Overall, the analysis strongly recommends to BUY despite the market volatility as Rio Tinto has a very strong balance sheet with a diverse commodity portfolio.</w:t>
      </w:r>
    </w:p>
    <w:p w14:paraId="058539E3" w14:textId="77777777" w:rsidR="00D62B74" w:rsidRDefault="00D62B74" w:rsidP="00CC6DE1">
      <w:pPr>
        <w:pStyle w:val="Heading1"/>
        <w:spacing w:before="0" w:after="0" w:line="360" w:lineRule="auto"/>
        <w:jc w:val="both"/>
        <w:rPr>
          <w:rFonts w:ascii="Calibri" w:eastAsia="Arial" w:hAnsi="Calibri" w:cs="Calibri"/>
          <w:b/>
          <w:bCs/>
          <w:color w:val="1F4E79"/>
          <w:sz w:val="24"/>
          <w:szCs w:val="24"/>
          <w:lang w:val="en-IN"/>
        </w:rPr>
      </w:pPr>
    </w:p>
    <w:p w14:paraId="013E4C50" w14:textId="77777777" w:rsidR="00D62B74" w:rsidRDefault="00D62B74" w:rsidP="00CC6DE1">
      <w:pPr>
        <w:pStyle w:val="Heading1"/>
        <w:spacing w:before="0" w:after="0" w:line="360" w:lineRule="auto"/>
        <w:jc w:val="both"/>
        <w:rPr>
          <w:rFonts w:ascii="Calibri" w:eastAsia="Arial" w:hAnsi="Calibri" w:cs="Calibri"/>
          <w:b/>
          <w:bCs/>
          <w:color w:val="1F4E79"/>
          <w:sz w:val="24"/>
          <w:szCs w:val="24"/>
          <w:lang w:val="en-IN"/>
        </w:rPr>
      </w:pPr>
    </w:p>
    <w:p w14:paraId="25A901E1" w14:textId="77777777" w:rsidR="00D62B74" w:rsidRDefault="00D62B74" w:rsidP="00CC6DE1">
      <w:pPr>
        <w:pStyle w:val="Heading1"/>
        <w:spacing w:before="0" w:after="0" w:line="360" w:lineRule="auto"/>
        <w:jc w:val="both"/>
        <w:rPr>
          <w:rFonts w:ascii="Calibri" w:eastAsia="Arial" w:hAnsi="Calibri" w:cs="Calibri"/>
          <w:b/>
          <w:bCs/>
          <w:color w:val="1F4E79"/>
          <w:sz w:val="24"/>
          <w:szCs w:val="24"/>
          <w:lang w:val="en-IN"/>
        </w:rPr>
      </w:pPr>
    </w:p>
    <w:p w14:paraId="53AB7B66" w14:textId="77777777" w:rsidR="00354F5D" w:rsidRDefault="00354F5D" w:rsidP="00354F5D">
      <w:pPr>
        <w:rPr>
          <w:lang w:val="en-IN"/>
        </w:rPr>
      </w:pPr>
    </w:p>
    <w:p w14:paraId="35A064EE" w14:textId="77777777" w:rsidR="00354F5D" w:rsidRDefault="00354F5D" w:rsidP="00354F5D">
      <w:pPr>
        <w:rPr>
          <w:lang w:val="en-IN"/>
        </w:rPr>
      </w:pPr>
    </w:p>
    <w:p w14:paraId="4C304064" w14:textId="77777777" w:rsidR="00354F5D" w:rsidRPr="00354F5D" w:rsidRDefault="00354F5D" w:rsidP="00354F5D">
      <w:pPr>
        <w:rPr>
          <w:lang w:val="en-IN"/>
        </w:rPr>
      </w:pPr>
    </w:p>
    <w:p w14:paraId="10FD8140" w14:textId="77777777" w:rsidR="00D62B74" w:rsidRPr="00D62B74" w:rsidRDefault="00D62B74" w:rsidP="00D62B74">
      <w:pPr>
        <w:rPr>
          <w:lang w:val="en-IN"/>
        </w:rPr>
      </w:pPr>
    </w:p>
    <w:p w14:paraId="79AF180D" w14:textId="72231C29" w:rsidR="00D62B74" w:rsidRPr="00354F5D" w:rsidRDefault="2AD4D2EC" w:rsidP="00354F5D">
      <w:pPr>
        <w:pStyle w:val="Heading1"/>
        <w:spacing w:before="0" w:after="0" w:line="360" w:lineRule="auto"/>
        <w:jc w:val="both"/>
        <w:rPr>
          <w:rFonts w:ascii="Calibri" w:eastAsia="Arial" w:hAnsi="Calibri" w:cs="Calibri"/>
          <w:b/>
          <w:bCs/>
          <w:color w:val="1F4E79"/>
          <w:sz w:val="28"/>
          <w:szCs w:val="28"/>
          <w:lang w:val="en-IN"/>
        </w:rPr>
      </w:pPr>
      <w:bookmarkStart w:id="11" w:name="_Toc231593024"/>
      <w:r w:rsidRPr="00D62B74">
        <w:rPr>
          <w:rFonts w:ascii="Calibri" w:eastAsia="Arial" w:hAnsi="Calibri" w:cs="Calibri"/>
          <w:b/>
          <w:bCs/>
          <w:color w:val="1F4E79"/>
          <w:sz w:val="28"/>
          <w:szCs w:val="28"/>
          <w:lang w:val="en-IN"/>
        </w:rPr>
        <w:lastRenderedPageBreak/>
        <w:t>References</w:t>
      </w:r>
      <w:bookmarkEnd w:id="11"/>
    </w:p>
    <w:p w14:paraId="249812CC" w14:textId="77777777"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BHP Group 2024, Financial results for the year ended 30 June 2024, BHP Group Limited, Melbourne, viewed 22 May 2026, </w:t>
      </w:r>
      <w:hyperlink r:id="rId36" w:history="1">
        <w:r w:rsidRPr="00CC6DE1">
          <w:rPr>
            <w:rFonts w:ascii="Calibri" w:eastAsia="Times New Roman" w:hAnsi="Calibri" w:cs="Calibri"/>
            <w:color w:val="000000" w:themeColor="text1"/>
            <w:lang w:val="en-AU" w:eastAsia="en-GB"/>
          </w:rPr>
          <w:t>https://www.bhp.com/-/media/documents/media/reports-and-presentations/2024/240827_bhpresultsfortheyearended30june2024.pdf</w:t>
        </w:r>
      </w:hyperlink>
      <w:r w:rsidRPr="00CC6DE1">
        <w:rPr>
          <w:rFonts w:ascii="Calibri" w:eastAsia="Times New Roman" w:hAnsi="Calibri" w:cs="Calibri"/>
          <w:color w:val="000000" w:themeColor="text1"/>
          <w:lang w:val="en-AU" w:eastAsia="en-GB"/>
        </w:rPr>
        <w:t>.</w:t>
      </w:r>
    </w:p>
    <w:p w14:paraId="3B2CA94F" w14:textId="77777777" w:rsidR="00025712" w:rsidRPr="00CC6DE1" w:rsidRDefault="00025712" w:rsidP="00CC6DE1">
      <w:pPr>
        <w:pStyle w:val="ListParagraph"/>
        <w:spacing w:after="0" w:line="240" w:lineRule="auto"/>
        <w:rPr>
          <w:rFonts w:ascii="Calibri" w:eastAsia="Times New Roman" w:hAnsi="Calibri" w:cs="Calibri"/>
          <w:color w:val="000000" w:themeColor="text1"/>
          <w:lang w:val="en-AU" w:eastAsia="en-GB"/>
        </w:rPr>
      </w:pPr>
    </w:p>
    <w:p w14:paraId="7915D9D9" w14:textId="77777777"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Fortescue Group 2024, FY2024 full year results presentation, Fortescue Metals Group, Perth, viewed 22 May 2026, </w:t>
      </w:r>
      <w:hyperlink r:id="rId37" w:history="1">
        <w:r w:rsidRPr="00CC6DE1">
          <w:rPr>
            <w:rFonts w:ascii="Calibri" w:eastAsia="Times New Roman" w:hAnsi="Calibri" w:cs="Calibri"/>
            <w:color w:val="000000" w:themeColor="text1"/>
            <w:lang w:val="en-AU" w:eastAsia="en-GB"/>
          </w:rPr>
          <w:t>https://investors.fortescue.com/en</w:t>
        </w:r>
      </w:hyperlink>
      <w:r w:rsidRPr="00CC6DE1">
        <w:rPr>
          <w:rFonts w:ascii="Calibri" w:eastAsia="Times New Roman" w:hAnsi="Calibri" w:cs="Calibri"/>
          <w:color w:val="000000" w:themeColor="text1"/>
          <w:lang w:val="en-AU" w:eastAsia="en-GB"/>
        </w:rPr>
        <w:t>.</w:t>
      </w:r>
    </w:p>
    <w:p w14:paraId="32CF44B7" w14:textId="77777777" w:rsidR="00025712" w:rsidRPr="00CC6DE1" w:rsidRDefault="00025712" w:rsidP="00CC6DE1">
      <w:pPr>
        <w:pStyle w:val="ListParagraph"/>
        <w:spacing w:after="0" w:line="240" w:lineRule="auto"/>
        <w:rPr>
          <w:rFonts w:ascii="Calibri" w:eastAsia="Times New Roman" w:hAnsi="Calibri" w:cs="Calibri"/>
          <w:color w:val="000000" w:themeColor="text1"/>
          <w:lang w:val="en-AU" w:eastAsia="en-GB"/>
        </w:rPr>
      </w:pPr>
    </w:p>
    <w:p w14:paraId="56534D72" w14:textId="752F4DF9"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Grand View Research 2025, Iron ore market size, share &amp; trends analysis report, 2030, Grand View Research, San Francisco, viewed 22 May 2026, </w:t>
      </w:r>
      <w:hyperlink r:id="rId38" w:history="1">
        <w:r w:rsidRPr="00CC6DE1">
          <w:rPr>
            <w:rFonts w:ascii="Calibri" w:eastAsia="Times New Roman" w:hAnsi="Calibri" w:cs="Calibri"/>
            <w:color w:val="000000" w:themeColor="text1"/>
            <w:lang w:val="en-AU" w:eastAsia="en-GB"/>
          </w:rPr>
          <w:t>https://www.grandviewresearch.com/industry-analysis/iron-ore-market-report</w:t>
        </w:r>
      </w:hyperlink>
      <w:r w:rsidRPr="00CC6DE1">
        <w:rPr>
          <w:rFonts w:ascii="Calibri" w:eastAsia="Times New Roman" w:hAnsi="Calibri" w:cs="Calibri"/>
          <w:color w:val="000000" w:themeColor="text1"/>
          <w:lang w:val="en-AU" w:eastAsia="en-GB"/>
        </w:rPr>
        <w:t>.</w:t>
      </w:r>
    </w:p>
    <w:p w14:paraId="6F5B7150"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54CEF2BE" w14:textId="423E6953"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Hund, K, La Porta, D, Fabregas, T, Laing, T &amp; </w:t>
      </w:r>
      <w:proofErr w:type="spellStart"/>
      <w:r w:rsidRPr="00CC6DE1">
        <w:rPr>
          <w:rFonts w:ascii="Calibri" w:eastAsia="Times New Roman" w:hAnsi="Calibri" w:cs="Calibri"/>
          <w:color w:val="000000" w:themeColor="text1"/>
          <w:lang w:val="en-AU" w:eastAsia="en-GB"/>
        </w:rPr>
        <w:t>Drexhage</w:t>
      </w:r>
      <w:proofErr w:type="spellEnd"/>
      <w:r w:rsidRPr="00CC6DE1">
        <w:rPr>
          <w:rFonts w:ascii="Calibri" w:eastAsia="Times New Roman" w:hAnsi="Calibri" w:cs="Calibri"/>
          <w:color w:val="000000" w:themeColor="text1"/>
          <w:lang w:val="en-AU" w:eastAsia="en-GB"/>
        </w:rPr>
        <w:t xml:space="preserve">, J 2020, Minerals for Climate Action: The Mineral Intensity of the Clean Energy Transition, World Bank, viewed 4 June 2026, </w:t>
      </w:r>
      <w:hyperlink r:id="rId39" w:history="1">
        <w:r w:rsidRPr="00CC6DE1">
          <w:rPr>
            <w:rFonts w:ascii="Calibri" w:eastAsia="Times New Roman" w:hAnsi="Calibri" w:cs="Calibri"/>
            <w:color w:val="000000" w:themeColor="text1"/>
            <w:lang w:val="en-AU" w:eastAsia="en-GB"/>
          </w:rPr>
          <w:t>https://www.worldbank.org/en/topic/extractiveindustries/publication/minerals-for-climate-action-the-mineral-intensity-of-the-clean-energy-transition</w:t>
        </w:r>
      </w:hyperlink>
      <w:r w:rsidRPr="00CC6DE1">
        <w:rPr>
          <w:rFonts w:ascii="Calibri" w:eastAsia="Times New Roman" w:hAnsi="Calibri" w:cs="Calibri"/>
          <w:color w:val="000000" w:themeColor="text1"/>
          <w:lang w:val="en-AU" w:eastAsia="en-GB"/>
        </w:rPr>
        <w:t>.</w:t>
      </w:r>
    </w:p>
    <w:p w14:paraId="15FA4450"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2243452E" w14:textId="4AD62FF2"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IBISWorld 2024, Global iron ore mining – market size 2024, IBISWorld, New York, viewed 22 May 2026, </w:t>
      </w:r>
      <w:hyperlink r:id="rId40" w:history="1">
        <w:r w:rsidRPr="00CC6DE1">
          <w:rPr>
            <w:rFonts w:ascii="Calibri" w:eastAsia="Times New Roman" w:hAnsi="Calibri" w:cs="Calibri"/>
            <w:color w:val="000000" w:themeColor="text1"/>
            <w:lang w:val="en-AU" w:eastAsia="en-GB"/>
          </w:rPr>
          <w:t>https://www.ibisworld.com/global/market-size/global-iron-ore-mining/</w:t>
        </w:r>
      </w:hyperlink>
      <w:r w:rsidRPr="00CC6DE1">
        <w:rPr>
          <w:rFonts w:ascii="Calibri" w:eastAsia="Times New Roman" w:hAnsi="Calibri" w:cs="Calibri"/>
          <w:color w:val="000000" w:themeColor="text1"/>
          <w:lang w:val="en-AU" w:eastAsia="en-GB"/>
        </w:rPr>
        <w:t>.</w:t>
      </w:r>
    </w:p>
    <w:p w14:paraId="154D610F"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09C1CD9B" w14:textId="3D7A3B9A"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International Energy Agency 2024, Global Critical Minerals Outlook 2024, International Energy Agency, Paris, viewed 4 June 2026, </w:t>
      </w:r>
      <w:hyperlink r:id="rId41" w:history="1">
        <w:r w:rsidRPr="00CC6DE1">
          <w:rPr>
            <w:rFonts w:ascii="Calibri" w:eastAsia="Times New Roman" w:hAnsi="Calibri" w:cs="Calibri"/>
            <w:color w:val="000000" w:themeColor="text1"/>
            <w:lang w:val="en-AU" w:eastAsia="en-GB"/>
          </w:rPr>
          <w:t>https://www.iea.org/reports/global-critical-minerals-outlook-2024</w:t>
        </w:r>
      </w:hyperlink>
      <w:r w:rsidRPr="00CC6DE1">
        <w:rPr>
          <w:rFonts w:ascii="Calibri" w:eastAsia="Times New Roman" w:hAnsi="Calibri" w:cs="Calibri"/>
          <w:color w:val="000000" w:themeColor="text1"/>
          <w:lang w:val="en-AU" w:eastAsia="en-GB"/>
        </w:rPr>
        <w:t>.</w:t>
      </w:r>
    </w:p>
    <w:p w14:paraId="0B3D3565"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6AF96941" w14:textId="0FD8CD00"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Investing.com 2026, Rio Tinto Ltd stock price today | ASX: RIO live, Investing.com, viewed 22 May 2026, </w:t>
      </w:r>
      <w:hyperlink r:id="rId42" w:history="1">
        <w:r w:rsidRPr="00CC6DE1">
          <w:rPr>
            <w:rFonts w:ascii="Calibri" w:eastAsia="Times New Roman" w:hAnsi="Calibri" w:cs="Calibri"/>
            <w:color w:val="000000" w:themeColor="text1"/>
            <w:lang w:val="en-AU" w:eastAsia="en-GB"/>
          </w:rPr>
          <w:t>https://www.investing.com/equities/rio-tinto-limited</w:t>
        </w:r>
      </w:hyperlink>
      <w:r w:rsidRPr="00CC6DE1">
        <w:rPr>
          <w:rFonts w:ascii="Calibri" w:eastAsia="Times New Roman" w:hAnsi="Calibri" w:cs="Calibri"/>
          <w:color w:val="000000" w:themeColor="text1"/>
          <w:lang w:val="en-AU" w:eastAsia="en-GB"/>
        </w:rPr>
        <w:t>.</w:t>
      </w:r>
    </w:p>
    <w:p w14:paraId="491B382C"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7D47DA6C" w14:textId="64B32EE7"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Macrotrends 2025, Rio Tinto revenue 2010–2024, Macrotrends, viewed 22 May 2026, </w:t>
      </w:r>
      <w:hyperlink r:id="rId43" w:history="1">
        <w:r w:rsidRPr="00CC6DE1">
          <w:rPr>
            <w:rFonts w:ascii="Calibri" w:eastAsia="Times New Roman" w:hAnsi="Calibri" w:cs="Calibri"/>
            <w:color w:val="000000" w:themeColor="text1"/>
            <w:lang w:val="en-AU" w:eastAsia="en-GB"/>
          </w:rPr>
          <w:t>https://www.macrotrends.net/stocks/charts/RIO/rio-tinto/revenue</w:t>
        </w:r>
      </w:hyperlink>
      <w:r w:rsidRPr="00CC6DE1">
        <w:rPr>
          <w:rFonts w:ascii="Calibri" w:eastAsia="Times New Roman" w:hAnsi="Calibri" w:cs="Calibri"/>
          <w:color w:val="000000" w:themeColor="text1"/>
          <w:lang w:val="en-AU" w:eastAsia="en-GB"/>
        </w:rPr>
        <w:t>.</w:t>
      </w:r>
    </w:p>
    <w:p w14:paraId="6B267D6F"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48934C28" w14:textId="47498956"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Macrotrends 2026, Rio Tinto – 36 year stock price history | RIO, Macrotrends, viewed 22 May 2026, </w:t>
      </w:r>
      <w:hyperlink r:id="rId44" w:history="1">
        <w:r w:rsidRPr="00CC6DE1">
          <w:rPr>
            <w:rFonts w:ascii="Calibri" w:eastAsia="Times New Roman" w:hAnsi="Calibri" w:cs="Calibri"/>
            <w:color w:val="000000" w:themeColor="text1"/>
            <w:lang w:val="en-AU" w:eastAsia="en-GB"/>
          </w:rPr>
          <w:t>https://www.macrotrends.net/stocks/charts/RIO/rio-tinto/stock-price-history</w:t>
        </w:r>
      </w:hyperlink>
      <w:r w:rsidRPr="00CC6DE1">
        <w:rPr>
          <w:rFonts w:ascii="Calibri" w:eastAsia="Times New Roman" w:hAnsi="Calibri" w:cs="Calibri"/>
          <w:color w:val="000000" w:themeColor="text1"/>
          <w:lang w:val="en-AU" w:eastAsia="en-GB"/>
        </w:rPr>
        <w:t>.</w:t>
      </w:r>
    </w:p>
    <w:p w14:paraId="4282ADB7"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55DD7C29" w14:textId="1DF10612"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Market Research Future 2026, Iron ore market size report 2025–2035, Market Research Future, viewed 22 May 2026, </w:t>
      </w:r>
      <w:hyperlink r:id="rId45" w:history="1">
        <w:r w:rsidRPr="00CC6DE1">
          <w:rPr>
            <w:rFonts w:ascii="Calibri" w:eastAsia="Times New Roman" w:hAnsi="Calibri" w:cs="Calibri"/>
            <w:color w:val="000000" w:themeColor="text1"/>
            <w:lang w:val="en-AU" w:eastAsia="en-GB"/>
          </w:rPr>
          <w:t>https://www.marketresearchfuture.com/reports/iron-ore-market-8004</w:t>
        </w:r>
      </w:hyperlink>
      <w:r w:rsidRPr="00CC6DE1">
        <w:rPr>
          <w:rFonts w:ascii="Calibri" w:eastAsia="Times New Roman" w:hAnsi="Calibri" w:cs="Calibri"/>
          <w:color w:val="000000" w:themeColor="text1"/>
          <w:lang w:val="en-AU" w:eastAsia="en-GB"/>
        </w:rPr>
        <w:t>.</w:t>
      </w:r>
    </w:p>
    <w:p w14:paraId="66F3BC6E"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2CF124BC" w14:textId="27579B76" w:rsidR="00543DB5" w:rsidRPr="00CC6DE1" w:rsidRDefault="00543DB5" w:rsidP="00CC6DE1">
      <w:pPr>
        <w:spacing w:after="0" w:line="240" w:lineRule="auto"/>
        <w:rPr>
          <w:rFonts w:ascii="Calibri" w:eastAsia="Times New Roman" w:hAnsi="Calibri" w:cs="Calibri"/>
          <w:color w:val="000000" w:themeColor="text1"/>
          <w:lang w:val="en-AU" w:eastAsia="en-GB"/>
        </w:rPr>
      </w:pPr>
      <w:proofErr w:type="spellStart"/>
      <w:r w:rsidRPr="00CC6DE1">
        <w:rPr>
          <w:rFonts w:ascii="Calibri" w:eastAsia="Times New Roman" w:hAnsi="Calibri" w:cs="Calibri"/>
          <w:color w:val="000000" w:themeColor="text1"/>
          <w:lang w:val="en-AU" w:eastAsia="en-GB"/>
        </w:rPr>
        <w:t>MatrixBCG</w:t>
      </w:r>
      <w:proofErr w:type="spellEnd"/>
      <w:r w:rsidRPr="00CC6DE1">
        <w:rPr>
          <w:rFonts w:ascii="Calibri" w:eastAsia="Times New Roman" w:hAnsi="Calibri" w:cs="Calibri"/>
          <w:color w:val="000000" w:themeColor="text1"/>
          <w:lang w:val="en-AU" w:eastAsia="en-GB"/>
        </w:rPr>
        <w:t xml:space="preserve"> 2025, Competitive landscape of Rio Tinto, </w:t>
      </w:r>
      <w:proofErr w:type="spellStart"/>
      <w:r w:rsidRPr="00CC6DE1">
        <w:rPr>
          <w:rFonts w:ascii="Calibri" w:eastAsia="Times New Roman" w:hAnsi="Calibri" w:cs="Calibri"/>
          <w:color w:val="000000" w:themeColor="text1"/>
          <w:lang w:val="en-AU" w:eastAsia="en-GB"/>
        </w:rPr>
        <w:t>MatrixBCG</w:t>
      </w:r>
      <w:proofErr w:type="spellEnd"/>
      <w:r w:rsidRPr="00CC6DE1">
        <w:rPr>
          <w:rFonts w:ascii="Calibri" w:eastAsia="Times New Roman" w:hAnsi="Calibri" w:cs="Calibri"/>
          <w:color w:val="000000" w:themeColor="text1"/>
          <w:lang w:val="en-AU" w:eastAsia="en-GB"/>
        </w:rPr>
        <w:t xml:space="preserve">, viewed 22 May 2026, </w:t>
      </w:r>
      <w:hyperlink r:id="rId46" w:history="1">
        <w:r w:rsidRPr="00CC6DE1">
          <w:rPr>
            <w:rFonts w:ascii="Calibri" w:eastAsia="Times New Roman" w:hAnsi="Calibri" w:cs="Calibri"/>
            <w:color w:val="000000" w:themeColor="text1"/>
            <w:lang w:val="en-AU" w:eastAsia="en-GB"/>
          </w:rPr>
          <w:t>https://matrixbcg.com/blogs/competitors/riotinto</w:t>
        </w:r>
      </w:hyperlink>
      <w:r w:rsidRPr="00CC6DE1">
        <w:rPr>
          <w:rFonts w:ascii="Calibri" w:eastAsia="Times New Roman" w:hAnsi="Calibri" w:cs="Calibri"/>
          <w:color w:val="000000" w:themeColor="text1"/>
          <w:lang w:val="en-AU" w:eastAsia="en-GB"/>
        </w:rPr>
        <w:t>.</w:t>
      </w:r>
    </w:p>
    <w:p w14:paraId="4624402E"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3A1B1318" w14:textId="0E4347C0"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Persistence Market Research 2024, Iron ore mining market size &amp; sales statistics 2024–2031, Persistence Market Research, viewed 22 May 2026, </w:t>
      </w:r>
      <w:hyperlink r:id="rId47" w:history="1">
        <w:r w:rsidRPr="00CC6DE1">
          <w:rPr>
            <w:rFonts w:ascii="Calibri" w:eastAsia="Times New Roman" w:hAnsi="Calibri" w:cs="Calibri"/>
            <w:color w:val="000000" w:themeColor="text1"/>
            <w:lang w:val="en-AU" w:eastAsia="en-GB"/>
          </w:rPr>
          <w:t>https://www.persistencemarketresearch.com/market-research/iron-ore-mining-market.asp</w:t>
        </w:r>
      </w:hyperlink>
      <w:r w:rsidRPr="00CC6DE1">
        <w:rPr>
          <w:rFonts w:ascii="Calibri" w:eastAsia="Times New Roman" w:hAnsi="Calibri" w:cs="Calibri"/>
          <w:color w:val="000000" w:themeColor="text1"/>
          <w:lang w:val="en-AU" w:eastAsia="en-GB"/>
        </w:rPr>
        <w:t>.</w:t>
      </w:r>
    </w:p>
    <w:p w14:paraId="68894952"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3BB84E8B" w14:textId="0805FB60" w:rsidR="00543DB5" w:rsidRPr="00CC6DE1" w:rsidRDefault="00543DB5" w:rsidP="00CC6DE1">
      <w:pPr>
        <w:spacing w:after="0" w:line="240" w:lineRule="auto"/>
        <w:rPr>
          <w:rFonts w:ascii="Calibri" w:eastAsia="Times New Roman" w:hAnsi="Calibri" w:cs="Calibri"/>
          <w:color w:val="000000" w:themeColor="text1"/>
          <w:lang w:val="en-AU" w:eastAsia="en-GB"/>
        </w:rPr>
      </w:pPr>
      <w:proofErr w:type="spellStart"/>
      <w:r w:rsidRPr="00CC6DE1">
        <w:rPr>
          <w:rFonts w:ascii="Calibri" w:eastAsia="Times New Roman" w:hAnsi="Calibri" w:cs="Calibri"/>
          <w:color w:val="000000" w:themeColor="text1"/>
          <w:lang w:val="en-AU" w:eastAsia="en-GB"/>
        </w:rPr>
        <w:lastRenderedPageBreak/>
        <w:t>PortersFiveForce</w:t>
      </w:r>
      <w:proofErr w:type="spellEnd"/>
      <w:r w:rsidRPr="00CC6DE1">
        <w:rPr>
          <w:rFonts w:ascii="Calibri" w:eastAsia="Times New Roman" w:hAnsi="Calibri" w:cs="Calibri"/>
          <w:color w:val="000000" w:themeColor="text1"/>
          <w:lang w:val="en-AU" w:eastAsia="en-GB"/>
        </w:rPr>
        <w:t xml:space="preserve"> 2025, Competitive landscape of BHP Group, </w:t>
      </w:r>
      <w:proofErr w:type="spellStart"/>
      <w:r w:rsidRPr="00CC6DE1">
        <w:rPr>
          <w:rFonts w:ascii="Calibri" w:eastAsia="Times New Roman" w:hAnsi="Calibri" w:cs="Calibri"/>
          <w:color w:val="000000" w:themeColor="text1"/>
          <w:lang w:val="en-AU" w:eastAsia="en-GB"/>
        </w:rPr>
        <w:t>PortersFiveForce</w:t>
      </w:r>
      <w:proofErr w:type="spellEnd"/>
      <w:r w:rsidRPr="00CC6DE1">
        <w:rPr>
          <w:rFonts w:ascii="Calibri" w:eastAsia="Times New Roman" w:hAnsi="Calibri" w:cs="Calibri"/>
          <w:color w:val="000000" w:themeColor="text1"/>
          <w:lang w:val="en-AU" w:eastAsia="en-GB"/>
        </w:rPr>
        <w:t xml:space="preserve">, viewed 22 May 2026, </w:t>
      </w:r>
      <w:hyperlink r:id="rId48" w:history="1">
        <w:r w:rsidRPr="00CC6DE1">
          <w:rPr>
            <w:rFonts w:ascii="Calibri" w:eastAsia="Times New Roman" w:hAnsi="Calibri" w:cs="Calibri"/>
            <w:color w:val="000000" w:themeColor="text1"/>
            <w:lang w:val="en-AU" w:eastAsia="en-GB"/>
          </w:rPr>
          <w:t>https://portersfiveforce.com/blogs/competitors/bhp</w:t>
        </w:r>
      </w:hyperlink>
      <w:r w:rsidRPr="00CC6DE1">
        <w:rPr>
          <w:rFonts w:ascii="Calibri" w:eastAsia="Times New Roman" w:hAnsi="Calibri" w:cs="Calibri"/>
          <w:color w:val="000000" w:themeColor="text1"/>
          <w:lang w:val="en-AU" w:eastAsia="en-GB"/>
        </w:rPr>
        <w:t>.</w:t>
      </w:r>
    </w:p>
    <w:p w14:paraId="0594FD2D"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28AA07A2" w14:textId="2AD69814"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Rio Tinto 2022, Rio Tinto 2021 full year results announcement, Rio Tinto, London and Melbourne, viewed 22 May 2026, </w:t>
      </w:r>
      <w:hyperlink r:id="rId49" w:history="1">
        <w:r w:rsidRPr="00CC6DE1">
          <w:rPr>
            <w:rFonts w:ascii="Calibri" w:eastAsia="Times New Roman" w:hAnsi="Calibri" w:cs="Calibri"/>
            <w:color w:val="000000" w:themeColor="text1"/>
            <w:lang w:val="en-AU" w:eastAsia="en-GB"/>
          </w:rPr>
          <w:t>https://www.sec.gov/Archives/edgar/data/0000863064/000162828022003450/ex1pressrelease.htm</w:t>
        </w:r>
      </w:hyperlink>
      <w:r w:rsidRPr="00CC6DE1">
        <w:rPr>
          <w:rFonts w:ascii="Calibri" w:eastAsia="Times New Roman" w:hAnsi="Calibri" w:cs="Calibri"/>
          <w:color w:val="000000" w:themeColor="text1"/>
          <w:lang w:val="en-AU" w:eastAsia="en-GB"/>
        </w:rPr>
        <w:t>.</w:t>
      </w:r>
    </w:p>
    <w:p w14:paraId="35C69EDC"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1DF3A33A" w14:textId="5FB17447"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Rio Tinto 2023, Annual report 2022, Rio Tinto, London and Melbourne, viewed 22 May 2026, </w:t>
      </w:r>
      <w:hyperlink r:id="rId50" w:history="1">
        <w:r w:rsidRPr="00CC6DE1">
          <w:rPr>
            <w:rFonts w:ascii="Calibri" w:eastAsia="Times New Roman" w:hAnsi="Calibri" w:cs="Calibri"/>
            <w:color w:val="000000" w:themeColor="text1"/>
            <w:lang w:val="en-AU" w:eastAsia="en-GB"/>
          </w:rPr>
          <w:t>https://www.sec.gov/Archives/edgar/data/0000863064/000162828023004989/rio-20221231.htm</w:t>
        </w:r>
      </w:hyperlink>
      <w:r w:rsidRPr="00CC6DE1">
        <w:rPr>
          <w:rFonts w:ascii="Calibri" w:eastAsia="Times New Roman" w:hAnsi="Calibri" w:cs="Calibri"/>
          <w:color w:val="000000" w:themeColor="text1"/>
          <w:lang w:val="en-AU" w:eastAsia="en-GB"/>
        </w:rPr>
        <w:t>.</w:t>
      </w:r>
    </w:p>
    <w:p w14:paraId="1BB31507"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26C9A597" w14:textId="124C7F0F"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Rio Tinto 2024, Rio Tinto 2023 full year results announcement, Rio Tinto, London and Melbourne, viewed 22 May 2026, </w:t>
      </w:r>
      <w:hyperlink r:id="rId51" w:history="1">
        <w:r w:rsidRPr="00CC6DE1">
          <w:rPr>
            <w:rFonts w:ascii="Calibri" w:eastAsia="Times New Roman" w:hAnsi="Calibri" w:cs="Calibri"/>
            <w:color w:val="000000" w:themeColor="text1"/>
            <w:lang w:val="en-AU" w:eastAsia="en-GB"/>
          </w:rPr>
          <w:t>https://www.sec.gov/Archives/edgar/data/0000863064/000162828024005775/ex991results.htm</w:t>
        </w:r>
      </w:hyperlink>
      <w:r w:rsidRPr="00CC6DE1">
        <w:rPr>
          <w:rFonts w:ascii="Calibri" w:eastAsia="Times New Roman" w:hAnsi="Calibri" w:cs="Calibri"/>
          <w:color w:val="000000" w:themeColor="text1"/>
          <w:lang w:val="en-AU" w:eastAsia="en-GB"/>
        </w:rPr>
        <w:t>.</w:t>
      </w:r>
    </w:p>
    <w:p w14:paraId="6C05F5CC"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20E24A34" w14:textId="503713F8"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Rio Tinto 2025, Rio Tinto 2024 full year results announcement, Rio Tinto, London and Melbourne, viewed 22 May 2026, </w:t>
      </w:r>
      <w:hyperlink r:id="rId52" w:history="1">
        <w:r w:rsidRPr="00CC6DE1">
          <w:rPr>
            <w:rFonts w:ascii="Calibri" w:eastAsia="Times New Roman" w:hAnsi="Calibri" w:cs="Calibri"/>
            <w:color w:val="000000" w:themeColor="text1"/>
            <w:lang w:val="en-AU" w:eastAsia="en-GB"/>
          </w:rPr>
          <w:t>https://www.sec.gov/Archives/edgar/data/0000863064/000162828025006422/exhibit991ye24-pressrele.htm</w:t>
        </w:r>
      </w:hyperlink>
      <w:r w:rsidRPr="00CC6DE1">
        <w:rPr>
          <w:rFonts w:ascii="Calibri" w:eastAsia="Times New Roman" w:hAnsi="Calibri" w:cs="Calibri"/>
          <w:color w:val="000000" w:themeColor="text1"/>
          <w:lang w:val="en-AU" w:eastAsia="en-GB"/>
        </w:rPr>
        <w:t>.</w:t>
      </w:r>
    </w:p>
    <w:p w14:paraId="5E57A0DB"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24457726" w14:textId="54A523B4"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Rio Tinto plc 2025, Annual Report 2024, Rio Tinto plc, viewed 4 June 2026, </w:t>
      </w:r>
      <w:hyperlink r:id="rId53" w:history="1">
        <w:r w:rsidRPr="00CC6DE1">
          <w:rPr>
            <w:rFonts w:ascii="Calibri" w:eastAsia="Times New Roman" w:hAnsi="Calibri" w:cs="Calibri"/>
            <w:color w:val="000000" w:themeColor="text1"/>
            <w:lang w:val="en-AU" w:eastAsia="en-GB"/>
          </w:rPr>
          <w:t>https://www.riotinto.com/en/invest/reports/annual-report</w:t>
        </w:r>
      </w:hyperlink>
      <w:r w:rsidRPr="00CC6DE1">
        <w:rPr>
          <w:rFonts w:ascii="Calibri" w:eastAsia="Times New Roman" w:hAnsi="Calibri" w:cs="Calibri"/>
          <w:color w:val="000000" w:themeColor="text1"/>
          <w:lang w:val="en-AU" w:eastAsia="en-GB"/>
        </w:rPr>
        <w:t>.</w:t>
      </w:r>
    </w:p>
    <w:p w14:paraId="5527ECB1"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17F8A082" w14:textId="255BFDE4"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Rio Tinto 2026, Rio Tinto 2025 full year results announcement, Rio Tinto, London and Melbourne, viewed 22 May 2026, </w:t>
      </w:r>
      <w:hyperlink r:id="rId54" w:history="1">
        <w:r w:rsidRPr="00CC6DE1">
          <w:rPr>
            <w:rFonts w:ascii="Calibri" w:eastAsia="Times New Roman" w:hAnsi="Calibri" w:cs="Calibri"/>
            <w:color w:val="000000" w:themeColor="text1"/>
            <w:lang w:val="en-AU" w:eastAsia="en-GB"/>
          </w:rPr>
          <w:t>https://www.sec.gov/Archives/edgar/data/0000863064/000162828026009503/ye25-pressreleasex19feb.htm</w:t>
        </w:r>
      </w:hyperlink>
      <w:r w:rsidRPr="00CC6DE1">
        <w:rPr>
          <w:rFonts w:ascii="Calibri" w:eastAsia="Times New Roman" w:hAnsi="Calibri" w:cs="Calibri"/>
          <w:color w:val="000000" w:themeColor="text1"/>
          <w:lang w:val="en-AU" w:eastAsia="en-GB"/>
        </w:rPr>
        <w:t>.</w:t>
      </w:r>
    </w:p>
    <w:p w14:paraId="1D24AA54" w14:textId="77777777" w:rsidR="00025712" w:rsidRPr="00CC6DE1" w:rsidRDefault="00025712" w:rsidP="00CC6DE1">
      <w:pPr>
        <w:spacing w:after="0" w:line="240" w:lineRule="auto"/>
        <w:rPr>
          <w:rFonts w:ascii="Calibri" w:eastAsia="Times New Roman" w:hAnsi="Calibri" w:cs="Calibri"/>
          <w:color w:val="000000" w:themeColor="text1"/>
          <w:lang w:val="en-AU" w:eastAsia="en-GB"/>
        </w:rPr>
      </w:pPr>
    </w:p>
    <w:p w14:paraId="38325B71" w14:textId="04BB3674" w:rsidR="00543DB5" w:rsidRPr="00CC6DE1" w:rsidRDefault="00543DB5" w:rsidP="00CC6DE1">
      <w:pPr>
        <w:spacing w:after="0" w:line="240" w:lineRule="auto"/>
        <w:rPr>
          <w:rFonts w:ascii="Calibri" w:eastAsia="Times New Roman" w:hAnsi="Calibri" w:cs="Calibri"/>
          <w:color w:val="000000" w:themeColor="text1"/>
          <w:lang w:val="en-AU" w:eastAsia="en-GB"/>
        </w:rPr>
      </w:pPr>
      <w:r w:rsidRPr="00CC6DE1">
        <w:rPr>
          <w:rFonts w:ascii="Calibri" w:eastAsia="Times New Roman" w:hAnsi="Calibri" w:cs="Calibri"/>
          <w:color w:val="000000" w:themeColor="text1"/>
          <w:lang w:val="en-AU" w:eastAsia="en-GB"/>
        </w:rPr>
        <w:t xml:space="preserve">Rio Tinto Group 2025, 2024 annual report, Rio Tinto plc, London, viewed 22 May 2026, </w:t>
      </w:r>
      <w:hyperlink r:id="rId55" w:history="1">
        <w:r w:rsidRPr="00CC6DE1">
          <w:rPr>
            <w:rFonts w:ascii="Calibri" w:eastAsia="Times New Roman" w:hAnsi="Calibri" w:cs="Calibri"/>
            <w:color w:val="000000" w:themeColor="text1"/>
            <w:lang w:val="en-AU" w:eastAsia="en-GB"/>
          </w:rPr>
          <w:t>https://www.riotinto.com/en/invest/reports/annual-report</w:t>
        </w:r>
      </w:hyperlink>
      <w:r w:rsidRPr="00CC6DE1">
        <w:rPr>
          <w:rFonts w:ascii="Calibri" w:eastAsia="Times New Roman" w:hAnsi="Calibri" w:cs="Calibri"/>
          <w:color w:val="000000" w:themeColor="text1"/>
          <w:lang w:val="en-AU" w:eastAsia="en-GB"/>
        </w:rPr>
        <w:t>.</w:t>
      </w:r>
    </w:p>
    <w:p w14:paraId="2C078E63" w14:textId="59C79EB9" w:rsidR="00122CA7" w:rsidRPr="00CC6DE1" w:rsidRDefault="00122CA7" w:rsidP="00CC6DE1">
      <w:pPr>
        <w:spacing w:after="0" w:line="360" w:lineRule="auto"/>
        <w:rPr>
          <w:rFonts w:ascii="Calibri" w:hAnsi="Calibri" w:cs="Calibri"/>
          <w:sz w:val="22"/>
          <w:szCs w:val="22"/>
        </w:rPr>
      </w:pPr>
    </w:p>
    <w:sectPr w:rsidR="00122CA7" w:rsidRPr="00CC6DE1" w:rsidSect="00676A0F">
      <w:footerReference w:type="even" r:id="rId56"/>
      <w:footerReference w:type="default" r:id="rId5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60E9E" w14:textId="77777777" w:rsidR="00CF1825" w:rsidRDefault="00CF1825" w:rsidP="000F49A4">
      <w:pPr>
        <w:spacing w:after="0" w:line="240" w:lineRule="auto"/>
      </w:pPr>
      <w:r>
        <w:separator/>
      </w:r>
    </w:p>
  </w:endnote>
  <w:endnote w:type="continuationSeparator" w:id="0">
    <w:p w14:paraId="1DF457FB" w14:textId="77777777" w:rsidR="00CF1825" w:rsidRDefault="00CF1825" w:rsidP="000F4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8199752"/>
      <w:docPartObj>
        <w:docPartGallery w:val="Page Numbers (Bottom of Page)"/>
        <w:docPartUnique/>
      </w:docPartObj>
    </w:sdtPr>
    <w:sdtContent>
      <w:p w14:paraId="2A864B05" w14:textId="6FE1CA9E" w:rsidR="000F49A4" w:rsidRDefault="000F49A4" w:rsidP="00612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FCAD04" w14:textId="77777777" w:rsidR="000F49A4" w:rsidRDefault="000F49A4" w:rsidP="000F49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6112720"/>
      <w:docPartObj>
        <w:docPartGallery w:val="Page Numbers (Bottom of Page)"/>
        <w:docPartUnique/>
      </w:docPartObj>
    </w:sdtPr>
    <w:sdtContent>
      <w:p w14:paraId="78416924" w14:textId="13FDA5B1" w:rsidR="000F49A4" w:rsidRDefault="000F49A4" w:rsidP="00612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CA12D6" w14:textId="77777777" w:rsidR="000F49A4" w:rsidRDefault="000F49A4" w:rsidP="000F49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EB0C9" w14:textId="77777777" w:rsidR="00CF1825" w:rsidRDefault="00CF1825" w:rsidP="000F49A4">
      <w:pPr>
        <w:spacing w:after="0" w:line="240" w:lineRule="auto"/>
      </w:pPr>
      <w:r>
        <w:separator/>
      </w:r>
    </w:p>
  </w:footnote>
  <w:footnote w:type="continuationSeparator" w:id="0">
    <w:p w14:paraId="7A106ADE" w14:textId="77777777" w:rsidR="00CF1825" w:rsidRDefault="00CF1825" w:rsidP="000F49A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AE7"/>
    <w:multiLevelType w:val="hybridMultilevel"/>
    <w:tmpl w:val="E1227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B7C6E27"/>
    <w:multiLevelType w:val="multilevel"/>
    <w:tmpl w:val="4C1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44E06"/>
    <w:multiLevelType w:val="hybridMultilevel"/>
    <w:tmpl w:val="EDB0F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1722932">
    <w:abstractNumId w:val="1"/>
  </w:num>
  <w:num w:numId="2" w16cid:durableId="432869703">
    <w:abstractNumId w:val="0"/>
  </w:num>
  <w:num w:numId="3" w16cid:durableId="1508515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4A4ED7"/>
    <w:rsid w:val="000014A2"/>
    <w:rsid w:val="00025712"/>
    <w:rsid w:val="00087C80"/>
    <w:rsid w:val="000A7770"/>
    <w:rsid w:val="000B0534"/>
    <w:rsid w:val="000E7BC7"/>
    <w:rsid w:val="000F220F"/>
    <w:rsid w:val="000F49A4"/>
    <w:rsid w:val="000F7832"/>
    <w:rsid w:val="00122CA7"/>
    <w:rsid w:val="00134728"/>
    <w:rsid w:val="00140D60"/>
    <w:rsid w:val="00150736"/>
    <w:rsid w:val="001B3D49"/>
    <w:rsid w:val="00203202"/>
    <w:rsid w:val="002B7605"/>
    <w:rsid w:val="002C0B26"/>
    <w:rsid w:val="002E357F"/>
    <w:rsid w:val="002F60A5"/>
    <w:rsid w:val="002F76C3"/>
    <w:rsid w:val="00304313"/>
    <w:rsid w:val="003345B5"/>
    <w:rsid w:val="00354F5D"/>
    <w:rsid w:val="00377876"/>
    <w:rsid w:val="003C66D8"/>
    <w:rsid w:val="003D43EB"/>
    <w:rsid w:val="003F78F5"/>
    <w:rsid w:val="00417868"/>
    <w:rsid w:val="00481E6A"/>
    <w:rsid w:val="004A5A2D"/>
    <w:rsid w:val="004D79CA"/>
    <w:rsid w:val="005119F3"/>
    <w:rsid w:val="00521784"/>
    <w:rsid w:val="00543DB5"/>
    <w:rsid w:val="00552CD2"/>
    <w:rsid w:val="00553308"/>
    <w:rsid w:val="0056443F"/>
    <w:rsid w:val="00573D79"/>
    <w:rsid w:val="0057757B"/>
    <w:rsid w:val="00585426"/>
    <w:rsid w:val="005C4559"/>
    <w:rsid w:val="005E633B"/>
    <w:rsid w:val="0066111D"/>
    <w:rsid w:val="00661708"/>
    <w:rsid w:val="00676A0F"/>
    <w:rsid w:val="006A48DE"/>
    <w:rsid w:val="006B67E4"/>
    <w:rsid w:val="0079395A"/>
    <w:rsid w:val="00823851"/>
    <w:rsid w:val="0083247A"/>
    <w:rsid w:val="0084696D"/>
    <w:rsid w:val="00875506"/>
    <w:rsid w:val="008D1E99"/>
    <w:rsid w:val="0093439B"/>
    <w:rsid w:val="00944E40"/>
    <w:rsid w:val="00962CEA"/>
    <w:rsid w:val="0097073E"/>
    <w:rsid w:val="009743B1"/>
    <w:rsid w:val="009866A4"/>
    <w:rsid w:val="009914C2"/>
    <w:rsid w:val="009B052D"/>
    <w:rsid w:val="009D12DD"/>
    <w:rsid w:val="009F3826"/>
    <w:rsid w:val="009F6C94"/>
    <w:rsid w:val="00A63217"/>
    <w:rsid w:val="00AC125E"/>
    <w:rsid w:val="00BA438C"/>
    <w:rsid w:val="00BC048E"/>
    <w:rsid w:val="00BD4A9B"/>
    <w:rsid w:val="00C01C77"/>
    <w:rsid w:val="00C67057"/>
    <w:rsid w:val="00C72369"/>
    <w:rsid w:val="00C908C3"/>
    <w:rsid w:val="00CC6DE1"/>
    <w:rsid w:val="00CD313D"/>
    <w:rsid w:val="00CE2324"/>
    <w:rsid w:val="00CE310B"/>
    <w:rsid w:val="00CF1825"/>
    <w:rsid w:val="00CF40C2"/>
    <w:rsid w:val="00D10041"/>
    <w:rsid w:val="00D62B74"/>
    <w:rsid w:val="00D66F41"/>
    <w:rsid w:val="00D90359"/>
    <w:rsid w:val="00DE4F61"/>
    <w:rsid w:val="00E059F5"/>
    <w:rsid w:val="00E12AF7"/>
    <w:rsid w:val="00E47BB2"/>
    <w:rsid w:val="00E86FB4"/>
    <w:rsid w:val="00EE18C9"/>
    <w:rsid w:val="00F11FBA"/>
    <w:rsid w:val="00F13385"/>
    <w:rsid w:val="00F1636D"/>
    <w:rsid w:val="00F47322"/>
    <w:rsid w:val="00F6303F"/>
    <w:rsid w:val="00F70940"/>
    <w:rsid w:val="00F869ED"/>
    <w:rsid w:val="00F94996"/>
    <w:rsid w:val="00FD07FC"/>
    <w:rsid w:val="00FF5FC0"/>
    <w:rsid w:val="02A07662"/>
    <w:rsid w:val="096CF1D8"/>
    <w:rsid w:val="0ADBEEFD"/>
    <w:rsid w:val="0BCF2CC8"/>
    <w:rsid w:val="1079A407"/>
    <w:rsid w:val="13A390A0"/>
    <w:rsid w:val="142C29B7"/>
    <w:rsid w:val="164F0524"/>
    <w:rsid w:val="1825C28D"/>
    <w:rsid w:val="1AEEA170"/>
    <w:rsid w:val="1FA13523"/>
    <w:rsid w:val="1FBB0D10"/>
    <w:rsid w:val="22E49C28"/>
    <w:rsid w:val="24EBD4E4"/>
    <w:rsid w:val="2AD4D2EC"/>
    <w:rsid w:val="2CE332B3"/>
    <w:rsid w:val="2ED90D99"/>
    <w:rsid w:val="31178862"/>
    <w:rsid w:val="33C3E57F"/>
    <w:rsid w:val="3670D53B"/>
    <w:rsid w:val="3712997C"/>
    <w:rsid w:val="39EA8BE6"/>
    <w:rsid w:val="3B63B97B"/>
    <w:rsid w:val="3F106C02"/>
    <w:rsid w:val="4A3683C1"/>
    <w:rsid w:val="4F05A902"/>
    <w:rsid w:val="50142641"/>
    <w:rsid w:val="511CBD7B"/>
    <w:rsid w:val="52ED1D76"/>
    <w:rsid w:val="5474D832"/>
    <w:rsid w:val="55DD5109"/>
    <w:rsid w:val="5D85A953"/>
    <w:rsid w:val="5FC3A6DC"/>
    <w:rsid w:val="64862EC7"/>
    <w:rsid w:val="67AE57EB"/>
    <w:rsid w:val="6A32410C"/>
    <w:rsid w:val="6D51D92D"/>
    <w:rsid w:val="6DF40F0D"/>
    <w:rsid w:val="6E01CFD5"/>
    <w:rsid w:val="6EF3F2F8"/>
    <w:rsid w:val="73A60698"/>
    <w:rsid w:val="7440EDC3"/>
    <w:rsid w:val="76B095F8"/>
    <w:rsid w:val="7745473D"/>
    <w:rsid w:val="7774AB1A"/>
    <w:rsid w:val="784A4ED7"/>
    <w:rsid w:val="7B8EFC92"/>
    <w:rsid w:val="7D68D79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4ED7"/>
  <w15:chartTrackingRefBased/>
  <w15:docId w15:val="{45061DBE-B1F2-4E21-95EA-422EA8977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5FC3A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2CD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D79C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474D83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552CD2"/>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552CD2"/>
    <w:pPr>
      <w:spacing w:before="100" w:beforeAutospacing="1" w:after="100" w:afterAutospacing="1" w:line="240" w:lineRule="auto"/>
    </w:pPr>
    <w:rPr>
      <w:rFonts w:ascii="Times New Roman" w:eastAsia="Times New Roman" w:hAnsi="Times New Roman" w:cs="Times New Roman"/>
      <w:lang w:val="en-AU" w:eastAsia="en-GB"/>
    </w:rPr>
  </w:style>
  <w:style w:type="character" w:styleId="Strong">
    <w:name w:val="Strong"/>
    <w:basedOn w:val="DefaultParagraphFont"/>
    <w:uiPriority w:val="22"/>
    <w:qFormat/>
    <w:rsid w:val="00552CD2"/>
    <w:rPr>
      <w:b/>
      <w:bCs/>
    </w:rPr>
  </w:style>
  <w:style w:type="table" w:styleId="GridTable4-Accent1">
    <w:name w:val="Grid Table 4 Accent 1"/>
    <w:basedOn w:val="TableNormal"/>
    <w:uiPriority w:val="49"/>
    <w:rsid w:val="008D1E9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Spacing">
    <w:name w:val="No Spacing"/>
    <w:uiPriority w:val="1"/>
    <w:qFormat/>
    <w:rsid w:val="000E7BC7"/>
    <w:pPr>
      <w:spacing w:after="0" w:line="240" w:lineRule="auto"/>
    </w:pPr>
  </w:style>
  <w:style w:type="paragraph" w:customStyle="1" w:styleId="font-claude-response-body">
    <w:name w:val="font-claude-response-body"/>
    <w:basedOn w:val="Normal"/>
    <w:rsid w:val="0097073E"/>
    <w:pPr>
      <w:spacing w:before="100" w:beforeAutospacing="1" w:after="100" w:afterAutospacing="1" w:line="240" w:lineRule="auto"/>
    </w:pPr>
    <w:rPr>
      <w:rFonts w:ascii="Times New Roman" w:eastAsia="Times New Roman" w:hAnsi="Times New Roman" w:cs="Times New Roman"/>
      <w:lang w:eastAsia="en-US" w:bidi="ne-NP"/>
    </w:rPr>
  </w:style>
  <w:style w:type="character" w:styleId="Emphasis">
    <w:name w:val="Emphasis"/>
    <w:basedOn w:val="DefaultParagraphFont"/>
    <w:uiPriority w:val="20"/>
    <w:qFormat/>
    <w:rsid w:val="0097073E"/>
    <w:rPr>
      <w:i/>
      <w:iCs/>
    </w:rPr>
  </w:style>
  <w:style w:type="paragraph" w:styleId="Footer">
    <w:name w:val="footer"/>
    <w:basedOn w:val="Normal"/>
    <w:link w:val="FooterChar"/>
    <w:uiPriority w:val="99"/>
    <w:unhideWhenUsed/>
    <w:rsid w:val="000F4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9A4"/>
  </w:style>
  <w:style w:type="character" w:styleId="PageNumber">
    <w:name w:val="page number"/>
    <w:basedOn w:val="DefaultParagraphFont"/>
    <w:uiPriority w:val="99"/>
    <w:semiHidden/>
    <w:unhideWhenUsed/>
    <w:rsid w:val="000F49A4"/>
  </w:style>
  <w:style w:type="paragraph" w:styleId="Header">
    <w:name w:val="header"/>
    <w:basedOn w:val="Normal"/>
    <w:link w:val="HeaderChar"/>
    <w:uiPriority w:val="99"/>
    <w:unhideWhenUsed/>
    <w:rsid w:val="000F49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9A4"/>
  </w:style>
  <w:style w:type="paragraph" w:styleId="TOCHeading">
    <w:name w:val="TOC Heading"/>
    <w:basedOn w:val="Heading1"/>
    <w:next w:val="Normal"/>
    <w:uiPriority w:val="39"/>
    <w:unhideWhenUsed/>
    <w:qFormat/>
    <w:rsid w:val="000F49A4"/>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0F49A4"/>
    <w:pPr>
      <w:spacing w:before="120" w:after="0"/>
    </w:pPr>
    <w:rPr>
      <w:rFonts w:cs="Times New Roman"/>
      <w:b/>
      <w:bCs/>
      <w:i/>
      <w:iCs/>
      <w:szCs w:val="28"/>
    </w:rPr>
  </w:style>
  <w:style w:type="paragraph" w:styleId="TOC2">
    <w:name w:val="toc 2"/>
    <w:basedOn w:val="Normal"/>
    <w:next w:val="Normal"/>
    <w:autoRedefine/>
    <w:uiPriority w:val="39"/>
    <w:unhideWhenUsed/>
    <w:rsid w:val="000F49A4"/>
    <w:pPr>
      <w:spacing w:before="120" w:after="0"/>
      <w:ind w:left="240"/>
    </w:pPr>
    <w:rPr>
      <w:rFonts w:cs="Times New Roman"/>
      <w:b/>
      <w:bCs/>
      <w:sz w:val="22"/>
      <w:szCs w:val="26"/>
    </w:rPr>
  </w:style>
  <w:style w:type="paragraph" w:styleId="TOC3">
    <w:name w:val="toc 3"/>
    <w:basedOn w:val="Normal"/>
    <w:next w:val="Normal"/>
    <w:autoRedefine/>
    <w:uiPriority w:val="39"/>
    <w:unhideWhenUsed/>
    <w:rsid w:val="000F49A4"/>
    <w:pPr>
      <w:spacing w:after="0"/>
      <w:ind w:left="480"/>
    </w:pPr>
    <w:rPr>
      <w:rFonts w:cs="Times New Roman"/>
      <w:sz w:val="20"/>
    </w:rPr>
  </w:style>
  <w:style w:type="paragraph" w:styleId="TOC4">
    <w:name w:val="toc 4"/>
    <w:basedOn w:val="Normal"/>
    <w:next w:val="Normal"/>
    <w:autoRedefine/>
    <w:uiPriority w:val="39"/>
    <w:semiHidden/>
    <w:unhideWhenUsed/>
    <w:rsid w:val="000F49A4"/>
    <w:pPr>
      <w:spacing w:after="0"/>
      <w:ind w:left="720"/>
    </w:pPr>
    <w:rPr>
      <w:rFonts w:cs="Times New Roman"/>
      <w:sz w:val="20"/>
    </w:rPr>
  </w:style>
  <w:style w:type="paragraph" w:styleId="TOC5">
    <w:name w:val="toc 5"/>
    <w:basedOn w:val="Normal"/>
    <w:next w:val="Normal"/>
    <w:autoRedefine/>
    <w:uiPriority w:val="39"/>
    <w:semiHidden/>
    <w:unhideWhenUsed/>
    <w:rsid w:val="000F49A4"/>
    <w:pPr>
      <w:spacing w:after="0"/>
      <w:ind w:left="960"/>
    </w:pPr>
    <w:rPr>
      <w:rFonts w:cs="Times New Roman"/>
      <w:sz w:val="20"/>
    </w:rPr>
  </w:style>
  <w:style w:type="paragraph" w:styleId="TOC6">
    <w:name w:val="toc 6"/>
    <w:basedOn w:val="Normal"/>
    <w:next w:val="Normal"/>
    <w:autoRedefine/>
    <w:uiPriority w:val="39"/>
    <w:semiHidden/>
    <w:unhideWhenUsed/>
    <w:rsid w:val="000F49A4"/>
    <w:pPr>
      <w:spacing w:after="0"/>
      <w:ind w:left="1200"/>
    </w:pPr>
    <w:rPr>
      <w:rFonts w:cs="Times New Roman"/>
      <w:sz w:val="20"/>
    </w:rPr>
  </w:style>
  <w:style w:type="paragraph" w:styleId="TOC7">
    <w:name w:val="toc 7"/>
    <w:basedOn w:val="Normal"/>
    <w:next w:val="Normal"/>
    <w:autoRedefine/>
    <w:uiPriority w:val="39"/>
    <w:semiHidden/>
    <w:unhideWhenUsed/>
    <w:rsid w:val="000F49A4"/>
    <w:pPr>
      <w:spacing w:after="0"/>
      <w:ind w:left="1440"/>
    </w:pPr>
    <w:rPr>
      <w:rFonts w:cs="Times New Roman"/>
      <w:sz w:val="20"/>
    </w:rPr>
  </w:style>
  <w:style w:type="paragraph" w:styleId="TOC8">
    <w:name w:val="toc 8"/>
    <w:basedOn w:val="Normal"/>
    <w:next w:val="Normal"/>
    <w:autoRedefine/>
    <w:uiPriority w:val="39"/>
    <w:semiHidden/>
    <w:unhideWhenUsed/>
    <w:rsid w:val="000F49A4"/>
    <w:pPr>
      <w:spacing w:after="0"/>
      <w:ind w:left="1680"/>
    </w:pPr>
    <w:rPr>
      <w:rFonts w:cs="Times New Roman"/>
      <w:sz w:val="20"/>
    </w:rPr>
  </w:style>
  <w:style w:type="paragraph" w:styleId="TOC9">
    <w:name w:val="toc 9"/>
    <w:basedOn w:val="Normal"/>
    <w:next w:val="Normal"/>
    <w:autoRedefine/>
    <w:uiPriority w:val="39"/>
    <w:semiHidden/>
    <w:unhideWhenUsed/>
    <w:rsid w:val="000F49A4"/>
    <w:pPr>
      <w:spacing w:after="0"/>
      <w:ind w:left="1920"/>
    </w:pPr>
    <w:rPr>
      <w:rFonts w:cs="Times New Roman"/>
      <w:sz w:val="20"/>
    </w:rPr>
  </w:style>
  <w:style w:type="paragraph" w:styleId="Caption">
    <w:name w:val="caption"/>
    <w:basedOn w:val="Normal"/>
    <w:next w:val="Normal"/>
    <w:uiPriority w:val="35"/>
    <w:unhideWhenUsed/>
    <w:qFormat/>
    <w:rsid w:val="0055330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53308"/>
    <w:pPr>
      <w:spacing w:after="0"/>
    </w:pPr>
  </w:style>
  <w:style w:type="paragraph" w:customStyle="1" w:styleId="isselectedend">
    <w:name w:val="isselectedend"/>
    <w:basedOn w:val="Normal"/>
    <w:rsid w:val="00661708"/>
    <w:pPr>
      <w:spacing w:before="100" w:beforeAutospacing="1" w:after="100" w:afterAutospacing="1" w:line="240" w:lineRule="auto"/>
    </w:pPr>
    <w:rPr>
      <w:rFonts w:ascii="Times New Roman" w:eastAsia="Times New Roman" w:hAnsi="Times New Roman" w:cs="Times New Roman"/>
      <w:lang w:val="en-AU" w:eastAsia="en-GB"/>
    </w:rPr>
  </w:style>
  <w:style w:type="character" w:customStyle="1" w:styleId="Heading1Char">
    <w:name w:val="Heading 1 Char"/>
    <w:basedOn w:val="DefaultParagraphFont"/>
    <w:link w:val="Heading1"/>
    <w:uiPriority w:val="9"/>
    <w:rsid w:val="00FD07FC"/>
    <w:rPr>
      <w:rFonts w:asciiTheme="majorHAnsi" w:eastAsiaTheme="majorEastAsia" w:hAnsiTheme="majorHAnsi" w:cstheme="majorBidi"/>
      <w:color w:val="0F4761" w:themeColor="accent1" w:themeShade="BF"/>
      <w:sz w:val="40"/>
      <w:szCs w:val="40"/>
    </w:rPr>
  </w:style>
  <w:style w:type="character" w:styleId="FollowedHyperlink">
    <w:name w:val="FollowedHyperlink"/>
    <w:basedOn w:val="DefaultParagraphFont"/>
    <w:uiPriority w:val="99"/>
    <w:semiHidden/>
    <w:unhideWhenUsed/>
    <w:rsid w:val="00543DB5"/>
    <w:rPr>
      <w:color w:val="96607D" w:themeColor="followedHyperlink"/>
      <w:u w:val="single"/>
    </w:rPr>
  </w:style>
  <w:style w:type="paragraph" w:styleId="ListParagraph">
    <w:name w:val="List Paragraph"/>
    <w:basedOn w:val="Normal"/>
    <w:uiPriority w:val="34"/>
    <w:qFormat/>
    <w:rsid w:val="00543DB5"/>
    <w:pPr>
      <w:ind w:left="720"/>
      <w:contextualSpacing/>
    </w:pPr>
  </w:style>
  <w:style w:type="character" w:customStyle="1" w:styleId="Heading3Char">
    <w:name w:val="Heading 3 Char"/>
    <w:basedOn w:val="DefaultParagraphFont"/>
    <w:link w:val="Heading3"/>
    <w:uiPriority w:val="9"/>
    <w:rsid w:val="004D79CA"/>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hyperlink" Target="https://www.worldbank.org/en/topic/extractiveindustries/publication/minerals-for-climate-action-the-mineral-intensity-of-the-clean-energy-transition" TargetMode="External"/><Relationship Id="rId21" Type="http://schemas.openxmlformats.org/officeDocument/2006/relationships/customXml" Target="ink/ink6.xml"/><Relationship Id="rId34" Type="http://schemas.openxmlformats.org/officeDocument/2006/relationships/image" Target="media/image15.png"/><Relationship Id="rId42" Type="http://schemas.openxmlformats.org/officeDocument/2006/relationships/hyperlink" Target="https://www.investing.com/equities/rio-tinto-limited" TargetMode="External"/><Relationship Id="rId47" Type="http://schemas.openxmlformats.org/officeDocument/2006/relationships/hyperlink" Target="https://www.persistencemarketresearch.com/market-research/iron-ore-mining-market.asp" TargetMode="External"/><Relationship Id="rId50" Type="http://schemas.openxmlformats.org/officeDocument/2006/relationships/hyperlink" Target="https://www.sec.gov/Archives/edgar/data/0000863064/000162828023004989/rio-20221231.htm" TargetMode="External"/><Relationship Id="rId55" Type="http://schemas.openxmlformats.org/officeDocument/2006/relationships/hyperlink" Target="https://www.riotinto.com/en/invest/reports/annual-repor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0.png"/><Relationship Id="rId11" Type="http://schemas.openxmlformats.org/officeDocument/2006/relationships/customXml" Target="ink/ink1.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hyperlink" Target="https://investors.fortescue.com/en" TargetMode="External"/><Relationship Id="rId40" Type="http://schemas.openxmlformats.org/officeDocument/2006/relationships/hyperlink" Target="https://www.ibisworld.com/global/market-size/global-iron-ore-mining/" TargetMode="External"/><Relationship Id="rId45" Type="http://schemas.openxmlformats.org/officeDocument/2006/relationships/hyperlink" Target="https://www.marketresearchfuture.com/reports/iron-ore-market-8004" TargetMode="External"/><Relationship Id="rId53" Type="http://schemas.openxmlformats.org/officeDocument/2006/relationships/hyperlink" Target="https://www.riotinto.com/en/invest/reports/annual-report"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customXml" Target="ink/ink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customXml" Target="ink/ink9.xm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www.macrotrends.net/stocks/charts/RIO/rio-tinto/revenue" TargetMode="External"/><Relationship Id="rId48" Type="http://schemas.openxmlformats.org/officeDocument/2006/relationships/hyperlink" Target="https://portersfiveforce.com/blogs/competitors/bhp" TargetMode="External"/><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sec.gov/Archives/edgar/data/0000863064/000162828024005775/ex991results.htm"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image" Target="media/image14.png"/><Relationship Id="rId38" Type="http://schemas.openxmlformats.org/officeDocument/2006/relationships/hyperlink" Target="https://www.grandviewresearch.com/industry-analysis/iron-ore-market-report" TargetMode="External"/><Relationship Id="rId46" Type="http://schemas.openxmlformats.org/officeDocument/2006/relationships/hyperlink" Target="https://matrixbcg.com/blogs/competitors/riotinto" TargetMode="External"/><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iea.org/reports/global-critical-minerals-outlook-2024" TargetMode="External"/><Relationship Id="rId54" Type="http://schemas.openxmlformats.org/officeDocument/2006/relationships/hyperlink" Target="https://www.sec.gov/Archives/edgar/data/0000863064/000162828026009503/ye25-pressreleasex19feb.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png"/><Relationship Id="rId36" Type="http://schemas.openxmlformats.org/officeDocument/2006/relationships/hyperlink" Target="https://www.bhp.com/-/media/documents/media/reports-and-presentations/2024/240827_bhpresultsfortheyearended30june2024.pdf" TargetMode="External"/><Relationship Id="rId49" Type="http://schemas.openxmlformats.org/officeDocument/2006/relationships/hyperlink" Target="https://www.sec.gov/Archives/edgar/data/0000863064/000162828022003450/ex1pressrelease.htm" TargetMode="External"/><Relationship Id="rId57" Type="http://schemas.openxmlformats.org/officeDocument/2006/relationships/footer" Target="footer2.xml"/><Relationship Id="rId10" Type="http://schemas.openxmlformats.org/officeDocument/2006/relationships/endnotes" Target="endnotes.xml"/><Relationship Id="rId31" Type="http://schemas.openxmlformats.org/officeDocument/2006/relationships/image" Target="media/image12.png"/><Relationship Id="rId44" Type="http://schemas.openxmlformats.org/officeDocument/2006/relationships/hyperlink" Target="https://www.macrotrends.net/stocks/charts/RIO/rio-tinto/stock-price-history" TargetMode="External"/><Relationship Id="rId52" Type="http://schemas.openxmlformats.org/officeDocument/2006/relationships/hyperlink" Target="https://www.sec.gov/Archives/edgar/data/0000863064/000162828025006422/exhibit991ye24-pressrele.htm" TargetMode="External"/><Relationship Id="rId60" Type="http://schemas.microsoft.com/office/2020/10/relationships/intelligence" Target="intelligence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54.956"/>
    </inkml:context>
    <inkml:brush xml:id="br0">
      <inkml:brushProperty name="width" value="0.2" units="cm"/>
      <inkml:brushProperty name="height" value="0.2" units="cm"/>
    </inkml:brush>
  </inkml:definitions>
  <inkml:trace contextRef="#ctx0" brushRef="#br0">1 57 24575,'19'0'0,"-1"0"0,-9 0 0,-1 0 0,-2 0 0,-1 0 0,0 0 0,1 0 0,-1 0 0,0 0 0,2 0 0,-1 0 0,1 0 0,-1 0 0,1 0 0,0 0 0,1 0 0,-1 0 0,1 0 0,0 0 0,1 0 0,0 0 0,0 0 0,2 0 0,4 0 0,3 0 0,2 0 0,3 0 0,0 0 0,-1 0 0,2 0 0,-3 0 0,-1 0 0,-3 0 0,-1 0 0,-1 0 0,0-1 0,-1-1 0,1 1 0,0-2 0,-1 1 0,1 0 0,-3 1 0,1 1 0,2-2 0,-1 0 0,1 0 0,-1 1 0,-3 1 0,-1 0 0,-1 0 0,-1-1 0,1-1 0,-1 0 0,2 1 0,-1 0 0,1-1 0,1 0 0,0 0 0,2 0 0,0 1 0,2-2 0,0 0 0,-1 1 0,-1 0 0,-1 0 0,-1 0 0,0 1 0,0 1 0,1-1 0,-1 0 0,0-1 0,-1 1 0,0 0 0,0 1 0,-1 0 0,-3 0 0,2 0 0,-2 0 0,1 0 0,-1 0 0,0 0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50.156"/>
    </inkml:context>
    <inkml:brush xml:id="br0">
      <inkml:brushProperty name="width" value="0.2" units="cm"/>
      <inkml:brushProperty name="height" value="0.2" units="cm"/>
    </inkml:brush>
  </inkml:definitions>
  <inkml:trace contextRef="#ctx0" brushRef="#br0">1 21 24575,'39'0'0,"4"0"0,4 0 0,0 0 0,-3 0 0,-6 0 0,-2 0 0,-3 0 0,-4 0 0,-2 0 0,-4 0 0,-1 0 0,0 0 0,-1 0 0,-2 0 0,-3 0 0,-2 0 0,-1 0 0,-1 0 0,1 0 0,0 0 0,-1 0 0,1 0 0,-1 0 0,1 0 0,-1 0 0,1 0 0,0 0 0,-1 0 0,2-2 0,1 1 0,1-1 0,0 0 0,-1 2 0,1 0 0,-1 0 0,-1 0 0,1 0 0,-3 0 0,0 0 0,-1-2 0,-1 1 0,-2-1 0,-1 1 0,0 1 0,0-1 0,0 1 0,-1 0 0,1 0 0,0 0 0,0 0 0,1-1 0,-2-1 0,0 1 0,0-1 0,0 2 0,-1 0 0,1 0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46.623"/>
    </inkml:context>
    <inkml:brush xml:id="br0">
      <inkml:brushProperty name="width" value="0.2" units="cm"/>
      <inkml:brushProperty name="height" value="0.2" units="cm"/>
    </inkml:brush>
  </inkml:definitions>
  <inkml:trace contextRef="#ctx0" brushRef="#br0">1 13 24575,'22'0'0,"3"0"0,-4 0 0,7 0 0,6 0 0,3 0 0,2 0 0,0 0 0,-2 0 0,-2 0 0,-5 0 0,-2 0 0,-4 0 0,-1 0 0,-2 0 0,-1 0 0,-1 0 0,0 0 0,-3 0 0,-1 0 0,1 0 0,-1 0 0,2 0 0,1 0 0,0 0 0,0 0 0,-3 0 0,0 0 0,-3 0 0,1 0 0,-2 0 0,0 0 0,0 0 0,0 0 0,1 0 0,1 0 0,-1 0 0,1 0 0,0 0 0,-1 0 0,-1 0 0,-2 0 0,-1 0 0,-1 0 0,1 0 0,0-2 0,1-1 0,-1 0 0,-1 0 0,0 3 0,0-1 0,0 1 0,0 0 0,-2 0 0,0 0 0,1 0 0,0 0 0,0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42.890"/>
    </inkml:context>
    <inkml:brush xml:id="br0">
      <inkml:brushProperty name="width" value="0.2" units="cm"/>
      <inkml:brushProperty name="height" value="0.2" units="cm"/>
    </inkml:brush>
  </inkml:definitions>
  <inkml:trace contextRef="#ctx0" brushRef="#br0">1 27 24575,'33'0'0,"-4"0"0,-11 0 0,-2 0 0,-1 0 0,-2 0 0,0 0 0,-1 0 0,3 0 0,-1 0 0,1 0 0,-2 0 0,-3 0 0,-2 0 0,0 0 0,2 0 0,0 0 0,2-2 0,2-1 0,3-1 0,1 0 0,0 3 0,0 1 0,1 0 0,-1-1 0,4-1 0,1 1 0,-1-1 0,-1 2 0,-2 0 0,-2-1 0,1 0 0,-2-1 0,0 0 0,-2 2 0,-1 0 0,-1 0 0,1 0 0,-2 0 0,-2 0 0,0 0 0,-2 0 0,0 0 0,1 0 0,-2 0 0,2 0 0,-1 0 0,1 0 0,1 0 0,2 0 0,-2 0 0,0 0 0,-3 0 0,1 0 0,0 0 0,0 0 0,2 0 0,-1 0 0,0 0 0,1 0 0,0 0 0,1 0 0,-1 0 0,-1 0 0,-2 0 0,0 0 0,0 0 0,-1 0 0,1 0 0,0 0 0,2 0 0,0 0 0,1 0 0,-1 0 0,-1 0 0,0 0 0,-1 0 0,-1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38.373"/>
    </inkml:context>
    <inkml:brush xml:id="br0">
      <inkml:brushProperty name="width" value="0.2" units="cm"/>
      <inkml:brushProperty name="height" value="0.2" units="cm"/>
    </inkml:brush>
  </inkml:definitions>
  <inkml:trace contextRef="#ctx0" brushRef="#br0">0 7 24575,'20'0'0,"0"0"0,-3 0 0,7 0 0,7 0 0,4 0 0,4 0 0,-2 0 0,-6 0 0,-3 0 0,-8 0 0,-4 0 0,-2 0 0,-2 0 0,-1 0 0,0 0 0,0 0 0,0 0 0,2 0 0,-1 0 0,1 0 0,0 0 0,-1 0 0,1 0 0,-1 0 0,1 0 0,-1 0 0,1 0 0,0 0 0,1 0 0,2 0 0,1 0 0,-1 0 0,-2 0 0,1 0 0,0 0 0,1 0 0,2 0 0,0 0 0,1 0 0,-1 0 0,0 0 0,-1 0 0,-1 0 0,1 0 0,-3 0 0,0 0 0,-1 0 0,0-1 0,-2 0 0,-2-1 0,-1 1 0,-2 0 0,0 1 0,0 0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30.856"/>
    </inkml:context>
    <inkml:brush xml:id="br0">
      <inkml:brushProperty name="width" value="0.2" units="cm"/>
      <inkml:brushProperty name="height" value="0.2" units="cm"/>
    </inkml:brush>
  </inkml:definitions>
  <inkml:trace contextRef="#ctx0" brushRef="#br0">1 9 24575,'33'0'0,"3"0"0,4 0 0,6 0 0,3 0 0,0 0 0,-1 0 0,-6 0 0,-3 0 0,-2 0 0,-2 0 0,-2 0 0,1 0 0,0 0 0,1 0 0,2 0 0,-3 0 0,-3 0 0,-3 0 0,-4 0 0,-2 0 0,2 0 0,1 0 0,1 0 0,0 0 0,0 0 0,2 0 0,1 0 0,5 0 0,4 0 0,3 0 0,1 0 0,-1 0 0,-3 0 0,-2 0 0,-4 0 0,-2 0 0,1 0 0,1 0 0,4 0 0,5 0 0,5 0 0,3 0 0,0 0 0,-5-1 0,-7-1 0,-7 0 0,-7 0 0,-3 1 0,-2 1 0,-1 0 0,1 0 0,1 0 0,1 0 0,0 0 0,0 0 0,2 0 0,-1 0 0,-2 0 0,-1 0 0,-3 0 0,-1 0 0,1 0 0,1 0 0,0 0 0,1 0 0,1 0 0,0 0 0,1 0 0,-3 0 0,-2 0 0,-1 0 0,-1 0 0,1 0 0,0 0 0,-1 0 0,0 0 0,-1 0 0,0 0 0,0 0 0,0 0 0,0 0 0,-1 0 0,-1 0 0,0 0 0,1 0 0,0 0 0,0 0 0,0 0 0,0 0 0,2 0 0,0 0 0,1 0 0,-1 0 0,0 0 0,-2 0 0,-2 0 0,-1 0 0,0 0 0,-1 0 0,2 0 0,0 0 0,0 0 0,-1 0 0,0 0 0,-2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26.639"/>
    </inkml:context>
    <inkml:brush xml:id="br0">
      <inkml:brushProperty name="width" value="0.2" units="cm"/>
      <inkml:brushProperty name="height" value="0.2" units="cm"/>
    </inkml:brush>
  </inkml:definitions>
  <inkml:trace contextRef="#ctx0" brushRef="#br0">0 15 24575,'29'0'0,"0"0"0,-7 0 0,3 0 0,1 0 0,0 0 0,1 0 0,-1 0 0,0 0 0,-2 0 0,0 0 0,-2 0 0,-1 0 0,-1 0 0,0 0 0,0 0 0,0 0 0,1 0 0,1 0 0,1 0 0,-1 0 0,2 1 0,0 1 0,-1 0 0,0-1 0,0 0 0,0-1 0,-1 1 0,-1 1 0,2-1 0,0 1 0,0-2 0,-1 0 0,1 1 0,2 0 0,-3 1 0,-2-1 0,0 0 0,-2-1 0,2 0 0,0 0 0,-1 0 0,0 0 0,-1 0 0,0 0 0,0 0 0,-3 0 0,1 0 0,-1 0 0,-1 0 0,1 0 0,-1 0 0,1 0 0,0 0 0,1 0 0,0 0 0,1 0 0,1 0 0,0 0 0,0 0 0,1 0 0,1 0 0,0-2 0,-2 0 0,0 0 0,0 0 0,0 1 0,1-1 0,0 1 0,-1 0 0,1 0 0,-1-1 0,0 0 0,-1 1 0,1-1 0,1 0 0,1 0 0,-1 0 0,-1 1 0,0-1 0,-1 0 0,2 1 0,1 1 0,1 0 0,1 0 0,1 0 0,0 0 0,0 0 0,-3 0 0,-2 0 0,-3 0 0,-3 0 0,1 0 0,-1 0 0,1 0 0,0 0 0,-2 0 0,-1 0 0,-1 0 0,-1 0 0,1 0 0,-1 0 0,-1 0 0,-1 0 0,-2 0 0,2 0 0,-1 0 0,0 0 0,2 0 0,-1 0 0,1 0 0,1 0 0,-2 0 0,1 0 0,-1 0 0,0 0 0,0 0 0,0 0 0,1 0 0,-1 0 0,2 0 0,-5 0 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19.390"/>
    </inkml:context>
    <inkml:brush xml:id="br0">
      <inkml:brushProperty name="width" value="0.2" units="cm"/>
      <inkml:brushProperty name="height" value="0.2" units="cm"/>
    </inkml:brush>
  </inkml:definitions>
  <inkml:trace contextRef="#ctx0" brushRef="#br0">0 48 24575,'49'0'0,"1"0"0,11 0 0,3 0 0,-5 0 0,-5 0 0,-16 0 0,-2 0 0,-1 0 0,0 0 0,0 0 0,-3 0 0,-2 0 0,-3 0 0,-3 0 0,-4 0 0,-2 0 0,0 0 0,-1 0 0,2-1 0,0 0 0,1-1 0,1-1 0,1 0 0,2 1 0,2-1 0,4 1 0,1-2 0,-1 1 0,1-1 0,-1 1 0,0 0 0,2 1 0,0 0 0,-1-2 0,2 2 0,-3 0 0,0 1 0,-2 1 0,-2 0 0,-3 0 0,-1 0 0,-2 0 0,0 0 0,0 0 0,0 0 0,-2 0 0,0 0 0,-2 0 0,-1 0 0,-1 0 0,-1 0 0,-1 0 0,1 0 0,-1 0 0,1 0 0,-1 0 0,1 0 0,-2 0 0,-1 0 0,1 0 0,1 0 0,1 1 0,-1 2 0,1 0 0,-1 2 0,1-2 0,0 0 0,-1 0 0,0-1 0,-1 0 0,0 0 0,0-1 0,1 0 0,0 1 0,3-1 0,-1 1 0,1-1 0,0 1 0,0-1 0,3 1 0,2 1 0,1-1 0,0 0 0,0-1 0,1-1 0,0 0 0,0 0 0,-1 0 0,-1 0 0,-2 0 0,0 0 0,-1 0 0,-1 0 0,0 0 0,-1 0 0,-2 0 0,0 0 0,-1 0 0,1 0 0,1 0 0,1 0 0,1 0 0,0 0 0,-1 0 0,-1 0 0,-1 0 0,-1 0 0,1 0 0,-1 0 0,0 0 0,-1 0 0,-1 0 0,0 0 0,-2 0 0,2 0 0,0 0 0,1 0 0,1 0 0,1 0 0,0 0 0,-1 0 0,1 0 0,-1 0 0,-1 0 0,-2 0 0,-1 0 0,-1 0 0,0 0 0,0 0 0,0 0 0,-1 0 0,1 0 0,-1 0 0,2 0 0,0 0 0,2 0 0,-1 0 0,1 0 0,-1 0 0,0 0 0,-1 0 0,0 0 0,-1 0 0,0 0 0,0 0 0,2 0 0,-2 0 0,1 0 0,-1 0 0,-1 0 0,1 0 0,-1 0 0,-22 0 0,10 0 0,-17 0 0,17-1 0,1-1 0,0-1 0</inkml:trace>
  <inkml:trace contextRef="#ctx0" brushRef="#br0" timeOffset="2533">1012 61 24575,'21'0'0,"-2"0"0,-6 0 0,-1 0 0,1 0 0,-1 0 0,1-1 0,0-2 0,-1-1 0,1 0 0,0 2 0,-1 2 0,0 0 0,-2 0 0,0 0 0,-2 0 0,0 0 0,-1 0 0,0 0 0,2 0 0,0 0 0,2-1 0,-2 0 0,1-1 0,-1 1 0,0 0 0,0 1 0,-1 0 0,1 0 0,0 0 0,0 0 0,0 0 0,1 0 0,0-1 0,2 0 0,0-1 0,1 0 0,1 2 0,1 0 0,-1 0 0,1 0 0,-4-1 0,-2-1 0,-1 1 0,-1 0 0,0 0 0,-1 1 0,0 0 0,-1 0 0,0 0 0,1 0 0,0 0 0,1 0 0,-1 0 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49:14.673"/>
    </inkml:context>
    <inkml:brush xml:id="br0">
      <inkml:brushProperty name="width" value="0.2" units="cm"/>
      <inkml:brushProperty name="height" value="0.2" units="cm"/>
    </inkml:brush>
  </inkml:definitions>
  <inkml:trace contextRef="#ctx0" brushRef="#br0">0 41 24575,'16'0'0,"0"0"0,-8 0 0,0 0 0,0 0 0,0 0 0,3 0 0,0 0 0,3 0 0,4 0 0,3 0 0,2 0 0,-1 0 0,-3 0 0,0 0 0,-4 0 0,0 0 0,-3 0 0,2 0 0,1 0 0,0 0 0,1 0 0,-2 0 0,1 0 0,-1 0 0,1 0 0,-1 0 0,1 0 0,-1 0 0,-2 0 0,1-3 0,0 0 0,0-1 0,-1 1 0,1 2 0,0 1 0,-1 0 0,1 0 0,-1 0 0,2 0 0,1-1 0,3-1 0,1 0 0,2 1 0,0-1 0,1 0 0,1 0 0,-1 0 0,-1 2 0,-1-1 0,-1-1 0,-2 0 0,1 1 0,1 1 0,2-1 0,2-1 0,1 0 0,1 0 0,1 2 0,0 0 0,0 0 0,0 0 0,0 0 0,-1 0 0,2 0 0,-3 0 0,-2 0 0,-2 0 0,-3 0 0,-2 0 0,-1 0 0,-3 0 0,-2 0 0,0 0 0,-1 0 0,0 0 0,1 0 0,1 0 0,-1 0 0,2 0 0,0 0 0,-1 0 0,1 0 0,-2 0 0,0 0 0,1 0 0,-1 0 0,2 0 0,-2 0 0,2 0 0,-2 0 0,-1 0 0,1 0 0,-1 0 0,0 0 0,0 0 0,-2 0 0,0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53395A916CFB447A09CF9C3FC740C59" ma:contentTypeVersion="3" ma:contentTypeDescription="Create a new document." ma:contentTypeScope="" ma:versionID="9370a18890850cad373833044977b9ac">
  <xsd:schema xmlns:xsd="http://www.w3.org/2001/XMLSchema" xmlns:xs="http://www.w3.org/2001/XMLSchema" xmlns:p="http://schemas.microsoft.com/office/2006/metadata/properties" xmlns:ns2="428a1135-f696-49e7-b9b7-de377f5ee134" targetNamespace="http://schemas.microsoft.com/office/2006/metadata/properties" ma:root="true" ma:fieldsID="b67fb8804d6a2d9bda121da6e5dfd168" ns2:_="">
    <xsd:import namespace="428a1135-f696-49e7-b9b7-de377f5ee13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a1135-f696-49e7-b9b7-de377f5ee1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1336BA-F81C-3C4C-8B93-DF27E6267DC3}">
  <ds:schemaRefs>
    <ds:schemaRef ds:uri="http://schemas.openxmlformats.org/officeDocument/2006/bibliography"/>
  </ds:schemaRefs>
</ds:datastoreItem>
</file>

<file path=customXml/itemProps2.xml><?xml version="1.0" encoding="utf-8"?>
<ds:datastoreItem xmlns:ds="http://schemas.openxmlformats.org/officeDocument/2006/customXml" ds:itemID="{3DD204E0-4A91-4FD2-8CB3-953881B08197}">
  <ds:schemaRefs>
    <ds:schemaRef ds:uri="http://schemas.microsoft.com/sharepoint/v3/contenttype/forms"/>
  </ds:schemaRefs>
</ds:datastoreItem>
</file>

<file path=customXml/itemProps3.xml><?xml version="1.0" encoding="utf-8"?>
<ds:datastoreItem xmlns:ds="http://schemas.openxmlformats.org/officeDocument/2006/customXml" ds:itemID="{C677F3F2-8B36-4CB7-939E-1752729C0AE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858C6D-3A5C-4997-9FFC-C8CBC9776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a1135-f696-49e7-b9b7-de377f5ee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3109</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Shaileshkumar Patel</dc:creator>
  <cp:keywords/>
  <dc:description/>
  <cp:lastModifiedBy>Namesh Panneer Selvan .</cp:lastModifiedBy>
  <cp:revision>7</cp:revision>
  <dcterms:created xsi:type="dcterms:W3CDTF">2026-06-05T13:02:00Z</dcterms:created>
  <dcterms:modified xsi:type="dcterms:W3CDTF">2026-09-15T08:50:00Z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0x010100F53395A916CFB447A09CF9C3FC740C59</vt:lpwstr>
  </property>
</Properties>
</file>