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namgun.or.kr Unified Portal SSO Integration Platform</w:t>
      </w:r>
    </w:p>
    <w:p>
      <w:pPr>
        <w:pStyle w:val="Heading2"/>
      </w:pPr>
      <w:r>
        <w:t>Project Design Document (PDD) v1.0</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pPr>
              <w:jc w:val="center"/>
            </w:pPr>
            <w:r/>
            <w:r>
              <w:rPr>
                <w:b/>
                <w:sz w:val="18"/>
              </w:rPr>
              <w:t>Item</w:t>
            </w:r>
          </w:p>
        </w:tc>
        <w:tc>
          <w:tcPr>
            <w:tcW w:type="dxa" w:w="4680"/>
            <w:shd w:val="clear" w:color="auto" w:fill="D9E2F3"/>
          </w:tcPr>
          <w:p>
            <w:pPr>
              <w:jc w:val="center"/>
            </w:pPr>
            <w:r/>
            <w:r>
              <w:rPr>
                <w:b/>
                <w:sz w:val="18"/>
              </w:rPr>
              <w:t>Detail</w:t>
            </w:r>
          </w:p>
        </w:tc>
      </w:tr>
      <w:tr>
        <w:tc>
          <w:tcPr>
            <w:tcW w:type="dxa" w:w="4680"/>
          </w:tcPr>
          <w:p>
            <w:r>
              <w:rPr>
                <w:sz w:val="18"/>
              </w:rPr>
            </w:r>
            <w:r>
              <w:rPr>
                <w:sz w:val="18"/>
              </w:rPr>
              <w:t>Document Version</w:t>
            </w:r>
          </w:p>
        </w:tc>
        <w:tc>
          <w:tcPr>
            <w:tcW w:type="dxa" w:w="4680"/>
          </w:tcPr>
          <w:p>
            <w:r>
              <w:rPr>
                <w:sz w:val="18"/>
              </w:rPr>
            </w:r>
            <w:r>
              <w:rPr>
                <w:sz w:val="18"/>
              </w:rPr>
              <w:t>v1.0</w:t>
            </w:r>
          </w:p>
        </w:tc>
      </w:tr>
      <w:tr>
        <w:tc>
          <w:tcPr>
            <w:tcW w:type="dxa" w:w="4680"/>
          </w:tcPr>
          <w:p>
            <w:r>
              <w:rPr>
                <w:sz w:val="18"/>
              </w:rPr>
            </w:r>
            <w:r>
              <w:rPr>
                <w:sz w:val="18"/>
              </w:rPr>
              <w:t>Date</w:t>
            </w:r>
          </w:p>
        </w:tc>
        <w:tc>
          <w:tcPr>
            <w:tcW w:type="dxa" w:w="4680"/>
          </w:tcPr>
          <w:p>
            <w:r>
              <w:rPr>
                <w:sz w:val="18"/>
              </w:rPr>
            </w:r>
            <w:r>
              <w:rPr>
                <w:sz w:val="18"/>
              </w:rPr>
              <w:t>2026-02-18</w:t>
            </w:r>
          </w:p>
        </w:tc>
      </w:tr>
      <w:tr>
        <w:tc>
          <w:tcPr>
            <w:tcW w:type="dxa" w:w="4680"/>
          </w:tcPr>
          <w:p>
            <w:r>
              <w:rPr>
                <w:sz w:val="18"/>
              </w:rPr>
            </w:r>
            <w:r>
              <w:rPr>
                <w:sz w:val="18"/>
              </w:rPr>
              <w:t>Author</w:t>
            </w:r>
          </w:p>
        </w:tc>
        <w:tc>
          <w:tcPr>
            <w:tcW w:type="dxa" w:w="4680"/>
          </w:tcPr>
          <w:p>
            <w:r>
              <w:rPr>
                <w:sz w:val="18"/>
              </w:rPr>
            </w:r>
            <w:r>
              <w:rPr>
                <w:sz w:val="18"/>
              </w:rPr>
              <w:t>Kiwan Nam</w:t>
            </w:r>
          </w:p>
        </w:tc>
      </w:tr>
      <w:tr>
        <w:tc>
          <w:tcPr>
            <w:tcW w:type="dxa" w:w="4680"/>
          </w:tcPr>
          <w:p>
            <w:r>
              <w:rPr>
                <w:sz w:val="18"/>
              </w:rPr>
            </w:r>
            <w:r>
              <w:rPr>
                <w:sz w:val="18"/>
              </w:rPr>
              <w:t>Classification</w:t>
            </w:r>
          </w:p>
        </w:tc>
        <w:tc>
          <w:tcPr>
            <w:tcW w:type="dxa" w:w="4680"/>
          </w:tcPr>
          <w:p>
            <w:r>
              <w:rPr>
                <w:sz w:val="18"/>
              </w:rPr>
            </w:r>
            <w:r>
              <w:rPr>
                <w:sz w:val="18"/>
              </w:rPr>
              <w:t>Internal / Confidential</w:t>
            </w:r>
          </w:p>
        </w:tc>
      </w:tr>
      <w:tr>
        <w:tc>
          <w:tcPr>
            <w:tcW w:type="dxa" w:w="4680"/>
          </w:tcPr>
          <w:p>
            <w:r>
              <w:rPr>
                <w:sz w:val="18"/>
              </w:rPr>
            </w:r>
            <w:r>
              <w:rPr>
                <w:sz w:val="18"/>
              </w:rPr>
              <w:t>Target Domain</w:t>
            </w:r>
          </w:p>
        </w:tc>
        <w:tc>
          <w:tcPr>
            <w:tcW w:type="dxa" w:w="4680"/>
          </w:tcPr>
          <w:p>
            <w:r>
              <w:rPr>
                <w:sz w:val="18"/>
              </w:rPr>
            </w:r>
            <w:r>
              <w:rPr>
                <w:sz w:val="18"/>
              </w:rPr>
              <w:t>namgun.or.kr (*.namgun.or.kr)</w:t>
            </w:r>
          </w:p>
        </w:tc>
      </w:tr>
    </w:tbl>
    <w:p/>
    <w:p>
      <w:pPr>
        <w:spacing w:after="120"/>
      </w:pPr>
    </w:p>
    <w:p>
      <w:pPr>
        <w:pStyle w:val="Heading2"/>
      </w:pPr>
      <w:r>
        <w:t>1. Project Overview</w:t>
      </w:r>
    </w:p>
    <w:p>
      <w:pPr>
        <w:pStyle w:val="Heading3"/>
      </w:pPr>
      <w:r>
        <w:t>1.1 Background &amp; Objectives</w:t>
      </w:r>
    </w:p>
    <w:p>
      <w:r>
        <w:t>Six independent services (Gitea, Game Panel, RustDesk, FileBrowser, BigBlueButton, Mail Server) are currently operated under the namgun.or.kr domain, each with its own authentication system. This results in credential sprawl and inconsistent security posture. This project aims to build a unified SSO portal that consolidates all services under a single credential source.</w:t>
      </w:r>
    </w:p>
    <w:p>
      <w:pPr>
        <w:pStyle w:val="Heading3"/>
      </w:pPr>
      <w:r>
        <w:t>1.2 Scope</w:t>
      </w:r>
    </w:p>
    <w:p>
      <w:pPr>
        <w:pStyle w:val="ListBullet"/>
      </w:pPr>
      <w:r>
        <w:t>Deploy SSO IdP (Authentik) with OIDC/LDAP integration across all services</w:t>
      </w:r>
    </w:p>
    <w:p>
      <w:pPr>
        <w:pStyle w:val="ListBullet"/>
      </w:pPr>
      <w:r>
        <w:t>Migrate mail server from iRedMail to Stalwart Mail Server</w:t>
      </w:r>
    </w:p>
    <w:p>
      <w:pPr>
        <w:pStyle w:val="ListBullet"/>
      </w:pPr>
      <w:r>
        <w:t>Restructure file server (OMV FileBrowser → WebDAV + Portal file tab)</w:t>
      </w:r>
    </w:p>
    <w:p>
      <w:pPr>
        <w:pStyle w:val="ListBullet"/>
      </w:pPr>
      <w:r>
        <w:t>Develop unified portal (mail, files, calendar, contacts, blog, notifications)</w:t>
      </w:r>
    </w:p>
    <w:p>
      <w:pPr>
        <w:pStyle w:val="ListBullet"/>
      </w:pPr>
      <w:r>
        <w:t>Consolidate Nginx reverse proxy (TLS termination, single entry point)</w:t>
      </w:r>
    </w:p>
    <w:p>
      <w:pPr>
        <w:pStyle w:val="ListBullet"/>
      </w:pPr>
      <w:r>
        <w:t>Separate test/production environments via Docker Compose Profiles</w:t>
      </w:r>
    </w:p>
    <w:p>
      <w:pPr>
        <w:spacing w:after="120"/>
      </w:pPr>
    </w:p>
    <w:p>
      <w:pPr>
        <w:pStyle w:val="Heading2"/>
      </w:pPr>
      <w:r>
        <w:t>2. Current Infrastructure</w:t>
      </w:r>
    </w:p>
    <w:p>
      <w:pPr>
        <w:pStyle w:val="Heading3"/>
      </w:pPr>
      <w:r>
        <w:t>2.1 Hardware Environment</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pPr>
              <w:jc w:val="center"/>
            </w:pPr>
            <w:r/>
            <w:r>
              <w:rPr>
                <w:b/>
                <w:sz w:val="18"/>
              </w:rPr>
              <w:t>Component</w:t>
            </w:r>
          </w:p>
        </w:tc>
        <w:tc>
          <w:tcPr>
            <w:tcW w:type="dxa" w:w="3120"/>
            <w:shd w:val="clear" w:color="auto" w:fill="D9E2F3"/>
          </w:tcPr>
          <w:p>
            <w:pPr>
              <w:jc w:val="center"/>
            </w:pPr>
            <w:r/>
            <w:r>
              <w:rPr>
                <w:b/>
                <w:sz w:val="18"/>
              </w:rPr>
              <w:t>Specifications</w:t>
            </w:r>
          </w:p>
        </w:tc>
        <w:tc>
          <w:tcPr>
            <w:tcW w:type="dxa" w:w="3120"/>
            <w:shd w:val="clear" w:color="auto" w:fill="D9E2F3"/>
          </w:tcPr>
          <w:p>
            <w:pPr>
              <w:jc w:val="center"/>
            </w:pPr>
            <w:r/>
            <w:r>
              <w:rPr>
                <w:b/>
                <w:sz w:val="18"/>
              </w:rPr>
              <w:t>Purpose</w:t>
            </w:r>
          </w:p>
        </w:tc>
      </w:tr>
      <w:tr>
        <w:tc>
          <w:tcPr>
            <w:tcW w:type="dxa" w:w="3120"/>
          </w:tcPr>
          <w:p>
            <w:r>
              <w:rPr>
                <w:sz w:val="18"/>
              </w:rPr>
            </w:r>
            <w:r>
              <w:rPr>
                <w:sz w:val="18"/>
              </w:rPr>
              <w:t>Homelab Server</w:t>
            </w:r>
          </w:p>
        </w:tc>
        <w:tc>
          <w:tcPr>
            <w:tcW w:type="dxa" w:w="3120"/>
          </w:tcPr>
          <w:p>
            <w:r>
              <w:rPr>
                <w:sz w:val="18"/>
              </w:rPr>
            </w:r>
            <w:r>
              <w:rPr>
                <w:sz w:val="18"/>
              </w:rPr>
              <w:t>Dual Intel Xeon Gold 6138 / 128GB RAM</w:t>
            </w:r>
          </w:p>
        </w:tc>
        <w:tc>
          <w:tcPr>
            <w:tcW w:type="dxa" w:w="3120"/>
          </w:tcPr>
          <w:p>
            <w:r>
              <w:rPr>
                <w:sz w:val="18"/>
              </w:rPr>
            </w:r>
            <w:r>
              <w:rPr>
                <w:sz w:val="18"/>
              </w:rPr>
              <w:t>Docker Host, Hyper-V Host</w:t>
            </w:r>
          </w:p>
        </w:tc>
      </w:tr>
      <w:tr>
        <w:tc>
          <w:tcPr>
            <w:tcW w:type="dxa" w:w="3120"/>
          </w:tcPr>
          <w:p>
            <w:r>
              <w:rPr>
                <w:sz w:val="18"/>
              </w:rPr>
            </w:r>
            <w:r>
              <w:rPr>
                <w:sz w:val="18"/>
              </w:rPr>
              <w:t>NAS Storage</w:t>
            </w:r>
          </w:p>
        </w:tc>
        <w:tc>
          <w:tcPr>
            <w:tcW w:type="dxa" w:w="3120"/>
          </w:tcPr>
          <w:p>
            <w:r>
              <w:rPr>
                <w:sz w:val="18"/>
              </w:rPr>
            </w:r>
            <w:r>
              <w:rPr>
                <w:sz w:val="18"/>
              </w:rPr>
              <w:t>4TB HDD (Hyper-V passthrough)</w:t>
            </w:r>
          </w:p>
        </w:tc>
        <w:tc>
          <w:tcPr>
            <w:tcW w:type="dxa" w:w="3120"/>
          </w:tcPr>
          <w:p>
            <w:r>
              <w:rPr>
                <w:sz w:val="18"/>
              </w:rPr>
            </w:r>
            <w:r>
              <w:rPr>
                <w:sz w:val="18"/>
              </w:rPr>
              <w:t>OMV VM → File server</w:t>
            </w:r>
          </w:p>
        </w:tc>
      </w:tr>
      <w:tr>
        <w:tc>
          <w:tcPr>
            <w:tcW w:type="dxa" w:w="3120"/>
          </w:tcPr>
          <w:p>
            <w:r>
              <w:rPr>
                <w:sz w:val="18"/>
              </w:rPr>
            </w:r>
            <w:r>
              <w:rPr>
                <w:sz w:val="18"/>
              </w:rPr>
              <w:t>Mail Server</w:t>
            </w:r>
          </w:p>
        </w:tc>
        <w:tc>
          <w:tcPr>
            <w:tcW w:type="dxa" w:w="3120"/>
          </w:tcPr>
          <w:p>
            <w:r>
              <w:rPr>
                <w:sz w:val="18"/>
              </w:rPr>
            </w:r>
            <w:r>
              <w:rPr>
                <w:sz w:val="18"/>
              </w:rPr>
              <w:t>Dedicated host 211.244.144.69</w:t>
            </w:r>
          </w:p>
        </w:tc>
        <w:tc>
          <w:tcPr>
            <w:tcW w:type="dxa" w:w="3120"/>
          </w:tcPr>
          <w:p>
            <w:r>
              <w:rPr>
                <w:sz w:val="18"/>
              </w:rPr>
            </w:r>
            <w:r>
              <w:rPr>
                <w:sz w:val="18"/>
              </w:rPr>
              <w:t>iRedMail (SMTP/IMAP)</w:t>
            </w:r>
          </w:p>
        </w:tc>
      </w:tr>
    </w:tbl>
    <w:p/>
    <w:p>
      <w:pPr>
        <w:pStyle w:val="Heading3"/>
      </w:pPr>
      <w:r>
        <w:t>2.2 Service Inventory &amp; SSO Feasibility</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D9E2F3"/>
          </w:tcPr>
          <w:p>
            <w:pPr>
              <w:jc w:val="center"/>
            </w:pPr>
            <w:r/>
            <w:r>
              <w:rPr>
                <w:b/>
                <w:sz w:val="18"/>
              </w:rPr>
              <w:t>Service</w:t>
            </w:r>
          </w:p>
        </w:tc>
        <w:tc>
          <w:tcPr>
            <w:tcW w:type="dxa" w:w="1872"/>
            <w:shd w:val="clear" w:color="auto" w:fill="D9E2F3"/>
          </w:tcPr>
          <w:p>
            <w:pPr>
              <w:jc w:val="center"/>
            </w:pPr>
            <w:r/>
            <w:r>
              <w:rPr>
                <w:b/>
                <w:sz w:val="18"/>
              </w:rPr>
              <w:t>Subdomain</w:t>
            </w:r>
          </w:p>
        </w:tc>
        <w:tc>
          <w:tcPr>
            <w:tcW w:type="dxa" w:w="1872"/>
            <w:shd w:val="clear" w:color="auto" w:fill="D9E2F3"/>
          </w:tcPr>
          <w:p>
            <w:pPr>
              <w:jc w:val="center"/>
            </w:pPr>
            <w:r/>
            <w:r>
              <w:rPr>
                <w:b/>
                <w:sz w:val="18"/>
              </w:rPr>
              <w:t>SSO Method</w:t>
            </w:r>
          </w:p>
        </w:tc>
        <w:tc>
          <w:tcPr>
            <w:tcW w:type="dxa" w:w="1872"/>
            <w:shd w:val="clear" w:color="auto" w:fill="D9E2F3"/>
          </w:tcPr>
          <w:p>
            <w:pPr>
              <w:jc w:val="center"/>
            </w:pPr>
            <w:r/>
            <w:r>
              <w:rPr>
                <w:b/>
                <w:sz w:val="18"/>
              </w:rPr>
              <w:t>Portal Integration</w:t>
            </w:r>
          </w:p>
        </w:tc>
        <w:tc>
          <w:tcPr>
            <w:tcW w:type="dxa" w:w="1872"/>
            <w:shd w:val="clear" w:color="auto" w:fill="D9E2F3"/>
          </w:tcPr>
          <w:p>
            <w:pPr>
              <w:jc w:val="center"/>
            </w:pPr>
            <w:r/>
            <w:r>
              <w:rPr>
                <w:b/>
                <w:sz w:val="18"/>
              </w:rPr>
              <w:t>Priority</w:t>
            </w:r>
          </w:p>
        </w:tc>
      </w:tr>
      <w:tr>
        <w:tc>
          <w:tcPr>
            <w:tcW w:type="dxa" w:w="1872"/>
          </w:tcPr>
          <w:p>
            <w:r>
              <w:rPr>
                <w:sz w:val="18"/>
              </w:rPr>
            </w:r>
            <w:r>
              <w:rPr>
                <w:sz w:val="18"/>
              </w:rPr>
              <w:t>Gitea</w:t>
            </w:r>
          </w:p>
        </w:tc>
        <w:tc>
          <w:tcPr>
            <w:tcW w:type="dxa" w:w="1872"/>
          </w:tcPr>
          <w:p>
            <w:r>
              <w:rPr>
                <w:sz w:val="18"/>
              </w:rPr>
            </w:r>
            <w:r>
              <w:rPr>
                <w:sz w:val="18"/>
              </w:rPr>
              <w:t>git.namgun.or.kr</w:t>
            </w:r>
          </w:p>
        </w:tc>
        <w:tc>
          <w:tcPr>
            <w:tcW w:type="dxa" w:w="1872"/>
          </w:tcPr>
          <w:p>
            <w:r>
              <w:rPr>
                <w:sz w:val="18"/>
              </w:rPr>
            </w:r>
            <w:r>
              <w:rPr>
                <w:sz w:val="18"/>
              </w:rPr>
              <w:t>OIDC native</w:t>
            </w:r>
          </w:p>
        </w:tc>
        <w:tc>
          <w:tcPr>
            <w:tcW w:type="dxa" w:w="1872"/>
          </w:tcPr>
          <w:p>
            <w:r>
              <w:rPr>
                <w:sz w:val="18"/>
              </w:rPr>
            </w:r>
            <w:r>
              <w:rPr>
                <w:sz w:val="18"/>
              </w:rPr>
              <w:t>External link</w:t>
            </w:r>
          </w:p>
        </w:tc>
        <w:tc>
          <w:tcPr>
            <w:tcW w:type="dxa" w:w="1872"/>
          </w:tcPr>
          <w:p>
            <w:r>
              <w:rPr>
                <w:sz w:val="18"/>
              </w:rPr>
            </w:r>
            <w:r>
              <w:rPr>
                <w:sz w:val="18"/>
              </w:rPr>
              <w:t>P1</w:t>
            </w:r>
          </w:p>
        </w:tc>
      </w:tr>
      <w:tr>
        <w:tc>
          <w:tcPr>
            <w:tcW w:type="dxa" w:w="1872"/>
          </w:tcPr>
          <w:p>
            <w:r>
              <w:rPr>
                <w:sz w:val="18"/>
              </w:rPr>
            </w:r>
            <w:r>
              <w:rPr>
                <w:sz w:val="18"/>
              </w:rPr>
              <w:t>RustDesk</w:t>
            </w:r>
          </w:p>
        </w:tc>
        <w:tc>
          <w:tcPr>
            <w:tcW w:type="dxa" w:w="1872"/>
          </w:tcPr>
          <w:p>
            <w:r>
              <w:rPr>
                <w:sz w:val="18"/>
              </w:rPr>
            </w:r>
            <w:r>
              <w:rPr>
                <w:sz w:val="18"/>
              </w:rPr>
              <w:t>remote.namgun.or.kr</w:t>
            </w:r>
          </w:p>
        </w:tc>
        <w:tc>
          <w:tcPr>
            <w:tcW w:type="dxa" w:w="1872"/>
          </w:tcPr>
          <w:p>
            <w:r>
              <w:rPr>
                <w:sz w:val="18"/>
              </w:rPr>
            </w:r>
            <w:r>
              <w:rPr>
                <w:sz w:val="18"/>
              </w:rPr>
              <w:t>OIDC (Pro)</w:t>
            </w:r>
          </w:p>
        </w:tc>
        <w:tc>
          <w:tcPr>
            <w:tcW w:type="dxa" w:w="1872"/>
          </w:tcPr>
          <w:p>
            <w:r>
              <w:rPr>
                <w:sz w:val="18"/>
              </w:rPr>
            </w:r>
            <w:r>
              <w:rPr>
                <w:sz w:val="18"/>
              </w:rPr>
              <w:t>External link</w:t>
            </w:r>
          </w:p>
        </w:tc>
        <w:tc>
          <w:tcPr>
            <w:tcW w:type="dxa" w:w="1872"/>
          </w:tcPr>
          <w:p>
            <w:r>
              <w:rPr>
                <w:sz w:val="18"/>
              </w:rPr>
            </w:r>
            <w:r>
              <w:rPr>
                <w:sz w:val="18"/>
              </w:rPr>
              <w:t>P1</w:t>
            </w:r>
          </w:p>
        </w:tc>
      </w:tr>
      <w:tr>
        <w:tc>
          <w:tcPr>
            <w:tcW w:type="dxa" w:w="1872"/>
          </w:tcPr>
          <w:p>
            <w:r>
              <w:rPr>
                <w:sz w:val="18"/>
              </w:rPr>
            </w:r>
            <w:r>
              <w:rPr>
                <w:sz w:val="18"/>
              </w:rPr>
              <w:t>BBB</w:t>
            </w:r>
          </w:p>
        </w:tc>
        <w:tc>
          <w:tcPr>
            <w:tcW w:type="dxa" w:w="1872"/>
          </w:tcPr>
          <w:p>
            <w:r>
              <w:rPr>
                <w:sz w:val="18"/>
              </w:rPr>
            </w:r>
            <w:r>
              <w:rPr>
                <w:sz w:val="18"/>
              </w:rPr>
              <w:t>meet.namgun.or.kr</w:t>
            </w:r>
          </w:p>
        </w:tc>
        <w:tc>
          <w:tcPr>
            <w:tcW w:type="dxa" w:w="1872"/>
          </w:tcPr>
          <w:p>
            <w:r>
              <w:rPr>
                <w:sz w:val="18"/>
              </w:rPr>
            </w:r>
            <w:r>
              <w:rPr>
                <w:sz w:val="18"/>
              </w:rPr>
              <w:t>OIDC (Greenlight 3.x)</w:t>
            </w:r>
          </w:p>
        </w:tc>
        <w:tc>
          <w:tcPr>
            <w:tcW w:type="dxa" w:w="1872"/>
          </w:tcPr>
          <w:p>
            <w:r>
              <w:rPr>
                <w:sz w:val="18"/>
              </w:rPr>
            </w:r>
            <w:r>
              <w:rPr>
                <w:sz w:val="18"/>
              </w:rPr>
              <w:t>External link</w:t>
            </w:r>
          </w:p>
        </w:tc>
        <w:tc>
          <w:tcPr>
            <w:tcW w:type="dxa" w:w="1872"/>
          </w:tcPr>
          <w:p>
            <w:r>
              <w:rPr>
                <w:sz w:val="18"/>
              </w:rPr>
            </w:r>
            <w:r>
              <w:rPr>
                <w:sz w:val="18"/>
              </w:rPr>
              <w:t>P2</w:t>
            </w:r>
          </w:p>
        </w:tc>
      </w:tr>
      <w:tr>
        <w:tc>
          <w:tcPr>
            <w:tcW w:type="dxa" w:w="1872"/>
          </w:tcPr>
          <w:p>
            <w:r>
              <w:rPr>
                <w:sz w:val="18"/>
              </w:rPr>
            </w:r>
            <w:r>
              <w:rPr>
                <w:sz w:val="18"/>
              </w:rPr>
              <w:t>Stalwart Mail</w:t>
            </w:r>
          </w:p>
        </w:tc>
        <w:tc>
          <w:tcPr>
            <w:tcW w:type="dxa" w:w="1872"/>
          </w:tcPr>
          <w:p>
            <w:r>
              <w:rPr>
                <w:sz w:val="18"/>
              </w:rPr>
            </w:r>
            <w:r>
              <w:rPr>
                <w:sz w:val="18"/>
              </w:rPr>
              <w:t>mail.namgun.or.kr</w:t>
            </w:r>
          </w:p>
        </w:tc>
        <w:tc>
          <w:tcPr>
            <w:tcW w:type="dxa" w:w="1872"/>
          </w:tcPr>
          <w:p>
            <w:r>
              <w:rPr>
                <w:sz w:val="18"/>
              </w:rPr>
            </w:r>
            <w:r>
              <w:rPr>
                <w:sz w:val="18"/>
              </w:rPr>
              <w:t>OIDC + LDAP</w:t>
            </w:r>
          </w:p>
        </w:tc>
        <w:tc>
          <w:tcPr>
            <w:tcW w:type="dxa" w:w="1872"/>
          </w:tcPr>
          <w:p>
            <w:r>
              <w:rPr>
                <w:sz w:val="18"/>
              </w:rPr>
            </w:r>
            <w:r>
              <w:rPr>
                <w:sz w:val="18"/>
              </w:rPr>
              <w:t>Native (JMAP)</w:t>
            </w:r>
          </w:p>
        </w:tc>
        <w:tc>
          <w:tcPr>
            <w:tcW w:type="dxa" w:w="1872"/>
          </w:tcPr>
          <w:p>
            <w:r>
              <w:rPr>
                <w:sz w:val="18"/>
              </w:rPr>
            </w:r>
            <w:r>
              <w:rPr>
                <w:sz w:val="18"/>
              </w:rPr>
              <w:t>P2</w:t>
            </w:r>
          </w:p>
        </w:tc>
      </w:tr>
      <w:tr>
        <w:tc>
          <w:tcPr>
            <w:tcW w:type="dxa" w:w="1872"/>
          </w:tcPr>
          <w:p>
            <w:r>
              <w:rPr>
                <w:sz w:val="18"/>
              </w:rPr>
            </w:r>
            <w:r>
              <w:rPr>
                <w:sz w:val="18"/>
              </w:rPr>
              <w:t>OMV/FileServer</w:t>
            </w:r>
          </w:p>
        </w:tc>
        <w:tc>
          <w:tcPr>
            <w:tcW w:type="dxa" w:w="1872"/>
          </w:tcPr>
          <w:p>
            <w:r>
              <w:rPr>
                <w:sz w:val="18"/>
              </w:rPr>
            </w:r>
            <w:r>
              <w:rPr>
                <w:sz w:val="18"/>
              </w:rPr>
              <w:t>file.namgun.or.kr</w:t>
            </w:r>
          </w:p>
        </w:tc>
        <w:tc>
          <w:tcPr>
            <w:tcW w:type="dxa" w:w="1872"/>
          </w:tcPr>
          <w:p>
            <w:r>
              <w:rPr>
                <w:sz w:val="18"/>
              </w:rPr>
            </w:r>
            <w:r>
              <w:rPr>
                <w:sz w:val="18"/>
              </w:rPr>
              <w:t>Proxy Auth</w:t>
            </w:r>
          </w:p>
        </w:tc>
        <w:tc>
          <w:tcPr>
            <w:tcW w:type="dxa" w:w="1872"/>
          </w:tcPr>
          <w:p>
            <w:r>
              <w:rPr>
                <w:sz w:val="18"/>
              </w:rPr>
            </w:r>
            <w:r>
              <w:rPr>
                <w:sz w:val="18"/>
              </w:rPr>
              <w:t>Native (WebDAV)</w:t>
            </w:r>
          </w:p>
        </w:tc>
        <w:tc>
          <w:tcPr>
            <w:tcW w:type="dxa" w:w="1872"/>
          </w:tcPr>
          <w:p>
            <w:r>
              <w:rPr>
                <w:sz w:val="18"/>
              </w:rPr>
            </w:r>
            <w:r>
              <w:rPr>
                <w:sz w:val="18"/>
              </w:rPr>
              <w:t>P2</w:t>
            </w:r>
          </w:p>
        </w:tc>
      </w:tr>
      <w:tr>
        <w:tc>
          <w:tcPr>
            <w:tcW w:type="dxa" w:w="1872"/>
          </w:tcPr>
          <w:p>
            <w:r>
              <w:rPr>
                <w:sz w:val="18"/>
              </w:rPr>
            </w:r>
            <w:r>
              <w:rPr>
                <w:sz w:val="18"/>
              </w:rPr>
              <w:t>Game Panel</w:t>
            </w:r>
          </w:p>
        </w:tc>
        <w:tc>
          <w:tcPr>
            <w:tcW w:type="dxa" w:w="1872"/>
          </w:tcPr>
          <w:p>
            <w:r>
              <w:rPr>
                <w:sz w:val="18"/>
              </w:rPr>
            </w:r>
            <w:r>
              <w:rPr>
                <w:sz w:val="18"/>
              </w:rPr>
              <w:t>game.namgun.or.kr</w:t>
            </w:r>
          </w:p>
        </w:tc>
        <w:tc>
          <w:tcPr>
            <w:tcW w:type="dxa" w:w="1872"/>
          </w:tcPr>
          <w:p>
            <w:r>
              <w:rPr>
                <w:sz w:val="18"/>
              </w:rPr>
            </w:r>
            <w:r>
              <w:rPr>
                <w:sz w:val="18"/>
              </w:rPr>
              <w:t>N/A (Discord OAuth2)</w:t>
            </w:r>
          </w:p>
        </w:tc>
        <w:tc>
          <w:tcPr>
            <w:tcW w:type="dxa" w:w="1872"/>
          </w:tcPr>
          <w:p>
            <w:r>
              <w:rPr>
                <w:sz w:val="18"/>
              </w:rPr>
            </w:r>
            <w:r>
              <w:rPr>
                <w:sz w:val="18"/>
              </w:rPr>
              <w:t>External link</w:t>
            </w:r>
          </w:p>
        </w:tc>
        <w:tc>
          <w:tcPr>
            <w:tcW w:type="dxa" w:w="1872"/>
          </w:tcPr>
          <w:p>
            <w:r>
              <w:rPr>
                <w:sz w:val="18"/>
              </w:rPr>
            </w:r>
            <w:r>
              <w:rPr>
                <w:sz w:val="18"/>
              </w:rPr>
              <w:t>-</w:t>
            </w:r>
          </w:p>
        </w:tc>
      </w:tr>
    </w:tbl>
    <w:p/>
    <w:p>
      <w:pPr>
        <w:spacing w:after="120"/>
      </w:pPr>
    </w:p>
    <w:p>
      <w:pPr>
        <w:pStyle w:val="Heading2"/>
      </w:pPr>
      <w:r>
        <w:t>3. Architecture Design</w:t>
      </w:r>
    </w:p>
    <w:p>
      <w:pPr>
        <w:pStyle w:val="Heading3"/>
      </w:pPr>
      <w:r>
        <w:t>3.1 Credential Source Topology</w:t>
      </w:r>
    </w:p>
    <w:p>
      <w:r>
        <w:t>Authentik serves as the Single Source of Truth for credentials, providing appropriate authentication protocols per service characteristics.</w:t>
      </w:r>
    </w:p>
    <w:p>
      <w:pPr>
        <w:spacing w:before="80" w:after="80"/>
        <w:ind w:left="567"/>
      </w:pPr>
      <w:r>
        <w:rPr>
          <w:rFonts w:ascii="Consolas" w:hAnsi="Consolas"/>
          <w:color w:val="333333"/>
          <w:sz w:val="16"/>
        </w:rPr>
        <w:t>[Authentik (Single Credential Source)]</w:t>
        <w:br/>
        <w:t xml:space="preserve">  ├── OIDC → Gitea, RustDesk, BBB, Stalwart (web), Portal</w:t>
        <w:br/>
        <w:t xml:space="preserve">  ├── LDAP Outpost → Stalwart (IMAP/SMTP, for mail clients)</w:t>
        <w:br/>
        <w:t xml:space="preserve">  ├── Proxy Auth → OMV WebDAV</w:t>
        <w:br/>
        <w:t xml:space="preserve">  └── X Game Panel (independent, Discord OAuth2)</w:t>
      </w:r>
    </w:p>
    <w:p>
      <w:pPr>
        <w:pStyle w:val="Heading3"/>
      </w:pPr>
      <w:r>
        <w:t>3.2 Network Architecture</w:t>
      </w:r>
    </w:p>
    <w:p>
      <w:r>
        <w:t>All external traffic enters through the Nginx reverse proxy as a single entry point. Internal service endpoints are never exposed externally.</w:t>
      </w:r>
    </w:p>
    <w:p>
      <w:pPr>
        <w:spacing w:before="80" w:after="80"/>
        <w:ind w:left="567"/>
      </w:pPr>
      <w:r>
        <w:rPr>
          <w:rFonts w:ascii="Consolas" w:hAnsi="Consolas"/>
          <w:color w:val="333333"/>
          <w:sz w:val="16"/>
        </w:rPr>
        <w:t>[Internet]</w:t>
        <w:br/>
        <w:t xml:space="preserve">    │</w:t>
        <w:br/>
        <w:t xml:space="preserve">    ▼</w:t>
        <w:br/>
        <w:t>[Nginx Reverse Proxy] (:443 TLS termination, single entry point)</w:t>
        <w:br/>
        <w:t xml:space="preserve">    │</w:t>
        <w:br/>
        <w:t xml:space="preserve">    ├── namgun.or.kr</w:t>
        <w:br/>
        <w:t xml:space="preserve">    │     ├── /          → Nuxt 3 Frontend (internal)</w:t>
        <w:br/>
        <w:t xml:space="preserve">    │     └── /api/*     → FastAPI Gateway (internal)</w:t>
        <w:br/>
        <w:t xml:space="preserve">    │           ├── /api/mail/*     → Stalwart JMAP</w:t>
        <w:br/>
        <w:t xml:space="preserve">    │           ├── /api/files/*    → OMV WebDAV</w:t>
        <w:br/>
        <w:t xml:space="preserve">    │           ├── /api/calendar/* → Stalwart CalDAV</w:t>
        <w:br/>
        <w:t xml:space="preserve">    │           ├── /api/contacts/* → Stalwart CardDAV</w:t>
        <w:br/>
        <w:t xml:space="preserve">    │           ├── /api/blog/*     → PostgreSQL</w:t>
        <w:br/>
        <w:t xml:space="preserve">    │           └── /api/notify/*   → Unified notifications</w:t>
        <w:br/>
        <w:t xml:space="preserve">    │</w:t>
        <w:br/>
        <w:t xml:space="preserve">    ├── auth.namgun.or.kr   → Authentik (IdP)</w:t>
        <w:br/>
        <w:t xml:space="preserve">    ├── git.namgun.or.kr    → Gitea</w:t>
        <w:br/>
        <w:t xml:space="preserve">    ├── remote.namgun.or.kr → RustDesk Pro</w:t>
        <w:br/>
        <w:t xml:space="preserve">    ├── meet.namgun.or.kr   → BBB (Greenlight)</w:t>
        <w:br/>
        <w:t xml:space="preserve">    ├── game.namgun.or.kr   → Game Panel</w:t>
        <w:br/>
        <w:t xml:space="preserve">    ├── dev.namgun.or.kr    → Test environment</w:t>
        <w:br/>
        <w:t xml:space="preserve">    │</w:t>
        <w:br/>
        <w:t xml:space="preserve">    └── mail.namgun.or.kr (:25/465/587/993)</w:t>
        <w:br/>
        <w:t xml:space="preserve">          → Stalwart (211.244.144.69)</w:t>
        <w:br/>
        <w:t xml:space="preserve">          ※ SMTP/IMAP direct, web UI via reverse proxy only</w:t>
      </w:r>
    </w:p>
    <w:p>
      <w:pPr>
        <w:pStyle w:val="Heading3"/>
      </w:pPr>
      <w:r>
        <w:t>3.3 Backend Proxy Pattern (Endpoint Concealment)</w:t>
      </w:r>
    </w:p>
    <w:p>
      <w:r>
        <w:t>The FastAPI backend acts as a reverse proxy so that actual service endpoints are never exposed to the browser. This is a non-negotiable security design principle.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pPr>
              <w:jc w:val="center"/>
            </w:pPr>
            <w:r/>
            <w:r>
              <w:rPr>
                <w:b/>
                <w:sz w:val="18"/>
              </w:rPr>
              <w:t>API Path</w:t>
            </w:r>
          </w:p>
        </w:tc>
        <w:tc>
          <w:tcPr>
            <w:tcW w:type="dxa" w:w="3120"/>
            <w:shd w:val="clear" w:color="auto" w:fill="D9E2F3"/>
          </w:tcPr>
          <w:p>
            <w:pPr>
              <w:jc w:val="center"/>
            </w:pPr>
            <w:r/>
            <w:r>
              <w:rPr>
                <w:b/>
                <w:sz w:val="18"/>
              </w:rPr>
              <w:t>Internal Target</w:t>
            </w:r>
          </w:p>
        </w:tc>
        <w:tc>
          <w:tcPr>
            <w:tcW w:type="dxa" w:w="3120"/>
            <w:shd w:val="clear" w:color="auto" w:fill="D9E2F3"/>
          </w:tcPr>
          <w:p>
            <w:pPr>
              <w:jc w:val="center"/>
            </w:pPr>
            <w:r/>
            <w:r>
              <w:rPr>
                <w:b/>
                <w:sz w:val="18"/>
              </w:rPr>
              <w:t>Auth</w:t>
            </w:r>
          </w:p>
        </w:tc>
      </w:tr>
      <w:tr>
        <w:tc>
          <w:tcPr>
            <w:tcW w:type="dxa" w:w="3120"/>
          </w:tcPr>
          <w:p>
            <w:r>
              <w:rPr>
                <w:sz w:val="18"/>
              </w:rPr>
            </w:r>
            <w:r>
              <w:rPr>
                <w:sz w:val="18"/>
              </w:rPr>
              <w:t>/api/mail/*</w:t>
            </w:r>
          </w:p>
        </w:tc>
        <w:tc>
          <w:tcPr>
            <w:tcW w:type="dxa" w:w="3120"/>
          </w:tcPr>
          <w:p>
            <w:r>
              <w:rPr>
                <w:sz w:val="18"/>
              </w:rPr>
            </w:r>
            <w:r>
              <w:rPr>
                <w:sz w:val="18"/>
              </w:rPr>
              <w:t>Stalwart JMAP (192.168.x.x)</w:t>
            </w:r>
          </w:p>
        </w:tc>
        <w:tc>
          <w:tcPr>
            <w:tcW w:type="dxa" w:w="3120"/>
          </w:tcPr>
          <w:p>
            <w:r>
              <w:rPr>
                <w:sz w:val="18"/>
              </w:rPr>
            </w:r>
            <w:r>
              <w:rPr>
                <w:sz w:val="18"/>
              </w:rPr>
              <w:t>SSO token</w:t>
            </w:r>
          </w:p>
        </w:tc>
      </w:tr>
      <w:tr>
        <w:tc>
          <w:tcPr>
            <w:tcW w:type="dxa" w:w="3120"/>
          </w:tcPr>
          <w:p>
            <w:r>
              <w:rPr>
                <w:sz w:val="18"/>
              </w:rPr>
            </w:r>
            <w:r>
              <w:rPr>
                <w:sz w:val="18"/>
              </w:rPr>
              <w:t>/api/files/*</w:t>
            </w:r>
          </w:p>
        </w:tc>
        <w:tc>
          <w:tcPr>
            <w:tcW w:type="dxa" w:w="3120"/>
          </w:tcPr>
          <w:p>
            <w:r>
              <w:rPr>
                <w:sz w:val="18"/>
              </w:rPr>
            </w:r>
            <w:r>
              <w:rPr>
                <w:sz w:val="18"/>
              </w:rPr>
              <w:t>OMV WebDAV (192.168.x.x)</w:t>
            </w:r>
          </w:p>
        </w:tc>
        <w:tc>
          <w:tcPr>
            <w:tcW w:type="dxa" w:w="3120"/>
          </w:tcPr>
          <w:p>
            <w:r>
              <w:rPr>
                <w:sz w:val="18"/>
              </w:rPr>
            </w:r>
            <w:r>
              <w:rPr>
                <w:sz w:val="18"/>
              </w:rPr>
              <w:t>SSO token</w:t>
            </w:r>
          </w:p>
        </w:tc>
      </w:tr>
      <w:tr>
        <w:tc>
          <w:tcPr>
            <w:tcW w:type="dxa" w:w="3120"/>
          </w:tcPr>
          <w:p>
            <w:r>
              <w:rPr>
                <w:sz w:val="18"/>
              </w:rPr>
            </w:r>
            <w:r>
              <w:rPr>
                <w:sz w:val="18"/>
              </w:rPr>
              <w:t>/api/calendar/*</w:t>
            </w:r>
          </w:p>
        </w:tc>
        <w:tc>
          <w:tcPr>
            <w:tcW w:type="dxa" w:w="3120"/>
          </w:tcPr>
          <w:p>
            <w:r>
              <w:rPr>
                <w:sz w:val="18"/>
              </w:rPr>
            </w:r>
            <w:r>
              <w:rPr>
                <w:sz w:val="18"/>
              </w:rPr>
              <w:t>Stalwart CalDAV (internal)</w:t>
            </w:r>
          </w:p>
        </w:tc>
        <w:tc>
          <w:tcPr>
            <w:tcW w:type="dxa" w:w="3120"/>
          </w:tcPr>
          <w:p>
            <w:r>
              <w:rPr>
                <w:sz w:val="18"/>
              </w:rPr>
            </w:r>
            <w:r>
              <w:rPr>
                <w:sz w:val="18"/>
              </w:rPr>
              <w:t>SSO token</w:t>
            </w:r>
          </w:p>
        </w:tc>
      </w:tr>
      <w:tr>
        <w:tc>
          <w:tcPr>
            <w:tcW w:type="dxa" w:w="3120"/>
          </w:tcPr>
          <w:p>
            <w:r>
              <w:rPr>
                <w:sz w:val="18"/>
              </w:rPr>
            </w:r>
            <w:r>
              <w:rPr>
                <w:sz w:val="18"/>
              </w:rPr>
              <w:t>/api/contacts/*</w:t>
            </w:r>
          </w:p>
        </w:tc>
        <w:tc>
          <w:tcPr>
            <w:tcW w:type="dxa" w:w="3120"/>
          </w:tcPr>
          <w:p>
            <w:r>
              <w:rPr>
                <w:sz w:val="18"/>
              </w:rPr>
            </w:r>
            <w:r>
              <w:rPr>
                <w:sz w:val="18"/>
              </w:rPr>
              <w:t>Stalwart CardDAV (internal)</w:t>
            </w:r>
          </w:p>
        </w:tc>
        <w:tc>
          <w:tcPr>
            <w:tcW w:type="dxa" w:w="3120"/>
          </w:tcPr>
          <w:p>
            <w:r>
              <w:rPr>
                <w:sz w:val="18"/>
              </w:rPr>
            </w:r>
            <w:r>
              <w:rPr>
                <w:sz w:val="18"/>
              </w:rPr>
              <w:t>SSO token</w:t>
            </w:r>
          </w:p>
        </w:tc>
      </w:tr>
      <w:tr>
        <w:tc>
          <w:tcPr>
            <w:tcW w:type="dxa" w:w="3120"/>
          </w:tcPr>
          <w:p>
            <w:r>
              <w:rPr>
                <w:sz w:val="18"/>
              </w:rPr>
            </w:r>
            <w:r>
              <w:rPr>
                <w:sz w:val="18"/>
              </w:rPr>
              <w:t>/api/blog/*</w:t>
            </w:r>
          </w:p>
        </w:tc>
        <w:tc>
          <w:tcPr>
            <w:tcW w:type="dxa" w:w="3120"/>
          </w:tcPr>
          <w:p>
            <w:r>
              <w:rPr>
                <w:sz w:val="18"/>
              </w:rPr>
            </w:r>
            <w:r>
              <w:rPr>
                <w:sz w:val="18"/>
              </w:rPr>
              <w:t>PostgreSQL (internal)</w:t>
            </w:r>
          </w:p>
        </w:tc>
        <w:tc>
          <w:tcPr>
            <w:tcW w:type="dxa" w:w="3120"/>
          </w:tcPr>
          <w:p>
            <w:r>
              <w:rPr>
                <w:sz w:val="18"/>
              </w:rPr>
            </w:r>
            <w:r>
              <w:rPr>
                <w:sz w:val="18"/>
              </w:rPr>
              <w:t>SSO token</w:t>
            </w:r>
          </w:p>
        </w:tc>
      </w:tr>
      <w:tr>
        <w:tc>
          <w:tcPr>
            <w:tcW w:type="dxa" w:w="3120"/>
          </w:tcPr>
          <w:p>
            <w:r>
              <w:rPr>
                <w:sz w:val="18"/>
              </w:rPr>
            </w:r>
            <w:r>
              <w:rPr>
                <w:sz w:val="18"/>
              </w:rPr>
              <w:t>/api/notify/*</w:t>
            </w:r>
          </w:p>
        </w:tc>
        <w:tc>
          <w:tcPr>
            <w:tcW w:type="dxa" w:w="3120"/>
          </w:tcPr>
          <w:p>
            <w:r>
              <w:rPr>
                <w:sz w:val="18"/>
              </w:rPr>
            </w:r>
            <w:r>
              <w:rPr>
                <w:sz w:val="18"/>
              </w:rPr>
              <w:t>Unified notifications (internal)</w:t>
            </w:r>
          </w:p>
        </w:tc>
        <w:tc>
          <w:tcPr>
            <w:tcW w:type="dxa" w:w="3120"/>
          </w:tcPr>
          <w:p>
            <w:r>
              <w:rPr>
                <w:sz w:val="18"/>
              </w:rPr>
            </w:r>
            <w:r>
              <w:rPr>
                <w:sz w:val="18"/>
              </w:rPr>
              <w:t>SSO token</w:t>
            </w:r>
          </w:p>
        </w:tc>
      </w:tr>
    </w:tbl>
    <w:p/>
    <w:p>
      <w:pPr>
        <w:spacing w:after="120"/>
      </w:pPr>
    </w:p>
    <w:p>
      <w:pPr>
        <w:pStyle w:val="Heading2"/>
      </w:pPr>
      <w:r>
        <w:t>4. Technology Stack</w:t>
      </w:r>
    </w:p>
    <w:p>
      <w:pPr>
        <w:pStyle w:val="Heading3"/>
      </w:pPr>
      <w:r>
        <w:t>4.1 Frontend: Nuxt 3 (Vue.js)</w:t>
      </w:r>
    </w:p>
    <w:p>
      <w:r>
        <w:rPr>
          <w:b/>
        </w:rPr>
        <w:t>Selection Rationale:</w:t>
      </w:r>
    </w:p>
    <w:p>
      <w:pPr>
        <w:pStyle w:val="ListBullet"/>
      </w:pPr>
      <w:r>
        <w:rPr>
          <w:b/>
        </w:rPr>
        <w:t>React Server Components (RSC) vulnerability avoidance</w:t>
      </w:r>
      <w:r>
        <w:t>: CVE-2025-55182 (React2Shell, CVSS 10.0) — a pre-authentication RCE vulnerability disclosed in December 2025, enabling arbitrary code execution via a single HTTP request. China state-nexus threat groups began exploiting it within hours. Vue.js/Nuxt lacks the RSC architecture, making it structurally immune to this class of vulnerability.</w:t>
      </w:r>
    </w:p>
    <w:p>
      <w:pPr>
        <w:pStyle w:val="ListBullet"/>
      </w:pPr>
      <w:r>
        <w:rPr>
          <w:b/>
        </w:rPr>
        <w:t>Maintainability for non-developers</w:t>
      </w:r>
      <w:r>
        <w:t>: Vue template syntax is nearly identical to HTML, allowing infrastructure engineers to intuitively understand the code.</w:t>
      </w:r>
    </w:p>
    <w:p>
      <w:pPr>
        <w:pStyle w:val="ListBullet"/>
      </w:pPr>
      <w:r>
        <w:rPr>
          <w:b/>
        </w:rPr>
        <w:t>SSR/SSG support</w:t>
      </w:r>
      <w:r>
        <w:t>: Blog SSG and dashboard SSR can coexist.</w:t>
      </w:r>
    </w:p>
    <w:p>
      <w:pPr>
        <w:pStyle w:val="ListBullet"/>
      </w:pPr>
      <w:r>
        <w:rPr>
          <w:b/>
        </w:rPr>
        <w:t>Korean enterprise standard</w:t>
      </w:r>
      <w:r>
        <w:t>: Vue.js is adopted as the GS-certified standard in Korean large enterprise SI market.</w:t>
      </w:r>
    </w:p>
    <w:p>
      <w:pPr>
        <w:pStyle w:val="Heading3"/>
      </w:pPr>
      <w:r>
        <w:t>4.2 Backend: FastAPI (Python)</w:t>
      </w:r>
    </w:p>
    <w:p>
      <w:r>
        <w:rPr>
          <w:b/>
        </w:rPr>
        <w:t>Selection Rationale:</w:t>
      </w:r>
    </w:p>
    <w:p>
      <w:pPr>
        <w:pStyle w:val="ListBullet"/>
      </w:pPr>
      <w:r>
        <w:t>Python-based, synergizing with existing automation tool development experience</w:t>
      </w:r>
    </w:p>
    <w:p>
      <w:pPr>
        <w:pStyle w:val="ListBullet"/>
      </w:pPr>
      <w:r>
        <w:t>Swagger UI auto-generation minimizes API documentation overhead</w:t>
      </w:r>
    </w:p>
    <w:p>
      <w:pPr>
        <w:pStyle w:val="ListBullet"/>
      </w:pPr>
      <w:r>
        <w:t>Async-native for concurrent external service API calls</w:t>
      </w:r>
    </w:p>
    <w:p>
      <w:pPr>
        <w:pStyle w:val="ListBullet"/>
      </w:pPr>
      <w:r>
        <w:t>Easy JMAP, WebDAV, CalDAV, CardDAV protocol client implementation</w:t>
      </w:r>
    </w:p>
    <w:p>
      <w:pPr>
        <w:pStyle w:val="Heading3"/>
      </w:pPr>
      <w:r>
        <w:t>4.3 IdP: Authentik</w:t>
      </w:r>
    </w:p>
    <w:p>
      <w:r>
        <w:rPr>
          <w:b/>
        </w:rPr>
        <w:t>Selection Rationale:</w:t>
      </w:r>
    </w:p>
    <w:p>
      <w:pPr>
        <w:pStyle w:val="ListBullet"/>
      </w:pPr>
      <w:r>
        <w:t>OIDC Provider + LDAP Outpost in a single deployment</w:t>
      </w:r>
    </w:p>
    <w:p>
      <w:pPr>
        <w:pStyle w:val="ListBullet"/>
      </w:pPr>
      <w:r>
        <w:t>Docker-native (PostgreSQL + Redis)</w:t>
      </w:r>
    </w:p>
    <w:p>
      <w:pPr>
        <w:pStyle w:val="ListBullet"/>
      </w:pPr>
      <w:r>
        <w:t>Native Forward Auth/Proxy Auth support</w:t>
      </w:r>
    </w:p>
    <w:p>
      <w:pPr>
        <w:pStyle w:val="ListBullet"/>
      </w:pPr>
      <w:r>
        <w:t>Resource footprint: ~2-3GB RAM (ample headroom in current environment)</w:t>
      </w:r>
    </w:p>
    <w:p>
      <w:pPr>
        <w:pStyle w:val="ListBullet"/>
      </w:pPr>
      <w:r>
        <w:t>Rejected alternatives: Keycloak (Java, 3-4GB+, excessive for homelab), Authelia (immature OIDC Provider)</w:t>
      </w:r>
    </w:p>
    <w:p>
      <w:pPr>
        <w:pStyle w:val="Heading3"/>
      </w:pPr>
      <w:r>
        <w:t>4.4 Mail Server: Stalwart Mail Server</w:t>
      </w:r>
    </w:p>
    <w:p>
      <w:r>
        <w:t>Replacing iRedMail Community with Stalwart Mail Server (AGPL-3.0).</w:t>
      </w:r>
    </w:p>
    <w:p>
      <w:pPr>
        <w:pStyle w:val="ListBullet"/>
      </w:pPr>
      <w:r>
        <w:t>OIDC client feature open-sourced since v0.11.5 (Enterprise tier not required)</w:t>
      </w:r>
    </w:p>
    <w:p>
      <w:pPr>
        <w:pStyle w:val="ListBullet"/>
      </w:pPr>
      <w:r>
        <w:t>Native LDAP backend support (Authentik LDAP Outpost integration)</w:t>
      </w:r>
    </w:p>
    <w:p>
      <w:pPr>
        <w:pStyle w:val="ListBullet"/>
      </w:pPr>
      <w:r>
        <w:t>All-in-one Rust binary: SMTP, IMAP, POP3, JMAP, CalDAV, CardDAV, WebDAV, Sieve</w:t>
      </w:r>
    </w:p>
    <w:p>
      <w:pPr>
        <w:pStyle w:val="ListBullet"/>
      </w:pPr>
      <w:r>
        <w:t>Built-in web UI + JMAP API (enables portal mail tab, Roundcube unnecessary)</w:t>
      </w:r>
    </w:p>
    <w:p>
      <w:pPr>
        <w:pStyle w:val="ListBullet"/>
      </w:pPr>
      <w:r>
        <w:t xml:space="preserve">Official Docker image: </w:t>
      </w:r>
      <w:r>
        <w:rPr>
          <w:rFonts w:ascii="Consolas" w:hAnsi="Consolas"/>
          <w:color w:val="1A1A2E"/>
          <w:sz w:val="18"/>
        </w:rPr>
        <w:t>stalwartlabs/stalwart:latest</w:t>
      </w:r>
    </w:p>
    <w:p>
      <w:pPr>
        <w:pStyle w:val="Heading3"/>
      </w:pPr>
      <w:r>
        <w:t>4.5 Technology Stack Summary</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pPr>
              <w:jc w:val="center"/>
            </w:pPr>
            <w:r/>
            <w:r>
              <w:rPr>
                <w:b/>
                <w:sz w:val="18"/>
              </w:rPr>
              <w:t>Layer</w:t>
            </w:r>
          </w:p>
        </w:tc>
        <w:tc>
          <w:tcPr>
            <w:tcW w:type="dxa" w:w="3120"/>
            <w:shd w:val="clear" w:color="auto" w:fill="D9E2F3"/>
          </w:tcPr>
          <w:p>
            <w:pPr>
              <w:jc w:val="center"/>
            </w:pPr>
            <w:r/>
            <w:r>
              <w:rPr>
                <w:b/>
                <w:sz w:val="18"/>
              </w:rPr>
              <w:t>Technology</w:t>
            </w:r>
          </w:p>
        </w:tc>
        <w:tc>
          <w:tcPr>
            <w:tcW w:type="dxa" w:w="3120"/>
            <w:shd w:val="clear" w:color="auto" w:fill="D9E2F3"/>
          </w:tcPr>
          <w:p>
            <w:pPr>
              <w:jc w:val="center"/>
            </w:pPr>
            <w:r/>
            <w:r>
              <w:rPr>
                <w:b/>
                <w:sz w:val="18"/>
              </w:rPr>
              <w:t>License</w:t>
            </w:r>
          </w:p>
        </w:tc>
      </w:tr>
      <w:tr>
        <w:tc>
          <w:tcPr>
            <w:tcW w:type="dxa" w:w="3120"/>
          </w:tcPr>
          <w:p>
            <w:r>
              <w:rPr>
                <w:sz w:val="18"/>
              </w:rPr>
            </w:r>
            <w:r>
              <w:rPr>
                <w:sz w:val="18"/>
              </w:rPr>
              <w:t>Frontend</w:t>
            </w:r>
          </w:p>
        </w:tc>
        <w:tc>
          <w:tcPr>
            <w:tcW w:type="dxa" w:w="3120"/>
          </w:tcPr>
          <w:p>
            <w:r>
              <w:rPr>
                <w:sz w:val="18"/>
              </w:rPr>
            </w:r>
            <w:r>
              <w:rPr>
                <w:sz w:val="18"/>
              </w:rPr>
              <w:t>Nuxt 3 + Vue 3 + TailwindCSS</w:t>
            </w:r>
          </w:p>
        </w:tc>
        <w:tc>
          <w:tcPr>
            <w:tcW w:type="dxa" w:w="3120"/>
          </w:tcPr>
          <w:p>
            <w:r>
              <w:rPr>
                <w:sz w:val="18"/>
              </w:rPr>
            </w:r>
            <w:r>
              <w:rPr>
                <w:sz w:val="18"/>
              </w:rPr>
              <w:t>MIT</w:t>
            </w:r>
          </w:p>
        </w:tc>
      </w:tr>
      <w:tr>
        <w:tc>
          <w:tcPr>
            <w:tcW w:type="dxa" w:w="3120"/>
          </w:tcPr>
          <w:p>
            <w:r>
              <w:rPr>
                <w:sz w:val="18"/>
              </w:rPr>
            </w:r>
            <w:r>
              <w:rPr>
                <w:sz w:val="18"/>
              </w:rPr>
              <w:t>Backend</w:t>
            </w:r>
          </w:p>
        </w:tc>
        <w:tc>
          <w:tcPr>
            <w:tcW w:type="dxa" w:w="3120"/>
          </w:tcPr>
          <w:p>
            <w:r>
              <w:rPr>
                <w:sz w:val="18"/>
              </w:rPr>
            </w:r>
            <w:r>
              <w:rPr>
                <w:sz w:val="18"/>
              </w:rPr>
              <w:t>FastAPI + Python 3.12+</w:t>
            </w:r>
          </w:p>
        </w:tc>
        <w:tc>
          <w:tcPr>
            <w:tcW w:type="dxa" w:w="3120"/>
          </w:tcPr>
          <w:p>
            <w:r>
              <w:rPr>
                <w:sz w:val="18"/>
              </w:rPr>
            </w:r>
            <w:r>
              <w:rPr>
                <w:sz w:val="18"/>
              </w:rPr>
              <w:t>MIT</w:t>
            </w:r>
          </w:p>
        </w:tc>
      </w:tr>
      <w:tr>
        <w:tc>
          <w:tcPr>
            <w:tcW w:type="dxa" w:w="3120"/>
          </w:tcPr>
          <w:p>
            <w:r>
              <w:rPr>
                <w:sz w:val="18"/>
              </w:rPr>
            </w:r>
            <w:r>
              <w:rPr>
                <w:sz w:val="18"/>
              </w:rPr>
              <w:t>IdP</w:t>
            </w:r>
          </w:p>
        </w:tc>
        <w:tc>
          <w:tcPr>
            <w:tcW w:type="dxa" w:w="3120"/>
          </w:tcPr>
          <w:p>
            <w:r>
              <w:rPr>
                <w:sz w:val="18"/>
              </w:rPr>
            </w:r>
            <w:r>
              <w:rPr>
                <w:sz w:val="18"/>
              </w:rPr>
              <w:t>Authentik</w:t>
            </w:r>
          </w:p>
        </w:tc>
        <w:tc>
          <w:tcPr>
            <w:tcW w:type="dxa" w:w="3120"/>
          </w:tcPr>
          <w:p>
            <w:r>
              <w:rPr>
                <w:sz w:val="18"/>
              </w:rPr>
            </w:r>
            <w:r>
              <w:rPr>
                <w:sz w:val="18"/>
              </w:rPr>
              <w:t>MIT</w:t>
            </w:r>
          </w:p>
        </w:tc>
      </w:tr>
      <w:tr>
        <w:tc>
          <w:tcPr>
            <w:tcW w:type="dxa" w:w="3120"/>
          </w:tcPr>
          <w:p>
            <w:r>
              <w:rPr>
                <w:sz w:val="18"/>
              </w:rPr>
            </w:r>
            <w:r>
              <w:rPr>
                <w:sz w:val="18"/>
              </w:rPr>
              <w:t>Mail Server</w:t>
            </w:r>
          </w:p>
        </w:tc>
        <w:tc>
          <w:tcPr>
            <w:tcW w:type="dxa" w:w="3120"/>
          </w:tcPr>
          <w:p>
            <w:r>
              <w:rPr>
                <w:sz w:val="18"/>
              </w:rPr>
            </w:r>
            <w:r>
              <w:rPr>
                <w:sz w:val="18"/>
              </w:rPr>
              <w:t>Stalwart Mail Server</w:t>
            </w:r>
          </w:p>
        </w:tc>
        <w:tc>
          <w:tcPr>
            <w:tcW w:type="dxa" w:w="3120"/>
          </w:tcPr>
          <w:p>
            <w:r>
              <w:rPr>
                <w:sz w:val="18"/>
              </w:rPr>
            </w:r>
            <w:r>
              <w:rPr>
                <w:sz w:val="18"/>
              </w:rPr>
              <w:t>AGPL-3.0</w:t>
            </w:r>
          </w:p>
        </w:tc>
      </w:tr>
      <w:tr>
        <w:tc>
          <w:tcPr>
            <w:tcW w:type="dxa" w:w="3120"/>
          </w:tcPr>
          <w:p>
            <w:r>
              <w:rPr>
                <w:sz w:val="18"/>
              </w:rPr>
            </w:r>
            <w:r>
              <w:rPr>
                <w:sz w:val="18"/>
              </w:rPr>
              <w:t>Database</w:t>
            </w:r>
          </w:p>
        </w:tc>
        <w:tc>
          <w:tcPr>
            <w:tcW w:type="dxa" w:w="3120"/>
          </w:tcPr>
          <w:p>
            <w:r>
              <w:rPr>
                <w:sz w:val="18"/>
              </w:rPr>
            </w:r>
            <w:r>
              <w:rPr>
                <w:sz w:val="18"/>
              </w:rPr>
              <w:t>PostgreSQL</w:t>
            </w:r>
          </w:p>
        </w:tc>
        <w:tc>
          <w:tcPr>
            <w:tcW w:type="dxa" w:w="3120"/>
          </w:tcPr>
          <w:p>
            <w:r>
              <w:rPr>
                <w:sz w:val="18"/>
              </w:rPr>
            </w:r>
            <w:r>
              <w:rPr>
                <w:sz w:val="18"/>
              </w:rPr>
              <w:t>PostgreSQL License</w:t>
            </w:r>
          </w:p>
        </w:tc>
      </w:tr>
      <w:tr>
        <w:tc>
          <w:tcPr>
            <w:tcW w:type="dxa" w:w="3120"/>
          </w:tcPr>
          <w:p>
            <w:r>
              <w:rPr>
                <w:sz w:val="18"/>
              </w:rPr>
            </w:r>
            <w:r>
              <w:rPr>
                <w:sz w:val="18"/>
              </w:rPr>
              <w:t>Blog Rendering</w:t>
            </w:r>
          </w:p>
        </w:tc>
        <w:tc>
          <w:tcPr>
            <w:tcW w:type="dxa" w:w="3120"/>
          </w:tcPr>
          <w:p>
            <w:r>
              <w:rPr>
                <w:sz w:val="18"/>
              </w:rPr>
            </w:r>
            <w:r>
              <w:rPr>
                <w:sz w:val="18"/>
              </w:rPr>
              <w:t>@nuxt/content (MDX)</w:t>
            </w:r>
          </w:p>
        </w:tc>
        <w:tc>
          <w:tcPr>
            <w:tcW w:type="dxa" w:w="3120"/>
          </w:tcPr>
          <w:p>
            <w:r>
              <w:rPr>
                <w:sz w:val="18"/>
              </w:rPr>
            </w:r>
            <w:r>
              <w:rPr>
                <w:sz w:val="18"/>
              </w:rPr>
              <w:t>MIT</w:t>
            </w:r>
          </w:p>
        </w:tc>
      </w:tr>
      <w:tr>
        <w:tc>
          <w:tcPr>
            <w:tcW w:type="dxa" w:w="3120"/>
          </w:tcPr>
          <w:p>
            <w:r>
              <w:rPr>
                <w:sz w:val="18"/>
              </w:rPr>
            </w:r>
            <w:r>
              <w:rPr>
                <w:sz w:val="18"/>
              </w:rPr>
              <w:t>Reverse Proxy</w:t>
            </w:r>
          </w:p>
        </w:tc>
        <w:tc>
          <w:tcPr>
            <w:tcW w:type="dxa" w:w="3120"/>
          </w:tcPr>
          <w:p>
            <w:r>
              <w:rPr>
                <w:sz w:val="18"/>
              </w:rPr>
            </w:r>
            <w:r>
              <w:rPr>
                <w:sz w:val="18"/>
              </w:rPr>
              <w:t>Nginx</w:t>
            </w:r>
          </w:p>
        </w:tc>
        <w:tc>
          <w:tcPr>
            <w:tcW w:type="dxa" w:w="3120"/>
          </w:tcPr>
          <w:p>
            <w:r>
              <w:rPr>
                <w:sz w:val="18"/>
              </w:rPr>
            </w:r>
            <w:r>
              <w:rPr>
                <w:sz w:val="18"/>
              </w:rPr>
              <w:t>BSD-2-Clause</w:t>
            </w:r>
          </w:p>
        </w:tc>
      </w:tr>
      <w:tr>
        <w:tc>
          <w:tcPr>
            <w:tcW w:type="dxa" w:w="3120"/>
          </w:tcPr>
          <w:p>
            <w:r>
              <w:rPr>
                <w:sz w:val="18"/>
              </w:rPr>
            </w:r>
            <w:r>
              <w:rPr>
                <w:sz w:val="18"/>
              </w:rPr>
              <w:t>Container</w:t>
            </w:r>
          </w:p>
        </w:tc>
        <w:tc>
          <w:tcPr>
            <w:tcW w:type="dxa" w:w="3120"/>
          </w:tcPr>
          <w:p>
            <w:r>
              <w:rPr>
                <w:sz w:val="18"/>
              </w:rPr>
            </w:r>
            <w:r>
              <w:rPr>
                <w:sz w:val="18"/>
              </w:rPr>
              <w:t>Docker + Docker Compose</w:t>
            </w:r>
          </w:p>
        </w:tc>
        <w:tc>
          <w:tcPr>
            <w:tcW w:type="dxa" w:w="3120"/>
          </w:tcPr>
          <w:p>
            <w:r>
              <w:rPr>
                <w:sz w:val="18"/>
              </w:rPr>
            </w:r>
            <w:r>
              <w:rPr>
                <w:sz w:val="18"/>
              </w:rPr>
              <w:t>Apache-2.0</w:t>
            </w:r>
          </w:p>
        </w:tc>
      </w:tr>
      <w:tr>
        <w:tc>
          <w:tcPr>
            <w:tcW w:type="dxa" w:w="3120"/>
          </w:tcPr>
          <w:p>
            <w:r>
              <w:rPr>
                <w:sz w:val="18"/>
              </w:rPr>
            </w:r>
            <w:r>
              <w:rPr>
                <w:sz w:val="18"/>
              </w:rPr>
              <w:t>File Server</w:t>
            </w:r>
          </w:p>
        </w:tc>
        <w:tc>
          <w:tcPr>
            <w:tcW w:type="dxa" w:w="3120"/>
          </w:tcPr>
          <w:p>
            <w:r>
              <w:rPr>
                <w:sz w:val="18"/>
              </w:rPr>
            </w:r>
            <w:r>
              <w:rPr>
                <w:sz w:val="18"/>
              </w:rPr>
              <w:t>OpenMediaVault + WebDAV</w:t>
            </w:r>
          </w:p>
        </w:tc>
        <w:tc>
          <w:tcPr>
            <w:tcW w:type="dxa" w:w="3120"/>
          </w:tcPr>
          <w:p>
            <w:r>
              <w:rPr>
                <w:sz w:val="18"/>
              </w:rPr>
            </w:r>
            <w:r>
              <w:rPr>
                <w:sz w:val="18"/>
              </w:rPr>
              <w:t>GPL-3.0</w:t>
            </w:r>
          </w:p>
        </w:tc>
      </w:tr>
      <w:tr>
        <w:tc>
          <w:tcPr>
            <w:tcW w:type="dxa" w:w="3120"/>
          </w:tcPr>
          <w:p>
            <w:r>
              <w:rPr>
                <w:sz w:val="18"/>
              </w:rPr>
            </w:r>
            <w:r>
              <w:rPr>
                <w:sz w:val="18"/>
              </w:rPr>
              <w:t>Remote Desktop</w:t>
            </w:r>
          </w:p>
        </w:tc>
        <w:tc>
          <w:tcPr>
            <w:tcW w:type="dxa" w:w="3120"/>
          </w:tcPr>
          <w:p>
            <w:r>
              <w:rPr>
                <w:sz w:val="18"/>
              </w:rPr>
            </w:r>
            <w:r>
              <w:rPr>
                <w:sz w:val="18"/>
              </w:rPr>
              <w:t>RustDesk Pro</w:t>
            </w:r>
          </w:p>
        </w:tc>
        <w:tc>
          <w:tcPr>
            <w:tcW w:type="dxa" w:w="3120"/>
          </w:tcPr>
          <w:p>
            <w:r>
              <w:rPr>
                <w:sz w:val="18"/>
              </w:rPr>
            </w:r>
            <w:r>
              <w:rPr>
                <w:sz w:val="18"/>
              </w:rPr>
              <w:t>Custom (Pro)</w:t>
            </w:r>
          </w:p>
        </w:tc>
      </w:tr>
      <w:tr>
        <w:tc>
          <w:tcPr>
            <w:tcW w:type="dxa" w:w="3120"/>
          </w:tcPr>
          <w:p>
            <w:r>
              <w:rPr>
                <w:sz w:val="18"/>
              </w:rPr>
            </w:r>
            <w:r>
              <w:rPr>
                <w:sz w:val="18"/>
              </w:rPr>
              <w:t>Git Server</w:t>
            </w:r>
          </w:p>
        </w:tc>
        <w:tc>
          <w:tcPr>
            <w:tcW w:type="dxa" w:w="3120"/>
          </w:tcPr>
          <w:p>
            <w:r>
              <w:rPr>
                <w:sz w:val="18"/>
              </w:rPr>
            </w:r>
            <w:r>
              <w:rPr>
                <w:sz w:val="18"/>
              </w:rPr>
              <w:t>Gitea</w:t>
            </w:r>
          </w:p>
        </w:tc>
        <w:tc>
          <w:tcPr>
            <w:tcW w:type="dxa" w:w="3120"/>
          </w:tcPr>
          <w:p>
            <w:r>
              <w:rPr>
                <w:sz w:val="18"/>
              </w:rPr>
            </w:r>
            <w:r>
              <w:rPr>
                <w:sz w:val="18"/>
              </w:rPr>
              <w:t>MIT</w:t>
            </w:r>
          </w:p>
        </w:tc>
      </w:tr>
      <w:tr>
        <w:tc>
          <w:tcPr>
            <w:tcW w:type="dxa" w:w="3120"/>
          </w:tcPr>
          <w:p>
            <w:r>
              <w:rPr>
                <w:sz w:val="18"/>
              </w:rPr>
            </w:r>
            <w:r>
              <w:rPr>
                <w:sz w:val="18"/>
              </w:rPr>
              <w:t>Video Conferencing</w:t>
            </w:r>
          </w:p>
        </w:tc>
        <w:tc>
          <w:tcPr>
            <w:tcW w:type="dxa" w:w="3120"/>
          </w:tcPr>
          <w:p>
            <w:r>
              <w:rPr>
                <w:sz w:val="18"/>
              </w:rPr>
            </w:r>
            <w:r>
              <w:rPr>
                <w:sz w:val="18"/>
              </w:rPr>
              <w:t>BigBlueButton + Greenlight 3.x</w:t>
            </w:r>
          </w:p>
        </w:tc>
        <w:tc>
          <w:tcPr>
            <w:tcW w:type="dxa" w:w="3120"/>
          </w:tcPr>
          <w:p>
            <w:r>
              <w:rPr>
                <w:sz w:val="18"/>
              </w:rPr>
            </w:r>
            <w:r>
              <w:rPr>
                <w:sz w:val="18"/>
              </w:rPr>
              <w:t>LGPL-3.0</w:t>
            </w:r>
          </w:p>
        </w:tc>
      </w:tr>
    </w:tbl>
    <w:p/>
    <w:p>
      <w:pPr>
        <w:spacing w:after="120"/>
      </w:pPr>
    </w:p>
    <w:p>
      <w:pPr>
        <w:pStyle w:val="Heading2"/>
      </w:pPr>
      <w:r>
        <w:t>5. Security Design</w:t>
      </w:r>
    </w:p>
    <w:p>
      <w:pPr>
        <w:pStyle w:val="Heading3"/>
      </w:pPr>
      <w:r>
        <w:t>5.1 React Exclusion Rationale</w:t>
      </w:r>
    </w:p>
    <w:p>
      <w:r>
        <w:t>CVE-2025-55182 (React2Shell) is a CVSS 10.0 pre-authentication RCE vulnerability that allows arbitrary code execution on the server via a single HTTP request. Within hours of disclosure in December 2025, China state-nexus threat groups began active exploitation. Three additional CVEs followed (CVE-2025-55183, CVE-2025-55184, CVE-2025-67779).</w:t>
      </w:r>
    </w:p>
    <w:p>
      <w:r>
        <w:t>In a self-hosted environment without enterprise-grade protections (WAF, dedicated security team), structurally eliminating the attack surface is the best defense. Vue.js/Nuxt lacks the RSC architecture, making the same class of vulnerability structurally impossible.</w:t>
      </w:r>
    </w:p>
    <w:p>
      <w:pPr>
        <w:pStyle w:val="Heading3"/>
      </w:pPr>
      <w:r>
        <w:t>5.2 Authentication &amp; Authorization</w:t>
      </w:r>
    </w:p>
    <w:p>
      <w:pPr>
        <w:pStyle w:val="ListBullet"/>
      </w:pPr>
      <w:r>
        <w:t>Authentik OIDC: Authorization Code Flow with PKCE</w:t>
      </w:r>
    </w:p>
    <w:p>
      <w:pPr>
        <w:pStyle w:val="ListBullet"/>
      </w:pPr>
      <w:r>
        <w:t>Authentik LDAP Outpost: Password auth for mail clients (OAUTHBEARER unsupported client fallback)</w:t>
      </w:r>
    </w:p>
    <w:p>
      <w:pPr>
        <w:pStyle w:val="ListBullet"/>
      </w:pPr>
      <w:r>
        <w:t>Nginx Forward Auth: Authentik auth delegation for OMV WebDAV access</w:t>
      </w:r>
    </w:p>
    <w:p>
      <w:pPr>
        <w:pStyle w:val="ListBullet"/>
      </w:pPr>
      <w:r>
        <w:t>SSO token-based API auth: Authentication middleware on all /api/* requests</w:t>
      </w:r>
    </w:p>
    <w:p>
      <w:pPr>
        <w:pStyle w:val="Heading3"/>
      </w:pPr>
      <w:r>
        <w:t>5.3 Network Security</w:t>
      </w:r>
    </w:p>
    <w:p>
      <w:pPr>
        <w:pStyle w:val="ListBullet"/>
      </w:pPr>
      <w:r>
        <w:t>TLS termination: Single TLS termination at Nginx; internal traffic is plaintext (Docker network)</w:t>
      </w:r>
    </w:p>
    <w:p>
      <w:pPr>
        <w:pStyle w:val="ListBullet"/>
      </w:pPr>
      <w:r>
        <w:t>Endpoint concealment: All internal service IPs/ports never exposed externally</w:t>
      </w:r>
    </w:p>
    <w:p>
      <w:pPr>
        <w:pStyle w:val="ListBullet"/>
      </w:pPr>
      <w:r>
        <w:t>OMV firewall: Allow only FastAPI backend IP (defense in depth)</w:t>
      </w:r>
    </w:p>
    <w:p>
      <w:pPr>
        <w:pStyle w:val="ListBullet"/>
      </w:pPr>
      <w:r>
        <w:t>Nginx configuration rules: Deprecated directives forbidden (</w:t>
      </w:r>
      <w:r>
        <w:rPr>
          <w:rFonts w:ascii="Consolas" w:hAnsi="Consolas"/>
          <w:color w:val="1A1A2E"/>
          <w:sz w:val="18"/>
        </w:rPr>
        <w:t>ssl on</w:t>
      </w:r>
      <w:r>
        <w:t xml:space="preserve">, </w:t>
      </w:r>
      <w:r>
        <w:rPr>
          <w:rFonts w:ascii="Consolas" w:hAnsi="Consolas"/>
          <w:color w:val="1A1A2E"/>
          <w:sz w:val="18"/>
        </w:rPr>
        <w:t>listen ssl http2</w:t>
      </w:r>
      <w:r>
        <w:t xml:space="preserve"> → </w:t>
      </w:r>
      <w:r>
        <w:rPr>
          <w:rFonts w:ascii="Consolas" w:hAnsi="Consolas"/>
          <w:color w:val="1A1A2E"/>
          <w:sz w:val="18"/>
        </w:rPr>
        <w:t>listen 443 ssl;</w:t>
      </w:r>
      <w:r>
        <w:t xml:space="preserve"> + </w:t>
      </w:r>
      <w:r>
        <w:rPr>
          <w:rFonts w:ascii="Consolas" w:hAnsi="Consolas"/>
          <w:color w:val="1A1A2E"/>
          <w:sz w:val="18"/>
        </w:rPr>
        <w:t>http2 on;</w:t>
      </w:r>
      <w:r>
        <w:t>)</w:t>
      </w:r>
    </w:p>
    <w:p>
      <w:pPr>
        <w:pStyle w:val="Heading3"/>
      </w:pPr>
      <w:r>
        <w:t>5.4 Data Security</w:t>
      </w:r>
    </w:p>
    <w:p>
      <w:pPr>
        <w:pStyle w:val="ListBullet"/>
      </w:pPr>
      <w:r>
        <w:t>Authentik DB regular backups (SPOF mitigation)</w:t>
      </w:r>
    </w:p>
    <w:p>
      <w:pPr>
        <w:pStyle w:val="ListBullet"/>
      </w:pPr>
      <w:r>
        <w:t>Local admin account fallback (emergency access during auth server outage)</w:t>
      </w:r>
    </w:p>
    <w:p>
      <w:pPr>
        <w:pStyle w:val="ListBullet"/>
      </w:pPr>
      <w:r>
        <w:t>Stalwart migration: imapsync dry-run with integrity verification</w:t>
      </w:r>
    </w:p>
    <w:p>
      <w:pPr>
        <w:pStyle w:val="ListBullet"/>
      </w:pPr>
      <w:r>
        <w:t>DNS SPF/DKIM/DMARC reconfiguration: Stalwart DKIM key regeneration</w:t>
      </w:r>
    </w:p>
    <w:p>
      <w:pPr>
        <w:spacing w:after="120"/>
      </w:pPr>
    </w:p>
    <w:p>
      <w:pPr>
        <w:pStyle w:val="Heading2"/>
      </w:pPr>
      <w:r>
        <w:t>6. Portal Feature Specifications</w:t>
      </w:r>
    </w:p>
    <w:p>
      <w:pPr>
        <w:pStyle w:val="Heading3"/>
      </w:pPr>
      <w:r>
        <w:t>6.1 Dashboard (Home)</w:t>
      </w:r>
    </w:p>
    <w:p>
      <w:pPr>
        <w:pStyle w:val="ListBullet"/>
      </w:pPr>
      <w:r>
        <w:t>Service status cards (Health Check API-based)</w:t>
      </w:r>
    </w:p>
    <w:p>
      <w:pPr>
        <w:pStyle w:val="ListBullet"/>
      </w:pPr>
      <w:r>
        <w:t>Notification feed (mail receipt, service alerts unified)</w:t>
      </w:r>
    </w:p>
    <w:p>
      <w:pPr>
        <w:pStyle w:val="ListBullet"/>
      </w:pPr>
      <w:r>
        <w:t>External service shortcuts (automatic SSO redirect)</w:t>
      </w:r>
    </w:p>
    <w:p>
      <w:pPr>
        <w:pStyle w:val="Heading3"/>
      </w:pPr>
      <w:r>
        <w:t>6.2 Mail Tab</w:t>
      </w:r>
    </w:p>
    <w:p>
      <w:pPr>
        <w:pStyle w:val="ListBullet"/>
      </w:pPr>
      <w:r>
        <w:t>Browser email client based on Stalwart JMAP API</w:t>
      </w:r>
    </w:p>
    <w:p>
      <w:pPr>
        <w:pStyle w:val="ListBullet"/>
      </w:pPr>
      <w:r>
        <w:t>Inbox, compose, reply, attachments, folder management</w:t>
      </w:r>
    </w:p>
    <w:p>
      <w:pPr>
        <w:pStyle w:val="ListBullet"/>
      </w:pPr>
      <w:r>
        <w:t>Portal SSO token passed to JMAP endpoint</w:t>
      </w:r>
    </w:p>
    <w:p>
      <w:pPr>
        <w:pStyle w:val="Heading3"/>
      </w:pPr>
      <w:r>
        <w:t>6.3 Files Tab</w:t>
      </w:r>
    </w:p>
    <w:p>
      <w:pPr>
        <w:pStyle w:val="ListBullet"/>
      </w:pPr>
      <w:r>
        <w:t>Browser file manager based on OMV WebDAV</w:t>
      </w:r>
    </w:p>
    <w:p>
      <w:pPr>
        <w:pStyle w:val="ListBullet"/>
      </w:pPr>
      <w:r>
        <w:t>Browse, upload, download, rename, delete, create folders</w:t>
      </w:r>
    </w:p>
    <w:p>
      <w:pPr>
        <w:pStyle w:val="ListBullet"/>
      </w:pPr>
      <w:r>
        <w:t>OMV address fully concealed via FastAPI backend proxy</w:t>
      </w:r>
    </w:p>
    <w:p>
      <w:pPr>
        <w:pStyle w:val="Heading3"/>
      </w:pPr>
      <w:r>
        <w:t>6.4 Calendar Tab</w:t>
      </w:r>
    </w:p>
    <w:p>
      <w:pPr>
        <w:pStyle w:val="ListBullet"/>
      </w:pPr>
      <w:r>
        <w:t>Based on Stalwart CalDAV API</w:t>
      </w:r>
    </w:p>
    <w:p>
      <w:pPr>
        <w:pStyle w:val="ListBullet"/>
      </w:pPr>
      <w:r>
        <w:t>View, create, edit, delete events</w:t>
      </w:r>
    </w:p>
    <w:p>
      <w:pPr>
        <w:pStyle w:val="Heading3"/>
      </w:pPr>
      <w:r>
        <w:t>6.5 Contacts Tab</w:t>
      </w:r>
    </w:p>
    <w:p>
      <w:pPr>
        <w:pStyle w:val="ListBullet"/>
      </w:pPr>
      <w:r>
        <w:t>Based on Stalwart CardDAV API</w:t>
      </w:r>
    </w:p>
    <w:p>
      <w:pPr>
        <w:pStyle w:val="ListBullet"/>
      </w:pPr>
      <w:r>
        <w:t>View, create, edit, delete contacts</w:t>
      </w:r>
    </w:p>
    <w:p>
      <w:pPr>
        <w:pStyle w:val="Heading3"/>
      </w:pPr>
      <w:r>
        <w:t>6.6 Blog Tab</w:t>
      </w:r>
    </w:p>
    <w:p>
      <w:pPr>
        <w:pStyle w:val="ListBullet"/>
      </w:pPr>
      <w:r>
        <w:t>Markdown storage and rendering in portal DB (PostgreSQL)</w:t>
      </w:r>
    </w:p>
    <w:p>
      <w:pPr>
        <w:pStyle w:val="ListBullet"/>
      </w:pPr>
      <w:r>
        <w:t>Public/private toggle, tags, code highlighting</w:t>
      </w:r>
    </w:p>
    <w:p>
      <w:pPr>
        <w:pStyle w:val="ListBullet"/>
      </w:pPr>
      <w:r>
        <w:t>SEO optimization via @nuxt/content SSG</w:t>
      </w:r>
    </w:p>
    <w:p>
      <w:pPr>
        <w:pStyle w:val="Heading3"/>
      </w:pPr>
      <w:r>
        <w:t>6.7 Notification Center</w:t>
      </w:r>
    </w:p>
    <w:p>
      <w:pPr>
        <w:pStyle w:val="ListBullet"/>
      </w:pPr>
      <w:r>
        <w:t>Unified mail receipt + service alert notifications</w:t>
      </w:r>
    </w:p>
    <w:p>
      <w:pPr>
        <w:pStyle w:val="ListBullet"/>
      </w:pPr>
      <w:r>
        <w:t>Real-time monitoring via Health Check poller</w:t>
      </w:r>
    </w:p>
    <w:p>
      <w:pPr>
        <w:spacing w:after="120"/>
      </w:pPr>
    </w:p>
    <w:p>
      <w:pPr>
        <w:pStyle w:val="Heading2"/>
      </w:pPr>
      <w:r>
        <w:t>7. Test/Production Environment Separation</w:t>
      </w:r>
    </w:p>
    <w:p>
      <w:r>
        <w:t>Docker Compose Profiles are used to separate port/network on the same host. No additional VM is required.</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pPr>
              <w:jc w:val="center"/>
            </w:pPr>
            <w:r/>
            <w:r>
              <w:rPr>
                <w:b/>
                <w:sz w:val="18"/>
              </w:rPr>
              <w:t>Item</w:t>
            </w:r>
          </w:p>
        </w:tc>
        <w:tc>
          <w:tcPr>
            <w:tcW w:type="dxa" w:w="3120"/>
            <w:shd w:val="clear" w:color="auto" w:fill="D9E2F3"/>
          </w:tcPr>
          <w:p>
            <w:pPr>
              <w:jc w:val="center"/>
            </w:pPr>
            <w:r/>
            <w:r>
              <w:rPr>
                <w:b/>
                <w:sz w:val="18"/>
              </w:rPr>
              <w:t>Production</w:t>
            </w:r>
          </w:p>
        </w:tc>
        <w:tc>
          <w:tcPr>
            <w:tcW w:type="dxa" w:w="3120"/>
            <w:shd w:val="clear" w:color="auto" w:fill="D9E2F3"/>
          </w:tcPr>
          <w:p>
            <w:pPr>
              <w:jc w:val="center"/>
            </w:pPr>
            <w:r/>
            <w:r>
              <w:rPr>
                <w:b/>
                <w:sz w:val="18"/>
              </w:rPr>
              <w:t>Test</w:t>
            </w:r>
          </w:p>
        </w:tc>
      </w:tr>
      <w:tr>
        <w:tc>
          <w:tcPr>
            <w:tcW w:type="dxa" w:w="3120"/>
          </w:tcPr>
          <w:p>
            <w:r>
              <w:rPr>
                <w:sz w:val="18"/>
              </w:rPr>
            </w:r>
            <w:r>
              <w:rPr>
                <w:sz w:val="18"/>
              </w:rPr>
              <w:t>Domain</w:t>
            </w:r>
          </w:p>
        </w:tc>
        <w:tc>
          <w:tcPr>
            <w:tcW w:type="dxa" w:w="3120"/>
          </w:tcPr>
          <w:p>
            <w:r>
              <w:rPr>
                <w:sz w:val="18"/>
              </w:rPr>
            </w:r>
            <w:r>
              <w:rPr>
                <w:sz w:val="18"/>
              </w:rPr>
              <w:t>namgun.or.kr</w:t>
            </w:r>
          </w:p>
        </w:tc>
        <w:tc>
          <w:tcPr>
            <w:tcW w:type="dxa" w:w="3120"/>
          </w:tcPr>
          <w:p>
            <w:r>
              <w:rPr>
                <w:sz w:val="18"/>
              </w:rPr>
            </w:r>
            <w:r>
              <w:rPr>
                <w:sz w:val="18"/>
              </w:rPr>
              <w:t>dev.namgun.or.kr</w:t>
            </w:r>
          </w:p>
        </w:tc>
      </w:tr>
      <w:tr>
        <w:tc>
          <w:tcPr>
            <w:tcW w:type="dxa" w:w="3120"/>
          </w:tcPr>
          <w:p>
            <w:r>
              <w:rPr>
                <w:sz w:val="18"/>
              </w:rPr>
            </w:r>
            <w:r>
              <w:rPr>
                <w:sz w:val="18"/>
              </w:rPr>
              <w:t>Frontend Port</w:t>
            </w:r>
          </w:p>
        </w:tc>
        <w:tc>
          <w:tcPr>
            <w:tcW w:type="dxa" w:w="3120"/>
          </w:tcPr>
          <w:p>
            <w:r>
              <w:rPr>
                <w:sz w:val="18"/>
              </w:rPr>
            </w:r>
            <w:r>
              <w:rPr>
                <w:sz w:val="18"/>
              </w:rPr>
              <w:t>:443</w:t>
            </w:r>
          </w:p>
        </w:tc>
        <w:tc>
          <w:tcPr>
            <w:tcW w:type="dxa" w:w="3120"/>
          </w:tcPr>
          <w:p>
            <w:r>
              <w:rPr>
                <w:sz w:val="18"/>
              </w:rPr>
            </w:r>
            <w:r>
              <w:rPr>
                <w:sz w:val="18"/>
              </w:rPr>
              <w:t>:8443</w:t>
            </w:r>
          </w:p>
        </w:tc>
      </w:tr>
      <w:tr>
        <w:tc>
          <w:tcPr>
            <w:tcW w:type="dxa" w:w="3120"/>
          </w:tcPr>
          <w:p>
            <w:r>
              <w:rPr>
                <w:sz w:val="18"/>
              </w:rPr>
            </w:r>
            <w:r>
              <w:rPr>
                <w:sz w:val="18"/>
              </w:rPr>
              <w:t>Backend Port</w:t>
            </w:r>
          </w:p>
        </w:tc>
        <w:tc>
          <w:tcPr>
            <w:tcW w:type="dxa" w:w="3120"/>
          </w:tcPr>
          <w:p>
            <w:r>
              <w:rPr>
                <w:sz w:val="18"/>
              </w:rPr>
            </w:r>
            <w:r>
              <w:rPr>
                <w:sz w:val="18"/>
              </w:rPr>
              <w:t>:8000 (internal)</w:t>
            </w:r>
          </w:p>
        </w:tc>
        <w:tc>
          <w:tcPr>
            <w:tcW w:type="dxa" w:w="3120"/>
          </w:tcPr>
          <w:p>
            <w:r>
              <w:rPr>
                <w:sz w:val="18"/>
              </w:rPr>
            </w:r>
            <w:r>
              <w:rPr>
                <w:sz w:val="18"/>
              </w:rPr>
              <w:t>:8001 (internal)</w:t>
            </w:r>
          </w:p>
        </w:tc>
      </w:tr>
      <w:tr>
        <w:tc>
          <w:tcPr>
            <w:tcW w:type="dxa" w:w="3120"/>
          </w:tcPr>
          <w:p>
            <w:r>
              <w:rPr>
                <w:sz w:val="18"/>
              </w:rPr>
            </w:r>
            <w:r>
              <w:rPr>
                <w:sz w:val="18"/>
              </w:rPr>
              <w:t>DB</w:t>
            </w:r>
          </w:p>
        </w:tc>
        <w:tc>
          <w:tcPr>
            <w:tcW w:type="dxa" w:w="3120"/>
          </w:tcPr>
          <w:p>
            <w:r>
              <w:rPr>
                <w:sz w:val="18"/>
              </w:rPr>
            </w:r>
            <w:r>
              <w:rPr>
                <w:sz w:val="18"/>
              </w:rPr>
              <w:t>PostgreSQL (prod schema)</w:t>
            </w:r>
          </w:p>
        </w:tc>
        <w:tc>
          <w:tcPr>
            <w:tcW w:type="dxa" w:w="3120"/>
          </w:tcPr>
          <w:p>
            <w:r>
              <w:rPr>
                <w:sz w:val="18"/>
              </w:rPr>
            </w:r>
            <w:r>
              <w:rPr>
                <w:sz w:val="18"/>
              </w:rPr>
              <w:t>PostgreSQL (dev schema)</w:t>
            </w:r>
          </w:p>
        </w:tc>
      </w:tr>
      <w:tr>
        <w:tc>
          <w:tcPr>
            <w:tcW w:type="dxa" w:w="3120"/>
          </w:tcPr>
          <w:p>
            <w:r>
              <w:rPr>
                <w:sz w:val="18"/>
              </w:rPr>
            </w:r>
            <w:r>
              <w:rPr>
                <w:sz w:val="18"/>
              </w:rPr>
              <w:t>Deploy Command</w:t>
            </w:r>
          </w:p>
        </w:tc>
        <w:tc>
          <w:tcPr>
            <w:tcW w:type="dxa" w:w="3120"/>
          </w:tcPr>
          <w:p>
            <w:r>
              <w:rPr>
                <w:sz w:val="18"/>
              </w:rPr>
            </w:r>
            <w:r>
              <w:rPr>
                <w:rFonts w:ascii="Consolas" w:hAnsi="Consolas"/>
                <w:color w:val="1A1A2E"/>
                <w:sz w:val="18"/>
              </w:rPr>
              <w:t>docker compose --profile prod up -d</w:t>
            </w:r>
          </w:p>
        </w:tc>
        <w:tc>
          <w:tcPr>
            <w:tcW w:type="dxa" w:w="3120"/>
          </w:tcPr>
          <w:p>
            <w:r>
              <w:rPr>
                <w:sz w:val="18"/>
              </w:rPr>
            </w:r>
            <w:r>
              <w:rPr>
                <w:rFonts w:ascii="Consolas" w:hAnsi="Consolas"/>
                <w:color w:val="1A1A2E"/>
                <w:sz w:val="18"/>
              </w:rPr>
              <w:t>docker compose --profile dev up -d</w:t>
            </w:r>
          </w:p>
        </w:tc>
      </w:tr>
      <w:tr>
        <w:tc>
          <w:tcPr>
            <w:tcW w:type="dxa" w:w="3120"/>
          </w:tcPr>
          <w:p>
            <w:r>
              <w:rPr>
                <w:sz w:val="18"/>
              </w:rPr>
            </w:r>
            <w:r>
              <w:rPr>
                <w:sz w:val="18"/>
              </w:rPr>
              <w:t>Additional Resources</w:t>
            </w:r>
          </w:p>
        </w:tc>
        <w:tc>
          <w:tcPr>
            <w:tcW w:type="dxa" w:w="3120"/>
          </w:tcPr>
          <w:p>
            <w:r>
              <w:rPr>
                <w:sz w:val="18"/>
              </w:rPr>
            </w:r>
            <w:r>
              <w:rPr>
                <w:sz w:val="18"/>
              </w:rPr>
              <w:t>N/A</w:t>
            </w:r>
          </w:p>
        </w:tc>
        <w:tc>
          <w:tcPr>
            <w:tcW w:type="dxa" w:w="3120"/>
          </w:tcPr>
          <w:p>
            <w:r>
              <w:rPr>
                <w:sz w:val="18"/>
              </w:rPr>
            </w:r>
            <w:r>
              <w:rPr>
                <w:sz w:val="18"/>
              </w:rPr>
              <w:t>~500MB RAM</w:t>
            </w:r>
          </w:p>
        </w:tc>
      </w:tr>
    </w:tbl>
    <w:p/>
    <w:p>
      <w:r>
        <w:t>Operational flow: Code change → test on dev.namgun.or.kr → verify → build/deploy prod. CI/CD automation via Gitea Actions planned after GitOps training begins.</w:t>
      </w:r>
    </w:p>
    <w:p>
      <w:pPr>
        <w:spacing w:after="120"/>
      </w:pPr>
    </w:p>
    <w:p>
      <w:pPr>
        <w:pStyle w:val="Heading2"/>
      </w:pPr>
      <w:r>
        <w:t>8. Development Roadmap</w:t>
      </w:r>
    </w:p>
    <w:p>
      <w:pPr>
        <w:pStyle w:val="Heading3"/>
      </w:pPr>
      <w:r>
        <w:t>Phase 0: Infrastructure Preparation</w:t>
      </w:r>
    </w:p>
    <w:p>
      <w:pPr>
        <w:pStyle w:val="ListNumber"/>
      </w:pPr>
      <w:r>
        <w:t>Deploy Authentik Docker Compose (server, worker, PostgreSQL, Redis)</w:t>
      </w:r>
    </w:p>
    <w:p>
      <w:pPr>
        <w:pStyle w:val="ListNumber"/>
      </w:pPr>
      <w:r>
        <w:t>DNS configuration: *.namgun.or.kr wildcard or individual A records</w:t>
      </w:r>
    </w:p>
    <w:p>
      <w:pPr>
        <w:pStyle w:val="ListNumber"/>
      </w:pPr>
      <w:r>
        <w:t>TLS certificates: Let's Encrypt (ACME DNS-01 challenge)</w:t>
      </w:r>
    </w:p>
    <w:p>
      <w:pPr>
        <w:pStyle w:val="ListNumber"/>
      </w:pPr>
      <w:r>
        <w:t>Nginx reverse proxy: auth.namgun.or.kr → Authentik</w:t>
      </w:r>
    </w:p>
    <w:p>
      <w:pPr>
        <w:pStyle w:val="ListNumber"/>
      </w:pPr>
      <w:r>
        <w:t>Initial admin account creation, branding configuration</w:t>
      </w:r>
    </w:p>
    <w:p>
      <w:pPr>
        <w:pStyle w:val="Heading3"/>
      </w:pPr>
      <w:r>
        <w:t>Phase 1: SSO PoC</w:t>
      </w:r>
    </w:p>
    <w:p>
      <w:pPr>
        <w:pStyle w:val="ListNumber"/>
      </w:pPr>
      <w:r>
        <w:t>Create OIDC application for Gitea in Authentik</w:t>
      </w:r>
    </w:p>
    <w:p>
      <w:pPr>
        <w:pStyle w:val="ListNumber"/>
      </w:pPr>
      <w:r>
        <w:t>Configure Gitea OAuth2 authentication source and verify SSO flow</w:t>
      </w:r>
    </w:p>
    <w:p>
      <w:pPr>
        <w:pStyle w:val="ListNumber"/>
      </w:pPr>
      <w:r>
        <w:t>Configure RustDesk Pro OIDC and verify flow</w:t>
      </w:r>
    </w:p>
    <w:p>
      <w:pPr>
        <w:pStyle w:val="Heading3"/>
      </w:pPr>
      <w:r>
        <w:t>Phase 2: Mail Server Migration</w:t>
      </w:r>
    </w:p>
    <w:p>
      <w:pPr>
        <w:pStyle w:val="ListNumber"/>
      </w:pPr>
      <w:r>
        <w:t>Deploy Stalwart Docker and configure Authentik LDAP Outpost integration</w:t>
      </w:r>
    </w:p>
    <w:p>
      <w:pPr>
        <w:pStyle w:val="ListNumber"/>
      </w:pPr>
      <w:r>
        <w:t>Create Authentik OIDC application (for Stalwart web UI)</w:t>
      </w:r>
    </w:p>
    <w:p>
      <w:pPr>
        <w:pStyle w:val="ListNumber"/>
      </w:pPr>
      <w:r>
        <w:t>imapsync dry-run and execute actual migration</w:t>
      </w:r>
    </w:p>
    <w:p>
      <w:pPr>
        <w:pStyle w:val="ListNumber"/>
      </w:pPr>
      <w:r>
        <w:t>DNS update: regenerate DKIM keys, update SPF/DKIM/DMARC records</w:t>
      </w:r>
    </w:p>
    <w:p>
      <w:pPr>
        <w:pStyle w:val="ListNumber"/>
      </w:pPr>
      <w:r>
        <w:t>2-week parallel operation, then decommission iRedMail</w:t>
      </w:r>
    </w:p>
    <w:p>
      <w:pPr>
        <w:pStyle w:val="Heading3"/>
      </w:pPr>
      <w:r>
        <w:t>Phase 3: Portal Core Development</w:t>
      </w:r>
    </w:p>
    <w:p>
      <w:pPr>
        <w:pStyle w:val="ListNumber"/>
      </w:pPr>
      <w:r>
        <w:t>Initialize Nuxt 3 project + FastAPI backend scaffolding</w:t>
      </w:r>
    </w:p>
    <w:p>
      <w:pPr>
        <w:pStyle w:val="ListNumber"/>
      </w:pPr>
      <w:r>
        <w:t>Authentik OIDC login (Authorization Code Flow with PKCE)</w:t>
      </w:r>
    </w:p>
    <w:p>
      <w:pPr>
        <w:pStyle w:val="ListNumber"/>
      </w:pPr>
      <w:r>
        <w:t>Dashboard: service status cards + external service links</w:t>
      </w:r>
    </w:p>
    <w:p>
      <w:pPr>
        <w:pStyle w:val="ListNumber"/>
      </w:pPr>
      <w:r>
        <w:t>Docker Compose Profile-based dev/prod separation</w:t>
      </w:r>
    </w:p>
    <w:p>
      <w:pPr>
        <w:pStyle w:val="Heading3"/>
      </w:pPr>
      <w:r>
        <w:t>Phase 4: Native Integrations</w:t>
      </w:r>
    </w:p>
    <w:p>
      <w:pPr>
        <w:pStyle w:val="ListNumber"/>
      </w:pPr>
      <w:r>
        <w:t>Mail tab (JMAP client)</w:t>
      </w:r>
    </w:p>
    <w:p>
      <w:pPr>
        <w:pStyle w:val="ListNumber"/>
      </w:pPr>
      <w:r>
        <w:t>Files tab (WebDAV client)</w:t>
      </w:r>
    </w:p>
    <w:p>
      <w:pPr>
        <w:pStyle w:val="ListNumber"/>
      </w:pPr>
      <w:r>
        <w:t>Calendar tab (CalDAV client)</w:t>
      </w:r>
    </w:p>
    <w:p>
      <w:pPr>
        <w:pStyle w:val="ListNumber"/>
      </w:pPr>
      <w:r>
        <w:t>Contacts tab (CardDAV client)</w:t>
      </w:r>
    </w:p>
    <w:p>
      <w:pPr>
        <w:pStyle w:val="ListNumber"/>
      </w:pPr>
      <w:r>
        <w:t>Blog tab (markdown-based)</w:t>
      </w:r>
    </w:p>
    <w:p>
      <w:pPr>
        <w:pStyle w:val="ListNumber"/>
      </w:pPr>
      <w:r>
        <w:t>Notification center (unified notifications)</w:t>
      </w:r>
    </w:p>
    <w:p>
      <w:pPr>
        <w:pStyle w:val="Heading3"/>
      </w:pPr>
      <w:r>
        <w:t>Phase 5: Remaining SSO Integrations</w:t>
      </w:r>
    </w:p>
    <w:p>
      <w:pPr>
        <w:pStyle w:val="ListNumber"/>
      </w:pPr>
      <w:r>
        <w:t>BBB Greenlight 3.x OIDC configuration</w:t>
      </w:r>
    </w:p>
    <w:p>
      <w:pPr>
        <w:pStyle w:val="ListNumber"/>
      </w:pPr>
      <w:r>
        <w:t>OMV Proxy Auth finalization</w:t>
      </w:r>
    </w:p>
    <w:p>
      <w:pPr>
        <w:spacing w:after="120"/>
      </w:pPr>
    </w:p>
    <w:p>
      <w:pPr>
        <w:pStyle w:val="Heading2"/>
      </w:pPr>
      <w:r>
        <w:t>9. Risk Assessment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D9E2F3"/>
          </w:tcPr>
          <w:p>
            <w:pPr>
              <w:jc w:val="center"/>
            </w:pPr>
            <w:r/>
            <w:r>
              <w:rPr>
                <w:b/>
                <w:sz w:val="18"/>
              </w:rPr>
              <w:t>Risk</w:t>
            </w:r>
          </w:p>
        </w:tc>
        <w:tc>
          <w:tcPr>
            <w:tcW w:type="dxa" w:w="2340"/>
            <w:shd w:val="clear" w:color="auto" w:fill="D9E2F3"/>
          </w:tcPr>
          <w:p>
            <w:pPr>
              <w:jc w:val="center"/>
            </w:pPr>
            <w:r/>
            <w:r>
              <w:rPr>
                <w:b/>
                <w:sz w:val="18"/>
              </w:rPr>
              <w:t>Impact</w:t>
            </w:r>
          </w:p>
        </w:tc>
        <w:tc>
          <w:tcPr>
            <w:tcW w:type="dxa" w:w="2340"/>
            <w:shd w:val="clear" w:color="auto" w:fill="D9E2F3"/>
          </w:tcPr>
          <w:p>
            <w:pPr>
              <w:jc w:val="center"/>
            </w:pPr>
            <w:r/>
            <w:r>
              <w:rPr>
                <w:b/>
                <w:sz w:val="18"/>
              </w:rPr>
              <w:t>Probability</w:t>
            </w:r>
          </w:p>
        </w:tc>
        <w:tc>
          <w:tcPr>
            <w:tcW w:type="dxa" w:w="2340"/>
            <w:shd w:val="clear" w:color="auto" w:fill="D9E2F3"/>
          </w:tcPr>
          <w:p>
            <w:pPr>
              <w:jc w:val="center"/>
            </w:pPr>
            <w:r/>
            <w:r>
              <w:rPr>
                <w:b/>
                <w:sz w:val="18"/>
              </w:rPr>
              <w:t>Mitigation</w:t>
            </w:r>
          </w:p>
        </w:tc>
      </w:tr>
      <w:tr>
        <w:tc>
          <w:tcPr>
            <w:tcW w:type="dxa" w:w="2340"/>
          </w:tcPr>
          <w:p>
            <w:r>
              <w:rPr>
                <w:sz w:val="18"/>
              </w:rPr>
            </w:r>
            <w:r>
              <w:rPr>
                <w:sz w:val="18"/>
              </w:rPr>
              <w:t>iRedMail migration data loss</w:t>
            </w:r>
          </w:p>
        </w:tc>
        <w:tc>
          <w:tcPr>
            <w:tcW w:type="dxa" w:w="2340"/>
          </w:tcPr>
          <w:p>
            <w:r>
              <w:rPr>
                <w:sz w:val="18"/>
              </w:rPr>
            </w:r>
            <w:r>
              <w:rPr>
                <w:sz w:val="18"/>
              </w:rPr>
              <w:t>High</w:t>
            </w:r>
          </w:p>
        </w:tc>
        <w:tc>
          <w:tcPr>
            <w:tcW w:type="dxa" w:w="2340"/>
          </w:tcPr>
          <w:p>
            <w:r>
              <w:rPr>
                <w:sz w:val="18"/>
              </w:rPr>
            </w:r>
            <w:r>
              <w:rPr>
                <w:sz w:val="18"/>
              </w:rPr>
              <w:t>Low</w:t>
            </w:r>
          </w:p>
        </w:tc>
        <w:tc>
          <w:tcPr>
            <w:tcW w:type="dxa" w:w="2340"/>
          </w:tcPr>
          <w:p>
            <w:r>
              <w:rPr>
                <w:sz w:val="18"/>
              </w:rPr>
            </w:r>
            <w:r>
              <w:rPr>
                <w:sz w:val="18"/>
              </w:rPr>
              <w:t>imapsync dry-run, Maildir backup</w:t>
            </w:r>
          </w:p>
        </w:tc>
      </w:tr>
      <w:tr>
        <w:tc>
          <w:tcPr>
            <w:tcW w:type="dxa" w:w="2340"/>
          </w:tcPr>
          <w:p>
            <w:r>
              <w:rPr>
                <w:sz w:val="18"/>
              </w:rPr>
            </w:r>
            <w:r>
              <w:rPr>
                <w:sz w:val="18"/>
              </w:rPr>
              <w:t>Stalwart OIDC-only mail bounce</w:t>
            </w:r>
          </w:p>
        </w:tc>
        <w:tc>
          <w:tcPr>
            <w:tcW w:type="dxa" w:w="2340"/>
          </w:tcPr>
          <w:p>
            <w:r>
              <w:rPr>
                <w:sz w:val="18"/>
              </w:rPr>
            </w:r>
            <w:r>
              <w:rPr>
                <w:sz w:val="18"/>
              </w:rPr>
              <w:t>High</w:t>
            </w:r>
          </w:p>
        </w:tc>
        <w:tc>
          <w:tcPr>
            <w:tcW w:type="dxa" w:w="2340"/>
          </w:tcPr>
          <w:p>
            <w:r>
              <w:rPr>
                <w:sz w:val="18"/>
              </w:rPr>
            </w:r>
            <w:r>
              <w:rPr>
                <w:sz w:val="18"/>
              </w:rPr>
              <w:t>Med</w:t>
            </w:r>
          </w:p>
        </w:tc>
        <w:tc>
          <w:tcPr>
            <w:tcW w:type="dxa" w:w="2340"/>
          </w:tcPr>
          <w:p>
            <w:r>
              <w:rPr>
                <w:sz w:val="18"/>
              </w:rPr>
            </w:r>
            <w:r>
              <w:rPr>
                <w:sz w:val="18"/>
              </w:rPr>
              <w:t>Use Authentik LDAP as primary backend</w:t>
            </w:r>
          </w:p>
        </w:tc>
      </w:tr>
      <w:tr>
        <w:tc>
          <w:tcPr>
            <w:tcW w:type="dxa" w:w="2340"/>
          </w:tcPr>
          <w:p>
            <w:r>
              <w:rPr>
                <w:sz w:val="18"/>
              </w:rPr>
            </w:r>
            <w:r>
              <w:rPr>
                <w:sz w:val="18"/>
              </w:rPr>
              <w:t>Mail client OAUTHBEARER unsupported</w:t>
            </w:r>
          </w:p>
        </w:tc>
        <w:tc>
          <w:tcPr>
            <w:tcW w:type="dxa" w:w="2340"/>
          </w:tcPr>
          <w:p>
            <w:r>
              <w:rPr>
                <w:sz w:val="18"/>
              </w:rPr>
            </w:r>
            <w:r>
              <w:rPr>
                <w:sz w:val="18"/>
              </w:rPr>
              <w:t>Med</w:t>
            </w:r>
          </w:p>
        </w:tc>
        <w:tc>
          <w:tcPr>
            <w:tcW w:type="dxa" w:w="2340"/>
          </w:tcPr>
          <w:p>
            <w:r>
              <w:rPr>
                <w:sz w:val="18"/>
              </w:rPr>
            </w:r>
            <w:r>
              <w:rPr>
                <w:sz w:val="18"/>
              </w:rPr>
              <w:t>High</w:t>
            </w:r>
          </w:p>
        </w:tc>
        <w:tc>
          <w:tcPr>
            <w:tcW w:type="dxa" w:w="2340"/>
          </w:tcPr>
          <w:p>
            <w:r>
              <w:rPr>
                <w:sz w:val="18"/>
              </w:rPr>
            </w:r>
            <w:r>
              <w:rPr>
                <w:sz w:val="18"/>
              </w:rPr>
              <w:t>LDAP Outpost password auth fallback</w:t>
            </w:r>
          </w:p>
        </w:tc>
      </w:tr>
      <w:tr>
        <w:tc>
          <w:tcPr>
            <w:tcW w:type="dxa" w:w="2340"/>
          </w:tcPr>
          <w:p>
            <w:r>
              <w:rPr>
                <w:sz w:val="18"/>
              </w:rPr>
            </w:r>
            <w:r>
              <w:rPr>
                <w:sz w:val="18"/>
              </w:rPr>
              <w:t>Authentik SPOF</w:t>
            </w:r>
          </w:p>
        </w:tc>
        <w:tc>
          <w:tcPr>
            <w:tcW w:type="dxa" w:w="2340"/>
          </w:tcPr>
          <w:p>
            <w:r>
              <w:rPr>
                <w:sz w:val="18"/>
              </w:rPr>
            </w:r>
            <w:r>
              <w:rPr>
                <w:sz w:val="18"/>
              </w:rPr>
              <w:t>High</w:t>
            </w:r>
          </w:p>
        </w:tc>
        <w:tc>
          <w:tcPr>
            <w:tcW w:type="dxa" w:w="2340"/>
          </w:tcPr>
          <w:p>
            <w:r>
              <w:rPr>
                <w:sz w:val="18"/>
              </w:rPr>
            </w:r>
            <w:r>
              <w:rPr>
                <w:sz w:val="18"/>
              </w:rPr>
              <w:t>Low</w:t>
            </w:r>
          </w:p>
        </w:tc>
        <w:tc>
          <w:tcPr>
            <w:tcW w:type="dxa" w:w="2340"/>
          </w:tcPr>
          <w:p>
            <w:r>
              <w:rPr>
                <w:sz w:val="18"/>
              </w:rPr>
            </w:r>
            <w:r>
              <w:rPr>
                <w:sz w:val="18"/>
              </w:rPr>
              <w:t>Local admin fallback, regular DB backup</w:t>
            </w:r>
          </w:p>
        </w:tc>
      </w:tr>
      <w:tr>
        <w:tc>
          <w:tcPr>
            <w:tcW w:type="dxa" w:w="2340"/>
          </w:tcPr>
          <w:p>
            <w:r>
              <w:rPr>
                <w:sz w:val="18"/>
              </w:rPr>
            </w:r>
            <w:r>
              <w:rPr>
                <w:sz w:val="18"/>
              </w:rPr>
              <w:t>DNS/TLS propagation delay</w:t>
            </w:r>
          </w:p>
        </w:tc>
        <w:tc>
          <w:tcPr>
            <w:tcW w:type="dxa" w:w="2340"/>
          </w:tcPr>
          <w:p>
            <w:r>
              <w:rPr>
                <w:sz w:val="18"/>
              </w:rPr>
            </w:r>
            <w:r>
              <w:rPr>
                <w:sz w:val="18"/>
              </w:rPr>
              <w:t>Med</w:t>
            </w:r>
          </w:p>
        </w:tc>
        <w:tc>
          <w:tcPr>
            <w:tcW w:type="dxa" w:w="2340"/>
          </w:tcPr>
          <w:p>
            <w:r>
              <w:rPr>
                <w:sz w:val="18"/>
              </w:rPr>
            </w:r>
            <w:r>
              <w:rPr>
                <w:sz w:val="18"/>
              </w:rPr>
              <w:t>Low</w:t>
            </w:r>
          </w:p>
        </w:tc>
        <w:tc>
          <w:tcPr>
            <w:tcW w:type="dxa" w:w="2340"/>
          </w:tcPr>
          <w:p>
            <w:r>
              <w:rPr>
                <w:sz w:val="18"/>
              </w:rPr>
            </w:r>
            <w:r>
              <w:rPr>
                <w:sz w:val="18"/>
              </w:rPr>
              <w:t>Pre-set low TTL, dig verification before cutover</w:t>
            </w:r>
          </w:p>
        </w:tc>
      </w:tr>
      <w:tr>
        <w:tc>
          <w:tcPr>
            <w:tcW w:type="dxa" w:w="2340"/>
          </w:tcPr>
          <w:p>
            <w:r>
              <w:rPr>
                <w:sz w:val="18"/>
              </w:rPr>
            </w:r>
            <w:r>
              <w:rPr>
                <w:sz w:val="18"/>
              </w:rPr>
              <w:t>Frontend framework vulnerability</w:t>
            </w:r>
          </w:p>
        </w:tc>
        <w:tc>
          <w:tcPr>
            <w:tcW w:type="dxa" w:w="2340"/>
          </w:tcPr>
          <w:p>
            <w:r>
              <w:rPr>
                <w:sz w:val="18"/>
              </w:rPr>
            </w:r>
            <w:r>
              <w:rPr>
                <w:sz w:val="18"/>
              </w:rPr>
              <w:t>Critical</w:t>
            </w:r>
          </w:p>
        </w:tc>
        <w:tc>
          <w:tcPr>
            <w:tcW w:type="dxa" w:w="2340"/>
          </w:tcPr>
          <w:p>
            <w:r>
              <w:rPr>
                <w:sz w:val="18"/>
              </w:rPr>
            </w:r>
            <w:r>
              <w:rPr>
                <w:sz w:val="18"/>
              </w:rPr>
              <w:t>N/A</w:t>
            </w:r>
          </w:p>
        </w:tc>
        <w:tc>
          <w:tcPr>
            <w:tcW w:type="dxa" w:w="2340"/>
          </w:tcPr>
          <w:p>
            <w:r>
              <w:rPr>
                <w:sz w:val="18"/>
              </w:rPr>
            </w:r>
            <w:r>
              <w:rPr>
                <w:sz w:val="18"/>
              </w:rPr>
              <w:t>React/RSC excluded; Vue.js/Nuxt adopted for structural elimination</w:t>
            </w:r>
          </w:p>
        </w:tc>
      </w:tr>
    </w:tbl>
    <w:p/>
    <w:p>
      <w:pPr>
        <w:spacing w:after="120"/>
      </w:pPr>
    </w:p>
    <w:p>
      <w:pPr>
        <w:pStyle w:val="Heading2"/>
      </w:pPr>
      <w:r>
        <w:t>10. References</w:t>
      </w:r>
    </w:p>
    <w:p>
      <w:pPr>
        <w:pStyle w:val="ListBullet"/>
      </w:pPr>
      <w:r>
        <w:t>Authentik: https://goauthentik.io/docs/</w:t>
      </w:r>
    </w:p>
    <w:p>
      <w:pPr>
        <w:pStyle w:val="ListBullet"/>
      </w:pPr>
      <w:r>
        <w:t>Stalwart Mail Server: https://stalw.art/docs/</w:t>
      </w:r>
    </w:p>
    <w:p>
      <w:pPr>
        <w:pStyle w:val="ListBullet"/>
      </w:pPr>
      <w:r>
        <w:t>Stalwart OIDC Open-Source Announcement: https://stalw.art/blog/oidc-open-source/</w:t>
      </w:r>
    </w:p>
    <w:p>
      <w:pPr>
        <w:pStyle w:val="ListBullet"/>
      </w:pPr>
      <w:r>
        <w:t>RustDesk OIDC: https://rustdesk.com/docs/en/self-host/rustdesk-server-pro/oidc/</w:t>
      </w:r>
    </w:p>
    <w:p>
      <w:pPr>
        <w:pStyle w:val="ListBullet"/>
      </w:pPr>
      <w:r>
        <w:t>Gitea Authentication: https://docs.gitea.com/usage/authentication</w:t>
      </w:r>
    </w:p>
    <w:p>
      <w:pPr>
        <w:pStyle w:val="ListBullet"/>
      </w:pPr>
      <w:r>
        <w:t>Nuxt 3: https://nuxt.com/docs</w:t>
      </w:r>
    </w:p>
    <w:p>
      <w:pPr>
        <w:pStyle w:val="ListBullet"/>
      </w:pPr>
      <w:r>
        <w:t>FastAPI: https://fastapi.tiangolo.com/</w:t>
      </w:r>
    </w:p>
    <w:p>
      <w:pPr>
        <w:pStyle w:val="ListBullet"/>
      </w:pPr>
      <w:r>
        <w:t>CVE-2025-55182 (React2Shell): https://react.dev/blog/2025/12/03/critical-security-vulnerability-in-react-server-components</w:t>
      </w:r>
    </w:p>
    <w:p>
      <w:pPr>
        <w:pStyle w:val="ListBullet"/>
      </w:pPr>
      <w:r>
        <w:t>OpenMediaVault: https://www.openmediavault.org/</w:t>
      </w:r>
    </w:p>
    <w:p>
      <w:pPr>
        <w:spacing w:after="120"/>
      </w:pPr>
    </w:p>
    <w:p>
      <w:r>
        <w:rPr>
          <w:i/>
        </w:rPr>
        <w:t>End of Document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