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NAMIK AKMAN</w:t>
      </w:r>
    </w:p>
    <w:p>
      <w:pPr>
        <w:spacing w:after="30"/>
        <w:jc w:val="center"/>
      </w:pPr>
      <w:r>
        <w:rPr>
          <w:rFonts w:ascii="Georgia" w:cs="Georgia" w:eastAsia="Georgia" w:hAnsi="Georgia"/>
          <w:b/>
          <w:bCs/>
          <w:color w:val="222222"/>
          <w:sz w:val="22"/>
          <w:szCs w:val="22"/>
        </w:rPr>
        <w:t xml:space="preserve">Agentic Automation &amp; AI Consultant — Finance Transformation · Pharma / Animal Health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Istanbul, Türkiye (relocating to Amsterdam) · +90 549 656 6807 · akmannamik83@gmail.com · linkedin.com/in/namik-akman · namikakmandev.github.io</w:t>
      </w:r>
    </w:p>
    <w:p>
      <w:pPr>
        <w:pBdr>
          <w:bottom w:val="single" w:color="8B1A1A" w:sz="8" w:space="2"/>
        </w:pBdr>
        <w:spacing w:after="70" w:before="18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PROFESSIONAL SUMMARY</w:t>
      </w:r>
    </w:p>
    <w:p>
      <w:pPr>
        <w:spacing w:after="70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Finance and commercial transformation leader with 15+ years in regulated industries — the last 7.5 at </w:t>
      </w: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Zoetis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 (global animal-health pharmaceutical company, founded within Pfizer), currently </w:t>
      </w: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Strategic Projects &amp; Pricing Lead for Central-Eastern Europe &amp; the Middle East (CEEME)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. Authorized signatory of Zoetis Türkiye; member of the CEEME cluster Leadership Team.</w:t>
      </w:r>
    </w:p>
    <w:p>
      <w:pPr>
        <w:spacing w:after="70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My craft is being the </w:t>
      </w: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bridge between business needs and automation delivery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: I take in the requests of country leadership and finance teams, size the business case, decide between a strategic build and a low/no-code flow, and own delivery to measured impact — including the commercial workstream of a group-wide SAP S/4HANA transformation. I do not stop at the assessment: I have designed, built and deployed </w:t>
      </w: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15+ live automation and AI tools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 (LLM/RAG assistants, overnight back-office automation, an automated morning market brief, an MCP tool server) that my teams run on every day, under governed, cost-capped architecture.</w:t>
      </w:r>
    </w:p>
    <w:p>
      <w:pPr>
        <w:spacing w:after="70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Led a cross-functional team of 29 through company-wide transformation, developed 10+ people managers as country L&amp;D lead, and delivered quantified productivity gains: +11% sales with 9% fewer field resources (Zoetis EEMA Best Practices Award). Trusted thought partner to CEO and country leadership; fluent in English, German and Swedish; native Turkish.</w:t>
      </w:r>
    </w:p>
    <w:p>
      <w:pPr>
        <w:pBdr>
          <w:bottom w:val="single" w:color="8B1A1A" w:sz="8" w:space="2"/>
        </w:pBdr>
        <w:spacing w:after="70" w:before="18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CORE COMPETENCIES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Agentic automation &amp; AI enablement: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use-case intake &amp; prioritisation criteria · business &amp; value cases · strategic vs low/no-code solutioning · LLM/RAG &amp; agent design (Anthropic Claude, OpenAI) · MCP tool servers · governed, cost-capped deployment · adoption &amp; upskilling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Finance &amp; transformation: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FP&amp;A, forecasting &amp; monthly variance cadence · pricing, tender &amp; rebate governance · order-to-cash · SAP S/4HANA (group-wide ERP transformation) · KPI systems &amp; decision rights · SOX-aligned governance, escalation &amp; audit preparedness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Stakeholders &amp; delivery: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cross-functional squads across distributed markets · governance rhythms with GMs, CFOs and C-suite · executive communication · capability building &amp; L&amp;D (developed 10+ managers) · change management</w:t>
      </w:r>
    </w:p>
    <w:p>
      <w:pPr>
        <w:pBdr>
          <w:bottom w:val="single" w:color="8B1A1A" w:sz="8" w:space="2"/>
        </w:pBdr>
        <w:spacing w:after="70" w:before="18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PROFESSIONAL EXPERIENCE</w:t>
      </w:r>
    </w:p>
    <w:p>
      <w:pPr>
        <w:tabs>
          <w:tab w:val="right" w:pos="10466"/>
        </w:tabs>
        <w:spacing w:after="40" w:before="9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ZOETIS — Global Animal-Health Pharmaceuticals · Istanbul, Türkiye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	2019 – Present</w:t>
      </w:r>
    </w:p>
    <w:p>
      <w:pPr>
        <w:tabs>
          <w:tab w:val="right" w:pos="10466"/>
        </w:tabs>
        <w:spacing w:after="40" w:before="9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Strategic Projects &amp; Pricing Lead — Central-Eastern Europe &amp; Middle East (CEEME)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	Mar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Orchestrate cross-border strategic projects across a cluster of full-affiliate, distributor and hybrid markets — shaping the transformation agenda with country leadership, structuring roadmaps and governance, owning delivery to measured business impact.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Lead the commercial workstream of a group-wide SAP S/4HANA transformation — standardizing commercial processes into one ERP backbone; global design, local adoption across markets.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Reduce reporting overhead hands-on: design and deploy executive dashboards, automated reporting and planning tools used in live planning cycles across markets.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Own pricing &amp; access frameworks across CEEME — value-based pricing, contract/tender and rebate governance — aligning markets with corporate strategy while protecting margin.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Authorized signatory of the Zoetis Türkiye legal entity; member of the CEEME cluster Leadership Team.</w:t>
      </w:r>
    </w:p>
    <w:p>
      <w:pPr>
        <w:tabs>
          <w:tab w:val="right" w:pos="10466"/>
        </w:tabs>
        <w:spacing w:after="40" w:before="9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Commercial Operations Lead, Türkiye &amp; Israel + BU Lead, Companion Animal &amp; Diagnostics (dual mandate)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	Jun 2024 – Mar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Directed end-to-end commercial operations and marketing strategy, leading a cross-functional team of 29 across sales, marketing, finance, supply chain and CRM through company-wide business transformation.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Simultaneously owned BU strategy, performance and go-to-market for Companion Animal &amp; Diagnostics; led a high-impact product launch and a flagship KOL engagement event for 150 veterinarians.</w:t>
      </w:r>
    </w:p>
    <w:p>
      <w:pPr>
        <w:tabs>
          <w:tab w:val="right" w:pos="10466"/>
        </w:tabs>
        <w:spacing w:after="40" w:before="9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Commercial Operations Lead — Türkiye &amp; Israel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	Jun 2021 – Jun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Led a field-force optimization program delivering +11% sales with 9% fewer field resources — Zoetis EEMA Best Practices Award.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Designed a performance-based wholesaler incentive scheme — optimized premium spend by 5% while improving data accuracy and collection speed.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Revamped CRM and analytics strategy — customer segmentation, engagement tracking, sales-funnel efficiency — improving conversion and market insight across the commercial organization.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Provided decision support directly to the CEO; prepared board-level reports aligning business functions with strategic goals; headed customer service and order-to-cash operations, streamlining cash flow.</w:t>
      </w:r>
    </w:p>
    <w:p>
      <w:pPr>
        <w:tabs>
          <w:tab w:val="right" w:pos="10466"/>
        </w:tabs>
        <w:spacing w:after="40" w:before="9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Center of Excellence &amp; Strategic Planning Lead — Türkiye &amp; Israel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	Mar 2019 – Jun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Owned the annual planning cycle and performance cadence: regional FP&amp;A, forecasting and strategic pricing; monthly variance reviews of sales, cost, OPEX and IBT versus budget and forecast; M&amp;A evaluation on ROI/NPV.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Led country capability building: ran the L&amp;D function, localized international training modules, developed 10+ people managers, championed SOX-aligned governance and audit preparedness in a regulated environment.</w:t>
      </w:r>
    </w:p>
    <w:p>
      <w:pPr>
        <w:tabs>
          <w:tab w:val="right" w:pos="10466"/>
        </w:tabs>
        <w:spacing w:after="40" w:before="9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EARLIER CAREER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	2007 –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JLT Sigorta ve Reasürans Brokerliği (insurance brokerage), Istanbul — Senior Finance Manager / Finance Manager / Management Accountant (2015–2019):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 budgeting, rolling forecasts, long-term plans; IFRS compliance and audit lead; all financial reporting to HQ and the Asia region.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The Business Year (international publishing), Istanbul — Finance Executive (2013–2015):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 forecasting and analysis for overseas projects; international billing and debt collection.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Scandinavian Service Partners, Stockholm — Project Leader / Accountant (2011–2013):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 led accounting-system implementations for ~€37.5M annual cash handling; restructured a ~€87.5M/yr card-reconciliation treaty with VISA, Amex and Diners; reported to the board.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MAPFRE (insurance), Istanbul — Motor Insurance Associate (2007–2009):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 actuarial calculations, annual reporting, new-product development. Career began with an internship at Allianz (2005).</w:t>
      </w:r>
    </w:p>
    <w:p>
      <w:pPr>
        <w:pBdr>
          <w:bottom w:val="single" w:color="8B1A1A" w:sz="8" w:space="2"/>
        </w:pBdr>
        <w:spacing w:after="70" w:before="18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AGENTIC AUTOMATION &amp; AI PORTFOLIO — WORKING SOFTWARE (NAMIKAKMANDEV.GITHUB.IO)</w:t>
      </w:r>
    </w:p>
    <w:p>
      <w:pPr>
        <w:spacing w:after="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Independently designed, built and deployed 15+ live tools that eliminate reporting overhead and coordination friction — productivity delivered, not proposed.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Report → Dashboard: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 scattered files to a single executive report in seconds; </w:t>
      </w: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AkışPRO: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 overnight back-office automation (reconciliation, track-and-trace reporting, incentive calculations); </w:t>
      </w: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İstihbaratPRO: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 automated morning market brief with price changes, competitor moves and spreads.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Product Knowledge Assistant: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 LLM/RAG assistant that answers only from approved documents, with competitor comparison and objection handling — no unapproved claims.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Executive Q&amp;A layer: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 leadership asks in plain language, the system drills from region to product to invoice — cutting layers of manual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HelixPlan (FP&amp;A cockpit):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 demand baselines with backtested forecast error and Base/Management/Downside scenario planning; plus pricing, credit-risk and margin engines.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Econ Data MCP server: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 a Model Context Protocol server any AI assistant can call — curated datasets, live pulls from ten statistical providers and 20+ econometric tools; every answer carries its source and caveats.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Governed architecture: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 AI features run through a secured serverless proxy with hard cost caps, usage counters and end-to-end tests — controlled, enterprise-style deployment.</w:t>
      </w:r>
    </w:p>
    <w:p>
      <w:pPr>
        <w:pBdr>
          <w:bottom w:val="single" w:color="8B1A1A" w:sz="8" w:space="2"/>
        </w:pBdr>
        <w:spacing w:after="70" w:before="18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MSc, International Marketing — Mälardalen University, Sweden (2010–2011)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MSc, Economics — Dalarna University, Sweden (2009–2010)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BSc, Actuarial Science — Marmara University, Istanbul (2002–2007)</w:t>
      </w:r>
    </w:p>
    <w:p>
      <w:pPr>
        <w:pBdr>
          <w:bottom w:val="single" w:color="8B1A1A" w:sz="8" w:space="2"/>
        </w:pBdr>
        <w:spacing w:after="70" w:before="18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LANGUAGES &amp; TECHNICAL SKILLS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Turkish (native) · English (fluent) · German (fluent, Deutsches Sprachdiplom) · Swedish (fluent)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Technical: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Python · JavaScript/TypeScript · SQL · Power BI · Microsoft Power Platform (Power Automate, Copilot Studio) · Microsoft 365 Copilot · GitHub Copilot · SAP S/4HANA · Oracle Hyperion (HFM) · CRM &amp; commercial analytics · LLM/RAG and agent design (Anthropic Claude, OpenAI) · MCP servers · automated data pipelines &amp; API integration · advanced Excel/VBA</w:t>
      </w:r>
    </w:p>
    <w:sectPr>
      <w:pgSz w:w="11906" w:h="16838" w:orient="portrait"/>
      <w:pgMar w:top="680" w:right="850" w:bottom="6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2026-09-17T07:26:51.647Z</dcterms:created>
  <dcterms:modified xsi:type="dcterms:W3CDTF">2026-09-17T07:26:51.662Z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