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dùng đinh dạng chữ định dạng thủ công thay vì gán heading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công cụ AUTO TOC chỉ quét các heading có cấu trúc trong hệ thống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dòng 2.1.1 tiểu ban kĩ thuật bị nhầm cấp heading nó sẽ làm thay đôiur cấu trúc thụt đầu dòng trong văn bản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phần 2: sửa lỗi’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gán heading cho các tiêu đề theo lần lượt 1 2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vào references vào table of contents để tạo mục lục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cập nhật số trang vào tiêu đề mục lục chọn  Update entire table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