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615"/>
        <w:gridCol w:w="3585"/>
        <w:tblGridChange w:id="0">
          <w:tblGrid>
            <w:gridCol w:w="1575"/>
            <w:gridCol w:w="3615"/>
            <w:gridCol w:w="35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Absolute Path (C:\Users\...)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Relative Path (../data/logs.csv)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Độ dài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Dài, gắn chặt với ổ đĩa gốc.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Ngắn gọn, tính từ thư mục hiện tại.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Tính di động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dễ lỗi khi chuyển máy/OS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chạy tốt trên mọi máy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Độ an toàn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dễ lộ thông tin User/hệ thống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Cao bảo mật cấu trúc máy chủ.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b1o1eoswdjs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2: Lựa chọn &amp; Giải thích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Lựa chọn:</w:t>
      </w:r>
      <w:r w:rsidDel="00000000" w:rsidR="00000000" w:rsidRPr="00000000">
        <w:rPr>
          <w:b w:val="1"/>
          <w:bCs w:val="1"/>
          <w:rtl w:val="0"/>
        </w:rPr>
        <w:t xml:space="preserve"> Relative Path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../data/logs.csv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giúp mã nguồn linh hoạt, dễ chia sẻ.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Ý nghĩa dấu” ..” lùi 1 cấp thư mục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