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after="80" w:before="0"/>
        <w:jc w:val="center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KẾ HOẠCH BÀI DẠY</w:t>
      </w:r>
    </w:p>
    <w:p>
      <w:pPr>
        <w:keepNext/>
        <w:spacing w:line="276" w:lineRule="auto"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Môn: Toán - Lớp 4</w:t>
      </w:r>
    </w:p>
    <w:p>
      <w:pPr>
        <w:keepNext/>
        <w:spacing w:line="276" w:lineRule="auto" w:after="80" w:before="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Bài 1. ÔN TẬP CÁC SỐ ĐẾN 100 000</w:t>
      </w:r>
    </w:p>
    <w:p>
      <w:pPr>
        <w:spacing w:line="276" w:lineRule="auto" w:after="160" w:before="0"/>
        <w:jc w:val="center"/>
      </w:pPr>
      <w:r>
        <w:rPr>
          <w:rFonts w:ascii="Times New Roman" w:hAnsi="Times New Roman" w:eastAsia="Times New Roman"/>
          <w:b w:val="0"/>
          <w:i/>
          <w:sz w:val="26"/>
          <w:u w:val="none"/>
        </w:rPr>
        <w:t>Bộ sách: Kết nối tri thức với cuộc sống - Thời lượng: 01 tiết (35 phút)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Tuần/Tiết PPCT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1/1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Ngày dạy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20/05/2026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Giáo viên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Tuấn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Lớp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4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Năm học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2025 - 2026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Trang SGK/Học liệu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...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I. YÊU CẦU CẦN ĐẠT</w:t>
      </w:r>
    </w:p>
    <w:p>
      <w:pPr>
        <w:spacing w:line="276" w:lineRule="auto" w:after="8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Sau bài học, học sinh đạt được các yêu cầu sau: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1. Năng lực đặc thù môn Toán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Đọc, viết các số 100 000.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2. Năng lực chung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Tự chủ và tự học: tự giác.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3. Phẩm chất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Chăm chỉ: tích cực.</w:t>
      </w: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II. ĐỒ DÙNG DẠY HỌC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1. Giáo viên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SGK.</w:t>
      </w:r>
    </w:p>
    <w:p>
      <w:pPr>
        <w:keepNext/>
        <w:spacing w:line="276" w:lineRule="auto" w:after="40" w:before="0"/>
        <w:jc w:val="left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2. Học sinh</w:t>
      </w:r>
    </w:p>
    <w:p>
      <w:pPr>
        <w:spacing w:line="276" w:lineRule="auto" w:after="40" w:before="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– Vở.</w:t>
      </w: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III. CÁC HOẠT ĐỘNG DẠY HỌC CHỦ YẾU</w:t>
      </w:r>
    </w:p>
    <w:p>
      <w:pPr>
        <w:keepNext/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1. Mở đầu (5 phút)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Mục tiêu: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Khởi động.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giáo viên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học sinh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Sản phẩm/đánh giá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GV nêu...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HS...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...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2. Luyện tập (20 phút)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Mục tiêu: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Củng cố.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giáo viên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học sinh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Sản phẩm/đánh giá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GV giao bài.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HS làm.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Vở.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3. Vận dụng (10 phút)</w:t>
      </w:r>
    </w:p>
    <w:p>
      <w:pPr>
        <w:spacing w:line="276" w:lineRule="auto" w:after="8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Mục tiêu: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Liên hệ.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giáo viên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Hoạt động của học sinh</w:t>
            </w:r>
          </w:p>
        </w:tc>
        <w:tc>
          <w:tcPr>
            <w:tcW w:type="dxa" w:w="3024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Sản phẩm/đánh giá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GV...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HS...</w:t>
            </w:r>
          </w:p>
        </w:tc>
        <w:tc>
          <w:tcPr>
            <w:tcW w:type="dxa" w:w="302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...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IV. ĐIỀU CHỈNH, HỖ TRỢ VÀ PHÂN HÓA</w:t>
      </w:r>
    </w:p>
    <w:p>
      <w:pPr>
        <w:spacing w:line="276" w:lineRule="auto" w:after="4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– </w:t>
      </w: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Học sinh còn hạn chế: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Kèm.</w:t>
      </w:r>
    </w:p>
    <w:p>
      <w:pPr>
        <w:spacing w:line="276" w:lineRule="auto" w:after="4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– </w:t>
      </w: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Học sinh hoàn thành tốt: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Bài nâng cao.</w:t>
      </w:r>
    </w:p>
    <w:p>
      <w:pPr>
        <w:spacing w:line="276" w:lineRule="auto" w:after="40"/>
        <w:ind w:left="283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– </w:t>
      </w:r>
      <w:r>
        <w:rPr>
          <w:rFonts w:ascii="Times New Roman" w:hAnsi="Times New Roman" w:eastAsia="Times New Roman"/>
          <w:b/>
          <w:i w:val="0"/>
          <w:sz w:val="26"/>
          <w:u w:val="none"/>
        </w:rPr>
        <w:t xml:space="preserve">Lớp thiếu thiết bị: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Bảng con.</w:t>
      </w: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V. ĐÁNH GIÁ THƯỜNG XUYÊN TRONG BÀI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Nội dung đánh giá</w:t>
            </w:r>
          </w:p>
        </w:tc>
        <w:tc>
          <w:tcPr>
            <w:tcW w:type="dxa" w:w="2268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Mức cần đạt</w:t>
            </w:r>
          </w:p>
        </w:tc>
        <w:tc>
          <w:tcPr>
            <w:tcW w:type="dxa" w:w="2268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Phương pháp</w:t>
            </w:r>
          </w:p>
        </w:tc>
        <w:tc>
          <w:tcPr>
            <w:tcW w:type="dxa" w:w="2268"/>
            <w:shd w:val="clear" w:color="auto" w:fill="EEF4FF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Công cụ/minh chứng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Đọc số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Đúng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Hỏi đáp</w:t>
            </w:r>
          </w:p>
        </w:tc>
        <w:tc>
          <w:tcPr>
            <w:tcW w:type="dxa" w:w="226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top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Vở</w:t>
            </w:r>
          </w:p>
        </w:tc>
      </w:tr>
    </w:tbl>
    <w:p>
      <w:pPr>
        <w:spacing w:line="276" w:lineRule="auto" w:after="80" w:before="0"/>
      </w:pPr>
    </w:p>
    <w:p>
      <w:pPr>
        <w:keepNext/>
        <w:spacing w:line="276" w:lineRule="auto" w:after="80" w:before="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VII. ĐIỀU CHỈNH SAU BÀI DẠY</w:t>
      </w:r>
    </w:p>
    <w:p>
      <w:pPr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1. Những điểm thực hiện tốt: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2. Nội dung cần điều chỉnh/bổ sung: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40" w:before="0"/>
      </w:pPr>
      <w:r>
        <w:rPr>
          <w:rFonts w:ascii="Times New Roman" w:hAnsi="Times New Roman" w:eastAsia="Times New Roman"/>
          <w:b/>
          <w:i w:val="0"/>
          <w:sz w:val="26"/>
          <w:u w:val="none"/>
        </w:rPr>
        <w:t>3. Học sinh cần hỗ trợ thêm: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120" w:before="0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....................................................................................................</w:t>
      </w:r>
    </w:p>
    <w:p>
      <w:pPr>
        <w:spacing w:line="276" w:lineRule="auto" w:after="24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TỔ TRƯỞNG/CHUYÊN MÔN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GIÁO VIÊN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>(Ký, ghi rõ họ tên)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>(Ký, ghi rõ họ tên)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</w:r>
          </w:p>
        </w:tc>
      </w:tr>
    </w:tbl>
    <w:sectPr w:rsidR="00FC693F" w:rsidRPr="0006063C" w:rsidSect="00034616">
      <w:headerReference w:type="first" r:id="rId9"/>
      <w:footerReference w:type="first" r:id="rId10"/>
      <w:footerReference w:type="default" r:id="rId11"/>
      <w:pgSz w:w="11906" w:h="16838"/>
      <w:pgMar w:top="1134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Times New Roman" w:hAnsi="Times New Roman" w:eastAsia="Times New Roman"/>
        <w:b w:val="0"/>
        <w:i/>
        <w:sz w:val="20"/>
        <w:u w:val="none"/>
      </w:rPr>
      <w:t>Kế hoạch bài dạy ÔN TẬP CÁC SỐ ĐẾN 100 000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Times New Roman" w:hAnsi="Times New Roman" w:eastAsia="Times New Roman"/>
        <w:b w:val="0"/>
        <w:i/>
        <w:sz w:val="20"/>
        <w:u w:val="none"/>
      </w:rPr>
      <w:t>Kế hoạch bài dạy ÔN TẬP CÁC SỐ ĐẾN 100 000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left"/>
          </w:pPr>
          <w:r/>
          <w:r>
            <w:rPr>
              <w:rFonts w:ascii="Times New Roman" w:hAnsi="Times New Roman" w:eastAsia="Times New Roman"/>
              <w:b/>
              <w:i w:val="0"/>
              <w:sz w:val="22"/>
              <w:u w:val="none"/>
            </w:rPr>
            <w:t>UBND Huyện Hoài Đức</w:t>
          </w:r>
        </w:p>
        <w:p>
          <w:pPr>
            <w:spacing w:after="0"/>
            <w:jc w:val="left"/>
          </w:pPr>
          <w:r>
            <w:rPr>
              <w:rFonts w:ascii="Times New Roman" w:hAnsi="Times New Roman" w:eastAsia="Times New Roman"/>
              <w:b/>
              <w:i w:val="0"/>
              <w:sz w:val="22"/>
              <w:u w:val="none"/>
            </w:rPr>
            <w:t>TRƯỜNG TIỂU HỌC HỒNG THÁI</w:t>
          </w:r>
        </w:p>
      </w:tc>
      <w:tc>
        <w:tcPr>
          <w:tcW w:type="dxa" w:w="4535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center"/>
          </w:pPr>
          <w:r/>
          <w:r>
            <w:rPr>
              <w:rFonts w:ascii="Times New Roman" w:hAnsi="Times New Roman" w:eastAsia="Times New Roman"/>
              <w:b/>
              <w:i w:val="0"/>
              <w:sz w:val="22"/>
              <w:u w:val="none"/>
            </w:rPr>
            <w:t>CỘNG HÒA XÃ HỘI CHỦ NGHĨA VIỆT NAM</w:t>
          </w:r>
        </w:p>
        <w:p>
          <w:pPr>
            <w:spacing w:after="0"/>
            <w:jc w:val="center"/>
          </w:pPr>
          <w:r>
            <w:rPr>
              <w:rFonts w:ascii="Times New Roman" w:hAnsi="Times New Roman" w:eastAsia="Times New Roman"/>
              <w:b/>
              <w:i w:val="0"/>
              <w:sz w:val="22"/>
              <w:u w:val="single"/>
            </w:rPr>
            <w:t>Độc lập - Tự do - Hạnh phúc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ÔN TẬP CÁC SỐ ĐẾN 100 000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