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a3629oupqj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The Visitor pattern is designed around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double dispatch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(fundamental)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9duo79hdr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Double Dispatch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it?</w:t>
        <w:br w:type="textWrapping"/>
      </w:r>
      <w:r w:rsidDel="00000000" w:rsidR="00000000" w:rsidRPr="00000000">
        <w:rPr>
          <w:rtl w:val="0"/>
        </w:rPr>
        <w:t xml:space="preserve"> Double dispatch is a technique where a method call is dynamically dispatched based on the runtime type of </w:t>
      </w:r>
      <w:r w:rsidDel="00000000" w:rsidR="00000000" w:rsidRPr="00000000">
        <w:rPr>
          <w:i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objects instead of just one.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Visitor Pattern:</w:t>
        <w:br w:type="textWrapping"/>
      </w:r>
      <w:r w:rsidDel="00000000" w:rsidR="00000000" w:rsidRPr="00000000">
        <w:rPr>
          <w:rtl w:val="0"/>
        </w:rPr>
        <w:t xml:space="preserve"> When you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element.accept(visitor)</w:t>
      </w:r>
      <w:r w:rsidDel="00000000" w:rsidR="00000000" w:rsidRPr="00000000">
        <w:rPr>
          <w:rtl w:val="0"/>
        </w:rPr>
        <w:t xml:space="preserve">, the element calls back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visitor.visit(this)</w:t>
      </w:r>
      <w:r w:rsidDel="00000000" w:rsidR="00000000" w:rsidRPr="00000000">
        <w:rPr>
          <w:rtl w:val="0"/>
        </w:rPr>
        <w:t xml:space="preserve">.</w:t>
        <w:br w:type="textWrapping"/>
        <w:t xml:space="preserve"> The first dispatch happens on the element’s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accept()</w:t>
      </w:r>
      <w:r w:rsidDel="00000000" w:rsidR="00000000" w:rsidRPr="00000000">
        <w:rPr>
          <w:rtl w:val="0"/>
        </w:rPr>
        <w:t xml:space="preserve"> method (based on element’s type).</w:t>
        <w:br w:type="textWrapping"/>
        <w:t xml:space="preserve"> The second dispatch happens on the visitor’s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visit()</w:t>
      </w:r>
      <w:r w:rsidDel="00000000" w:rsidR="00000000" w:rsidRPr="00000000">
        <w:rPr>
          <w:rtl w:val="0"/>
        </w:rPr>
        <w:t xml:space="preserve"> method (based on visitor’s type and the exact element subclass).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  <w:br w:type="textWrapping"/>
      </w:r>
      <w:r w:rsidDel="00000000" w:rsidR="00000000" w:rsidRPr="00000000">
        <w:rPr>
          <w:rtl w:val="0"/>
        </w:rPr>
        <w:t xml:space="preserve"> This allows the program to execute the correct visitor method for the exact type of element being visited, enabling clean separation without type checking or casting.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