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90663" w14:textId="77777777" w:rsidR="00B951BD" w:rsidRDefault="00047190" w:rsidP="0099404D">
      <w:pPr>
        <w:pStyle w:val="Title"/>
        <w:jc w:val="left"/>
      </w:pPr>
      <w:r>
        <w:t>Asset Management</w:t>
      </w:r>
    </w:p>
    <w:p w14:paraId="3EC49FFA" w14:textId="69A615EC" w:rsidR="0099404D" w:rsidRDefault="0099404D" w:rsidP="0099404D">
      <w:pPr>
        <w:pStyle w:val="BlockText"/>
        <w:ind w:left="0"/>
        <w:rPr>
          <w:b/>
        </w:rPr>
      </w:pPr>
      <w:r>
        <w:rPr>
          <w:b/>
          <w:noProof/>
        </w:rPr>
        <w:drawing>
          <wp:inline distT="0" distB="0" distL="0" distR="0" wp14:anchorId="2D324B18" wp14:editId="1FD2DABF">
            <wp:extent cx="3546745" cy="268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44" cy="271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73A5" w14:textId="77777777" w:rsidR="0099404D" w:rsidRDefault="0099404D">
      <w:pPr>
        <w:pStyle w:val="BlockText"/>
        <w:rPr>
          <w:b/>
        </w:rPr>
      </w:pPr>
    </w:p>
    <w:p w14:paraId="1C6A4832" w14:textId="1839FCBC" w:rsidR="00B951BD" w:rsidRDefault="00047190">
      <w:pPr>
        <w:pStyle w:val="BlockText"/>
      </w:pPr>
      <w:r>
        <w:rPr>
          <w:b/>
        </w:rPr>
        <w:t>Asset Management is the optimal allocation of the scarce budget between the new arrangement of asset and rehabilitation/maintenance of the existing assets to maximize the value of the stock of assets and to realize the maximum outcomes for the stakeholders</w:t>
      </w:r>
      <w:r>
        <w:rPr>
          <w:b/>
        </w:rPr>
        <w:t>.</w:t>
      </w:r>
    </w:p>
    <w:p w14:paraId="34607716" w14:textId="77777777" w:rsidR="00B951BD" w:rsidRDefault="00047190">
      <w:pPr>
        <w:pStyle w:val="FirstParagraph"/>
      </w:pPr>
      <w:r>
        <w:t>Arcadis is capable of providing asset management services for va</w:t>
      </w:r>
      <w:bookmarkStart w:id="0" w:name="_GoBack"/>
      <w:bookmarkEnd w:id="0"/>
      <w:r>
        <w:t>rious types of engineering and infrastructure systems such as water and waste water utilities (Water Treatment Plants, Pump Stations, and Pipeline), mechanical and electrical assets of indus</w:t>
      </w:r>
      <w:r>
        <w:t>trial plants, bridge and pavement systems, and building assets.</w:t>
      </w:r>
    </w:p>
    <w:p w14:paraId="73C5676C" w14:textId="77777777" w:rsidR="00B951BD" w:rsidRDefault="00047190">
      <w:pPr>
        <w:pStyle w:val="BodyText"/>
      </w:pPr>
      <w:r>
        <w:t>Our services encompasses</w:t>
      </w:r>
    </w:p>
    <w:p w14:paraId="771D91AB" w14:textId="77777777" w:rsidR="00B951BD" w:rsidRDefault="00047190">
      <w:pPr>
        <w:numPr>
          <w:ilvl w:val="0"/>
          <w:numId w:val="2"/>
        </w:numPr>
      </w:pPr>
      <w:r>
        <w:t>Asset inspection and monitoring for capturing physical condition and operational condition of assets.</w:t>
      </w:r>
    </w:p>
    <w:p w14:paraId="446A3BA4" w14:textId="77777777" w:rsidR="00B951BD" w:rsidRDefault="00047190">
      <w:pPr>
        <w:numPr>
          <w:ilvl w:val="0"/>
          <w:numId w:val="2"/>
        </w:numPr>
      </w:pPr>
      <w:r>
        <w:t>Development of asset hierarchy and classification.</w:t>
      </w:r>
    </w:p>
    <w:p w14:paraId="3A7ED96C" w14:textId="77777777" w:rsidR="00B951BD" w:rsidRDefault="00047190">
      <w:pPr>
        <w:numPr>
          <w:ilvl w:val="0"/>
          <w:numId w:val="2"/>
        </w:numPr>
      </w:pPr>
      <w:r>
        <w:t>Preparation of</w:t>
      </w:r>
      <w:r>
        <w:t xml:space="preserve"> blue-print and strategic framework for organizations aiming to establish a long-term integrated asset management.</w:t>
      </w:r>
    </w:p>
    <w:p w14:paraId="2F67CBB8" w14:textId="77777777" w:rsidR="00B951BD" w:rsidRDefault="00047190">
      <w:pPr>
        <w:numPr>
          <w:ilvl w:val="0"/>
          <w:numId w:val="2"/>
        </w:numPr>
      </w:pPr>
      <w:r>
        <w:t>Reliability study and modelling based on both qualitative and quantitative approaches;</w:t>
      </w:r>
    </w:p>
    <w:p w14:paraId="3BFF1042" w14:textId="77777777" w:rsidR="00B951BD" w:rsidRDefault="00047190">
      <w:pPr>
        <w:numPr>
          <w:ilvl w:val="0"/>
          <w:numId w:val="2"/>
        </w:numPr>
      </w:pPr>
      <w:hyperlink r:id="rId8">
        <w:r w:rsidRPr="009F0736">
          <w:t>Weibull analysis</w:t>
        </w:r>
      </w:hyperlink>
      <w:r>
        <w:t>.</w:t>
      </w:r>
    </w:p>
    <w:p w14:paraId="431F9994" w14:textId="77777777" w:rsidR="00B951BD" w:rsidRDefault="00047190">
      <w:pPr>
        <w:numPr>
          <w:ilvl w:val="0"/>
          <w:numId w:val="2"/>
        </w:numPr>
      </w:pPr>
      <w:r>
        <w:t>Fault Tree and Event Tree analysis;</w:t>
      </w:r>
    </w:p>
    <w:p w14:paraId="2E53A84B" w14:textId="77777777" w:rsidR="00B951BD" w:rsidRDefault="00047190">
      <w:pPr>
        <w:numPr>
          <w:ilvl w:val="0"/>
          <w:numId w:val="2"/>
        </w:numPr>
      </w:pPr>
      <w:r>
        <w:t>Deterioration prediction and modelling based on historical, inspection and monitoring data.</w:t>
      </w:r>
    </w:p>
    <w:p w14:paraId="5A6C23CE" w14:textId="77777777" w:rsidR="00B951BD" w:rsidRDefault="00047190">
      <w:pPr>
        <w:numPr>
          <w:ilvl w:val="0"/>
          <w:numId w:val="2"/>
        </w:numPr>
      </w:pPr>
      <w:r>
        <w:lastRenderedPageBreak/>
        <w:t>Life cycle cost estimation and calculation of Return on Investment.</w:t>
      </w:r>
    </w:p>
    <w:p w14:paraId="01A67885" w14:textId="77777777" w:rsidR="00B951BD" w:rsidRDefault="00047190">
      <w:pPr>
        <w:numPr>
          <w:ilvl w:val="0"/>
          <w:numId w:val="2"/>
        </w:numPr>
      </w:pPr>
      <w:r>
        <w:t>Determination of optimal intervention programs.</w:t>
      </w:r>
    </w:p>
    <w:p w14:paraId="6A6A4242" w14:textId="77777777" w:rsidR="00B951BD" w:rsidRDefault="00047190">
      <w:pPr>
        <w:numPr>
          <w:ilvl w:val="0"/>
          <w:numId w:val="2"/>
        </w:numPr>
      </w:pPr>
      <w:hyperlink r:id="rId9">
        <w:r w:rsidRPr="00266C95">
          <w:t>Energy audit</w:t>
        </w:r>
      </w:hyperlink>
      <w:r>
        <w:t>.</w:t>
      </w:r>
    </w:p>
    <w:p w14:paraId="097CC3CF" w14:textId="77777777" w:rsidR="00B951BD" w:rsidRDefault="00047190">
      <w:pPr>
        <w:pStyle w:val="FirstParagraph"/>
      </w:pPr>
      <w:r>
        <w:t>We are fully committed to apply the state-of-the-art asset management standards (e.g. FMEA, ISO 55000/01/02) to realize the best and optimal solutions for keeping and maintaining your assets in good conditions and constant</w:t>
      </w:r>
      <w:r>
        <w:t>ly provide adequate level of services.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3509D" w14:paraId="4FE64E26" w14:textId="77777777" w:rsidTr="004B409C">
        <w:tc>
          <w:tcPr>
            <w:tcW w:w="4788" w:type="dxa"/>
          </w:tcPr>
          <w:p w14:paraId="66819576" w14:textId="1244C747" w:rsidR="00F3509D" w:rsidRDefault="004B3CA0" w:rsidP="004B409C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739DB659" wp14:editId="645FF19F">
                  <wp:extent cx="2580000" cy="1548000"/>
                  <wp:effectExtent l="0" t="0" r="0" b="0"/>
                  <wp:docPr id="4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so5500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144FAE81" w14:textId="4277008D" w:rsidR="00F3509D" w:rsidRDefault="004B3CA0" w:rsidP="004B409C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6A5CEE3F" wp14:editId="019E9C4A">
                  <wp:extent cx="2580000" cy="1548000"/>
                  <wp:effectExtent l="0" t="0" r="0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am_pomplu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E0164" w14:textId="496FCA62" w:rsidR="00B951BD" w:rsidRDefault="00B951BD">
      <w:pPr>
        <w:pStyle w:val="BodyText"/>
      </w:pPr>
    </w:p>
    <w:sectPr w:rsidR="00B951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75525" w14:textId="77777777" w:rsidR="00047190" w:rsidRDefault="00047190">
      <w:pPr>
        <w:spacing w:after="0"/>
      </w:pPr>
      <w:r>
        <w:separator/>
      </w:r>
    </w:p>
  </w:endnote>
  <w:endnote w:type="continuationSeparator" w:id="0">
    <w:p w14:paraId="41C1F1FA" w14:textId="77777777" w:rsidR="00047190" w:rsidRDefault="000471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8273B" w14:textId="77777777" w:rsidR="00047190" w:rsidRDefault="00047190">
      <w:r>
        <w:separator/>
      </w:r>
    </w:p>
  </w:footnote>
  <w:footnote w:type="continuationSeparator" w:id="0">
    <w:p w14:paraId="35991B1B" w14:textId="77777777" w:rsidR="00047190" w:rsidRDefault="00047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8DADC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3C0C9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190"/>
    <w:rsid w:val="00266C95"/>
    <w:rsid w:val="002A2398"/>
    <w:rsid w:val="004B3CA0"/>
    <w:rsid w:val="004E29B3"/>
    <w:rsid w:val="00590D07"/>
    <w:rsid w:val="005A2AB4"/>
    <w:rsid w:val="00784D58"/>
    <w:rsid w:val="008D6863"/>
    <w:rsid w:val="0099404D"/>
    <w:rsid w:val="009F0736"/>
    <w:rsid w:val="00B86B75"/>
    <w:rsid w:val="00B951BD"/>
    <w:rsid w:val="00BC48D5"/>
    <w:rsid w:val="00C36279"/>
    <w:rsid w:val="00E315A3"/>
    <w:rsid w:val="00F350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4D92"/>
  <w15:docId w15:val="{86EEA36A-D7FD-47DE-9954-1BBEB1BB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F350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apps/weibulllc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/post/en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</dc:title>
  <dc:creator/>
  <cp:keywords/>
  <cp:lastModifiedBy>Nam Le</cp:lastModifiedBy>
  <cp:revision>10</cp:revision>
  <dcterms:created xsi:type="dcterms:W3CDTF">2020-02-27T02:42:00Z</dcterms:created>
  <dcterms:modified xsi:type="dcterms:W3CDTF">2020-03-02T07:59:00Z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categories">
    <vt:lpwstr/>
  </property>
  <property fmtid="{D5CDD505-2E9C-101B-9397-08002B2CF9AE}" pid="4" name="date">
    <vt:lpwstr>2020-02-07T11:08:22+08:00</vt:lpwstr>
  </property>
  <property fmtid="{D5CDD505-2E9C-101B-9397-08002B2CF9AE}" pid="5" name="external_link">
    <vt:lpwstr/>
  </property>
  <property fmtid="{D5CDD505-2E9C-101B-9397-08002B2CF9AE}" pid="6" name="image">
    <vt:lpwstr/>
  </property>
  <property fmtid="{D5CDD505-2E9C-101B-9397-08002B2CF9AE}" pid="7" name="slides">
    <vt:lpwstr/>
  </property>
  <property fmtid="{D5CDD505-2E9C-101B-9397-08002B2CF9AE}" pid="8" name="summary">
    <vt:lpwstr>Determination of Optimal Preventive Intervention based on ISO 55000, RbAM, APM, Reliability Engineering, Optimization, Statistics, Preventive Intervention</vt:lpwstr>
  </property>
  <property fmtid="{D5CDD505-2E9C-101B-9397-08002B2CF9AE}" pid="9" name="tags">
    <vt:lpwstr/>
  </property>
  <property fmtid="{D5CDD505-2E9C-101B-9397-08002B2CF9AE}" pid="10" name="url_code">
    <vt:lpwstr/>
  </property>
  <property fmtid="{D5CDD505-2E9C-101B-9397-08002B2CF9AE}" pid="11" name="url_pdf">
    <vt:lpwstr/>
  </property>
  <property fmtid="{D5CDD505-2E9C-101B-9397-08002B2CF9AE}" pid="12" name="url_slides">
    <vt:lpwstr/>
  </property>
  <property fmtid="{D5CDD505-2E9C-101B-9397-08002B2CF9AE}" pid="13" name="url_video">
    <vt:lpwstr/>
  </property>
  <property fmtid="{D5CDD505-2E9C-101B-9397-08002B2CF9AE}" pid="14" name="Docear4Word_StyleTitle">
    <vt:lpwstr>IEEE-Margin</vt:lpwstr>
  </property>
</Properties>
</file>