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B776" w14:textId="4F2CD2A2" w:rsidR="009E6E02" w:rsidRDefault="009C3008" w:rsidP="00E26181">
      <w:pPr>
        <w:pStyle w:val="Title"/>
      </w:pPr>
      <w:r>
        <w:t>Physiologically-based</w:t>
      </w:r>
      <w:r w:rsidR="00AD212E">
        <w:t xml:space="preserve"> </w:t>
      </w:r>
      <w:r w:rsidR="00C34BB4">
        <w:t>Pharmacokinetic Modeling as a New Approach Methodology</w:t>
      </w:r>
      <w:r w:rsidR="00AD212E">
        <w:t xml:space="preserve"> for Monoclonal Antibodies</w:t>
      </w:r>
    </w:p>
    <w:p w14:paraId="7519B2E0" w14:textId="77777777" w:rsidR="0052652C" w:rsidRDefault="0052652C" w:rsidP="005B7C2F">
      <w:pPr>
        <w:pStyle w:val="Heading1"/>
      </w:pPr>
      <w:r>
        <w:t>Abstract</w:t>
      </w:r>
    </w:p>
    <w:p w14:paraId="3D5D0F52" w14:textId="39F7DE58" w:rsidR="005B7C2F" w:rsidRDefault="005B7C2F" w:rsidP="005B7C2F">
      <w:pPr>
        <w:pStyle w:val="Heading1"/>
      </w:pPr>
      <w:r>
        <w:t>Introduction</w:t>
      </w:r>
    </w:p>
    <w:p w14:paraId="3178D3BF" w14:textId="77777777" w:rsidR="001C5162" w:rsidRPr="001C5162" w:rsidRDefault="001C5162" w:rsidP="001C5162">
      <w:r w:rsidRPr="001C5162">
        <w:t>Regulatory landscape for NAMs – A priori PK predictions rationale </w:t>
      </w:r>
    </w:p>
    <w:p w14:paraId="03600F5F" w14:textId="77777777" w:rsidR="001C5162" w:rsidRPr="001C5162" w:rsidRDefault="001C5162" w:rsidP="001C5162">
      <w:r w:rsidRPr="001C5162">
        <w:t>Safety or efficacy predictions   – require PK predictions </w:t>
      </w:r>
    </w:p>
    <w:p w14:paraId="173A5FD8" w14:textId="06D3009E" w:rsidR="001C5162" w:rsidRPr="001C5162" w:rsidRDefault="00602192" w:rsidP="001C5162">
      <w:r>
        <w:t>Brief i</w:t>
      </w:r>
      <w:r w:rsidR="001C5162" w:rsidRPr="001C5162">
        <w:t>ntroduc</w:t>
      </w:r>
      <w:r w:rsidR="005F6F4C">
        <w:t>tion of</w:t>
      </w:r>
      <w:r w:rsidR="001C5162" w:rsidRPr="001C5162">
        <w:t xml:space="preserve"> PBPK models </w:t>
      </w:r>
    </w:p>
    <w:p w14:paraId="61F6AF1C" w14:textId="2EA32F98" w:rsidR="001C5162" w:rsidRPr="001C5162" w:rsidRDefault="001C5162" w:rsidP="001C5162">
      <w:r w:rsidRPr="001C5162">
        <w:t xml:space="preserve">Eventually </w:t>
      </w:r>
      <w:r w:rsidR="00AD59A0">
        <w:t>NAMs</w:t>
      </w:r>
      <w:r w:rsidRPr="001C5162">
        <w:t> </w:t>
      </w:r>
      <w:r w:rsidR="00AD59A0">
        <w:t xml:space="preserve">may </w:t>
      </w:r>
      <w:r w:rsidRPr="001C5162">
        <w:t>replace animal</w:t>
      </w:r>
      <w:r w:rsidR="00AD59A0">
        <w:t xml:space="preserve"> PK</w:t>
      </w:r>
      <w:r w:rsidRPr="001C5162">
        <w:t xml:space="preserve"> studies  </w:t>
      </w:r>
      <w:r w:rsidR="005F6F4C">
        <w:sym w:font="Wingdings" w:char="F0E0"/>
      </w:r>
      <w:r w:rsidR="00AD59A0">
        <w:t xml:space="preserve"> </w:t>
      </w:r>
      <w:r w:rsidRPr="001C5162">
        <w:t xml:space="preserve">Near term </w:t>
      </w:r>
      <w:r w:rsidR="00AD59A0">
        <w:t xml:space="preserve">goal </w:t>
      </w:r>
      <w:r w:rsidR="005F6F4C">
        <w:t xml:space="preserve">is </w:t>
      </w:r>
      <w:r w:rsidRPr="001C5162">
        <w:t>optimization of study designs </w:t>
      </w:r>
      <w:r w:rsidR="005F6F4C">
        <w:t>to reduce number of animals</w:t>
      </w:r>
    </w:p>
    <w:p w14:paraId="44D45CC8" w14:textId="1433CC10" w:rsidR="00A87456" w:rsidRDefault="00A87456" w:rsidP="00A87456">
      <w:r w:rsidRPr="006A230E">
        <w:t>A traditional monoclonal antibody (mAb) development program typically includes</w:t>
      </w:r>
      <w:r>
        <w:t xml:space="preserve"> preclinical </w:t>
      </w:r>
      <w:r w:rsidRPr="006A230E">
        <w:t>PK</w:t>
      </w:r>
      <w:r>
        <w:t xml:space="preserve"> </w:t>
      </w:r>
      <w:r w:rsidRPr="006A230E">
        <w:t>evaluations in at least two studies: an exploratory PK study (n = 6–12 monkeys) and a definitive repeat-dose PK study (n = 12–18 monkeys). Together, these studies generally require a minimum total of 18–30 monkeys per mAb development program.</w:t>
      </w:r>
      <w:r>
        <w:t xml:space="preserve"> Our objective is to evaluate how reduced study designs would compare to traditional study design in terms of precision and power.</w:t>
      </w:r>
    </w:p>
    <w:p w14:paraId="69928C77" w14:textId="77777777" w:rsidR="00A87456" w:rsidRPr="001C5162" w:rsidRDefault="00A87456" w:rsidP="00A87456">
      <w:r>
        <w:t xml:space="preserve">Key </w:t>
      </w:r>
      <w:r w:rsidRPr="001C5162">
        <w:t>Objectives </w:t>
      </w:r>
    </w:p>
    <w:p w14:paraId="31A6E445" w14:textId="2E783EAF" w:rsidR="005B7C2F" w:rsidRDefault="005B7C2F" w:rsidP="005B7C2F">
      <w:pPr>
        <w:pStyle w:val="Heading1"/>
      </w:pPr>
      <w:r>
        <w:t>Methods</w:t>
      </w:r>
    </w:p>
    <w:p w14:paraId="509F4167" w14:textId="192E8537" w:rsidR="00AD212E" w:rsidRDefault="00AD212E" w:rsidP="00AD212E">
      <w:pPr>
        <w:pStyle w:val="Heading2"/>
      </w:pPr>
      <w:r>
        <w:t>Data</w:t>
      </w:r>
    </w:p>
    <w:p w14:paraId="33439462" w14:textId="77777777" w:rsidR="00DA5ADC" w:rsidRDefault="00DA5ADC" w:rsidP="00DA5ADC">
      <w:pPr>
        <w:pStyle w:val="Heading3"/>
      </w:pPr>
      <w:r>
        <w:t>Top-down PBPK Workflow</w:t>
      </w:r>
    </w:p>
    <w:p w14:paraId="1A16A884" w14:textId="12C578AB" w:rsidR="00AD212E" w:rsidRPr="00AD212E" w:rsidRDefault="00DF2092" w:rsidP="00DF2092">
      <w:pPr>
        <w:pStyle w:val="Heading3"/>
      </w:pPr>
      <w:r>
        <w:t>A Priori PBPK Workflow</w:t>
      </w:r>
      <w:r w:rsidR="00AD212E">
        <w:t xml:space="preserve"> </w:t>
      </w:r>
    </w:p>
    <w:p w14:paraId="5EBFC3C2" w14:textId="3AC40B32" w:rsidR="00B45B8F" w:rsidRPr="000E61B5" w:rsidRDefault="00AD212E" w:rsidP="00DA5ADC">
      <w:pPr>
        <w:rPr>
          <w:b/>
          <w:bCs/>
        </w:rPr>
      </w:pPr>
      <w:r>
        <w:t xml:space="preserve">A large molecule structural model was first incorporated in PK-Sim, including its binding to FcRn and to </w:t>
      </w:r>
      <w:r w:rsidR="00DF2092">
        <w:t>a generic</w:t>
      </w:r>
      <w:r>
        <w:t xml:space="preserve"> target. </w:t>
      </w:r>
      <w:r w:rsidR="00DF2092">
        <w:t>T</w:t>
      </w:r>
      <w:r>
        <w:t xml:space="preserve">he model was exported to </w:t>
      </w:r>
      <w:r w:rsidR="001735C6">
        <w:t>Mobi</w:t>
      </w:r>
      <w:r w:rsidR="00A87456" w:rsidRPr="001735C6">
        <w:t xml:space="preserve"> </w:t>
      </w:r>
      <w:r>
        <w:t>and TMDD process</w:t>
      </w:r>
      <w:r w:rsidR="00DF2092">
        <w:t>es</w:t>
      </w:r>
      <w:r>
        <w:t xml:space="preserve"> </w:t>
      </w:r>
      <w:r w:rsidR="00DF2092">
        <w:t xml:space="preserve">were </w:t>
      </w:r>
      <w:r>
        <w:t>added using</w:t>
      </w:r>
      <w:r w:rsidR="00DF2092">
        <w:t xml:space="preserve"> a</w:t>
      </w:r>
      <w:r>
        <w:t xml:space="preserve"> modular approach</w:t>
      </w:r>
      <w:r w:rsidR="00DF2092">
        <w:t xml:space="preserve"> [ref to PK-Sim V12 modular approach paper/poster]</w:t>
      </w:r>
      <w:r w:rsidR="00A87456" w:rsidRPr="001735C6">
        <w:t xml:space="preserve">. </w:t>
      </w:r>
      <w:r w:rsidR="00DF2092">
        <w:t>Next, w</w:t>
      </w:r>
      <w:r>
        <w:t xml:space="preserve">e created </w:t>
      </w:r>
      <w:r w:rsidR="00DF2092">
        <w:t xml:space="preserve">target </w:t>
      </w:r>
      <w:r>
        <w:t>expression</w:t>
      </w:r>
      <w:r w:rsidR="00DF2092">
        <w:t xml:space="preserve">s </w:t>
      </w:r>
      <w:r>
        <w:t>profiles</w:t>
      </w:r>
      <w:r w:rsidR="00DF2092">
        <w:t xml:space="preserve"> in monkeys for each of the targets including relevant localization</w:t>
      </w:r>
      <w:r>
        <w:t xml:space="preserve">. </w:t>
      </w:r>
      <w:r w:rsidR="00DF2092">
        <w:t xml:space="preserve">PKML simulations files containing generic large molecule PK model and target </w:t>
      </w:r>
      <w:r w:rsidR="00DF2092">
        <w:lastRenderedPageBreak/>
        <w:t xml:space="preserve">expressions, one file per target, were exported [ref to expression database paper by OSPS]. IV single dose scenarios for were generated and simulations were performed using R scripts using </w:t>
      </w:r>
      <w:r w:rsidR="00A87456" w:rsidRPr="001735C6">
        <w:t>esqlabsr</w:t>
      </w:r>
      <w:r w:rsidR="00DF2092">
        <w:t xml:space="preserve"> and </w:t>
      </w:r>
      <w:r w:rsidR="00DF2092" w:rsidRPr="001735C6">
        <w:t>ospsuite</w:t>
      </w:r>
      <w:r w:rsidR="00A87456" w:rsidRPr="001735C6">
        <w:t xml:space="preserve"> packages</w:t>
      </w:r>
      <w:r w:rsidR="00DF2092">
        <w:t xml:space="preserve"> [ref]</w:t>
      </w:r>
      <w:r w:rsidR="00A87456" w:rsidRPr="001735C6">
        <w:t xml:space="preserve">. </w:t>
      </w:r>
      <w:r w:rsidR="00DA5ADC">
        <w:t xml:space="preserve">Exposure </w:t>
      </w:r>
      <w:r w:rsidR="000E61B5">
        <w:rPr>
          <w:noProof/>
        </w:rPr>
        <w:t>metrics (Cmax, AUC</w:t>
      </w:r>
      <w:r w:rsidR="000E61B5" w:rsidRPr="00DA5ADC">
        <w:rPr>
          <w:noProof/>
          <w:sz w:val="22"/>
          <w:szCs w:val="22"/>
          <w:vertAlign w:val="subscript"/>
        </w:rPr>
        <w:t>0-</w:t>
      </w:r>
      <w:r w:rsidR="00DA5ADC">
        <w:rPr>
          <w:noProof/>
          <w:sz w:val="22"/>
          <w:szCs w:val="22"/>
          <w:vertAlign w:val="subscript"/>
        </w:rPr>
        <w:t>28d</w:t>
      </w:r>
      <w:r w:rsidR="000E61B5">
        <w:rPr>
          <w:noProof/>
        </w:rPr>
        <w:t>)</w:t>
      </w:r>
      <w:r w:rsidR="00DA5ADC">
        <w:rPr>
          <w:noProof/>
        </w:rPr>
        <w:t xml:space="preserve"> and geometric fold errors were calculated for each molecule and dose level, where observed data were available. </w:t>
      </w:r>
    </w:p>
    <w:p w14:paraId="6C1A1C9F" w14:textId="1B9548DD" w:rsidR="00DA5ADC" w:rsidRDefault="00DA5ADC" w:rsidP="00DA5ADC">
      <w:pPr>
        <w:pStyle w:val="Heading3"/>
        <w:rPr>
          <w:noProof/>
        </w:rPr>
      </w:pPr>
      <w:r>
        <w:rPr>
          <w:noProof/>
        </w:rPr>
        <w:t>Preclinical Study Simulations</w:t>
      </w:r>
    </w:p>
    <w:p w14:paraId="421B654E" w14:textId="77777777" w:rsidR="00DA5ADC" w:rsidRDefault="00DA5ADC" w:rsidP="00DA5ADC">
      <w:r>
        <w:t xml:space="preserve">Use top-down PBPK model </w:t>
      </w:r>
      <w:r>
        <w:sym w:font="Wingdings" w:char="F0E0"/>
      </w:r>
      <w:r>
        <w:t xml:space="preserve"> simulate full study designs </w:t>
      </w:r>
      <w:r>
        <w:sym w:font="Wingdings" w:char="F0E0"/>
      </w:r>
      <w:r>
        <w:t xml:space="preserve"> calculate precision and power  </w:t>
      </w:r>
    </w:p>
    <w:p w14:paraId="566B9811" w14:textId="68D8036A" w:rsidR="00DA5ADC" w:rsidRDefault="00DA5ADC" w:rsidP="00DA5ADC">
      <w:r>
        <w:rPr>
          <w:noProof/>
        </w:rPr>
        <w:t xml:space="preserve">Using a prior PBPK model </w:t>
      </w:r>
      <w:r>
        <w:rPr>
          <w:noProof/>
        </w:rPr>
        <w:sym w:font="Wingdings" w:char="F0E0"/>
      </w:r>
      <w:r>
        <w:rPr>
          <w:noProof/>
        </w:rPr>
        <w:t xml:space="preserve"> simulate various reduced study design (n=4 (2 dose group with n=2/group), n=6 (3 dose group with n=3/group, …. With increasing dose group and n per dose group upto total n=30) </w:t>
      </w:r>
      <w:r>
        <w:sym w:font="Wingdings" w:char="F0E0"/>
      </w:r>
      <w:r>
        <w:t xml:space="preserve"> calculate precision and power for each scenario</w:t>
      </w:r>
    </w:p>
    <w:p w14:paraId="32428B33" w14:textId="15FC632F" w:rsidR="005B7C2F" w:rsidRDefault="005B7C2F" w:rsidP="005B7C2F">
      <w:pPr>
        <w:pStyle w:val="Heading1"/>
      </w:pPr>
      <w:r>
        <w:t>Results</w:t>
      </w:r>
    </w:p>
    <w:p w14:paraId="4522949F" w14:textId="4C5D94AD" w:rsidR="00B51FCD" w:rsidRDefault="00B51FCD" w:rsidP="00B51FCD">
      <w:pPr>
        <w:pStyle w:val="Heading2"/>
      </w:pPr>
      <w:r>
        <w:t>Data</w:t>
      </w:r>
    </w:p>
    <w:p w14:paraId="00D32CE9" w14:textId="23945B40" w:rsidR="00B51FCD" w:rsidRDefault="00B51FCD" w:rsidP="00B05F69">
      <w:pPr>
        <w:pStyle w:val="Heading3"/>
      </w:pPr>
      <w:r>
        <w:t xml:space="preserve">Digitization of Observed Concentration-Time Profiles Data </w:t>
      </w:r>
    </w:p>
    <w:p w14:paraId="1E57F5B1" w14:textId="5D8BC415" w:rsidR="00B51FCD" w:rsidRDefault="00B51FCD" w:rsidP="00B05F69">
      <w:pPr>
        <w:pStyle w:val="Heading3"/>
      </w:pPr>
      <w:r>
        <w:t xml:space="preserve">Retrieval of Parameters Relevant to Target and Drug Properties </w:t>
      </w:r>
    </w:p>
    <w:p w14:paraId="0F12DB22" w14:textId="3E175E85" w:rsidR="007D05CC" w:rsidRDefault="007D05CC" w:rsidP="00B05F69">
      <w:pPr>
        <w:pStyle w:val="Heading2"/>
      </w:pPr>
      <w:r>
        <w:t>Top-down PBPK</w:t>
      </w:r>
    </w:p>
    <w:p w14:paraId="4AC596F1" w14:textId="10184A1D" w:rsidR="007D05CC" w:rsidRPr="00B51FCD" w:rsidRDefault="007D05CC" w:rsidP="00B05F69">
      <w:pPr>
        <w:pStyle w:val="Heading2"/>
      </w:pPr>
      <w:r>
        <w:t>A Priori PBPK</w:t>
      </w:r>
    </w:p>
    <w:p w14:paraId="40E2CA39" w14:textId="2550B5BC" w:rsidR="005B7C2F" w:rsidRPr="005B7C2F" w:rsidRDefault="005B7C2F" w:rsidP="005B7C2F">
      <w:pPr>
        <w:pStyle w:val="Heading1"/>
      </w:pPr>
      <w:r w:rsidRPr="005B7C2F">
        <w:t>Discussion</w:t>
      </w:r>
    </w:p>
    <w:p w14:paraId="678C9FAC" w14:textId="561A0FF3" w:rsidR="005D683F" w:rsidRPr="005B7C2F" w:rsidRDefault="005D683F" w:rsidP="00E26181">
      <w:pPr>
        <w:rPr>
          <w:b/>
          <w:bCs/>
        </w:rPr>
      </w:pPr>
      <w:r w:rsidRPr="005B7C2F">
        <w:rPr>
          <w:b/>
          <w:bCs/>
        </w:rPr>
        <w:t>Exposure</w:t>
      </w:r>
      <w:r w:rsidRPr="005B7C2F">
        <w:rPr>
          <w:rFonts w:ascii="Cambria Math" w:hAnsi="Cambria Math" w:cs="Cambria Math"/>
          <w:b/>
          <w:bCs/>
        </w:rPr>
        <w:t>‑</w:t>
      </w:r>
      <w:r w:rsidRPr="005B7C2F">
        <w:rPr>
          <w:b/>
          <w:bCs/>
        </w:rPr>
        <w:t xml:space="preserve">Driven Safety Science </w:t>
      </w:r>
    </w:p>
    <w:p w14:paraId="42C1DC63" w14:textId="55370AE5" w:rsidR="005D683F" w:rsidRPr="005D683F" w:rsidRDefault="005D683F" w:rsidP="00E26181">
      <w:r>
        <w:t xml:space="preserve">In NAMs paradigm, preclinical safety evaluation should be reframed as an assessment of whether human-relevant biological pathways are perturbed at clinically meaningful plasma and tissue exposure levels, rather than whether adverse effects are observed in animal species at a given dose. Plasma and tissue drug exposures serve as a unifying metric for integrating in vitro, in silico, and existing clinical data to support translation to humans. </w:t>
      </w:r>
      <w:r w:rsidR="00F756FD">
        <w:t>For example</w:t>
      </w:r>
      <w:r>
        <w:t>, in vitro dose–response findings from cell-based systems can be contextualized using human pharmacokinetics and exposure simulations</w:t>
      </w:r>
      <w:r w:rsidR="00AF38AE">
        <w:t xml:space="preserve"> using physiologically-based pharmacokinetic (PBPK) modeling</w:t>
      </w:r>
      <w:r>
        <w:t>, shifting the focus from</w:t>
      </w:r>
      <w:r w:rsidR="00AF38AE">
        <w:t xml:space="preserve"> specific </w:t>
      </w:r>
      <w:r>
        <w:t>toxicity endpoints</w:t>
      </w:r>
      <w:r w:rsidR="005F48A9">
        <w:t>, such as histopathology and chemistry,</w:t>
      </w:r>
      <w:r>
        <w:t xml:space="preserve"> to margins of safety across anticipated dose ranges.</w:t>
      </w:r>
      <w:r w:rsidR="00F756FD">
        <w:t xml:space="preserve"> Safety margins can be evaluated by calculating metrics, such as, exposure comparison against toxicity threshold and time above threshold.</w:t>
      </w:r>
      <w:r>
        <w:t xml:space="preserve"> This approach is particularly well suited for </w:t>
      </w:r>
      <w:r>
        <w:lastRenderedPageBreak/>
        <w:t>evaluating safety at clinically relevant, long-term exposures, where conventional animal studies are often limited in their ability to predict</w:t>
      </w:r>
      <w:r w:rsidR="00F756FD">
        <w:t xml:space="preserve"> overall</w:t>
      </w:r>
      <w:r>
        <w:t xml:space="preserve"> human risk</w:t>
      </w:r>
      <w:r w:rsidR="00AF38AE">
        <w:t xml:space="preserve"> [</w:t>
      </w:r>
      <w:r w:rsidR="00AF38AE" w:rsidRPr="00AF38AE">
        <w:t>PMID: 38392990</w:t>
      </w:r>
      <w:r w:rsidR="00AF38AE">
        <w:t xml:space="preserve">, </w:t>
      </w:r>
      <w:r w:rsidR="00AF38AE" w:rsidRPr="00AF38AE">
        <w:t>PMID: 39574200</w:t>
      </w:r>
      <w:r w:rsidR="00AF38AE">
        <w:t>]</w:t>
      </w:r>
      <w:r>
        <w:t xml:space="preserve">. </w:t>
      </w:r>
      <w:r w:rsidR="008336A7" w:rsidRPr="000244F4">
        <w:t xml:space="preserve">These metrics are increasingly implemented within QST frameworks to connect exposure, </w:t>
      </w:r>
      <w:r w:rsidR="008336A7">
        <w:t>biomarker</w:t>
      </w:r>
      <w:r w:rsidR="008336A7" w:rsidRPr="000244F4">
        <w:t xml:space="preserve">, and </w:t>
      </w:r>
      <w:r w:rsidR="008336A7">
        <w:t>safety outcomes</w:t>
      </w:r>
      <w:r w:rsidR="008336A7" w:rsidRPr="000244F4">
        <w:t xml:space="preserve"> [PMID: 40462462; PMID: 38201394].</w:t>
      </w:r>
      <w:r w:rsidR="00C64C48">
        <w:t xml:space="preserve"> </w:t>
      </w:r>
      <w:r>
        <w:t xml:space="preserve">Quantitative </w:t>
      </w:r>
      <w:r w:rsidRPr="005D683F">
        <w:t xml:space="preserve">pharmacologists </w:t>
      </w:r>
      <w:r>
        <w:t xml:space="preserve">can </w:t>
      </w:r>
      <w:r w:rsidRPr="005D683F">
        <w:t>play a central role in enabling exposure</w:t>
      </w:r>
      <w:r w:rsidRPr="005D683F">
        <w:noBreakHyphen/>
        <w:t>driven safety science</w:t>
      </w:r>
      <w:r w:rsidR="00AF38AE">
        <w:t xml:space="preserve"> by integrating their </w:t>
      </w:r>
      <w:r w:rsidRPr="005D683F">
        <w:t xml:space="preserve">expertise in </w:t>
      </w:r>
      <w:r w:rsidR="00AF38AE">
        <w:t xml:space="preserve">ADME, </w:t>
      </w:r>
      <w:r w:rsidRPr="005D683F">
        <w:t>pharmacokinetics</w:t>
      </w:r>
      <w:r w:rsidR="00AF38AE">
        <w:t>, and MIDD</w:t>
      </w:r>
      <w:r w:rsidR="005A7A02">
        <w:t xml:space="preserve"> approaches</w:t>
      </w:r>
      <w:r w:rsidR="00AF38AE">
        <w:t>.</w:t>
      </w:r>
    </w:p>
    <w:p w14:paraId="283F08E0" w14:textId="37EB4874" w:rsidR="005D683F" w:rsidRPr="005B7C2F" w:rsidRDefault="004D7B4D" w:rsidP="00E26181">
      <w:pPr>
        <w:rPr>
          <w:b/>
          <w:bCs/>
        </w:rPr>
      </w:pPr>
      <w:r w:rsidRPr="005B7C2F">
        <w:rPr>
          <w:b/>
          <w:bCs/>
        </w:rPr>
        <w:t>Scientific Leadership</w:t>
      </w:r>
    </w:p>
    <w:p w14:paraId="6817B72D" w14:textId="662C4B5A" w:rsidR="000244F4" w:rsidRDefault="00BE4D08" w:rsidP="00E26181">
      <w:r w:rsidRPr="00E26181">
        <w:t xml:space="preserve">Rapid technological innovation is driving the continual emergence of new NAM resources, underscoring the need for ongoing assessment of their readiness for application in drug development. To lead cross-functional teams in adapting these methods, pharmacologists must maintain an up-to-date understanding of the evolving NAM landscape, including in vitro platforms, mechanistic and empirical modeling approaches, and emerging innovations such as scientific machine learning (SciML) for data integration and prediction. Community-based NAM repositories that distinguish validated tools from those under evaluation could further support informed leadership, promote transparency, and accelerate responsible adoption across the field. Moreover, it is important to keep abreast of the knowledge of regulatory pathways and evidentiary expectations for NAM acceptance, enabling alignment of scientific strategy with regulatory decision-making. Overall, scientific leadership from clinical pharmacologists is essential to advance the </w:t>
      </w:r>
      <w:r w:rsidR="00085E17">
        <w:t>NAMs adaptation.</w:t>
      </w:r>
    </w:p>
    <w:p w14:paraId="002AB93D" w14:textId="49B06C59" w:rsidR="00085E17" w:rsidRDefault="00085E17" w:rsidP="00085E17">
      <w:pPr>
        <w:pStyle w:val="Heading1"/>
      </w:pPr>
      <w:r>
        <w:t>References</w:t>
      </w:r>
    </w:p>
    <w:p w14:paraId="31C94543" w14:textId="20A76F40" w:rsidR="00BB37D1" w:rsidRDefault="00BB37D1" w:rsidP="00BB37D1">
      <w:pPr>
        <w:pStyle w:val="Heading1"/>
      </w:pPr>
      <w:r>
        <w:t>Figures</w:t>
      </w:r>
    </w:p>
    <w:p w14:paraId="53B4EE16" w14:textId="108A0270" w:rsidR="00BB37D1" w:rsidRPr="00BB37D1" w:rsidRDefault="00BB37D1" w:rsidP="00BB37D1">
      <w:pPr>
        <w:pStyle w:val="Heading1"/>
      </w:pPr>
      <w:r>
        <w:t>Tables</w:t>
      </w:r>
    </w:p>
    <w:p w14:paraId="4FBACB6C" w14:textId="77777777" w:rsidR="00085E17" w:rsidRDefault="00085E17" w:rsidP="00E26181"/>
    <w:sectPr w:rsidR="00085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DD3"/>
    <w:multiLevelType w:val="hybridMultilevel"/>
    <w:tmpl w:val="B6A46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57E2D"/>
    <w:multiLevelType w:val="multilevel"/>
    <w:tmpl w:val="B1AE0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40CF7"/>
    <w:multiLevelType w:val="hybridMultilevel"/>
    <w:tmpl w:val="0B24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D4C1D"/>
    <w:multiLevelType w:val="hybridMultilevel"/>
    <w:tmpl w:val="55EEDD8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1A3607"/>
    <w:multiLevelType w:val="hybridMultilevel"/>
    <w:tmpl w:val="DC74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E84DAD"/>
    <w:multiLevelType w:val="multilevel"/>
    <w:tmpl w:val="723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3133A"/>
    <w:multiLevelType w:val="multilevel"/>
    <w:tmpl w:val="8E26E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93935">
    <w:abstractNumId w:val="4"/>
  </w:num>
  <w:num w:numId="2" w16cid:durableId="1728605698">
    <w:abstractNumId w:val="0"/>
  </w:num>
  <w:num w:numId="3" w16cid:durableId="1494643384">
    <w:abstractNumId w:val="2"/>
  </w:num>
  <w:num w:numId="4" w16cid:durableId="1895892379">
    <w:abstractNumId w:val="6"/>
  </w:num>
  <w:num w:numId="5" w16cid:durableId="1112893262">
    <w:abstractNumId w:val="1"/>
  </w:num>
  <w:num w:numId="6" w16cid:durableId="1688364935">
    <w:abstractNumId w:val="5"/>
  </w:num>
  <w:num w:numId="7" w16cid:durableId="860777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AC"/>
    <w:rsid w:val="000244F4"/>
    <w:rsid w:val="0002675D"/>
    <w:rsid w:val="00040EE9"/>
    <w:rsid w:val="00085E17"/>
    <w:rsid w:val="000962A4"/>
    <w:rsid w:val="000C1BA5"/>
    <w:rsid w:val="000E61B5"/>
    <w:rsid w:val="001474FD"/>
    <w:rsid w:val="001735C6"/>
    <w:rsid w:val="001C5162"/>
    <w:rsid w:val="001D3936"/>
    <w:rsid w:val="001E7854"/>
    <w:rsid w:val="00202F11"/>
    <w:rsid w:val="0020619E"/>
    <w:rsid w:val="002756EE"/>
    <w:rsid w:val="002E2CA8"/>
    <w:rsid w:val="00352318"/>
    <w:rsid w:val="003C2F7F"/>
    <w:rsid w:val="003E1ACF"/>
    <w:rsid w:val="003F5CBE"/>
    <w:rsid w:val="003F66AC"/>
    <w:rsid w:val="00412C2D"/>
    <w:rsid w:val="00464527"/>
    <w:rsid w:val="00484E1C"/>
    <w:rsid w:val="004B148F"/>
    <w:rsid w:val="004B319F"/>
    <w:rsid w:val="004B52E4"/>
    <w:rsid w:val="004D7B4D"/>
    <w:rsid w:val="004E7D4F"/>
    <w:rsid w:val="00524757"/>
    <w:rsid w:val="0052652C"/>
    <w:rsid w:val="00565478"/>
    <w:rsid w:val="005A7A02"/>
    <w:rsid w:val="005B7C2F"/>
    <w:rsid w:val="005C278A"/>
    <w:rsid w:val="005D683F"/>
    <w:rsid w:val="005F48A9"/>
    <w:rsid w:val="005F6F4C"/>
    <w:rsid w:val="00602192"/>
    <w:rsid w:val="00647B04"/>
    <w:rsid w:val="006A230E"/>
    <w:rsid w:val="006B07D8"/>
    <w:rsid w:val="006B4D23"/>
    <w:rsid w:val="006C36AA"/>
    <w:rsid w:val="007160DF"/>
    <w:rsid w:val="0073230F"/>
    <w:rsid w:val="00733B67"/>
    <w:rsid w:val="007B4A7E"/>
    <w:rsid w:val="007D05CC"/>
    <w:rsid w:val="007D4BAB"/>
    <w:rsid w:val="008336A7"/>
    <w:rsid w:val="008609FE"/>
    <w:rsid w:val="008869A4"/>
    <w:rsid w:val="008D5A3F"/>
    <w:rsid w:val="008F136F"/>
    <w:rsid w:val="009034DB"/>
    <w:rsid w:val="00944806"/>
    <w:rsid w:val="009C3008"/>
    <w:rsid w:val="009E6E02"/>
    <w:rsid w:val="00A05E72"/>
    <w:rsid w:val="00A06D02"/>
    <w:rsid w:val="00A622EB"/>
    <w:rsid w:val="00A75547"/>
    <w:rsid w:val="00A764AC"/>
    <w:rsid w:val="00A84388"/>
    <w:rsid w:val="00A87456"/>
    <w:rsid w:val="00AC607E"/>
    <w:rsid w:val="00AD212E"/>
    <w:rsid w:val="00AD59A0"/>
    <w:rsid w:val="00AF38AE"/>
    <w:rsid w:val="00AF4B0E"/>
    <w:rsid w:val="00B05F69"/>
    <w:rsid w:val="00B10E36"/>
    <w:rsid w:val="00B12B44"/>
    <w:rsid w:val="00B458F6"/>
    <w:rsid w:val="00B45B8F"/>
    <w:rsid w:val="00B51FCD"/>
    <w:rsid w:val="00BB37D1"/>
    <w:rsid w:val="00BE4D08"/>
    <w:rsid w:val="00C34BB4"/>
    <w:rsid w:val="00C64C48"/>
    <w:rsid w:val="00CC6789"/>
    <w:rsid w:val="00D960E7"/>
    <w:rsid w:val="00DA5ADC"/>
    <w:rsid w:val="00DC1D66"/>
    <w:rsid w:val="00DF2092"/>
    <w:rsid w:val="00DF6C8A"/>
    <w:rsid w:val="00E26181"/>
    <w:rsid w:val="00E80FAB"/>
    <w:rsid w:val="00EA0103"/>
    <w:rsid w:val="00EA6086"/>
    <w:rsid w:val="00EE0922"/>
    <w:rsid w:val="00EE519F"/>
    <w:rsid w:val="00EF393E"/>
    <w:rsid w:val="00F321FE"/>
    <w:rsid w:val="00F444A6"/>
    <w:rsid w:val="00F756FD"/>
    <w:rsid w:val="00F7708F"/>
    <w:rsid w:val="00FC1714"/>
    <w:rsid w:val="00FC5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F89A"/>
  <w15:chartTrackingRefBased/>
  <w15:docId w15:val="{C0B1B4F7-2D31-4B5A-AF72-248582D9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181"/>
    <w:pPr>
      <w:jc w:val="both"/>
    </w:pPr>
  </w:style>
  <w:style w:type="paragraph" w:styleId="Heading1">
    <w:name w:val="heading 1"/>
    <w:basedOn w:val="Normal"/>
    <w:next w:val="Normal"/>
    <w:link w:val="Heading1Char"/>
    <w:uiPriority w:val="9"/>
    <w:qFormat/>
    <w:rsid w:val="005B7C2F"/>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Heading1"/>
    <w:next w:val="Normal"/>
    <w:link w:val="Heading2Char"/>
    <w:uiPriority w:val="9"/>
    <w:unhideWhenUsed/>
    <w:qFormat/>
    <w:rsid w:val="00AD212E"/>
    <w:pPr>
      <w:spacing w:before="16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w:basedOn w:val="TableGrid1"/>
    <w:uiPriority w:val="39"/>
    <w:rsid w:val="00484E1C"/>
    <w:pPr>
      <w:suppressAutoHyphens/>
      <w:autoSpaceDN w:val="0"/>
      <w:spacing w:after="0" w:line="240" w:lineRule="auto"/>
    </w:pPr>
    <w:rPr>
      <w:rFonts w:ascii="Arial" w:eastAsia="Cambria" w:hAnsi="Arial" w:cs="Times New Roman"/>
      <w:kern w:val="0"/>
      <w:sz w:val="20"/>
      <w:szCs w:val="20"/>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4E1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5B7C2F"/>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AD212E"/>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DF2092"/>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A76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4AC"/>
    <w:rPr>
      <w:rFonts w:eastAsiaTheme="majorEastAsia" w:cstheme="majorBidi"/>
      <w:color w:val="272727" w:themeColor="text1" w:themeTint="D8"/>
    </w:rPr>
  </w:style>
  <w:style w:type="paragraph" w:styleId="Title">
    <w:name w:val="Title"/>
    <w:basedOn w:val="Normal"/>
    <w:next w:val="Normal"/>
    <w:link w:val="TitleChar"/>
    <w:uiPriority w:val="10"/>
    <w:qFormat/>
    <w:rsid w:val="00A764AC"/>
    <w:pPr>
      <w:spacing w:after="80" w:line="240" w:lineRule="auto"/>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A764AC"/>
    <w:rPr>
      <w:rFonts w:asciiTheme="majorHAnsi" w:eastAsiaTheme="majorEastAsia" w:hAnsiTheme="majorHAnsi" w:cstheme="majorBidi"/>
      <w:b/>
      <w:spacing w:val="-10"/>
      <w:kern w:val="28"/>
      <w:sz w:val="44"/>
      <w:szCs w:val="56"/>
    </w:rPr>
  </w:style>
  <w:style w:type="paragraph" w:styleId="Subtitle">
    <w:name w:val="Subtitle"/>
    <w:basedOn w:val="Normal"/>
    <w:next w:val="Normal"/>
    <w:link w:val="SubtitleChar"/>
    <w:uiPriority w:val="11"/>
    <w:qFormat/>
    <w:rsid w:val="00A76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AC"/>
    <w:pPr>
      <w:spacing w:before="160"/>
      <w:jc w:val="center"/>
    </w:pPr>
    <w:rPr>
      <w:i/>
      <w:iCs/>
      <w:color w:val="404040" w:themeColor="text1" w:themeTint="BF"/>
    </w:rPr>
  </w:style>
  <w:style w:type="character" w:customStyle="1" w:styleId="QuoteChar">
    <w:name w:val="Quote Char"/>
    <w:basedOn w:val="DefaultParagraphFont"/>
    <w:link w:val="Quote"/>
    <w:uiPriority w:val="29"/>
    <w:rsid w:val="00A764AC"/>
    <w:rPr>
      <w:i/>
      <w:iCs/>
      <w:color w:val="404040" w:themeColor="text1" w:themeTint="BF"/>
    </w:rPr>
  </w:style>
  <w:style w:type="paragraph" w:styleId="ListParagraph">
    <w:name w:val="List Paragraph"/>
    <w:basedOn w:val="Normal"/>
    <w:uiPriority w:val="34"/>
    <w:qFormat/>
    <w:rsid w:val="00A764AC"/>
    <w:pPr>
      <w:ind w:left="720"/>
      <w:contextualSpacing/>
    </w:pPr>
  </w:style>
  <w:style w:type="character" w:styleId="IntenseEmphasis">
    <w:name w:val="Intense Emphasis"/>
    <w:basedOn w:val="DefaultParagraphFont"/>
    <w:uiPriority w:val="21"/>
    <w:qFormat/>
    <w:rsid w:val="00A764AC"/>
    <w:rPr>
      <w:i/>
      <w:iCs/>
      <w:color w:val="0F4761" w:themeColor="accent1" w:themeShade="BF"/>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4AC"/>
    <w:rPr>
      <w:i/>
      <w:iCs/>
      <w:color w:val="0F4761" w:themeColor="accent1" w:themeShade="BF"/>
    </w:rPr>
  </w:style>
  <w:style w:type="character" w:styleId="IntenseReference">
    <w:name w:val="Intense Reference"/>
    <w:basedOn w:val="DefaultParagraphFont"/>
    <w:uiPriority w:val="32"/>
    <w:qFormat/>
    <w:rsid w:val="00A76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628</TotalTime>
  <Pages>3</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Krina Mehta</dc:creator>
  <cp:keywords/>
  <dc:description/>
  <cp:lastModifiedBy>Krina Mehta</cp:lastModifiedBy>
  <cp:revision>63</cp:revision>
  <dcterms:created xsi:type="dcterms:W3CDTF">2026-01-06T17:11:00Z</dcterms:created>
  <dcterms:modified xsi:type="dcterms:W3CDTF">2026-06-02T14:52:00Z</dcterms:modified>
</cp:coreProperties>
</file>