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as a New Approach Methodology for Monoclonal Antibodies</w:t>
      </w:r>
    </w:p>
    <w:p>
      <w:pPr>
        <w:pStyle w:val="Normal"/>
        <w:rPr/>
      </w:pPr>
      <w:r>
        <w:rPr/>
        <w:t>Akshat Shah</w:t>
      </w:r>
      <w:r>
        <w:rPr>
          <w:vertAlign w:val="superscript"/>
        </w:rPr>
        <w:t>1,2</w:t>
      </w:r>
      <w:r>
        <w:rPr/>
        <w:t>, Krina Mehta</w:t>
      </w:r>
      <w:r>
        <w:rPr>
          <w:vertAlign w:val="superscript"/>
        </w:rPr>
        <w:t>2,3</w:t>
      </w:r>
    </w:p>
    <w:p>
      <w:pPr>
        <w:pStyle w:val="Normal"/>
        <w:rPr>
          <w:vertAlign w:val="superscript"/>
        </w:rPr>
      </w:pPr>
      <w:r>
        <w:rPr>
          <w:vertAlign w:val="superscript"/>
        </w:rPr>
        <w:t xml:space="preserve">1 </w:t>
      </w:r>
      <w:r>
        <w:rPr/>
        <w:t>Aivaura, Bhavnagar, Gujarat, India</w:t>
      </w:r>
    </w:p>
    <w:p>
      <w:pPr>
        <w:pStyle w:val="Normal"/>
        <w:rPr/>
      </w:pPr>
      <w:r>
        <w:rPr>
          <w:vertAlign w:val="superscript"/>
        </w:rPr>
        <w:t xml:space="preserve">2 </w:t>
      </w:r>
      <w:r>
        <w:rPr/>
        <w:t>NAMLink, Cypress, CA, USA</w:t>
      </w:r>
    </w:p>
    <w:p>
      <w:pPr>
        <w:pStyle w:val="Normal"/>
        <w:rPr/>
      </w:pPr>
      <w:r>
        <w:rPr>
          <w:vertAlign w:val="superscript"/>
        </w:rPr>
        <w:t xml:space="preserve">3 </w:t>
      </w:r>
      <w:r>
        <w:rPr/>
        <w:t>Enveda Therapeutics Inc., Boulder, CO, USA</w:t>
      </w:r>
    </w:p>
    <w:p>
      <w:pPr>
        <w:pStyle w:val="Heading1"/>
        <w:rPr/>
      </w:pPr>
      <w:r>
        <w:rPr/>
        <w:t>Abstract</w:t>
      </w:r>
    </w:p>
    <w:p>
      <w:pPr>
        <w:pStyle w:val="Normal"/>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[PMIDs: 35865092].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[PMIDs: 17636457, 22143261, 29234936]. Overall, extensive work on PBPK models for mAbs has already established a robust scientific foundation, enabled reliable characterization of their PK, and supported their regulatory acceptance.</w:t>
      </w:r>
    </w:p>
    <w:p>
      <w:pPr>
        <w:pStyle w:val="Normal"/>
        <w:rPr/>
      </w:pPr>
      <w:r>
        <w:rPr/>
        <w:t xml:space="preserve">Momentum for new approach methodologies (NAMs) has increased exponentially since the FDA's April 2025 Roadmap to Reducing Animal Testing in Preclinical Safety Studies [ref: FDA roadmap and other NAM related guidance from 2025 and 2026; Mehta et al., 2025; NIH Common Fund, 2026].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adverse effect thresholds [PMIDs: 38392990, 39574200, 40462462, 38201394].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[PMID: 41360337].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[PMID: 40567279, PMID: 39423143], have received comparatively limited dedicated attention within the emerging NAM ecosystem, representing both a gap and an opportunity. Overall, the emerging NAM ecosystem presents a significant opportunity for greater integration of mechanistic modeling approaches. </w:t>
      </w:r>
    </w:p>
    <w:p>
      <w:pPr>
        <w:pStyle w:val="Normal"/>
        <w:rPr/>
      </w:pPr>
      <w:r>
        <w:rPr/>
        <w:t>Focusing on mAb PK characterization and the role of mechanistic PK modeling, although scientific framework for mAb PBPK is there,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[PMIDs: 31464379, 35491902]; however, these frameworks did not incorporate target-mAb interactions governing nonlinear, target-mediated clearance. 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pPr>
        <w:pStyle w:val="Normal"/>
        <w:rPr/>
      </w:pPr>
      <w:r>
        <w:rPr/>
        <w:t>The objectives of this manuscript were, (1) to perform a retrospective, proof-of-concept analysis of “a priori” PBPK modeling as a NAM to support human PK predictions for mAbs, (2) to perform population simulations of preclinical monkey study designs to investigate sample size – power relationship to guide reduction in number of monkeys to use for PK studies, (3) to demonstrate a semi-automated workflow to run “a priori” PBPK simulations for mAbs other than the ones included in the current study.</w:t>
      </w:r>
    </w:p>
    <w:p>
      <w:pPr>
        <w:pStyle w:val="Heading1"/>
        <w:rPr/>
      </w:pPr>
      <w:r>
        <w:rPr/>
        <w:t>Methods</w:t>
      </w:r>
    </w:p>
    <w:p>
      <w:pPr>
        <w:pStyle w:val="Heading2"/>
        <w:rPr/>
      </w:pPr>
      <w:r>
        <w:rPr/>
        <w:t>Data</w:t>
      </w:r>
    </w:p>
    <w:p>
      <w:pPr>
        <w:pStyle w:val="Normal"/>
        <w:rPr/>
      </w:pPr>
      <w:r>
        <w:rPr/>
        <w:t xml:space="preserve">Pharmacokinetic profiles for eight monoclonal antibodies, spanning across 5 different targets, following intravenous dosing in monkeys and in humans were digitized from literature using webplotdigitizer tool [https://automeris.io/].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2</w:t>
      </w:r>
      <w:r>
        <w:rPr/>
        <w:t xml:space="preserve">. </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w:t>
      </w:r>
      <w:r>
        <w:rPr>
          <w:rFonts w:eastAsia="" w:cs="" w:ascii="Aptos Display" w:hAnsi="Aptos Display" w:asciiTheme="majorHAnsi" w:cstheme="majorBidi" w:eastAsiaTheme="majorEastAsia" w:hAnsiTheme="majorHAnsi"/>
          <w:b/>
          <w:sz w:val="32"/>
          <w:szCs w:val="32"/>
        </w:rPr>
        <w:t>A priori” PBPK Approach</w:t>
      </w:r>
    </w:p>
    <w:p>
      <w:pPr>
        <w:pStyle w:val="Normal"/>
        <w:rPr/>
      </w:pPr>
      <w:r>
        <w:rPr/>
        <w:t>A large molecule structural model was first incorporated in PK-Sim, including its binding to FcRn and to a generic target. The model was exported to Mobi and TMDD processes were added using a modular approach [PMIDs: ref to PK-Sim V12 modular approach paper/poster]. Next, we created target expressions profiles in monkeys and humans for each of the targets including relevant localization. PKML simulations files containing generic large molecule PK model and target expressions, one file per target and species (monkey or human), were exported [PMIDs: ref to expression database paper by OSPS]. IV single dose simulations were performed using R scripts using esqlabsr and ospsuite packages [PMIDs: ref]. Exposure metrics (Cmax, AUC</w:t>
      </w:r>
      <w:r>
        <w:rPr>
          <w:sz w:val="22"/>
          <w:szCs w:val="22"/>
          <w:vertAlign w:val="subscript"/>
        </w:rPr>
        <w:t>0-28d</w:t>
      </w:r>
      <w:r>
        <w:rPr/>
        <w:t>) and fold errors were calculated for each molecule and dose level, where observed data were available. Full details of the workflow and all files and codes are provided in</w:t>
      </w:r>
      <w:r>
        <w:rPr>
          <w:bCs/>
        </w:rPr>
        <w:t xml:space="preserve"> Supplementary material 2</w:t>
      </w:r>
      <w:r>
        <w:rPr/>
        <w:t xml:space="preserve">. </w:t>
      </w:r>
    </w:p>
    <w:p>
      <w:pPr>
        <w:pStyle w:val="Heading2"/>
        <w:rPr/>
      </w:pPr>
      <w:r>
        <w:rPr/>
        <w:t>Top-Down TMDD Approach for Comparison</w:t>
      </w:r>
    </w:p>
    <w:p>
      <w:pPr>
        <w:pStyle w:val="Normal"/>
        <w:rPr/>
      </w:pPr>
      <w:r>
        <w:rPr/>
        <w:t xml:space="preserve">In top-down TMDD modeling approach, quasi-steady-state (QSS) TMDD model was fitted to monkey PK profiles for each molecule using nlmxir2 package in R. Target concentration and binding affinity were fixed to literature-derived in vitro measured values. The same values that were used per molecule in “a priori” approach were used in this approach. Two parameters, clearance (CL) and internalization rate constant (kint) were estimated by model fitting. Other alternative models estimating target concentrations, target degradation rate (kdeg), etc were also evaluated. Given limited dose levels data available for fitting TMDD, fitting of minimal number of parameters was considered. Final model structure was selected based on objective function values (OFV). </w:t>
      </w:r>
    </w:p>
    <w:p>
      <w:pPr>
        <w:pStyle w:val="Normal"/>
        <w:rPr/>
      </w:pPr>
      <w:r>
        <w:rPr/>
        <w:t>Human PK predictions were generated by translating the final monkey TMDD model to humans. Linear clearance was scaled using standard allometric scaling with an exponent of 0.85, while distribution volumes were scaled proportionally to body weight. The internalization rate constant (kint) and binding affinity (KD) were assumed to be conserved across species and fixed to the monkey estimates. Human target concentrations were obtained from literature sources and remained same across both “a priori” and top-down approach. Simulated monkey and human exposures, Cmax, AUC, were compared against the observed and fold-errors were calculated.</w:t>
      </w:r>
    </w:p>
    <w:p>
      <w:pPr>
        <w:pStyle w:val="Heading2"/>
        <w:rPr/>
      </w:pPr>
      <w:r>
        <w:rPr/>
        <w:t>Preclinical PK Study Simulations to Support Sample Size and Dosing Groups Selections</w:t>
      </w:r>
    </w:p>
    <w:p>
      <w:pPr>
        <w:pStyle w:val="Normal"/>
        <w:rPr/>
      </w:pPr>
      <w:r>
        <w:rPr/>
        <w:t>PBPK→Power Bridge: Extract individual-level AUC/Cmax from PBPK virtual populations (n = 1,000/species). Replace generic log-normal CL assumptions in the Jones 2019 power_sim function with molecule-specific PBPK-derived AUC distributions. Generate PBPK-informed power curves for n = 3–15 animals/group for all 8 mAbs. Benchmark against traditional sample sizes (n = 5–6) to quantify the power gain per animal.</w:t>
      </w:r>
    </w:p>
    <w:p>
      <w:pPr>
        <w:pStyle w:val="Normal"/>
        <w:rPr/>
      </w:pPr>
      <w:r>
        <w:rPr/>
        <w:t>Dose Selection: Using PBPK-derived AUC distributions (no E-R model or therapeutic margins required), compare statistical power of 2- vs. 3-dose-group designs via Z-test on the log-AUC ratio—already implemented in the sparse-sampling evaluator. Evaluate under (A) fixed n/group (total animal cost differs) and (B) fixed total animals (fairest comparison). Due to TMDD, AUC ratios between doses are nonlinear, making dose-pair selection critical and justifiable only through PBPK simulation.</w:t>
      </w:r>
    </w:p>
    <w:p>
      <w:pPr>
        <w:pStyle w:val="Normal"/>
        <w:rPr/>
      </w:pPr>
      <w:r>
        <w:rPr/>
        <w:t>Tentative: 1000-iteration Monte Carlo comparing: (A) Traditional design [5 animals × 3 doses × 2 species = 30 animals] vs. (B) PBPK-optimized [3 animals × 2 doses × 1 species = 6 animals]. Report % animal reduction (with 95% CI), study duration, and direct cost savings.</w:t>
      </w:r>
    </w:p>
    <w:p>
      <w:pPr>
        <w:pStyle w:val="Heading1"/>
        <w:rPr/>
      </w:pPr>
      <w:r>
        <w:rPr/>
        <w:t>Results</w:t>
      </w:r>
    </w:p>
    <w:p>
      <w:pPr>
        <w:pStyle w:val="Heading2"/>
        <w:rPr/>
      </w:pPr>
      <w:r>
        <w:rPr/>
        <w:t xml:space="preserve">Comparing “a priori” PBPK with Top-Down TMDD Approach for Human PK Predictions </w:t>
      </w:r>
    </w:p>
    <w:p>
      <w:pPr>
        <w:pStyle w:val="Normal"/>
        <w:rPr>
          <w:b/>
        </w:rPr>
      </w:pPr>
      <w:r>
        <w:rPr/>
        <w:t xml:space="preserve">Both “a priori” PBPK and top-down TMDD approaches were first compared in monkeys to evaluate how well each workflow reproduced the PK data </w:t>
      </w:r>
      <w:r>
        <w:rPr>
          <w:b/>
          <w:bCs/>
        </w:rPr>
        <w:t>(Table 1)</w:t>
      </w:r>
      <w:r>
        <w:rPr/>
        <w:t>. Across the 8 drugs and 14 dose levels evaluated, “a priori” PBPK predictions captured Cmax well, with 13 of 14 Cmax values within two-fold of observed data (accuracy 0.92). AUC predictions were more variable, with 8 of 14 values within two-fold (accuracy 0.58). As expected, in top-down TMDD approach, in which monkey PK data were fitted by estimating CL and kint, all AUC values were within two</w:t>
      </w:r>
      <w:r>
        <w:rPr>
          <w:b/>
        </w:rPr>
        <w:t>-</w:t>
      </w:r>
      <w:r>
        <w:rPr/>
        <w:t xml:space="preserve">fold, and 13 of 14 Cmax values were within two-fold. Human PK predictions were then compared to priori PBPK workflow performance compared to translation from monkeys </w:t>
      </w:r>
      <w:r>
        <w:rPr>
          <w:b/>
          <w:bCs/>
        </w:rPr>
        <w:t>(Table 2).</w:t>
      </w:r>
      <w:r>
        <w:rPr/>
        <w:t xml:space="preserve"> Overall, both approaches provided comparable human prediction accuracy. </w:t>
      </w:r>
      <w:r>
        <w:rPr>
          <w:bCs/>
        </w:rPr>
        <w:t>F</w:t>
      </w:r>
      <w:r>
        <w:rPr/>
        <w:t>or AUC, both approaches showed similar overall performance, with 23 of 28 human dose levels within two-fold (accuracy 0.82). For Cmax, 27 of 28 human dose levels were within two-fold for both “a priori” PBPK and top-down TMDD predictions (accuracy 0.96). Taken together, these results indicate that “a priori” PBPK provided human PK predictions that were broadly comparable to those translated from monkey-fitted top-down TMDD approach. Although top-down fitting improved recovery of monkey PK data, it did not provide a consistent advantage for human prediction across molecules.  Given that empirical fitting to monkey PK did not consistently improve human predictions compared to “a priori” approach, these findings support that the “a priori” PBPK framework captures the major mechanistic determinants of human mAb disposition sufficiently well.</w:t>
      </w:r>
    </w:p>
    <w:p>
      <w:pPr>
        <w:pStyle w:val="Heading2"/>
        <w:rPr/>
      </w:pPr>
      <w:r>
        <w:rPr/>
        <w:t>Preclinical PK Study Simulations to Support Sample Size and Dosing Groups Selection</w:t>
      </w:r>
    </w:p>
    <w:p>
      <w:pPr>
        <w:pStyle w:val="Normal"/>
        <w:rPr/>
      </w:pPr>
      <w:r>
        <w:rPr/>
      </w:r>
    </w:p>
    <w:p>
      <w:pPr>
        <w:pStyle w:val="Normal"/>
        <w:rPr/>
      </w:pPr>
      <w:r>
        <w:rPr>
          <w:highlight w:val="yellow"/>
        </w:rPr>
        <w:t>Using the prespecified illustrative study-design comparison, the PBPK-informed workflow was estimated to substantially reduce the animal use required for preclinical PK characterization. A conventional design consisting of 5 animals per dose group, 3 dose groups, and 2 species would require 30 animals, whereas a PBPK-optimized design using 3 animals per dose group, 2 dose groups, and 1 species would require 6 animals. This corresponds to an 80% reduction in animal use for the simulated PK study design. When benchmarked against the broader conventional mAb PK characterization strategy described above, which typically includes an exploratory single-dose PK study and a definitive repeat-dose PK study requiring approximately 24–42 monkeys per program, a reduced 6-animal confirmatory design would correspond to avoidance of approximately 18–36 monkeys, or a 75–86% reduction in monkey use. In addition to reducing animal use, the PBPK-informed strategy shifts key dose-selection and exposure-translation decisions earlier in development, allowing NHP studies, when still needed, to be designed as targeted confirmatory studies rather than empirical screening studies. Direct cost and timeline savings are therefore expected to scale with the reduction in animal numbers, dose groups, species, and repeat experimental iterations, although sponsor- and CRO-specific costs should be used for program-level budget estimates.</w:t>
      </w:r>
    </w:p>
    <w:p>
      <w:pPr>
        <w:pStyle w:val="Heading1"/>
        <w:rPr/>
      </w:pPr>
      <w:r>
        <w:rPr/>
        <w:t>Discussion</w:t>
      </w:r>
    </w:p>
    <w:p>
      <w:pPr>
        <w:pStyle w:val="Normal"/>
        <w:rPr/>
      </w:pPr>
      <w:r>
        <w:rPr/>
        <w:t>In this retrospective, proof-of-concept analysis, the “a priori” PBPK approach achieved similar human predictive performance as compared to top-down monkey to human translation approach. The results support the feasibility of using mechanistic PBPK approach, informed by in vitro parameters as an early translational tool for human mAb PK prediction and as a basis for reducing reliance on conventional monkey preclinical PK studies.</w:t>
      </w:r>
    </w:p>
    <w:p>
      <w:pPr>
        <w:pStyle w:val="Normal"/>
        <w:rPr/>
      </w:pPr>
      <w:r>
        <w:rPr>
          <w:rFonts w:asciiTheme="minorHAnsi" w:cstheme="minorBidi" w:eastAsiaTheme="minorHAnsi" w:hAnsiTheme="minorHAnsi"/>
          <w:shd w:fill="FFFF00" w:val="clear"/>
          <w14:ligatures w14:val="standardContextual"/>
        </w:rPr>
        <w:t xml:space="preserve">Strengths  - proof of concept, first analysis of PBPK as NAM  - combined with AI and robust in vitro data package. </w:t>
      </w:r>
      <w:r>
        <w:rPr>
          <w:rFonts w:asciiTheme="minorHAnsi" w:cstheme="minorBidi" w:eastAsiaTheme="minorHAnsi" w:hAnsiTheme="minorHAnsi"/>
          <w:shd w:fill="FFFF00" w:val="clear"/>
          <w14:ligatures w14:val="standardContextual"/>
        </w:rPr>
        <w:t xml:space="preserve">Our study proof-of-concept and retrospective due to limitation of readily available datasets available in literature; focus on value added; first evals of PBPK as </w:t>
      </w:r>
      <w:r>
        <w:rPr>
          <w:highlight w:val="yellow"/>
        </w:rPr>
        <w:t>NAMs larger scale retrospective analysis and prospective pilot program warranted for appropriate validation</w:t>
      </w:r>
    </w:p>
    <w:p>
      <w:pPr>
        <w:pStyle w:val="Normal"/>
        <w:rPr/>
      </w:pPr>
      <w:r>
        <w:rPr>
          <w:highlight w:val="yellow"/>
        </w:rPr>
        <w:t>Discussion about PK-Sim and esqlabsr as tools: Benefits open source, expression database available for multiple species, R packages such as esqlabsr and ospsuite allow automation of workflows</w:t>
      </w:r>
    </w:p>
    <w:p>
      <w:pPr>
        <w:pStyle w:val="Normal"/>
        <w:rPr/>
      </w:pPr>
      <w:r>
        <w:rPr/>
        <w:t xml:space="preserve">The “a priori” PBPK modeling as NAM approach is feasible when robust in vitro experimental data for mechanistic parameters are available. In our retrospective analysis, in vitro parameters were derived from literature search (Supplementary Material 2). Drug–target binding affinity was available from experimental binding assays for all included molecules, either from equilibrium binding or SPR/Biacore assays. FcRn binding affinity was available from SPR/Biacore for only atezolizumab and pembrolizumab while a common model-based FcRn KD estimate from a published meta-analysis was used for several other mAbs where molecule-specific FcRn binding data were not available [ref.].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t>
      </w:r>
    </w:p>
    <w:p>
      <w:pPr>
        <w:pStyle w:val="Normal"/>
        <w:rPr/>
      </w:pPr>
      <w:r>
        <w:rPr/>
        <w:t>Our analysis focused on IV single-dose PK evaluations for mAbs,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mAbs,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[PMIDs: 20962582, 21241072].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GLP repeat-dose toxicology studies can provide repeat-dose exposure characterization without a dedicated standalone PK study [PMID: 23524271],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absorption kinetics. Lessons learned from mAbs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and animal-sparing foundation for predicting repeat-dose exposure and informing broader “a priori” NAM-based workflows across therapeutic modalities.</w:t>
      </w:r>
    </w:p>
    <w:p>
      <w:pPr>
        <w:pStyle w:val="Heading1"/>
        <w:rPr/>
      </w:pPr>
      <w:r>
        <w:rPr/>
        <w:t>Conclusions</w:t>
      </w:r>
    </w:p>
    <w:p>
      <w:pPr>
        <w:pStyle w:val="Heading1"/>
        <w:rPr/>
      </w:pPr>
      <w:r>
        <w:rPr/>
        <w:t>References</w:t>
      </w:r>
    </w:p>
    <w:p>
      <w:pPr>
        <w:pStyle w:val="Normal"/>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Figures</w:t>
      </w:r>
    </w:p>
    <w:p>
      <w:pPr>
        <w:pStyle w:val="Normal"/>
        <w:rPr/>
      </w:pPr>
      <w:r>
        <w:rPr>
          <w:b/>
          <w:bCs/>
        </w:rPr>
        <w:t xml:space="preserve">Figure X. Proposed “a priori” PBPK workflow for monoclonal antibody PK translation as a NAM. </w:t>
      </w:r>
      <w:r>
        <w:rPr/>
        <w:t xml:space="preserve">The conventional workflow relies on exploratory and definitive monkey PK/TK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pPr>
        <w:pStyle w:val="Normal"/>
        <w:rPr>
          <w:rFonts w:ascii="Aptos Display" w:hAnsi="Aptos Display" w:eastAsia="" w:cs="" w:asciiTheme="majorHAnsi" w:cstheme="majorBidi" w:eastAsiaTheme="majorEastAsia" w:hAnsiTheme="majorHAnsi"/>
          <w:b/>
          <w:sz w:val="40"/>
          <w:szCs w:val="40"/>
        </w:rPr>
      </w:pPr>
      <w:r>
        <w:rPr/>
        <w:drawing>
          <wp:inline distT="0" distB="0" distL="0" distR="0">
            <wp:extent cx="6656070" cy="33337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656070" cy="3333750"/>
                    </a:xfrm>
                    <a:prstGeom prst="rect">
                      <a:avLst/>
                    </a:prstGeom>
                  </pic:spPr>
                </pic:pic>
              </a:graphicData>
            </a:graphic>
          </wp:inline>
        </w:drawing>
      </w:r>
    </w:p>
    <w:p>
      <w:pPr>
        <w:pStyle w:val="Normal"/>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Tables</w:t>
      </w:r>
    </w:p>
    <w:p>
      <w:pPr>
        <w:pStyle w:val="Normal"/>
        <w:rPr/>
      </w:pPr>
      <w:r>
        <w:rPr>
          <w:b/>
        </w:rPr>
        <w:t xml:space="preserve">Table 1. Monkey Cmax and AUC fold-error by modeling approach. </w:t>
      </w:r>
      <w:r>
        <w:rPr>
          <w:bCs/>
        </w:rPr>
        <w:t>Fold-</w:t>
      </w:r>
      <w:r>
        <w:rPr/>
        <w:t>error is reported as predicted/observed. Green indicates within twofold (0.50–2.00); red indicates outside twofold.</w:t>
      </w:r>
    </w:p>
    <w:tbl>
      <w:tblPr>
        <w:tblW w:w="10255" w:type="dxa"/>
        <w:jc w:val="left"/>
        <w:tblInd w:w="85" w:type="dxa"/>
        <w:tblLayout w:type="fixed"/>
        <w:tblCellMar>
          <w:top w:w="60" w:type="dxa"/>
          <w:left w:w="80" w:type="dxa"/>
          <w:bottom w:w="60" w:type="dxa"/>
          <w:right w:w="80" w:type="dxa"/>
        </w:tblCellMar>
        <w:tblLook w:firstRow="1" w:noVBand="1" w:lastRow="0" w:firstColumn="1" w:lastColumn="0" w:noHBand="0" w:val="04a0"/>
      </w:tblPr>
      <w:tblGrid>
        <w:gridCol w:w="1975"/>
        <w:gridCol w:w="1170"/>
        <w:gridCol w:w="1709"/>
        <w:gridCol w:w="1711"/>
        <w:gridCol w:w="1892"/>
        <w:gridCol w:w="1797"/>
      </w:tblGrid>
      <w:tr>
        <w:trPr>
          <w:tblHeader w:val="true"/>
          <w:trHeight w:val="144" w:hRule="atLeast"/>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Molecule</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Dose (mg/kg)</w:t>
            </w:r>
          </w:p>
        </w:tc>
        <w:tc>
          <w:tcPr>
            <w:tcW w:w="34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Cmax fold-error</w:t>
            </w:r>
          </w:p>
        </w:tc>
        <w:tc>
          <w:tcPr>
            <w:tcW w:w="3689"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AUC fold-error</w:t>
            </w:r>
          </w:p>
        </w:tc>
      </w:tr>
      <w:tr>
        <w:trPr>
          <w:tblHeader w:val="true"/>
          <w:trHeight w:val="461" w:hRule="atLeast"/>
        </w:trPr>
        <w:tc>
          <w:tcPr>
            <w:tcW w:w="19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r>
          </w:p>
        </w:tc>
        <w:tc>
          <w:tcPr>
            <w:tcW w:w="117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w:t>
            </w:r>
            <w:r>
              <w:rPr>
                <w:b/>
                <w:bCs/>
              </w:rPr>
              <w:t>a priori”</w:t>
            </w:r>
          </w:p>
        </w:tc>
        <w:tc>
          <w:tcPr>
            <w:tcW w:w="171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Top-down (Fitted)</w:t>
            </w:r>
          </w:p>
        </w:tc>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w:t>
            </w:r>
            <w:r>
              <w:rPr>
                <w:b/>
                <w:bCs/>
              </w:rPr>
              <w:t>a priori”</w:t>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Top-down (Fitted)</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1.21</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0.99</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1.22</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1.20</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0.5</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1.42</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1.30</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2.27</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1.70</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5</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0.99</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1.11</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1.19</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20</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0.86</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0.78</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0.87</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0.96</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Avelumab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5</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1.30</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0.96</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2.80</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1.20</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Bevacizumab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4</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1.14</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0.89</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0.64</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0.71</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Bevacizumab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5</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1.35</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1.08</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1.48</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1.60</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0.80</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1.00</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1.00</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1.21</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0.97</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1.27</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0.62</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1.34</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0.74</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0.73</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0.49</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0.96</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Pembrolizumab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0.3</w:t>
            </w:r>
          </w:p>
        </w:tc>
        <w:tc>
          <w:tcPr>
            <w:tcW w:w="1709"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0.40</w:t>
            </w:r>
          </w:p>
        </w:tc>
        <w:tc>
          <w:tcPr>
            <w:tcW w:w="1711"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0.39</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2.39</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0.87</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Pembrolizumab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0.99</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0.95</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2.88</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1.01</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Pembrolizumab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30</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1.05</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0.97</w:t>
            </w:r>
          </w:p>
        </w:tc>
        <w:tc>
          <w:tcPr>
            <w:tcW w:w="1892"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3.23</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1.08</w:t>
            </w:r>
          </w:p>
        </w:tc>
      </w:tr>
      <w:tr>
        <w:trPr>
          <w:trHeight w:val="144" w:hRule="atLeast"/>
        </w:trPr>
        <w:tc>
          <w:tcPr>
            <w:tcW w:w="19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Tocilizumab</w:t>
            </w:r>
          </w:p>
        </w:tc>
        <w:tc>
          <w:tcPr>
            <w:tcW w:w="117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709"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1.06</w:t>
            </w:r>
          </w:p>
        </w:tc>
        <w:tc>
          <w:tcPr>
            <w:tcW w:w="1711"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0.98</w:t>
            </w:r>
          </w:p>
        </w:tc>
        <w:tc>
          <w:tcPr>
            <w:tcW w:w="1892"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1.80</w:t>
            </w:r>
          </w:p>
        </w:tc>
        <w:tc>
          <w:tcPr>
            <w:tcW w:w="1797"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1.00</w:t>
            </w:r>
          </w:p>
        </w:tc>
      </w:tr>
    </w:tbl>
    <w:p>
      <w:pPr>
        <w:pStyle w:val="Normal"/>
        <w:rPr/>
      </w:pPr>
      <w:r>
        <w:rPr/>
      </w:r>
      <w:r>
        <w:br w:type="page"/>
      </w:r>
    </w:p>
    <w:p>
      <w:pPr>
        <w:pStyle w:val="Normal"/>
        <w:spacing w:before="0" w:after="160"/>
        <w:rPr/>
      </w:pPr>
      <w:r>
        <w:rPr>
          <w:b/>
          <w:bCs/>
        </w:rPr>
        <w:t>Table 2. Human Cmax and AUC fold-error by modeling approach.</w:t>
      </w:r>
      <w:r>
        <w:rPr/>
        <w:t xml:space="preserve"> Fold-error is reported as predicted/observed. Green indicates within twofold (0.50–2.00); red indicates outside twofold.</w:t>
      </w:r>
    </w:p>
    <w:tbl>
      <w:tblPr>
        <w:tblW w:w="10158" w:type="dxa"/>
        <w:jc w:val="left"/>
        <w:tblInd w:w="-28" w:type="dxa"/>
        <w:tblLayout w:type="fixed"/>
        <w:tblCellMar>
          <w:top w:w="60" w:type="dxa"/>
          <w:left w:w="80" w:type="dxa"/>
          <w:bottom w:w="60" w:type="dxa"/>
          <w:right w:w="80" w:type="dxa"/>
        </w:tblCellMar>
        <w:tblLook w:firstRow="1" w:noVBand="1" w:lastRow="0" w:firstColumn="1" w:lastColumn="0" w:noHBand="0" w:val="04a0"/>
      </w:tblPr>
      <w:tblGrid>
        <w:gridCol w:w="2175"/>
        <w:gridCol w:w="1527"/>
        <w:gridCol w:w="1613"/>
        <w:gridCol w:w="1614"/>
        <w:gridCol w:w="1613"/>
        <w:gridCol w:w="1615"/>
      </w:tblGrid>
      <w:tr>
        <w:trPr>
          <w:tblHeader w:val="true"/>
          <w:trHeight w:val="497" w:hRule="atLeast"/>
        </w:trPr>
        <w:tc>
          <w:tcPr>
            <w:tcW w:w="21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Molecule</w:t>
            </w:r>
          </w:p>
        </w:tc>
        <w:tc>
          <w:tcPr>
            <w:tcW w:w="152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Dose (mg/kg)</w:t>
            </w:r>
          </w:p>
        </w:tc>
        <w:tc>
          <w:tcPr>
            <w:tcW w:w="322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Cmax fold-error</w:t>
            </w:r>
          </w:p>
        </w:tc>
        <w:tc>
          <w:tcPr>
            <w:tcW w:w="3228"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AUC fold-error</w:t>
            </w:r>
          </w:p>
        </w:tc>
      </w:tr>
      <w:tr>
        <w:trPr>
          <w:tblHeader w:val="true"/>
          <w:trHeight w:val="497" w:hRule="atLeast"/>
        </w:trPr>
        <w:tc>
          <w:tcPr>
            <w:tcW w:w="21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r>
          </w:p>
        </w:tc>
        <w:tc>
          <w:tcPr>
            <w:tcW w:w="152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r>
          </w:p>
        </w:tc>
        <w:tc>
          <w:tcPr>
            <w:tcW w:w="16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w:t>
            </w:r>
            <w:r>
              <w:rPr>
                <w:b/>
                <w:bCs/>
              </w:rPr>
              <w:t>a priori”</w:t>
            </w:r>
          </w:p>
        </w:tc>
        <w:tc>
          <w:tcPr>
            <w:tcW w:w="161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Top-down</w:t>
            </w:r>
          </w:p>
        </w:tc>
        <w:tc>
          <w:tcPr>
            <w:tcW w:w="16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w:t>
            </w:r>
            <w:r>
              <w:rPr>
                <w:b/>
                <w:bCs/>
              </w:rPr>
              <w:t>a priori”</w:t>
            </w:r>
          </w:p>
        </w:tc>
        <w:tc>
          <w:tcPr>
            <w:tcW w:w="16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center"/>
              <w:rPr>
                <w:b/>
                <w:bCs/>
              </w:rPr>
            </w:pPr>
            <w:r>
              <w:rPr>
                <w:b/>
                <w:bCs/>
              </w:rPr>
              <w:t>Top-down</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0.5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0.98</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1.28</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1.06</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1.50</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1.25</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1.02</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1.50</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1.24</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0.75</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1.12</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0.93</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Adalimumab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1.08</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0.90</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1.10</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1.34</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1.26</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0.82</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1.13</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1.02</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1.21</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1.19</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1.02</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1.29</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1.28</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Atezolizumab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20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0.86</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1.15</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1.14</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Avelumab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1.27</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1.06</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5.51</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1.69</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Avelumab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0.84</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0.70</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2.46</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0.79</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Avelumab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0.91</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0.66</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1.47</w:t>
            </w:r>
          </w:p>
        </w:tc>
        <w:tc>
          <w:tcPr>
            <w:tcW w:w="1615"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0.35</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Avelumab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20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0.95</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0.79</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2.05</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0.68</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Bevacizumab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15</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1.26</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1.25</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0.95</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0.1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0.95</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1.27</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2.13</w:t>
            </w:r>
          </w:p>
        </w:tc>
        <w:tc>
          <w:tcPr>
            <w:tcW w:w="1615"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2.01</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0.3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0.84</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1.44</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1.36</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0.87</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1.17</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1.31</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1.24</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1.17</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1.57</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1.82</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1.73</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6</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0.94</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1.26</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1.52</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1.45</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Golimumab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1.11</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1.48</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1.78</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1.71</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1.00</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1.42</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1.09</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1.50</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1.17</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1.54</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1.38</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1.92</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4</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1.34</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1.94</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1.56</w:t>
            </w:r>
          </w:p>
        </w:tc>
        <w:tc>
          <w:tcPr>
            <w:tcW w:w="1615"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2.44</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6</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1.28</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1.86</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1.61</w:t>
            </w:r>
          </w:p>
        </w:tc>
        <w:tc>
          <w:tcPr>
            <w:tcW w:w="1615"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2.53</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10</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1.17</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1.49</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1.32</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1.82</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Nivolumab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20</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2.39</w:t>
            </w:r>
          </w:p>
        </w:tc>
        <w:tc>
          <w:tcPr>
            <w:tcW w:w="1614"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3.46</w:t>
            </w:r>
          </w:p>
        </w:tc>
        <w:tc>
          <w:tcPr>
            <w:tcW w:w="1613"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2.11</w:t>
            </w:r>
          </w:p>
        </w:tc>
        <w:tc>
          <w:tcPr>
            <w:tcW w:w="1615" w:type="dxa"/>
            <w:tcBorders>
              <w:top w:val="single" w:sz="4" w:space="0" w:color="000000"/>
              <w:left w:val="single" w:sz="4" w:space="0" w:color="000000"/>
              <w:bottom w:val="single" w:sz="4" w:space="0" w:color="000000"/>
              <w:right w:val="single" w:sz="4" w:space="0" w:color="000000"/>
            </w:tcBorders>
            <w:shd w:color="auto" w:fill="F4CCCC" w:val="clear"/>
            <w:vAlign w:val="center"/>
          </w:tcPr>
          <w:p>
            <w:pPr>
              <w:pStyle w:val="Normal"/>
              <w:spacing w:before="0" w:after="160"/>
              <w:jc w:val="center"/>
              <w:rPr/>
            </w:pPr>
            <w:r>
              <w:rPr/>
              <w:t>3.37</w:t>
            </w:r>
          </w:p>
        </w:tc>
      </w:tr>
      <w:tr>
        <w:trPr>
          <w:trHeight w:val="497" w:hRule="atLeast"/>
        </w:trPr>
        <w:tc>
          <w:tcPr>
            <w:tcW w:w="21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TableContents"/>
              <w:spacing w:before="0" w:after="160"/>
              <w:ind w:hanging="0" w:left="0" w:right="0"/>
              <w:jc w:val="center"/>
              <w:rPr>
                <w:rFonts w:ascii="Arial" w:hAnsi="Arial"/>
                <w:sz w:val="20"/>
              </w:rPr>
            </w:pPr>
            <w:r>
              <w:rPr>
                <w:rFonts w:ascii="Arial" w:hAnsi="Arial"/>
                <w:sz w:val="20"/>
              </w:rPr>
              <w:t>Pembrolizumab</w:t>
            </w:r>
          </w:p>
        </w:tc>
        <w:tc>
          <w:tcPr>
            <w:tcW w:w="152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TableContents"/>
              <w:spacing w:before="0" w:after="160"/>
              <w:ind w:hanging="0" w:left="0" w:right="0"/>
              <w:jc w:val="center"/>
              <w:rPr>
                <w:rFonts w:ascii="Arial" w:hAnsi="Arial"/>
                <w:sz w:val="20"/>
              </w:rPr>
            </w:pPr>
            <w:r>
              <w:rPr>
                <w:rFonts w:ascii="Arial" w:hAnsi="Arial"/>
                <w:sz w:val="20"/>
              </w:rPr>
              <w:t>2</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1.03</w:t>
            </w:r>
          </w:p>
        </w:tc>
        <w:tc>
          <w:tcPr>
            <w:tcW w:w="1614"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1.13</w:t>
            </w:r>
          </w:p>
        </w:tc>
        <w:tc>
          <w:tcPr>
            <w:tcW w:w="1613"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1.27</w:t>
            </w:r>
          </w:p>
        </w:tc>
        <w:tc>
          <w:tcPr>
            <w:tcW w:w="1615" w:type="dxa"/>
            <w:tcBorders>
              <w:top w:val="single" w:sz="4" w:space="0" w:color="000000"/>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0.99</w:t>
            </w:r>
          </w:p>
        </w:tc>
      </w:tr>
      <w:tr>
        <w:trPr>
          <w:trHeight w:val="497" w:hRule="atLeast"/>
        </w:trPr>
        <w:tc>
          <w:tcPr>
            <w:tcW w:w="2175" w:type="dxa"/>
            <w:tcBorders>
              <w:left w:val="single" w:sz="4" w:space="0" w:color="000000"/>
              <w:bottom w:val="single" w:sz="4" w:space="0" w:color="000000"/>
              <w:right w:val="single" w:sz="4" w:space="0" w:color="000000"/>
            </w:tcBorders>
            <w:shd w:color="auto" w:fill="FFFFFF" w:val="clear"/>
            <w:vAlign w:val="center"/>
          </w:tcPr>
          <w:p>
            <w:pPr>
              <w:pStyle w:val="TableContents"/>
              <w:spacing w:before="0" w:after="160"/>
              <w:ind w:hanging="0" w:left="0" w:right="0"/>
              <w:jc w:val="center"/>
              <w:rPr>
                <w:rFonts w:ascii="Arial" w:hAnsi="Arial"/>
                <w:sz w:val="20"/>
              </w:rPr>
            </w:pPr>
            <w:r>
              <w:rPr>
                <w:rFonts w:ascii="Arial" w:hAnsi="Arial"/>
                <w:sz w:val="20"/>
              </w:rPr>
              <w:t>Pembrolizumab</w:t>
            </w:r>
          </w:p>
        </w:tc>
        <w:tc>
          <w:tcPr>
            <w:tcW w:w="1527" w:type="dxa"/>
            <w:tcBorders>
              <w:left w:val="single" w:sz="4" w:space="0" w:color="000000"/>
              <w:bottom w:val="single" w:sz="4" w:space="0" w:color="000000"/>
              <w:right w:val="single" w:sz="4" w:space="0" w:color="000000"/>
            </w:tcBorders>
            <w:shd w:color="auto" w:fill="FFFFFF" w:val="clear"/>
            <w:vAlign w:val="center"/>
          </w:tcPr>
          <w:p>
            <w:pPr>
              <w:pStyle w:val="TableContents"/>
              <w:spacing w:before="0" w:after="160"/>
              <w:ind w:hanging="0" w:left="0" w:right="0"/>
              <w:jc w:val="center"/>
              <w:rPr>
                <w:rFonts w:ascii="Arial" w:hAnsi="Arial"/>
                <w:sz w:val="20"/>
              </w:rPr>
            </w:pPr>
            <w:r>
              <w:rPr>
                <w:rFonts w:ascii="Arial" w:hAnsi="Arial"/>
                <w:sz w:val="20"/>
              </w:rPr>
              <w:t>10</w:t>
            </w:r>
          </w:p>
        </w:tc>
        <w:tc>
          <w:tcPr>
            <w:tcW w:w="1613" w:type="dxa"/>
            <w:tcBorders>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1.02</w:t>
            </w:r>
          </w:p>
        </w:tc>
        <w:tc>
          <w:tcPr>
            <w:tcW w:w="1614" w:type="dxa"/>
            <w:tcBorders>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1.11</w:t>
            </w:r>
          </w:p>
        </w:tc>
        <w:tc>
          <w:tcPr>
            <w:tcW w:w="1613" w:type="dxa"/>
            <w:tcBorders>
              <w:left w:val="single" w:sz="4" w:space="0" w:color="000000"/>
              <w:bottom w:val="single" w:sz="4" w:space="0" w:color="000000"/>
              <w:right w:val="single" w:sz="4" w:space="0" w:color="000000"/>
            </w:tcBorders>
            <w:shd w:color="auto" w:fill="E2F0D9" w:val="clear"/>
            <w:vAlign w:val="center"/>
          </w:tcPr>
          <w:p>
            <w:pPr>
              <w:pStyle w:val="TableContents"/>
              <w:spacing w:before="0" w:after="160"/>
              <w:ind w:hanging="0" w:left="0" w:right="0"/>
              <w:jc w:val="center"/>
              <w:rPr>
                <w:rFonts w:ascii="Arial" w:hAnsi="Arial"/>
                <w:sz w:val="20"/>
              </w:rPr>
            </w:pPr>
            <w:r>
              <w:rPr>
                <w:rFonts w:ascii="Arial" w:hAnsi="Arial"/>
                <w:sz w:val="20"/>
              </w:rPr>
              <w:t>1.41</w:t>
            </w:r>
          </w:p>
        </w:tc>
        <w:tc>
          <w:tcPr>
            <w:tcW w:w="1615" w:type="dxa"/>
            <w:tcBorders>
              <w:left w:val="single" w:sz="4" w:space="0" w:color="000000"/>
              <w:bottom w:val="single" w:sz="4" w:space="0" w:color="000000"/>
              <w:right w:val="single" w:sz="4" w:space="0" w:color="000000"/>
            </w:tcBorders>
            <w:shd w:color="auto" w:fill="E2F0D9" w:val="clear"/>
            <w:vAlign w:val="center"/>
          </w:tcPr>
          <w:p>
            <w:pPr>
              <w:pStyle w:val="TableContents"/>
              <w:spacing w:before="0" w:after="160"/>
              <w:jc w:val="center"/>
              <w:rPr>
                <w:rFonts w:ascii="Arial" w:hAnsi="Arial"/>
                <w:sz w:val="20"/>
              </w:rPr>
            </w:pPr>
            <w:r>
              <w:rPr>
                <w:rFonts w:ascii="Arial" w:hAnsi="Arial"/>
                <w:sz w:val="20"/>
              </w:rPr>
              <w:t>1.10</w:t>
            </w:r>
          </w:p>
        </w:tc>
      </w:tr>
      <w:tr>
        <w:trPr>
          <w:trHeight w:val="497" w:hRule="atLeast"/>
        </w:trPr>
        <w:tc>
          <w:tcPr>
            <w:tcW w:w="2175" w:type="dxa"/>
            <w:tcBorders>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Tocilizumab</w:t>
            </w:r>
          </w:p>
        </w:tc>
        <w:tc>
          <w:tcPr>
            <w:tcW w:w="1527" w:type="dxa"/>
            <w:tcBorders>
              <w:left w:val="single" w:sz="4" w:space="0" w:color="000000"/>
              <w:bottom w:val="single" w:sz="4" w:space="0" w:color="000000"/>
              <w:right w:val="single" w:sz="4" w:space="0" w:color="000000"/>
            </w:tcBorders>
            <w:shd w:color="auto" w:fill="FFFFFF" w:val="clear"/>
            <w:vAlign w:val="center"/>
          </w:tcPr>
          <w:p>
            <w:pPr>
              <w:pStyle w:val="Normal"/>
              <w:spacing w:before="0" w:after="160"/>
              <w:jc w:val="center"/>
              <w:rPr/>
            </w:pPr>
            <w:r>
              <w:rPr/>
              <w:t>8</w:t>
            </w:r>
          </w:p>
        </w:tc>
        <w:tc>
          <w:tcPr>
            <w:tcW w:w="1613" w:type="dxa"/>
            <w:tcBorders>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0.51</w:t>
            </w:r>
          </w:p>
        </w:tc>
        <w:tc>
          <w:tcPr>
            <w:tcW w:w="1614" w:type="dxa"/>
            <w:tcBorders>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0.61</w:t>
            </w:r>
          </w:p>
        </w:tc>
        <w:tc>
          <w:tcPr>
            <w:tcW w:w="1613" w:type="dxa"/>
            <w:tcBorders>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0.71</w:t>
            </w:r>
          </w:p>
        </w:tc>
        <w:tc>
          <w:tcPr>
            <w:tcW w:w="1615" w:type="dxa"/>
            <w:tcBorders>
              <w:left w:val="single" w:sz="4" w:space="0" w:color="000000"/>
              <w:bottom w:val="single" w:sz="4" w:space="0" w:color="000000"/>
              <w:right w:val="single" w:sz="4" w:space="0" w:color="000000"/>
            </w:tcBorders>
            <w:shd w:color="auto" w:fill="E2F0D9" w:val="clear"/>
            <w:vAlign w:val="center"/>
          </w:tcPr>
          <w:p>
            <w:pPr>
              <w:pStyle w:val="Normal"/>
              <w:spacing w:before="0" w:after="160"/>
              <w:jc w:val="center"/>
              <w:rPr/>
            </w:pPr>
            <w:r>
              <w:rPr/>
              <w:t>0.57</w:t>
            </w:r>
          </w:p>
        </w:tc>
      </w:tr>
    </w:tbl>
    <w:p>
      <w:pPr>
        <w:pStyle w:val="Normal"/>
        <w:rPr/>
      </w:pPr>
      <w:r>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p>
    <w:p>
      <w:pPr>
        <w:pStyle w:val="Normal"/>
        <w:spacing w:lineRule="auto" w:line="240" w:before="0" w:after="0"/>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Supplementary Materials</w:t>
      </w:r>
    </w:p>
    <w:p>
      <w:pPr>
        <w:pStyle w:val="Normal"/>
        <w:rPr/>
      </w:pPr>
      <w:r>
        <w:rPr/>
        <w:t>Supplementary Material 1. See attached</w:t>
      </w:r>
    </w:p>
    <w:p>
      <w:pPr>
        <w:pStyle w:val="Normal"/>
        <w:widowControl/>
        <w:suppressAutoHyphens w:val="true"/>
        <w:bidi w:val="0"/>
        <w:spacing w:lineRule="auto" w:line="276" w:before="0" w:after="160"/>
        <w:jc w:val="both"/>
        <w:rPr/>
      </w:pPr>
      <w:r>
        <w:rPr/>
        <w:t>Supplementary Material 2. Github link to full project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Annotation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Annotation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Annotation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2245</TotalTime>
  <Application>LibreOffice/7.6.7.2$Windows_X86_64 LibreOffice_project/dd47e4b30cb7dab30588d6c79c651f218165e3c5</Application>
  <AppVersion>15.0000</AppVersion>
  <Pages>13</Pages>
  <Words>3066</Words>
  <Characters>18846</Characters>
  <CharactersWithSpaces>21587</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2026-06-24T12:48:41Z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