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20"/>
          <w:szCs w:val="20"/>
        </w:rPr>
        <w:t xml:space="preserve">Table 1. Monkey Cmax and AUC fold-error by modeling approach</w:t>
      </w:r>
    </w:p>
    <w:p>
      <w:pPr>
        <w:spacing w:after="0"/>
      </w:pPr>
      <w:r>
        <w:rPr>
          <w:sz w:val="17"/>
          <w:szCs w:val="17"/>
        </w:rPr>
        <w:t xml:space="preserve">Fold-error is reported as predicted/observed. Green indicates within twofold (0.50–2.00); red indicates outside twofold.</w:t>
      </w:r>
    </w:p>
    <w:tbl>
      <w:tblPr>
        <w:tblW w:w="8500" w:type="dxa"/>
        <w:tblLayout w:type="fixed"/>
        <w:tblBorders>
          <w:top w:val="single" w:sz="8" w:color="7F7F7F"/>
          <w:left w:val="single" w:sz="4" w:color="B7B7B7"/>
          <w:bottom w:val="single" w:sz="8" w:color="7F7F7F"/>
          <w:right w:val="single" w:sz="4" w:color="B7B7B7"/>
          <w:insideH w:val="single" w:sz="4" w:color="B7B7B7"/>
          <w:insideV w:val="single" w:sz="4" w:color="B7B7B7"/>
        </w:tblBorders>
      </w:tblPr>
      <w:tr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Molecule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Dose
(mg/kg)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Cmax fold-error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AUC fold-error</w:t>
            </w:r>
          </w:p>
        </w:tc>
      </w:tr>
      <w:tr>
        <w:trPr>
          <w:tblHeader/>
        </w:trPr>
        <w:tc>
          <w:tcPr>
            <w:tcW w:w="22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9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1.30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2.27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1.70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0.96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Avelumab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0.96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2.80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Bevacizumab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Bevacizumab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1.60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1.34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0.73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0.49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0.96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Pembrolizumab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0.40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0.39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2.39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0.87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Pembrolizumab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0.95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2.88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Pembrolizumab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0.97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3.23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1.08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Tocilizumab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1.80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1.00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sz w:val="20"/>
          <w:szCs w:val="20"/>
        </w:rPr>
        <w:t xml:space="preserve">Table 2. Human Cmax and AUC fold-error by modeling approach</w:t>
      </w:r>
    </w:p>
    <w:p>
      <w:pPr>
        <w:spacing w:after="0"/>
      </w:pPr>
      <w:r>
        <w:rPr>
          <w:sz w:val="17"/>
          <w:szCs w:val="17"/>
        </w:rPr>
        <w:t xml:space="preserve">Fold-error is reported as predicted/observed. Green indicates within twofold (0.50–2.00); red indicates outside twofold.</w:t>
      </w:r>
    </w:p>
    <w:tbl>
      <w:tblPr>
        <w:tblW w:w="8500" w:type="dxa"/>
        <w:tblLayout w:type="fixed"/>
        <w:tblBorders>
          <w:top w:val="single" w:sz="8" w:color="7F7F7F"/>
          <w:left w:val="single" w:sz="4" w:color="B7B7B7"/>
          <w:bottom w:val="single" w:sz="8" w:color="7F7F7F"/>
          <w:right w:val="single" w:sz="4" w:color="B7B7B7"/>
          <w:insideH w:val="single" w:sz="4" w:color="B7B7B7"/>
          <w:insideV w:val="single" w:sz="4" w:color="B7B7B7"/>
        </w:tblBorders>
      </w:tblPr>
      <w:tr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Molecule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Dose
(mg/kg)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Cmax fold-error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AUC fold-error</w:t>
            </w:r>
          </w:p>
        </w:tc>
      </w:tr>
      <w:tr>
        <w:trPr>
          <w:tblHeader/>
        </w:trPr>
        <w:tc>
          <w:tcPr>
            <w:tcW w:w="22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9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1.06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1.24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0.93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Adalimumab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1.26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1.28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Atezolizumab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1.14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Avelumab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1.06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5.51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1.69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Avelumab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2.46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Avelumab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1.47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0.35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Avelumab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2.05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0.68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Bevacizumab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0.95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2.13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2.01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1.36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0.87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1.24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1.82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1.73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Golimumab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1.78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1.71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1.92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1.94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1.56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2.44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1.86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1.61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2.53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1.49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1.32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1.82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Nivolumab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2.39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3.46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2.11</w:t>
            </w:r>
          </w:p>
        </w:tc>
        <w:tc>
          <w:tcPr>
            <w:tcW w:w="1350" w:type="dxa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3.37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Tocilizumab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0.51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0.61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0.57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