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b/>
          <w:sz w:val="20"/>
          <w:szCs w:val="20"/>
        </w:rPr>
        <w:t xml:space="preserve">Table. Human pembrolizumab Cmax and AUC fold-error by modeling approach</w:t>
      </w:r>
    </w:p>
    <w:p>
      <w:pPr>
        <w:spacing w:after="0"/>
      </w:pPr>
      <w:r>
        <w:rPr>
          <w:sz w:val="17"/>
          <w:szCs w:val="17"/>
        </w:rPr>
        <w:t xml:space="preserve">Fold-error is reported as predicted/observed. Green indicates within twofold (0.50–2.00); red indicates outside twofold.</w:t>
      </w:r>
    </w:p>
    <w:tbl>
      <w:tblPr>
        <w:tblW w:w="8500" w:type="dxa"/>
        <w:tblLayout w:type="fixed"/>
        <w:tblBorders>
          <w:top w:val="single" w:sz="8" w:color="7F7F7F"/>
          <w:left w:val="single" w:sz="4" w:color="B7B7B7"/>
          <w:bottom w:val="single" w:sz="8" w:color="7F7F7F"/>
          <w:right w:val="single" w:sz="4" w:color="B7B7B7"/>
          <w:insideH w:val="single" w:sz="4" w:color="B7B7B7"/>
          <w:insideV w:val="single" w:sz="4" w:color="B7B7B7"/>
        </w:tblBorders>
      </w:tblPr>
      <w:tr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Molecule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Dose
(mg/kg)</w:t>
            </w:r>
          </w:p>
        </w:tc>
        <w:tc>
          <w:tcPr>
            <w:tcW w:w="2700" w:type="dxa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Cmax fold-error</w:t>
            </w:r>
          </w:p>
        </w:tc>
        <w:tc>
          <w:tcPr>
            <w:tcW w:w="2700" w:type="dxa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AUC fold-error</w:t>
            </w:r>
          </w:p>
        </w:tc>
      </w:tr>
      <w:tr>
        <w:trPr>
          <w:tblHeader/>
        </w:trPr>
        <w:tc>
          <w:tcPr>
            <w:tcW w:w="220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90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/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 priori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Top-down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A priori</w:t>
            </w:r>
          </w:p>
        </w:tc>
        <w:tc>
          <w:tcPr>
            <w:tcW w:w="1350" w:type="dxa"/>
            <w:shd w:val="clear" w:color="auto" w:fill="EAF0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7"/>
                <w:szCs w:val="17"/>
              </w:rPr>
              <w:t>Top-down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Pembrolizumab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1.13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1.27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0.99</w:t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7"/>
                <w:szCs w:val="17"/>
              </w:rPr>
              <w:t>Pembrolizumab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1.02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1.41</w:t>
            </w:r>
          </w:p>
        </w:tc>
        <w:tc>
          <w:tcPr>
            <w:tcW w:w="1350" w:type="dxa"/>
            <w:shd w:val="clear" w:color="auto"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after="0"/>
            </w:pPr>
            <w:r>
              <w:rPr>
                <w:sz w:val="17"/>
                <w:szCs w:val="17"/>
              </w:rPr>
              <w:t>1.10</w:t>
            </w:r>
          </w:p>
        </w:tc>
      </w:tr>
    </w:tbl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