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B1F1" w14:textId="5D134192" w:rsidR="00FA6030" w:rsidRPr="00FA478F" w:rsidRDefault="00FA478F">
      <w:pPr>
        <w:spacing w:after="80"/>
        <w:rPr>
          <w:b/>
          <w:bCs/>
          <w:sz w:val="28"/>
          <w:szCs w:val="28"/>
        </w:rPr>
      </w:pPr>
      <w:r w:rsidRPr="00FA478F">
        <w:rPr>
          <w:b/>
          <w:bCs/>
          <w:sz w:val="28"/>
          <w:szCs w:val="28"/>
        </w:rPr>
        <w:t xml:space="preserve">PBPK-Informed Simulation Strategy: Reducing Animal Use in </w:t>
      </w:r>
      <w:proofErr w:type="spellStart"/>
      <w:r w:rsidRPr="00FA478F">
        <w:rPr>
          <w:b/>
          <w:bCs/>
          <w:sz w:val="28"/>
          <w:szCs w:val="28"/>
        </w:rPr>
        <w:t>mAb</w:t>
      </w:r>
      <w:proofErr w:type="spellEnd"/>
      <w:r w:rsidRPr="00FA478F">
        <w:rPr>
          <w:b/>
          <w:bCs/>
          <w:sz w:val="28"/>
          <w:szCs w:val="28"/>
        </w:rPr>
        <w:t xml:space="preserve"> Preclinical Development</w:t>
      </w:r>
    </w:p>
    <w:p w14:paraId="4DAB8E0E" w14:textId="77777777" w:rsidR="00FA478F" w:rsidRPr="00FA478F" w:rsidRDefault="00FA478F">
      <w:pPr>
        <w:spacing w:after="80"/>
      </w:pPr>
    </w:p>
    <w:p w14:paraId="213CF614" w14:textId="77777777" w:rsidR="00FA478F" w:rsidRPr="00FA478F" w:rsidRDefault="00FA478F" w:rsidP="00FA478F">
      <w:pPr>
        <w:spacing w:after="28"/>
        <w:rPr>
          <w:b/>
          <w:bCs/>
          <w:color w:val="1F3864"/>
          <w:sz w:val="22"/>
          <w:szCs w:val="22"/>
        </w:rPr>
      </w:pPr>
      <w:r w:rsidRPr="00FA478F">
        <w:rPr>
          <w:b/>
          <w:bCs/>
          <w:color w:val="1F3864"/>
          <w:sz w:val="22"/>
          <w:szCs w:val="22"/>
        </w:rPr>
        <w:t>STUDY OBJECTIVE</w:t>
      </w:r>
    </w:p>
    <w:p w14:paraId="2C737994" w14:textId="77777777" w:rsidR="00FA478F" w:rsidRPr="00FA478F" w:rsidRDefault="00FA478F" w:rsidP="00FA478F">
      <w:pPr>
        <w:spacing w:after="28"/>
        <w:rPr>
          <w:sz w:val="22"/>
          <w:szCs w:val="22"/>
        </w:rPr>
      </w:pPr>
    </w:p>
    <w:p w14:paraId="3AB90EA5" w14:textId="77777777" w:rsidR="00FA478F" w:rsidRPr="00FA478F" w:rsidRDefault="00FA478F" w:rsidP="00FA478F">
      <w:pPr>
        <w:spacing w:after="20"/>
        <w:rPr>
          <w:color w:val="111111"/>
          <w:sz w:val="22"/>
          <w:szCs w:val="22"/>
        </w:rPr>
      </w:pPr>
      <w:r w:rsidRPr="00FA478F">
        <w:rPr>
          <w:color w:val="111111"/>
          <w:sz w:val="22"/>
          <w:szCs w:val="22"/>
        </w:rPr>
        <w:t xml:space="preserve">Demonstrate quantitatively that integrated PBPK/QSP/AI-ML approaches can reduce NHP animal use by </w:t>
      </w:r>
      <w:r w:rsidRPr="00FA478F">
        <w:rPr>
          <w:b/>
          <w:bCs/>
          <w:color w:val="C55A11"/>
          <w:sz w:val="22"/>
          <w:szCs w:val="22"/>
        </w:rPr>
        <w:t>≥60%</w:t>
      </w:r>
      <w:r w:rsidRPr="00FA478F">
        <w:rPr>
          <w:color w:val="111111"/>
          <w:sz w:val="22"/>
          <w:szCs w:val="22"/>
        </w:rPr>
        <w:t xml:space="preserve"> in </w:t>
      </w:r>
      <w:proofErr w:type="spellStart"/>
      <w:r w:rsidRPr="00FA478F">
        <w:rPr>
          <w:color w:val="111111"/>
          <w:sz w:val="22"/>
          <w:szCs w:val="22"/>
        </w:rPr>
        <w:t>mAb</w:t>
      </w:r>
      <w:proofErr w:type="spellEnd"/>
      <w:r w:rsidRPr="00FA478F">
        <w:rPr>
          <w:color w:val="111111"/>
          <w:sz w:val="22"/>
          <w:szCs w:val="22"/>
        </w:rPr>
        <w:t xml:space="preserve"> preclinical PK studies—by optimizing sample size (n), sampling time points, and dose group selection—while maintaining </w:t>
      </w:r>
      <w:r w:rsidRPr="00FA478F">
        <w:rPr>
          <w:b/>
          <w:bCs/>
          <w:color w:val="2E75B6"/>
          <w:sz w:val="22"/>
          <w:szCs w:val="22"/>
        </w:rPr>
        <w:t>≥80% statistical power</w:t>
      </w:r>
      <w:r w:rsidRPr="00FA478F">
        <w:rPr>
          <w:color w:val="111111"/>
          <w:sz w:val="22"/>
          <w:szCs w:val="22"/>
        </w:rPr>
        <w:t xml:space="preserve"> for </w:t>
      </w:r>
      <w:proofErr w:type="spellStart"/>
      <w:r w:rsidRPr="00FA478F">
        <w:rPr>
          <w:color w:val="111111"/>
          <w:sz w:val="22"/>
          <w:szCs w:val="22"/>
        </w:rPr>
        <w:t>AUCτ</w:t>
      </w:r>
      <w:proofErr w:type="spellEnd"/>
      <w:r w:rsidRPr="00FA478F">
        <w:rPr>
          <w:color w:val="111111"/>
          <w:sz w:val="22"/>
          <w:szCs w:val="22"/>
        </w:rPr>
        <w:t xml:space="preserve"> and </w:t>
      </w:r>
      <w:proofErr w:type="spellStart"/>
      <w:r w:rsidRPr="00FA478F">
        <w:rPr>
          <w:color w:val="111111"/>
          <w:sz w:val="22"/>
          <w:szCs w:val="22"/>
        </w:rPr>
        <w:t>Cmax</w:t>
      </w:r>
      <w:proofErr w:type="spellEnd"/>
      <w:r w:rsidRPr="00FA478F">
        <w:rPr>
          <w:color w:val="111111"/>
          <w:sz w:val="22"/>
          <w:szCs w:val="22"/>
        </w:rPr>
        <w:t xml:space="preserve"> across all 8 benchmark </w:t>
      </w:r>
      <w:proofErr w:type="spellStart"/>
      <w:r w:rsidRPr="00FA478F">
        <w:rPr>
          <w:color w:val="111111"/>
          <w:sz w:val="22"/>
          <w:szCs w:val="22"/>
        </w:rPr>
        <w:t>mAbs</w:t>
      </w:r>
      <w:proofErr w:type="spellEnd"/>
      <w:r w:rsidRPr="00FA478F">
        <w:rPr>
          <w:color w:val="111111"/>
          <w:sz w:val="22"/>
          <w:szCs w:val="22"/>
        </w:rPr>
        <w:t xml:space="preserve"> (Adalimumab, Atezolizumab, Avelumab, Bevacizumab, Golimumab, Nivolumab, Pembrolizumab, Tocilizumab), and across species (NHP → Human FIH prediction).</w:t>
      </w:r>
    </w:p>
    <w:p w14:paraId="69F10679" w14:textId="77777777" w:rsidR="00FA478F" w:rsidRPr="00FA478F" w:rsidRDefault="00FA478F" w:rsidP="00FA478F">
      <w:pPr>
        <w:spacing w:after="20"/>
        <w:rPr>
          <w:sz w:val="22"/>
          <w:szCs w:val="22"/>
        </w:rPr>
      </w:pPr>
    </w:p>
    <w:p w14:paraId="19B97D31" w14:textId="704EC66E" w:rsidR="00FA6030" w:rsidRDefault="00FA478F" w:rsidP="00FA478F">
      <w:pPr>
        <w:spacing w:after="20"/>
        <w:rPr>
          <w:color w:val="111111"/>
          <w:sz w:val="22"/>
          <w:szCs w:val="22"/>
        </w:rPr>
      </w:pPr>
      <w:r w:rsidRPr="00FA478F">
        <w:rPr>
          <w:color w:val="111111"/>
          <w:sz w:val="22"/>
          <w:szCs w:val="22"/>
        </w:rPr>
        <w:t>Outputs will constitute a reproducible, model-informed drug development (MIDD) framework.</w:t>
      </w:r>
    </w:p>
    <w:p w14:paraId="1B5C1CCA" w14:textId="77777777" w:rsidR="0080054B" w:rsidRDefault="0080054B" w:rsidP="00FA478F">
      <w:pPr>
        <w:spacing w:after="20"/>
        <w:rPr>
          <w:color w:val="111111"/>
          <w:sz w:val="22"/>
          <w:szCs w:val="22"/>
        </w:rPr>
      </w:pPr>
    </w:p>
    <w:p w14:paraId="3BBD1BE8" w14:textId="047F2342" w:rsidR="0080054B" w:rsidRPr="0080054B" w:rsidRDefault="0080054B" w:rsidP="00FA478F">
      <w:pPr>
        <w:spacing w:after="20"/>
        <w:rPr>
          <w:b/>
          <w:bCs/>
          <w:color w:val="111111"/>
          <w:sz w:val="22"/>
          <w:szCs w:val="22"/>
        </w:rPr>
      </w:pPr>
      <w:r w:rsidRPr="0080054B">
        <w:rPr>
          <w:b/>
          <w:bCs/>
          <w:color w:val="111111"/>
          <w:sz w:val="22"/>
          <w:szCs w:val="22"/>
        </w:rPr>
        <w:t xml:space="preserve">For Decision Matrix development: </w:t>
      </w:r>
    </w:p>
    <w:p w14:paraId="58F87EF1" w14:textId="77777777" w:rsidR="0080054B" w:rsidRDefault="0080054B" w:rsidP="00FA478F">
      <w:pPr>
        <w:spacing w:after="20"/>
        <w:rPr>
          <w:color w:val="111111"/>
          <w:sz w:val="22"/>
          <w:szCs w:val="22"/>
        </w:rPr>
      </w:pPr>
    </w:p>
    <w:p w14:paraId="3E7306E3" w14:textId="77777777" w:rsidR="0080054B" w:rsidRP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b/>
          <w:bCs/>
          <w:color w:val="111111"/>
          <w:sz w:val="22"/>
          <w:szCs w:val="22"/>
        </w:rPr>
        <w:t>Run all 8 molecules for both approaches.</w:t>
      </w:r>
      <w:r w:rsidRPr="0080054B">
        <w:rPr>
          <w:color w:val="111111"/>
          <w:sz w:val="22"/>
          <w:szCs w:val="22"/>
        </w:rPr>
        <w:t xml:space="preserve"> Here is why, then the steps.</w:t>
      </w:r>
    </w:p>
    <w:p w14:paraId="5DDC0556" w14:textId="77777777" w:rsidR="0080054B" w:rsidRP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b/>
          <w:bCs/>
          <w:color w:val="111111"/>
          <w:sz w:val="22"/>
          <w:szCs w:val="22"/>
        </w:rPr>
        <w:t>Why all 8, not just failures</w:t>
      </w:r>
    </w:p>
    <w:p w14:paraId="5CC58A09" w14:textId="77777777" w:rsidR="0080054B" w:rsidRP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color w:val="111111"/>
          <w:sz w:val="22"/>
          <w:szCs w:val="22"/>
        </w:rPr>
        <w:t>The manuscript objective is a workflow/decision framework, not just a rescue analysis. You need both outcomes to tell the story:</w:t>
      </w:r>
    </w:p>
    <w:p w14:paraId="214D5449" w14:textId="77777777" w:rsidR="0080054B" w:rsidRPr="0080054B" w:rsidRDefault="0080054B" w:rsidP="0080054B">
      <w:pPr>
        <w:numPr>
          <w:ilvl w:val="0"/>
          <w:numId w:val="2"/>
        </w:numPr>
        <w:spacing w:after="20"/>
        <w:rPr>
          <w:color w:val="111111"/>
          <w:sz w:val="22"/>
          <w:szCs w:val="22"/>
        </w:rPr>
      </w:pPr>
      <w:r w:rsidRPr="0080054B">
        <w:rPr>
          <w:color w:val="111111"/>
          <w:sz w:val="22"/>
          <w:szCs w:val="22"/>
        </w:rPr>
        <w:t xml:space="preserve">Molecules where PBPK already works (Adalimumab, Golimumab, Bevacizumab) → top-down TMDD adds no improvement → proves PBPK sufficiency for linear </w:t>
      </w:r>
      <w:proofErr w:type="spellStart"/>
      <w:r w:rsidRPr="0080054B">
        <w:rPr>
          <w:color w:val="111111"/>
          <w:sz w:val="22"/>
          <w:szCs w:val="22"/>
        </w:rPr>
        <w:t>mAbs</w:t>
      </w:r>
      <w:proofErr w:type="spellEnd"/>
    </w:p>
    <w:p w14:paraId="2EA74645" w14:textId="77777777" w:rsidR="0080054B" w:rsidRPr="0080054B" w:rsidRDefault="0080054B" w:rsidP="0080054B">
      <w:pPr>
        <w:numPr>
          <w:ilvl w:val="0"/>
          <w:numId w:val="2"/>
        </w:numPr>
        <w:spacing w:after="20"/>
        <w:rPr>
          <w:color w:val="111111"/>
          <w:sz w:val="22"/>
          <w:szCs w:val="22"/>
        </w:rPr>
      </w:pPr>
      <w:r w:rsidRPr="0080054B">
        <w:rPr>
          <w:color w:val="111111"/>
          <w:sz w:val="22"/>
          <w:szCs w:val="22"/>
        </w:rPr>
        <w:t xml:space="preserve">Molecules where PBPK fails (Pembrolizumab, Avelumab, Atezolizumab 0.5 mg/kg) → top-down TMDD recovers the prediction → proves TMDD extension is necessary for nonlinear </w:t>
      </w:r>
      <w:proofErr w:type="spellStart"/>
      <w:r w:rsidRPr="0080054B">
        <w:rPr>
          <w:color w:val="111111"/>
          <w:sz w:val="22"/>
          <w:szCs w:val="22"/>
        </w:rPr>
        <w:t>mAbs</w:t>
      </w:r>
      <w:proofErr w:type="spellEnd"/>
    </w:p>
    <w:p w14:paraId="623F7F0F" w14:textId="77777777" w:rsidR="0080054B" w:rsidRP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color w:val="111111"/>
          <w:sz w:val="22"/>
          <w:szCs w:val="22"/>
        </w:rPr>
        <w:t xml:space="preserve">The contrast between those two groups </w:t>
      </w:r>
      <w:r w:rsidRPr="0080054B">
        <w:rPr>
          <w:i/>
          <w:iCs/>
          <w:color w:val="111111"/>
          <w:sz w:val="22"/>
          <w:szCs w:val="22"/>
        </w:rPr>
        <w:t>is</w:t>
      </w:r>
      <w:r w:rsidRPr="0080054B">
        <w:rPr>
          <w:color w:val="111111"/>
          <w:sz w:val="22"/>
          <w:szCs w:val="22"/>
        </w:rPr>
        <w:t xml:space="preserve"> the decision rule in your Figure xx right-side workflow. </w:t>
      </w:r>
      <w:proofErr w:type="gramStart"/>
      <w:r w:rsidRPr="0080054B">
        <w:rPr>
          <w:color w:val="111111"/>
          <w:sz w:val="22"/>
          <w:szCs w:val="22"/>
        </w:rPr>
        <w:t>Without the successes</w:t>
      </w:r>
      <w:proofErr w:type="gramEnd"/>
      <w:r w:rsidRPr="0080054B">
        <w:rPr>
          <w:color w:val="111111"/>
          <w:sz w:val="22"/>
          <w:szCs w:val="22"/>
        </w:rPr>
        <w:t xml:space="preserve"> as a comparator, you cannot claim the framework is complete.</w:t>
      </w:r>
    </w:p>
    <w:p w14:paraId="38FA52EB" w14:textId="77777777" w:rsidR="0080054B" w:rsidRP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color w:val="111111"/>
          <w:sz w:val="22"/>
          <w:szCs w:val="22"/>
        </w:rPr>
        <w:pict w14:anchorId="43D7876C">
          <v:rect id="_x0000_i1031" style="width:0;height:1.5pt" o:hralign="center" o:hrstd="t" o:hr="t" fillcolor="#a0a0a0" stroked="f"/>
        </w:pict>
      </w:r>
    </w:p>
    <w:p w14:paraId="2F0F30F9" w14:textId="77777777" w:rsidR="00F434D5" w:rsidRDefault="00F434D5" w:rsidP="0080054B">
      <w:pPr>
        <w:spacing w:after="20"/>
        <w:rPr>
          <w:b/>
          <w:bCs/>
          <w:color w:val="111111"/>
          <w:sz w:val="22"/>
          <w:szCs w:val="22"/>
        </w:rPr>
      </w:pPr>
    </w:p>
    <w:p w14:paraId="42E23E6B" w14:textId="15A19E7D" w:rsid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b/>
          <w:bCs/>
          <w:color w:val="111111"/>
          <w:sz w:val="22"/>
          <w:szCs w:val="22"/>
        </w:rPr>
        <w:t>Define the top-down TMDD parameterization.</w:t>
      </w:r>
      <w:r w:rsidRPr="0080054B">
        <w:rPr>
          <w:color w:val="111111"/>
          <w:sz w:val="22"/>
          <w:szCs w:val="22"/>
        </w:rPr>
        <w:t xml:space="preserve"> For each molecule, fit or derive TMDD parameters (</w:t>
      </w:r>
      <w:proofErr w:type="spellStart"/>
      <w:r w:rsidRPr="0080054B">
        <w:rPr>
          <w:color w:val="111111"/>
          <w:sz w:val="22"/>
          <w:szCs w:val="22"/>
        </w:rPr>
        <w:t>Kss</w:t>
      </w:r>
      <w:proofErr w:type="spellEnd"/>
      <w:r w:rsidRPr="0080054B">
        <w:rPr>
          <w:color w:val="111111"/>
          <w:sz w:val="22"/>
          <w:szCs w:val="22"/>
        </w:rPr>
        <w:t xml:space="preserve"> = </w:t>
      </w:r>
      <w:proofErr w:type="spellStart"/>
      <w:r w:rsidRPr="0080054B">
        <w:rPr>
          <w:color w:val="111111"/>
          <w:sz w:val="22"/>
          <w:szCs w:val="22"/>
        </w:rPr>
        <w:t>kdeg_target</w:t>
      </w:r>
      <w:proofErr w:type="spellEnd"/>
      <w:r w:rsidRPr="0080054B">
        <w:rPr>
          <w:color w:val="111111"/>
          <w:sz w:val="22"/>
          <w:szCs w:val="22"/>
        </w:rPr>
        <w:t xml:space="preserve"> × KD / (</w:t>
      </w:r>
      <w:proofErr w:type="spellStart"/>
      <w:r w:rsidRPr="0080054B">
        <w:rPr>
          <w:color w:val="111111"/>
          <w:sz w:val="22"/>
          <w:szCs w:val="22"/>
        </w:rPr>
        <w:t>kon</w:t>
      </w:r>
      <w:proofErr w:type="spellEnd"/>
      <w:r w:rsidRPr="0080054B">
        <w:rPr>
          <w:color w:val="111111"/>
          <w:sz w:val="22"/>
          <w:szCs w:val="22"/>
        </w:rPr>
        <w:t xml:space="preserve"> × </w:t>
      </w:r>
      <w:proofErr w:type="spellStart"/>
      <w:r w:rsidRPr="0080054B">
        <w:rPr>
          <w:color w:val="111111"/>
          <w:sz w:val="22"/>
          <w:szCs w:val="22"/>
        </w:rPr>
        <w:t>Rtot</w:t>
      </w:r>
      <w:proofErr w:type="spellEnd"/>
      <w:r w:rsidRPr="0080054B">
        <w:rPr>
          <w:color w:val="111111"/>
          <w:sz w:val="22"/>
          <w:szCs w:val="22"/>
        </w:rPr>
        <w:t xml:space="preserve">) from QSS approximation) using the monkey PK data. The key parameters to derive top-down are </w:t>
      </w:r>
      <w:proofErr w:type="spellStart"/>
      <w:r w:rsidRPr="0080054B">
        <w:rPr>
          <w:color w:val="111111"/>
          <w:sz w:val="22"/>
          <w:szCs w:val="22"/>
        </w:rPr>
        <w:t>Kss</w:t>
      </w:r>
      <w:proofErr w:type="spellEnd"/>
      <w:r w:rsidRPr="0080054B">
        <w:rPr>
          <w:color w:val="111111"/>
          <w:sz w:val="22"/>
          <w:szCs w:val="22"/>
        </w:rPr>
        <w:t xml:space="preserve"> and </w:t>
      </w:r>
      <w:proofErr w:type="spellStart"/>
      <w:r w:rsidRPr="0080054B">
        <w:rPr>
          <w:color w:val="111111"/>
          <w:sz w:val="22"/>
          <w:szCs w:val="22"/>
        </w:rPr>
        <w:t>Rtot</w:t>
      </w:r>
      <w:proofErr w:type="spellEnd"/>
      <w:r w:rsidRPr="0080054B">
        <w:rPr>
          <w:color w:val="111111"/>
          <w:sz w:val="22"/>
          <w:szCs w:val="22"/>
        </w:rPr>
        <w:t xml:space="preserve"> in monkey — everything else carries over from the a priori model. This is the one step that requires monkey data, which is the methodological distinction between the two approaches.</w:t>
      </w:r>
    </w:p>
    <w:p w14:paraId="4E9E63F7" w14:textId="77777777" w:rsidR="00F434D5" w:rsidRPr="0080054B" w:rsidRDefault="00F434D5" w:rsidP="0080054B">
      <w:pPr>
        <w:spacing w:after="20"/>
        <w:rPr>
          <w:color w:val="111111"/>
          <w:sz w:val="22"/>
          <w:szCs w:val="22"/>
        </w:rPr>
      </w:pPr>
    </w:p>
    <w:p w14:paraId="7C81754B" w14:textId="2D6DDA91" w:rsidR="0080054B" w:rsidRP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b/>
          <w:bCs/>
          <w:color w:val="111111"/>
          <w:sz w:val="22"/>
          <w:szCs w:val="22"/>
        </w:rPr>
        <w:t>Scale top-down TMDD parameters from monkey to human.</w:t>
      </w:r>
      <w:r w:rsidRPr="0080054B">
        <w:rPr>
          <w:color w:val="111111"/>
          <w:sz w:val="22"/>
          <w:szCs w:val="22"/>
        </w:rPr>
        <w:t xml:space="preserve"> </w:t>
      </w:r>
      <w:proofErr w:type="spellStart"/>
      <w:r w:rsidRPr="0080054B">
        <w:rPr>
          <w:color w:val="111111"/>
          <w:sz w:val="22"/>
          <w:szCs w:val="22"/>
        </w:rPr>
        <w:t>Rtot</w:t>
      </w:r>
      <w:proofErr w:type="spellEnd"/>
      <w:r w:rsidRPr="0080054B">
        <w:rPr>
          <w:color w:val="111111"/>
          <w:sz w:val="22"/>
          <w:szCs w:val="22"/>
        </w:rPr>
        <w:t xml:space="preserve"> scales via target expression levels in human tissue (from PK-Sim expression database or literature). </w:t>
      </w:r>
      <w:proofErr w:type="spellStart"/>
      <w:r w:rsidRPr="0080054B">
        <w:rPr>
          <w:color w:val="111111"/>
          <w:sz w:val="22"/>
          <w:szCs w:val="22"/>
        </w:rPr>
        <w:t>Kss</w:t>
      </w:r>
      <w:proofErr w:type="spellEnd"/>
      <w:r w:rsidRPr="0080054B">
        <w:rPr>
          <w:color w:val="111111"/>
          <w:sz w:val="22"/>
          <w:szCs w:val="22"/>
        </w:rPr>
        <w:t xml:space="preserve"> is typically species-invariant if KD is measured in vitro; adjust only if </w:t>
      </w:r>
      <w:proofErr w:type="spellStart"/>
      <w:r w:rsidRPr="0080054B">
        <w:rPr>
          <w:color w:val="111111"/>
          <w:sz w:val="22"/>
          <w:szCs w:val="22"/>
        </w:rPr>
        <w:t>kdeg_target</w:t>
      </w:r>
      <w:proofErr w:type="spellEnd"/>
      <w:r w:rsidRPr="0080054B">
        <w:rPr>
          <w:color w:val="111111"/>
          <w:sz w:val="22"/>
          <w:szCs w:val="22"/>
        </w:rPr>
        <w:t xml:space="preserve"> differs between species. Run human predictions with these fitted-then-</w:t>
      </w:r>
      <w:proofErr w:type="gramStart"/>
      <w:r w:rsidRPr="0080054B">
        <w:rPr>
          <w:color w:val="111111"/>
          <w:sz w:val="22"/>
          <w:szCs w:val="22"/>
        </w:rPr>
        <w:t>scaled</w:t>
      </w:r>
      <w:proofErr w:type="gramEnd"/>
      <w:r w:rsidRPr="0080054B">
        <w:rPr>
          <w:color w:val="111111"/>
          <w:sz w:val="22"/>
          <w:szCs w:val="22"/>
        </w:rPr>
        <w:t xml:space="preserve"> TMDD parameters. This is Approach B.</w:t>
      </w:r>
    </w:p>
    <w:p w14:paraId="1431E137" w14:textId="77777777" w:rsidR="00F434D5" w:rsidRDefault="00F434D5" w:rsidP="0080054B">
      <w:pPr>
        <w:spacing w:after="20"/>
        <w:rPr>
          <w:b/>
          <w:bCs/>
          <w:color w:val="111111"/>
          <w:sz w:val="22"/>
          <w:szCs w:val="22"/>
        </w:rPr>
      </w:pPr>
    </w:p>
    <w:p w14:paraId="0D7DCA11" w14:textId="596BB5FF" w:rsidR="0080054B" w:rsidRP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b/>
          <w:bCs/>
          <w:color w:val="111111"/>
          <w:sz w:val="22"/>
          <w:szCs w:val="22"/>
        </w:rPr>
        <w:t>Compute FE for both approaches.</w:t>
      </w:r>
      <w:r w:rsidRPr="0080054B">
        <w:rPr>
          <w:color w:val="111111"/>
          <w:sz w:val="22"/>
          <w:szCs w:val="22"/>
        </w:rPr>
        <w:t xml:space="preserve"> Same metrics as your monkey table — </w:t>
      </w:r>
      <w:proofErr w:type="spellStart"/>
      <w:r w:rsidRPr="0080054B">
        <w:rPr>
          <w:color w:val="111111"/>
          <w:sz w:val="22"/>
          <w:szCs w:val="22"/>
        </w:rPr>
        <w:t>FE_Cmax</w:t>
      </w:r>
      <w:proofErr w:type="spellEnd"/>
      <w:r w:rsidRPr="0080054B">
        <w:rPr>
          <w:color w:val="111111"/>
          <w:sz w:val="22"/>
          <w:szCs w:val="22"/>
        </w:rPr>
        <w:t xml:space="preserve"> and FE_AUC (Predicted/Observed), 2-fold criterion, same color-coded </w:t>
      </w:r>
      <w:proofErr w:type="spellStart"/>
      <w:r w:rsidRPr="0080054B">
        <w:rPr>
          <w:color w:val="111111"/>
          <w:sz w:val="22"/>
          <w:szCs w:val="22"/>
        </w:rPr>
        <w:t>kable</w:t>
      </w:r>
      <w:proofErr w:type="spellEnd"/>
      <w:r w:rsidRPr="0080054B">
        <w:rPr>
          <w:color w:val="111111"/>
          <w:sz w:val="22"/>
          <w:szCs w:val="22"/>
        </w:rPr>
        <w:t xml:space="preserve"> table. One table for Approach A, one for Approach B, or a combined comparison table with both FEs side by side per molecule.</w:t>
      </w:r>
    </w:p>
    <w:p w14:paraId="3AF56D91" w14:textId="77777777" w:rsidR="00F434D5" w:rsidRDefault="00F434D5" w:rsidP="0080054B">
      <w:pPr>
        <w:spacing w:after="20"/>
        <w:rPr>
          <w:b/>
          <w:bCs/>
          <w:color w:val="111111"/>
          <w:sz w:val="22"/>
          <w:szCs w:val="22"/>
        </w:rPr>
      </w:pPr>
    </w:p>
    <w:p w14:paraId="2DBD9F8E" w14:textId="1A61F4B4" w:rsidR="0080054B" w:rsidRP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b/>
          <w:bCs/>
          <w:color w:val="111111"/>
          <w:sz w:val="22"/>
          <w:szCs w:val="22"/>
        </w:rPr>
        <w:t>Classify outcomes into a 2×2 decision matrix.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4396"/>
        <w:gridCol w:w="3477"/>
      </w:tblGrid>
      <w:tr w:rsidR="0080054B" w:rsidRPr="0080054B" w14:paraId="3AF7E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ED8F6" w14:textId="77777777" w:rsidR="0080054B" w:rsidRPr="0080054B" w:rsidRDefault="0080054B" w:rsidP="0080054B">
            <w:pPr>
              <w:spacing w:after="20"/>
              <w:rPr>
                <w:color w:val="111111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EF62F0F" w14:textId="77777777" w:rsidR="0080054B" w:rsidRPr="0080054B" w:rsidRDefault="0080054B" w:rsidP="0080054B">
            <w:pPr>
              <w:spacing w:after="20"/>
              <w:rPr>
                <w:b/>
                <w:bCs/>
                <w:color w:val="111111"/>
                <w:sz w:val="22"/>
                <w:szCs w:val="22"/>
              </w:rPr>
            </w:pPr>
            <w:r w:rsidRPr="0080054B">
              <w:rPr>
                <w:b/>
                <w:bCs/>
                <w:color w:val="111111"/>
                <w:sz w:val="22"/>
                <w:szCs w:val="22"/>
              </w:rPr>
              <w:t>PBPK within 2-fold (human)</w:t>
            </w:r>
          </w:p>
        </w:tc>
        <w:tc>
          <w:tcPr>
            <w:tcW w:w="0" w:type="auto"/>
            <w:vAlign w:val="center"/>
            <w:hideMark/>
          </w:tcPr>
          <w:p w14:paraId="15781630" w14:textId="77777777" w:rsidR="0080054B" w:rsidRPr="0080054B" w:rsidRDefault="0080054B" w:rsidP="0080054B">
            <w:pPr>
              <w:spacing w:after="20"/>
              <w:rPr>
                <w:b/>
                <w:bCs/>
                <w:color w:val="111111"/>
                <w:sz w:val="22"/>
                <w:szCs w:val="22"/>
              </w:rPr>
            </w:pPr>
            <w:r w:rsidRPr="0080054B">
              <w:rPr>
                <w:b/>
                <w:bCs/>
                <w:color w:val="111111"/>
                <w:sz w:val="22"/>
                <w:szCs w:val="22"/>
              </w:rPr>
              <w:t>PBPK outside 2-fold (human)</w:t>
            </w:r>
          </w:p>
        </w:tc>
      </w:tr>
      <w:tr w:rsidR="0080054B" w:rsidRPr="0080054B" w14:paraId="74983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EF3B" w14:textId="77777777" w:rsidR="0080054B" w:rsidRPr="0080054B" w:rsidRDefault="0080054B" w:rsidP="0080054B">
            <w:pPr>
              <w:spacing w:after="20"/>
              <w:rPr>
                <w:color w:val="111111"/>
                <w:sz w:val="22"/>
                <w:szCs w:val="22"/>
              </w:rPr>
            </w:pPr>
            <w:r w:rsidRPr="0080054B">
              <w:rPr>
                <w:b/>
                <w:bCs/>
                <w:color w:val="111111"/>
                <w:sz w:val="22"/>
                <w:szCs w:val="22"/>
              </w:rPr>
              <w:t>PBPK within 2-fold (monkey)</w:t>
            </w:r>
          </w:p>
        </w:tc>
        <w:tc>
          <w:tcPr>
            <w:tcW w:w="0" w:type="auto"/>
            <w:vAlign w:val="center"/>
            <w:hideMark/>
          </w:tcPr>
          <w:p w14:paraId="502D7D3B" w14:textId="77777777" w:rsidR="0080054B" w:rsidRPr="0080054B" w:rsidRDefault="0080054B" w:rsidP="0080054B">
            <w:pPr>
              <w:spacing w:after="20"/>
              <w:rPr>
                <w:color w:val="111111"/>
                <w:sz w:val="22"/>
                <w:szCs w:val="22"/>
              </w:rPr>
            </w:pPr>
            <w:r w:rsidRPr="0080054B">
              <w:rPr>
                <w:color w:val="111111"/>
                <w:sz w:val="22"/>
                <w:szCs w:val="22"/>
              </w:rPr>
              <w:t>PBPK sufficient — expected group</w:t>
            </w:r>
          </w:p>
        </w:tc>
        <w:tc>
          <w:tcPr>
            <w:tcW w:w="0" w:type="auto"/>
            <w:vAlign w:val="center"/>
            <w:hideMark/>
          </w:tcPr>
          <w:p w14:paraId="7C2A0F41" w14:textId="77777777" w:rsidR="0080054B" w:rsidRPr="0080054B" w:rsidRDefault="0080054B" w:rsidP="0080054B">
            <w:pPr>
              <w:spacing w:after="20"/>
              <w:rPr>
                <w:color w:val="111111"/>
                <w:sz w:val="22"/>
                <w:szCs w:val="22"/>
              </w:rPr>
            </w:pPr>
            <w:r w:rsidRPr="0080054B">
              <w:rPr>
                <w:color w:val="111111"/>
                <w:sz w:val="22"/>
                <w:szCs w:val="22"/>
              </w:rPr>
              <w:t>Unexpected — flag for investigation</w:t>
            </w:r>
          </w:p>
        </w:tc>
      </w:tr>
      <w:tr w:rsidR="0080054B" w:rsidRPr="0080054B" w14:paraId="3C0FF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0DFC" w14:textId="77777777" w:rsidR="0080054B" w:rsidRPr="0080054B" w:rsidRDefault="0080054B" w:rsidP="0080054B">
            <w:pPr>
              <w:spacing w:after="20"/>
              <w:rPr>
                <w:color w:val="111111"/>
                <w:sz w:val="22"/>
                <w:szCs w:val="22"/>
              </w:rPr>
            </w:pPr>
            <w:r w:rsidRPr="0080054B">
              <w:rPr>
                <w:b/>
                <w:bCs/>
                <w:color w:val="111111"/>
                <w:sz w:val="22"/>
                <w:szCs w:val="22"/>
              </w:rPr>
              <w:t>PBPK outside 2-fold (monkey)</w:t>
            </w:r>
          </w:p>
        </w:tc>
        <w:tc>
          <w:tcPr>
            <w:tcW w:w="0" w:type="auto"/>
            <w:vAlign w:val="center"/>
            <w:hideMark/>
          </w:tcPr>
          <w:p w14:paraId="3269411B" w14:textId="77777777" w:rsidR="0080054B" w:rsidRPr="0080054B" w:rsidRDefault="0080054B" w:rsidP="0080054B">
            <w:pPr>
              <w:spacing w:after="20"/>
              <w:rPr>
                <w:color w:val="111111"/>
                <w:sz w:val="22"/>
                <w:szCs w:val="22"/>
              </w:rPr>
            </w:pPr>
            <w:r w:rsidRPr="0080054B">
              <w:rPr>
                <w:color w:val="111111"/>
                <w:sz w:val="22"/>
                <w:szCs w:val="22"/>
              </w:rPr>
              <w:t>TMDD corrects monkey but not needed for human</w:t>
            </w:r>
          </w:p>
        </w:tc>
        <w:tc>
          <w:tcPr>
            <w:tcW w:w="0" w:type="auto"/>
            <w:vAlign w:val="center"/>
            <w:hideMark/>
          </w:tcPr>
          <w:p w14:paraId="0AF38A5E" w14:textId="77777777" w:rsidR="0080054B" w:rsidRPr="0080054B" w:rsidRDefault="0080054B" w:rsidP="0080054B">
            <w:pPr>
              <w:spacing w:after="20"/>
              <w:rPr>
                <w:color w:val="111111"/>
                <w:sz w:val="22"/>
                <w:szCs w:val="22"/>
              </w:rPr>
            </w:pPr>
            <w:r w:rsidRPr="0080054B">
              <w:rPr>
                <w:color w:val="111111"/>
                <w:sz w:val="22"/>
                <w:szCs w:val="22"/>
              </w:rPr>
              <w:t>TMDD needed — primary target group</w:t>
            </w:r>
          </w:p>
        </w:tc>
      </w:tr>
    </w:tbl>
    <w:p w14:paraId="4CA949F3" w14:textId="77777777" w:rsidR="0080054B" w:rsidRP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color w:val="111111"/>
          <w:sz w:val="22"/>
          <w:szCs w:val="22"/>
        </w:rPr>
        <w:t>This matrix becomes the basis for the decision tree in Figure xx.</w:t>
      </w:r>
    </w:p>
    <w:p w14:paraId="1586BDBB" w14:textId="77777777" w:rsidR="0080054B" w:rsidRPr="0080054B" w:rsidRDefault="0080054B" w:rsidP="0080054B">
      <w:pPr>
        <w:spacing w:after="20"/>
        <w:rPr>
          <w:color w:val="111111"/>
          <w:sz w:val="22"/>
          <w:szCs w:val="22"/>
        </w:rPr>
      </w:pPr>
      <w:r w:rsidRPr="0080054B">
        <w:rPr>
          <w:b/>
          <w:bCs/>
          <w:color w:val="111111"/>
          <w:sz w:val="22"/>
          <w:szCs w:val="22"/>
        </w:rPr>
        <w:t>Step 7: Correlate monkey failure with human improvement.</w:t>
      </w:r>
      <w:r w:rsidRPr="0080054B">
        <w:rPr>
          <w:color w:val="111111"/>
          <w:sz w:val="22"/>
          <w:szCs w:val="22"/>
        </w:rPr>
        <w:t xml:space="preserve"> For the molecules that failed monkey AUC FE, quantify how much the top-down approach improves human FE. A simple scatter plot of ΔFUE_AUC (monkey, Approach A) vs. ΔFUE_AUC (human, Approach A→B) makes the translational argument visual and compelling for the manuscript.</w:t>
      </w:r>
    </w:p>
    <w:p w14:paraId="08DFF011" w14:textId="77777777" w:rsidR="0080054B" w:rsidRPr="00FA478F" w:rsidRDefault="0080054B" w:rsidP="00FA478F">
      <w:pPr>
        <w:spacing w:after="20"/>
        <w:rPr>
          <w:color w:val="111111"/>
          <w:sz w:val="22"/>
          <w:szCs w:val="22"/>
        </w:rPr>
      </w:pPr>
    </w:p>
    <w:p w14:paraId="144FDD7C" w14:textId="77777777" w:rsidR="00FA478F" w:rsidRDefault="00FA478F" w:rsidP="00FA478F">
      <w:pPr>
        <w:spacing w:after="20"/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328"/>
        <w:gridCol w:w="1572"/>
        <w:gridCol w:w="6549"/>
        <w:gridCol w:w="2351"/>
      </w:tblGrid>
      <w:tr w:rsidR="00FA6030" w:rsidRPr="00FA478F" w14:paraId="16172773" w14:textId="77777777" w:rsidTr="00FA478F">
        <w:trPr>
          <w:trHeight w:val="1767"/>
        </w:trPr>
        <w:tc>
          <w:tcPr>
            <w:tcW w:w="328" w:type="dxa"/>
          </w:tcPr>
          <w:p w14:paraId="1B66811F" w14:textId="01A79D4A" w:rsidR="00FA6030" w:rsidRPr="00FA478F" w:rsidRDefault="00427B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2" w:type="dxa"/>
          </w:tcPr>
          <w:p w14:paraId="46743271" w14:textId="77777777" w:rsidR="00FA6030" w:rsidRPr="00FA478F" w:rsidRDefault="00000000">
            <w:pPr>
              <w:rPr>
                <w:sz w:val="20"/>
                <w:szCs w:val="20"/>
              </w:rPr>
            </w:pPr>
            <w:r w:rsidRPr="00FA478F">
              <w:rPr>
                <w:sz w:val="20"/>
                <w:szCs w:val="20"/>
              </w:rPr>
              <w:t>PBPK→Power Bridge</w:t>
            </w:r>
          </w:p>
        </w:tc>
        <w:tc>
          <w:tcPr>
            <w:tcW w:w="6549" w:type="dxa"/>
          </w:tcPr>
          <w:p w14:paraId="72BFEB05" w14:textId="1603B3CB" w:rsidR="00FA6030" w:rsidRPr="00FA478F" w:rsidRDefault="00000000">
            <w:pPr>
              <w:rPr>
                <w:sz w:val="20"/>
                <w:szCs w:val="20"/>
              </w:rPr>
            </w:pPr>
            <w:r w:rsidRPr="00FA478F">
              <w:rPr>
                <w:sz w:val="20"/>
                <w:szCs w:val="20"/>
              </w:rPr>
              <w:t>Extract individual-level AUC/</w:t>
            </w:r>
            <w:proofErr w:type="spellStart"/>
            <w:r w:rsidRPr="00FA478F">
              <w:rPr>
                <w:sz w:val="20"/>
                <w:szCs w:val="20"/>
              </w:rPr>
              <w:t>Cmax</w:t>
            </w:r>
            <w:proofErr w:type="spellEnd"/>
            <w:r w:rsidRPr="00FA478F">
              <w:rPr>
                <w:sz w:val="20"/>
                <w:szCs w:val="20"/>
              </w:rPr>
              <w:t xml:space="preserve"> from PBPK virtual populations (n = 1,000/species). </w:t>
            </w:r>
            <w:r w:rsidRPr="006A1FE1">
              <w:rPr>
                <w:sz w:val="20"/>
                <w:szCs w:val="20"/>
              </w:rPr>
              <w:t xml:space="preserve">Replace generic </w:t>
            </w:r>
            <w:proofErr w:type="gramStart"/>
            <w:r w:rsidRPr="006A1FE1">
              <w:rPr>
                <w:sz w:val="20"/>
                <w:szCs w:val="20"/>
              </w:rPr>
              <w:t>log</w:t>
            </w:r>
            <w:proofErr w:type="gramEnd"/>
            <w:r w:rsidRPr="006A1FE1">
              <w:rPr>
                <w:sz w:val="20"/>
                <w:szCs w:val="20"/>
              </w:rPr>
              <w:t xml:space="preserve">-normal CL assumptions in the Jones 2019 </w:t>
            </w:r>
            <w:r w:rsidRPr="006A1FE1">
              <w:rPr>
                <w:i/>
                <w:iCs/>
                <w:sz w:val="20"/>
                <w:szCs w:val="20"/>
              </w:rPr>
              <w:t>power_sim</w:t>
            </w:r>
            <w:r w:rsidRPr="006A1FE1">
              <w:rPr>
                <w:sz w:val="20"/>
                <w:szCs w:val="20"/>
              </w:rPr>
              <w:t xml:space="preserve"> function with molecule-specific PBPK-derived </w:t>
            </w:r>
            <w:r w:rsidR="006A1FE1" w:rsidRPr="006A1FE1">
              <w:rPr>
                <w:sz w:val="20"/>
                <w:szCs w:val="20"/>
              </w:rPr>
              <w:t xml:space="preserve">AUC </w:t>
            </w:r>
            <w:r w:rsidRPr="006A1FE1">
              <w:rPr>
                <w:sz w:val="20"/>
                <w:szCs w:val="20"/>
              </w:rPr>
              <w:t xml:space="preserve">distributions. Generate PBPK-informed power curves for n = 3–15 animals/group for all 8 </w:t>
            </w:r>
            <w:proofErr w:type="spellStart"/>
            <w:r w:rsidRPr="006A1FE1">
              <w:rPr>
                <w:sz w:val="20"/>
                <w:szCs w:val="20"/>
              </w:rPr>
              <w:t>mAbs</w:t>
            </w:r>
            <w:proofErr w:type="spellEnd"/>
            <w:r w:rsidRPr="006A1FE1">
              <w:rPr>
                <w:sz w:val="20"/>
                <w:szCs w:val="20"/>
              </w:rPr>
              <w:t>. Benchmark against traditional sample sizes (n = 5–6) to quantify the power gain per animal.</w:t>
            </w:r>
          </w:p>
        </w:tc>
        <w:tc>
          <w:tcPr>
            <w:tcW w:w="2351" w:type="dxa"/>
          </w:tcPr>
          <w:p w14:paraId="47A81414" w14:textId="77777777" w:rsidR="00FA6030" w:rsidRPr="00FA478F" w:rsidRDefault="00000000">
            <w:pPr>
              <w:rPr>
                <w:sz w:val="20"/>
                <w:szCs w:val="20"/>
              </w:rPr>
            </w:pPr>
            <w:r w:rsidRPr="00FA478F">
              <w:rPr>
                <w:i/>
                <w:iCs/>
                <w:sz w:val="20"/>
                <w:szCs w:val="20"/>
              </w:rPr>
              <w:t xml:space="preserve">PBPK-informed power curves; minimum n table per </w:t>
            </w:r>
            <w:proofErr w:type="spellStart"/>
            <w:r w:rsidRPr="00FA478F">
              <w:rPr>
                <w:i/>
                <w:iCs/>
                <w:sz w:val="20"/>
                <w:szCs w:val="20"/>
              </w:rPr>
              <w:t>mAb</w:t>
            </w:r>
            <w:proofErr w:type="spellEnd"/>
            <w:r w:rsidRPr="00FA478F">
              <w:rPr>
                <w:i/>
                <w:iCs/>
                <w:sz w:val="20"/>
                <w:szCs w:val="20"/>
              </w:rPr>
              <w:t xml:space="preserve"> vs. species</w:t>
            </w:r>
          </w:p>
        </w:tc>
      </w:tr>
      <w:tr w:rsidR="00FA6030" w:rsidRPr="00FA478F" w14:paraId="7B311128" w14:textId="77777777" w:rsidTr="00FA478F">
        <w:trPr>
          <w:trHeight w:val="1587"/>
        </w:trPr>
        <w:tc>
          <w:tcPr>
            <w:tcW w:w="328" w:type="dxa"/>
          </w:tcPr>
          <w:p w14:paraId="747E38FA" w14:textId="296C4007" w:rsidR="00FA6030" w:rsidRPr="00FA478F" w:rsidRDefault="00427B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72" w:type="dxa"/>
          </w:tcPr>
          <w:p w14:paraId="295CBD7E" w14:textId="77777777" w:rsidR="00FA6030" w:rsidRPr="00FA478F" w:rsidRDefault="00000000">
            <w:pPr>
              <w:rPr>
                <w:sz w:val="20"/>
                <w:szCs w:val="20"/>
              </w:rPr>
            </w:pPr>
            <w:r w:rsidRPr="00FA478F">
              <w:rPr>
                <w:sz w:val="20"/>
                <w:szCs w:val="20"/>
              </w:rPr>
              <w:t>Dose Selection</w:t>
            </w:r>
          </w:p>
        </w:tc>
        <w:tc>
          <w:tcPr>
            <w:tcW w:w="6549" w:type="dxa"/>
          </w:tcPr>
          <w:p w14:paraId="0DD7BCA7" w14:textId="77777777" w:rsidR="00FA6030" w:rsidRDefault="00380AAF">
            <w:pPr>
              <w:rPr>
                <w:sz w:val="20"/>
                <w:szCs w:val="20"/>
              </w:rPr>
            </w:pPr>
            <w:r w:rsidRPr="00380AAF">
              <w:rPr>
                <w:sz w:val="20"/>
                <w:szCs w:val="20"/>
              </w:rPr>
              <w:t xml:space="preserve">Using PBPK-derived AUC distributions (no E-R model or therapeutic margins required), compare statistical power of 2- vs. 3-dose-group designs via Z-test on the log-AUC ratio—already implemented in the sparse-sampling evaluator. Evaluate under (A) fixed n/group (total animal cost differs) and (B) fixed total animals (fairest comparison). For </w:t>
            </w:r>
            <w:proofErr w:type="spellStart"/>
            <w:r w:rsidRPr="00380AAF">
              <w:rPr>
                <w:sz w:val="20"/>
                <w:szCs w:val="20"/>
              </w:rPr>
              <w:t>mAbs</w:t>
            </w:r>
            <w:proofErr w:type="spellEnd"/>
            <w:r w:rsidRPr="00380AAF">
              <w:rPr>
                <w:sz w:val="20"/>
                <w:szCs w:val="20"/>
              </w:rPr>
              <w:t xml:space="preserve"> with TMDD (Pembrolizumab, Atezolizumab), AUC ratios between doses are nonlinear, making dose-pair selection critical and justifiable only through PBPK simulation.</w:t>
            </w:r>
          </w:p>
          <w:p w14:paraId="65DE4930" w14:textId="706F52E1" w:rsidR="00380AAF" w:rsidRPr="00FA478F" w:rsidRDefault="00380AAF">
            <w:pPr>
              <w:rPr>
                <w:sz w:val="20"/>
                <w:szCs w:val="20"/>
              </w:rPr>
            </w:pPr>
          </w:p>
        </w:tc>
        <w:tc>
          <w:tcPr>
            <w:tcW w:w="2351" w:type="dxa"/>
          </w:tcPr>
          <w:p w14:paraId="1BAA9C0B" w14:textId="77777777" w:rsidR="00FA6030" w:rsidRPr="00FA478F" w:rsidRDefault="00000000">
            <w:pPr>
              <w:rPr>
                <w:sz w:val="20"/>
                <w:szCs w:val="20"/>
              </w:rPr>
            </w:pPr>
            <w:r w:rsidRPr="00FA478F">
              <w:rPr>
                <w:i/>
                <w:iCs/>
                <w:sz w:val="20"/>
                <w:szCs w:val="20"/>
              </w:rPr>
              <w:t xml:space="preserve">Optimal 2-dose designs per </w:t>
            </w:r>
            <w:proofErr w:type="spellStart"/>
            <w:r w:rsidRPr="00FA478F">
              <w:rPr>
                <w:i/>
                <w:iCs/>
                <w:sz w:val="20"/>
                <w:szCs w:val="20"/>
              </w:rPr>
              <w:t>mAb</w:t>
            </w:r>
            <w:proofErr w:type="spellEnd"/>
            <w:r w:rsidRPr="00FA478F">
              <w:rPr>
                <w:i/>
                <w:iCs/>
                <w:sz w:val="20"/>
                <w:szCs w:val="20"/>
              </w:rPr>
              <w:t>; power vs. dose-group reduction curves</w:t>
            </w:r>
          </w:p>
        </w:tc>
      </w:tr>
      <w:tr w:rsidR="00FA6030" w:rsidRPr="00FA478F" w14:paraId="4218C8B9" w14:textId="77777777" w:rsidTr="006A1FE1">
        <w:trPr>
          <w:trHeight w:val="1520"/>
        </w:trPr>
        <w:tc>
          <w:tcPr>
            <w:tcW w:w="328" w:type="dxa"/>
          </w:tcPr>
          <w:p w14:paraId="59D2A7E5" w14:textId="2E107BCB" w:rsidR="00FA6030" w:rsidRPr="00FA478F" w:rsidRDefault="00427B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72" w:type="dxa"/>
          </w:tcPr>
          <w:p w14:paraId="017FDD3A" w14:textId="77777777" w:rsidR="00FA6030" w:rsidRPr="00FA478F" w:rsidRDefault="00000000">
            <w:pPr>
              <w:rPr>
                <w:sz w:val="20"/>
                <w:szCs w:val="20"/>
              </w:rPr>
            </w:pPr>
            <w:r w:rsidRPr="00FA478F">
              <w:rPr>
                <w:sz w:val="20"/>
                <w:szCs w:val="20"/>
              </w:rPr>
              <w:t>3Rs Quantification</w:t>
            </w:r>
          </w:p>
        </w:tc>
        <w:tc>
          <w:tcPr>
            <w:tcW w:w="6549" w:type="dxa"/>
          </w:tcPr>
          <w:p w14:paraId="2156B62A" w14:textId="77900E12" w:rsidR="00FA6030" w:rsidRPr="00FA478F" w:rsidRDefault="00996C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FA478F">
              <w:rPr>
                <w:sz w:val="20"/>
                <w:szCs w:val="20"/>
              </w:rPr>
              <w:t>000-iteration Monte Carlo comparing: (A) Traditional design [5 animals × 3 doses × 2 species = 30 animals] vs. (B) PBPK-optimized [3 animals × 2 doses × 1 species = 6 animals]. Report % animal reduction (with 95% CI), study duration, and direct cost savings.</w:t>
            </w:r>
          </w:p>
        </w:tc>
        <w:tc>
          <w:tcPr>
            <w:tcW w:w="2351" w:type="dxa"/>
          </w:tcPr>
          <w:p w14:paraId="169736AA" w14:textId="77777777" w:rsidR="00FA6030" w:rsidRPr="00FA478F" w:rsidRDefault="00000000">
            <w:pPr>
              <w:rPr>
                <w:sz w:val="20"/>
                <w:szCs w:val="20"/>
              </w:rPr>
            </w:pPr>
            <w:r w:rsidRPr="00FA478F">
              <w:rPr>
                <w:i/>
                <w:iCs/>
                <w:sz w:val="20"/>
                <w:szCs w:val="20"/>
              </w:rPr>
              <w:t>Animal reduction report: ≥60% reduction (95% CI); cost &amp; timeline model</w:t>
            </w:r>
          </w:p>
        </w:tc>
      </w:tr>
    </w:tbl>
    <w:p w14:paraId="7BCEC49C" w14:textId="25B8A46A" w:rsidR="00FA6030" w:rsidRDefault="00FA6030" w:rsidP="006A1FE1">
      <w:pPr>
        <w:spacing w:before="80" w:after="50"/>
      </w:pPr>
    </w:p>
    <w:sectPr w:rsidR="00FA603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B3873"/>
    <w:multiLevelType w:val="hybridMultilevel"/>
    <w:tmpl w:val="9EB4CBBE"/>
    <w:lvl w:ilvl="0" w:tplc="CC90670E">
      <w:start w:val="1"/>
      <w:numFmt w:val="bullet"/>
      <w:lvlText w:val="●"/>
      <w:lvlJc w:val="left"/>
      <w:pPr>
        <w:ind w:left="720" w:hanging="360"/>
      </w:pPr>
    </w:lvl>
    <w:lvl w:ilvl="1" w:tplc="07DE48FE">
      <w:start w:val="1"/>
      <w:numFmt w:val="bullet"/>
      <w:lvlText w:val="○"/>
      <w:lvlJc w:val="left"/>
      <w:pPr>
        <w:ind w:left="1440" w:hanging="360"/>
      </w:pPr>
    </w:lvl>
    <w:lvl w:ilvl="2" w:tplc="8D5800D8">
      <w:start w:val="1"/>
      <w:numFmt w:val="bullet"/>
      <w:lvlText w:val="■"/>
      <w:lvlJc w:val="left"/>
      <w:pPr>
        <w:ind w:left="2160" w:hanging="360"/>
      </w:pPr>
    </w:lvl>
    <w:lvl w:ilvl="3" w:tplc="A35EDF32">
      <w:start w:val="1"/>
      <w:numFmt w:val="bullet"/>
      <w:lvlText w:val="●"/>
      <w:lvlJc w:val="left"/>
      <w:pPr>
        <w:ind w:left="2880" w:hanging="360"/>
      </w:pPr>
    </w:lvl>
    <w:lvl w:ilvl="4" w:tplc="FB1AB562">
      <w:start w:val="1"/>
      <w:numFmt w:val="bullet"/>
      <w:lvlText w:val="○"/>
      <w:lvlJc w:val="left"/>
      <w:pPr>
        <w:ind w:left="3600" w:hanging="360"/>
      </w:pPr>
    </w:lvl>
    <w:lvl w:ilvl="5" w:tplc="1186AF56">
      <w:start w:val="1"/>
      <w:numFmt w:val="bullet"/>
      <w:lvlText w:val="■"/>
      <w:lvlJc w:val="left"/>
      <w:pPr>
        <w:ind w:left="4320" w:hanging="360"/>
      </w:pPr>
    </w:lvl>
    <w:lvl w:ilvl="6" w:tplc="EBF2393E">
      <w:start w:val="1"/>
      <w:numFmt w:val="bullet"/>
      <w:lvlText w:val="●"/>
      <w:lvlJc w:val="left"/>
      <w:pPr>
        <w:ind w:left="5040" w:hanging="360"/>
      </w:pPr>
    </w:lvl>
    <w:lvl w:ilvl="7" w:tplc="7862E93C">
      <w:start w:val="1"/>
      <w:numFmt w:val="bullet"/>
      <w:lvlText w:val="●"/>
      <w:lvlJc w:val="left"/>
      <w:pPr>
        <w:ind w:left="5760" w:hanging="360"/>
      </w:pPr>
    </w:lvl>
    <w:lvl w:ilvl="8" w:tplc="2A8457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5A66FD"/>
    <w:multiLevelType w:val="multilevel"/>
    <w:tmpl w:val="9D4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283760">
    <w:abstractNumId w:val="0"/>
    <w:lvlOverride w:ilvl="0">
      <w:startOverride w:val="1"/>
    </w:lvlOverride>
  </w:num>
  <w:num w:numId="2" w16cid:durableId="1041975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030"/>
    <w:rsid w:val="00380AAF"/>
    <w:rsid w:val="00427B07"/>
    <w:rsid w:val="004C5EBA"/>
    <w:rsid w:val="006A1FE1"/>
    <w:rsid w:val="0080054B"/>
    <w:rsid w:val="00996C92"/>
    <w:rsid w:val="00A965DF"/>
    <w:rsid w:val="00C17A14"/>
    <w:rsid w:val="00F434D5"/>
    <w:rsid w:val="00FA478F"/>
    <w:rsid w:val="00FA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A7F7"/>
  <w15:docId w15:val="{167C49AB-AD00-4D52-BCBE-AB72D0B6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A47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Krina Mehta</cp:lastModifiedBy>
  <cp:revision>7</cp:revision>
  <dcterms:created xsi:type="dcterms:W3CDTF">2026-06-17T22:52:00Z</dcterms:created>
  <dcterms:modified xsi:type="dcterms:W3CDTF">2026-06-18T04:25:00Z</dcterms:modified>
</cp:coreProperties>
</file>