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72D3" w14:textId="4E490177" w:rsidR="00EF3BCB" w:rsidRDefault="005B0CC5" w:rsidP="005B0CC5">
      <w:pPr>
        <w:jc w:val="center"/>
      </w:pPr>
      <w:r w:rsidRPr="005B0CC5">
        <w:rPr>
          <w:rFonts w:asciiTheme="majorHAnsi" w:eastAsiaTheme="majorEastAsia" w:hAnsiTheme="majorHAnsi" w:cstheme="majorBidi"/>
          <w:b/>
          <w:sz w:val="36"/>
          <w:szCs w:val="40"/>
        </w:rPr>
        <w:t>N</w:t>
      </w:r>
      <w:r>
        <w:rPr>
          <w:rFonts w:asciiTheme="majorHAnsi" w:eastAsiaTheme="majorEastAsia" w:hAnsiTheme="majorHAnsi" w:cstheme="majorBidi"/>
          <w:b/>
          <w:sz w:val="36"/>
          <w:szCs w:val="40"/>
        </w:rPr>
        <w:t xml:space="preserve">ew </w:t>
      </w:r>
      <w:r w:rsidRPr="005B0CC5">
        <w:rPr>
          <w:rFonts w:asciiTheme="majorHAnsi" w:eastAsiaTheme="majorEastAsia" w:hAnsiTheme="majorHAnsi" w:cstheme="majorBidi"/>
          <w:b/>
          <w:sz w:val="36"/>
          <w:szCs w:val="40"/>
        </w:rPr>
        <w:t>A</w:t>
      </w:r>
      <w:r>
        <w:rPr>
          <w:rFonts w:asciiTheme="majorHAnsi" w:eastAsiaTheme="majorEastAsia" w:hAnsiTheme="majorHAnsi" w:cstheme="majorBidi"/>
          <w:b/>
          <w:sz w:val="36"/>
          <w:szCs w:val="40"/>
        </w:rPr>
        <w:t xml:space="preserve">pproach </w:t>
      </w:r>
      <w:r w:rsidRPr="005B0CC5">
        <w:rPr>
          <w:rFonts w:asciiTheme="majorHAnsi" w:eastAsiaTheme="majorEastAsia" w:hAnsiTheme="majorHAnsi" w:cstheme="majorBidi"/>
          <w:b/>
          <w:sz w:val="36"/>
          <w:szCs w:val="40"/>
        </w:rPr>
        <w:t>M</w:t>
      </w:r>
      <w:r>
        <w:rPr>
          <w:rFonts w:asciiTheme="majorHAnsi" w:eastAsiaTheme="majorEastAsia" w:hAnsiTheme="majorHAnsi" w:cstheme="majorBidi"/>
          <w:b/>
          <w:sz w:val="36"/>
          <w:szCs w:val="40"/>
        </w:rPr>
        <w:t>ethodologie</w:t>
      </w:r>
      <w:r w:rsidRPr="005B0CC5">
        <w:rPr>
          <w:rFonts w:asciiTheme="majorHAnsi" w:eastAsiaTheme="majorEastAsia" w:hAnsiTheme="majorHAnsi" w:cstheme="majorBidi"/>
          <w:b/>
          <w:sz w:val="36"/>
          <w:szCs w:val="40"/>
        </w:rPr>
        <w:t>s in Action: PBPK Modeling for Translational Drug Development</w:t>
      </w:r>
    </w:p>
    <w:p w14:paraId="703E2130" w14:textId="1FF02CB9" w:rsidR="003A5500" w:rsidRPr="003A5500" w:rsidRDefault="00EF3BCB" w:rsidP="003A5500">
      <w:r>
        <w:t>Proposed by: Krina Mehta</w:t>
      </w:r>
      <w:r w:rsidRPr="00EF3BCB">
        <w:rPr>
          <w:vertAlign w:val="superscript"/>
        </w:rPr>
        <w:t>1</w:t>
      </w:r>
      <w:r w:rsidR="00B637F9" w:rsidRPr="00B637F9">
        <w:t>*</w:t>
      </w:r>
      <w:r>
        <w:t xml:space="preserve">, </w:t>
      </w:r>
      <w:r w:rsidRPr="00EF3BCB">
        <w:t xml:space="preserve">Shashi </w:t>
      </w:r>
      <w:r w:rsidR="000C6D72">
        <w:t xml:space="preserve">K. </w:t>
      </w:r>
      <w:r w:rsidRPr="00EF3BCB">
        <w:t>Ramaiah</w:t>
      </w:r>
      <w:r w:rsidRPr="00EF3BCB">
        <w:rPr>
          <w:vertAlign w:val="superscript"/>
        </w:rPr>
        <w:t>2</w:t>
      </w:r>
      <w:r w:rsidR="003A5500" w:rsidRPr="003A5500">
        <w:t>, Stephan Schaller</w:t>
      </w:r>
      <w:r w:rsidR="003A5500">
        <w:rPr>
          <w:vertAlign w:val="superscript"/>
        </w:rPr>
        <w:t>3</w:t>
      </w:r>
    </w:p>
    <w:p w14:paraId="08E29E0E" w14:textId="47891410" w:rsidR="00A675FF" w:rsidRDefault="00EF3BCB" w:rsidP="00992D15">
      <w:r w:rsidRPr="00E23D1E">
        <w:rPr>
          <w:vertAlign w:val="superscript"/>
        </w:rPr>
        <w:t>1</w:t>
      </w:r>
      <w:r>
        <w:t xml:space="preserve"> Independent</w:t>
      </w:r>
      <w:r w:rsidR="00B637F9">
        <w:t xml:space="preserve"> Consultant, Cypress, CA, USA</w:t>
      </w:r>
    </w:p>
    <w:p w14:paraId="7CFE5461" w14:textId="548044C1" w:rsidR="00B637F9" w:rsidRDefault="00B637F9" w:rsidP="00992D15">
      <w:r w:rsidRPr="00E23D1E">
        <w:rPr>
          <w:vertAlign w:val="superscript"/>
        </w:rPr>
        <w:t>2</w:t>
      </w:r>
      <w:r>
        <w:t xml:space="preserve"> Speccro</w:t>
      </w:r>
      <w:r w:rsidR="000C6D72">
        <w:t xml:space="preserve"> Inc</w:t>
      </w:r>
      <w:r>
        <w:t>, Boston, MA, USA</w:t>
      </w:r>
    </w:p>
    <w:p w14:paraId="2C9658D3" w14:textId="0C0D46EF" w:rsidR="003A5500" w:rsidRPr="003A5500" w:rsidRDefault="003A5500" w:rsidP="003A5500">
      <w:r>
        <w:rPr>
          <w:vertAlign w:val="superscript"/>
        </w:rPr>
        <w:t>3</w:t>
      </w:r>
      <w:r w:rsidRPr="003A5500">
        <w:rPr>
          <w:vertAlign w:val="superscript"/>
        </w:rPr>
        <w:t xml:space="preserve"> </w:t>
      </w:r>
      <w:r w:rsidRPr="003A5500">
        <w:t>ESQlabs GmbH, 26683 Saterland, Germany</w:t>
      </w:r>
    </w:p>
    <w:p w14:paraId="21BF88A0" w14:textId="330526B3" w:rsidR="00B637F9" w:rsidRDefault="00B637F9" w:rsidP="00992D15">
      <w:r w:rsidRPr="00B637F9">
        <w:t>*</w:t>
      </w:r>
      <w:r>
        <w:t xml:space="preserve"> Correspondence: krinaj@gmail.com</w:t>
      </w:r>
    </w:p>
    <w:p w14:paraId="6250A5B5" w14:textId="22C34EFB" w:rsidR="00A675FF" w:rsidRDefault="00A675FF" w:rsidP="00992D15">
      <w:pPr>
        <w:pStyle w:val="Heading1"/>
      </w:pPr>
      <w:r>
        <w:t>Overview</w:t>
      </w:r>
    </w:p>
    <w:p w14:paraId="47D7B28A" w14:textId="12672503" w:rsidR="003A5500" w:rsidRPr="00106357" w:rsidRDefault="00106357" w:rsidP="003A5500">
      <w:r>
        <w:t>H</w:t>
      </w:r>
      <w:r w:rsidRPr="0019286C">
        <w:t xml:space="preserve">uman-relevant new approach methodologies (NAMs) like </w:t>
      </w:r>
      <w:r w:rsidRPr="007C699A">
        <w:rPr>
          <w:i/>
          <w:iCs/>
        </w:rPr>
        <w:t>in vitro</w:t>
      </w:r>
      <w:r w:rsidRPr="0019286C">
        <w:t xml:space="preserve"> and in silico models</w:t>
      </w:r>
      <w:r>
        <w:t xml:space="preserve"> can improve translational success from preclinical to clinical settings. In silico models</w:t>
      </w:r>
      <w:r w:rsidR="0070596D">
        <w:t xml:space="preserve">, </w:t>
      </w:r>
      <w:r w:rsidR="004031C9">
        <w:t>such as</w:t>
      </w:r>
      <w:r>
        <w:t xml:space="preserve"> </w:t>
      </w:r>
      <w:r w:rsidRPr="0019286C">
        <w:t>physiologically based pharmacokinetic (PBPK) models, can</w:t>
      </w:r>
      <w:r>
        <w:t xml:space="preserve"> be used to predict drug exposures across species, and thus can be used to</w:t>
      </w:r>
      <w:r w:rsidRPr="0019286C">
        <w:t xml:space="preserve"> optimize preclinical study designs and reduce reliance on animal testing</w:t>
      </w:r>
      <w:r w:rsidR="004031C9">
        <w:t xml:space="preserve"> for </w:t>
      </w:r>
      <w:r w:rsidR="00EE5F7F">
        <w:t>pharmacokinetic (</w:t>
      </w:r>
      <w:r w:rsidR="004031C9">
        <w:t>PK</w:t>
      </w:r>
      <w:r w:rsidR="00EE5F7F">
        <w:t>)</w:t>
      </w:r>
      <w:r w:rsidR="004031C9">
        <w:t xml:space="preserve"> evaluations</w:t>
      </w:r>
      <w:r w:rsidRPr="0019286C">
        <w:t>.</w:t>
      </w:r>
      <w:r w:rsidR="004031C9">
        <w:t xml:space="preserve"> </w:t>
      </w:r>
      <w:r w:rsidR="00131BF6" w:rsidRPr="0017608A">
        <w:t xml:space="preserve">PBPK models </w:t>
      </w:r>
      <w:r w:rsidR="00131BF6">
        <w:t xml:space="preserve">can </w:t>
      </w:r>
      <w:r w:rsidR="00131BF6" w:rsidRPr="0017608A">
        <w:t>integrat</w:t>
      </w:r>
      <w:r w:rsidR="00131BF6">
        <w:t>e</w:t>
      </w:r>
      <w:r w:rsidR="00131BF6" w:rsidRPr="0017608A">
        <w:t xml:space="preserve"> </w:t>
      </w:r>
      <w:r w:rsidR="00131BF6">
        <w:t>in vitro</w:t>
      </w:r>
      <w:r w:rsidR="00131BF6" w:rsidRPr="0017608A">
        <w:t xml:space="preserve"> </w:t>
      </w:r>
      <w:r w:rsidR="00131BF6">
        <w:t xml:space="preserve">data </w:t>
      </w:r>
      <w:r w:rsidR="00131BF6" w:rsidRPr="0017608A">
        <w:t xml:space="preserve">and </w:t>
      </w:r>
      <w:r w:rsidR="00131BF6">
        <w:t>physiological information</w:t>
      </w:r>
      <w:r w:rsidR="00131BF6" w:rsidRPr="0017608A">
        <w:t xml:space="preserve"> to simulate drug absorption, distribution, metabolism, and </w:t>
      </w:r>
      <w:r w:rsidR="00131BF6">
        <w:t>elimination</w:t>
      </w:r>
      <w:r w:rsidR="00131BF6" w:rsidRPr="0017608A">
        <w:t xml:space="preserve"> in virtual </w:t>
      </w:r>
      <w:r w:rsidR="00131BF6">
        <w:t xml:space="preserve">preclinical or human </w:t>
      </w:r>
      <w:r w:rsidR="00131BF6" w:rsidRPr="0017608A">
        <w:t>populations</w:t>
      </w:r>
      <w:r w:rsidR="00131BF6" w:rsidRPr="002B3CE2">
        <w:t>.</w:t>
      </w:r>
      <w:r w:rsidR="00131BF6">
        <w:t xml:space="preserve"> </w:t>
      </w:r>
      <w:r w:rsidR="00EE5F7F">
        <w:t>To date, ex</w:t>
      </w:r>
      <w:r w:rsidR="00EE5F7F" w:rsidRPr="00EE5F7F">
        <w:t>tensive work on PBPK models for monoclonal antibodies</w:t>
      </w:r>
      <w:r w:rsidR="00EE5F7F">
        <w:t xml:space="preserve"> (mAbs)</w:t>
      </w:r>
      <w:r w:rsidR="00EE5F7F" w:rsidRPr="00EE5F7F">
        <w:t xml:space="preserve"> has already established a robust scientific foundation, enabling reliable characterization of their ADME processes and supporting </w:t>
      </w:r>
      <w:r w:rsidR="00EE5F7F">
        <w:t xml:space="preserve">their </w:t>
      </w:r>
      <w:r w:rsidR="00EE5F7F" w:rsidRPr="00EE5F7F">
        <w:t>regulatory acceptance.</w:t>
      </w:r>
      <w:r w:rsidR="00EE5F7F">
        <w:t xml:space="preserve"> However, </w:t>
      </w:r>
      <w:r w:rsidR="00EE5F7F" w:rsidRPr="00EE5F7F">
        <w:t xml:space="preserve">preclinical PBPK models are </w:t>
      </w:r>
      <w:r w:rsidR="00EE5F7F">
        <w:t>mostly calibrated and validated with separate in vivo data</w:t>
      </w:r>
      <w:r w:rsidR="00F33F38">
        <w:t>sets, requiring multiple in vivo PK studies, often in large animals</w:t>
      </w:r>
      <w:r w:rsidR="0070596D">
        <w:t xml:space="preserve">, </w:t>
      </w:r>
      <w:r w:rsidR="00F33F38">
        <w:t>such as non-human primates (NHPs). In t</w:t>
      </w:r>
      <w:r w:rsidR="00F33F38" w:rsidRPr="00F33F38">
        <w:t>his proposal</w:t>
      </w:r>
      <w:r w:rsidR="00F33F38">
        <w:t xml:space="preserve">, we </w:t>
      </w:r>
      <w:r w:rsidR="00F33F38" w:rsidRPr="00F33F38">
        <w:t xml:space="preserve">call for a pre-competitive pilot project within NIH’s </w:t>
      </w:r>
      <w:r w:rsidR="00EF3BCB" w:rsidRPr="00F33F38">
        <w:t xml:space="preserve">NAMs </w:t>
      </w:r>
      <w:r w:rsidR="00F33F38" w:rsidRPr="00F33F38">
        <w:t xml:space="preserve">Validation &amp; Qualification Network (VQN), aimed at evaluating the potential of PBPK </w:t>
      </w:r>
      <w:r w:rsidR="001F4D46">
        <w:t>models</w:t>
      </w:r>
      <w:r w:rsidR="003A5500">
        <w:t xml:space="preserve"> </w:t>
      </w:r>
      <w:r w:rsidR="003A5500" w:rsidRPr="00F33F38">
        <w:t>to reduce the burden of preclinical PK studies.</w:t>
      </w:r>
      <w:r w:rsidR="003A5500">
        <w:t xml:space="preserve"> We propose a retrospective evaluation and validation of </w:t>
      </w:r>
      <w:r w:rsidR="001F4D46">
        <w:t>a</w:t>
      </w:r>
      <w:r w:rsidR="003A5500">
        <w:t xml:space="preserve"> PBPK framework to predict mAbs’ </w:t>
      </w:r>
      <w:r w:rsidR="003A5500" w:rsidRPr="00992D15">
        <w:t>concentration-time profiles in preclinical species and in humans</w:t>
      </w:r>
      <w:r w:rsidR="003A5500">
        <w:t xml:space="preserve"> without utilizing in vivo PK data.</w:t>
      </w:r>
      <w:r w:rsidR="00A42F3A">
        <w:t xml:space="preserve"> Moreover, we propose validation of </w:t>
      </w:r>
      <w:r w:rsidR="00A42F3A">
        <w:t xml:space="preserve">integrated </w:t>
      </w:r>
      <w:r w:rsidR="00A42F3A" w:rsidRPr="009F5999">
        <w:t xml:space="preserve">PBPK–machine learning </w:t>
      </w:r>
      <w:r w:rsidR="00A42F3A">
        <w:t xml:space="preserve">(ML) </w:t>
      </w:r>
      <w:r w:rsidR="00A42F3A" w:rsidRPr="009F5999">
        <w:t xml:space="preserve">workflows for </w:t>
      </w:r>
      <w:r w:rsidR="00A42F3A">
        <w:t>mAbs’</w:t>
      </w:r>
      <w:r w:rsidR="00A42F3A" w:rsidRPr="009F5999">
        <w:t xml:space="preserve"> discovery and optimization</w:t>
      </w:r>
      <w:r w:rsidR="00A42F3A">
        <w:t>.</w:t>
      </w:r>
    </w:p>
    <w:p w14:paraId="221BD47E" w14:textId="612AF446" w:rsidR="00A675FF" w:rsidRPr="003A5500" w:rsidRDefault="00B8614E" w:rsidP="00DE660A">
      <w:pPr>
        <w:pStyle w:val="Heading1"/>
      </w:pPr>
      <w:r w:rsidRPr="003A5500">
        <w:t>Key Scientific Question</w:t>
      </w:r>
      <w:r w:rsidR="00A42F3A">
        <w:t>s</w:t>
      </w:r>
    </w:p>
    <w:p w14:paraId="732CE626" w14:textId="199E83A7" w:rsidR="003A5500" w:rsidRDefault="003A5500" w:rsidP="003A5500">
      <w:r w:rsidRPr="00947DC3">
        <w:t>Can a PBPK modeling framework</w:t>
      </w:r>
      <w:r w:rsidR="001F4D46">
        <w:t xml:space="preserve"> </w:t>
      </w:r>
      <w:r>
        <w:t xml:space="preserve">be used to perform </w:t>
      </w:r>
      <w:r w:rsidRPr="00947DC3">
        <w:t xml:space="preserve">predictions of </w:t>
      </w:r>
      <w:r>
        <w:t>mAbs’</w:t>
      </w:r>
      <w:r w:rsidRPr="00947DC3">
        <w:t xml:space="preserve"> concentration-time profiles in humans</w:t>
      </w:r>
      <w:r>
        <w:t xml:space="preserve"> to directly</w:t>
      </w:r>
      <w:r w:rsidRPr="00947DC3">
        <w:t xml:space="preserve"> reduce</w:t>
      </w:r>
      <w:r>
        <w:t xml:space="preserve"> reliance on animals for mAbs’ preclinical PK</w:t>
      </w:r>
      <w:r w:rsidRPr="00947DC3">
        <w:t xml:space="preserve"> studies?</w:t>
      </w:r>
    </w:p>
    <w:p w14:paraId="766A9D99" w14:textId="2B4B1988" w:rsidR="003A5500" w:rsidRDefault="00A42F3A" w:rsidP="00992D15">
      <w:r>
        <w:lastRenderedPageBreak/>
        <w:t xml:space="preserve">Can a </w:t>
      </w:r>
      <w:r w:rsidRPr="009F5999">
        <w:t xml:space="preserve">high-throughput </w:t>
      </w:r>
      <w:r>
        <w:t>PBPK-ML integrated be used to for predictio</w:t>
      </w:r>
      <w:r w:rsidRPr="009F5999">
        <w:t xml:space="preserve">ns of mAb ADME related parameters and human PK predictions </w:t>
      </w:r>
      <w:r>
        <w:t>to</w:t>
      </w:r>
      <w:r w:rsidRPr="009F5999">
        <w:t xml:space="preserve"> support functional discovery and optimization of mAbs to replace animals-based </w:t>
      </w:r>
      <w:r>
        <w:t xml:space="preserve">mAb </w:t>
      </w:r>
      <w:r w:rsidRPr="009F5999">
        <w:t>discovery methods</w:t>
      </w:r>
      <w:r>
        <w:t>?</w:t>
      </w:r>
    </w:p>
    <w:p w14:paraId="26B4AD8A" w14:textId="03929A4B" w:rsidR="00552D5E" w:rsidRPr="00552D5E" w:rsidRDefault="00552D5E" w:rsidP="00DE660A">
      <w:pPr>
        <w:pStyle w:val="Heading1"/>
      </w:pPr>
      <w:r w:rsidRPr="00552D5E">
        <w:t>Context of Use (COA)</w:t>
      </w:r>
    </w:p>
    <w:p w14:paraId="4CE68164" w14:textId="500748EE" w:rsidR="0034678A" w:rsidRPr="0034678A" w:rsidRDefault="0034678A" w:rsidP="0034678A">
      <w:r w:rsidRPr="0034678A">
        <w:t>The proposed decision-tree based PBPK modeling workflow is intended for application during the preclinical phase of mAb drug development. Specifically, it is designed to be implemented prior to and during in vivo pharmacology and toxicology studies, with the goal of informing First-in-Human (FIH) dose selection and study design.</w:t>
      </w:r>
      <w:r>
        <w:t xml:space="preserve"> </w:t>
      </w:r>
      <w:r w:rsidRPr="0034678A">
        <w:t>This workflow introduces a priori PBPK modeling early in the preclinical timeline, immediately following initial in vitro pharmacology studies. By leveraging mechanistic modeling to predict PK</w:t>
      </w:r>
      <w:r>
        <w:t xml:space="preserve"> </w:t>
      </w:r>
      <w:r w:rsidRPr="0034678A">
        <w:t>across species, the approach aims to:</w:t>
      </w:r>
    </w:p>
    <w:p w14:paraId="41FEB39E" w14:textId="77777777" w:rsidR="0034678A" w:rsidRPr="0034678A" w:rsidRDefault="0034678A" w:rsidP="0034678A">
      <w:pPr>
        <w:numPr>
          <w:ilvl w:val="0"/>
          <w:numId w:val="37"/>
        </w:numPr>
      </w:pPr>
      <w:r w:rsidRPr="0034678A">
        <w:t>Streamline study design by reducing reliance on extensive in vivo PK studies.</w:t>
      </w:r>
    </w:p>
    <w:p w14:paraId="633D8984" w14:textId="77777777" w:rsidR="0034678A" w:rsidRPr="0034678A" w:rsidRDefault="0034678A" w:rsidP="0034678A">
      <w:pPr>
        <w:numPr>
          <w:ilvl w:val="0"/>
          <w:numId w:val="37"/>
        </w:numPr>
      </w:pPr>
      <w:r w:rsidRPr="0034678A">
        <w:t>Enable rational dose selection for reduced in vivo PK studies.</w:t>
      </w:r>
    </w:p>
    <w:p w14:paraId="4AD173FB" w14:textId="77777777" w:rsidR="0034678A" w:rsidRPr="0034678A" w:rsidRDefault="0034678A" w:rsidP="0034678A">
      <w:pPr>
        <w:numPr>
          <w:ilvl w:val="0"/>
          <w:numId w:val="37"/>
        </w:numPr>
      </w:pPr>
      <w:r w:rsidRPr="0034678A">
        <w:t>Support interspecies translation to inform FIH dosing decisions.</w:t>
      </w:r>
    </w:p>
    <w:p w14:paraId="21A88D2F" w14:textId="0EB66CB2" w:rsidR="004031C9" w:rsidRDefault="00012029" w:rsidP="00012029">
      <w:pPr>
        <w:rPr>
          <w:noProof/>
        </w:rPr>
      </w:pPr>
      <w:r w:rsidRPr="00012029">
        <w:t>Figure</w:t>
      </w:r>
      <w:r w:rsidRPr="00012029">
        <w:rPr>
          <w:noProof/>
        </w:rPr>
        <w:t xml:space="preserve"> 1 illustrates the current general preclinical studies workflow alongside a proposed workflow. The proposed workflow introduces </w:t>
      </w:r>
      <w:r>
        <w:rPr>
          <w:noProof/>
        </w:rPr>
        <w:t xml:space="preserve">mAb </w:t>
      </w:r>
      <w:r w:rsidRPr="00012029">
        <w:rPr>
          <w:noProof/>
        </w:rPr>
        <w:t xml:space="preserve">PBPK modeling early in the preclinical phase to streamline study design and reduce reliance on extensive in vivo PK studies. It begins with preliminary in vitro pharmacology studies, followed by the development of PBPK models to </w:t>
      </w:r>
      <w:r w:rsidR="00F61E82">
        <w:rPr>
          <w:noProof/>
        </w:rPr>
        <w:t>select dose levels for a</w:t>
      </w:r>
      <w:r w:rsidRPr="00012029">
        <w:rPr>
          <w:noProof/>
        </w:rPr>
        <w:t xml:space="preserve"> reduced in vivo PK stud</w:t>
      </w:r>
      <w:r w:rsidR="00F61E82">
        <w:rPr>
          <w:noProof/>
        </w:rPr>
        <w:t>y</w:t>
      </w:r>
      <w:r w:rsidRPr="00012029">
        <w:rPr>
          <w:noProof/>
        </w:rPr>
        <w:t>. The observed PK data from the</w:t>
      </w:r>
      <w:r>
        <w:rPr>
          <w:noProof/>
        </w:rPr>
        <w:t xml:space="preserve"> in vivo PK </w:t>
      </w:r>
      <w:r w:rsidRPr="00012029">
        <w:rPr>
          <w:noProof/>
        </w:rPr>
        <w:t>stud</w:t>
      </w:r>
      <w:r w:rsidR="00F61E82">
        <w:rPr>
          <w:noProof/>
        </w:rPr>
        <w:t>y</w:t>
      </w:r>
      <w:r w:rsidRPr="00012029">
        <w:rPr>
          <w:noProof/>
        </w:rPr>
        <w:t xml:space="preserve"> </w:t>
      </w:r>
      <w:r>
        <w:rPr>
          <w:noProof/>
        </w:rPr>
        <w:t>can</w:t>
      </w:r>
      <w:r w:rsidRPr="00012029">
        <w:rPr>
          <w:noProof/>
        </w:rPr>
        <w:t xml:space="preserve"> then</w:t>
      </w:r>
      <w:r>
        <w:rPr>
          <w:noProof/>
        </w:rPr>
        <w:t xml:space="preserve"> be</w:t>
      </w:r>
      <w:r w:rsidRPr="00012029">
        <w:rPr>
          <w:noProof/>
        </w:rPr>
        <w:t xml:space="preserve"> used to refine the PBPK model</w:t>
      </w:r>
      <w:r>
        <w:rPr>
          <w:noProof/>
        </w:rPr>
        <w:t xml:space="preserve">, </w:t>
      </w:r>
      <w:r w:rsidR="00CA3AA7">
        <w:rPr>
          <w:noProof/>
        </w:rPr>
        <w:t>if</w:t>
      </w:r>
      <w:r>
        <w:rPr>
          <w:noProof/>
        </w:rPr>
        <w:t xml:space="preserve"> needed</w:t>
      </w:r>
      <w:r w:rsidRPr="00012029">
        <w:rPr>
          <w:noProof/>
        </w:rPr>
        <w:t xml:space="preserve">. If model predictions are within an acceptable range (e.g., </w:t>
      </w:r>
      <w:r w:rsidR="00F61E82">
        <w:rPr>
          <w:noProof/>
        </w:rPr>
        <w:t>C</w:t>
      </w:r>
      <w:r w:rsidR="00F61E82" w:rsidRPr="00F61E82">
        <w:rPr>
          <w:noProof/>
          <w:vertAlign w:val="subscript"/>
        </w:rPr>
        <w:t>max</w:t>
      </w:r>
      <w:r w:rsidR="00F61E82">
        <w:rPr>
          <w:noProof/>
        </w:rPr>
        <w:t xml:space="preserve"> and AUC</w:t>
      </w:r>
      <w:r w:rsidR="00F61E82" w:rsidRPr="00F61E82">
        <w:rPr>
          <w:noProof/>
          <w:vertAlign w:val="subscript"/>
        </w:rPr>
        <w:t xml:space="preserve">0-t </w:t>
      </w:r>
      <w:r w:rsidRPr="00012029">
        <w:rPr>
          <w:noProof/>
        </w:rPr>
        <w:t>within 2-fold of observed data),</w:t>
      </w:r>
      <w:r w:rsidR="00CA3AA7">
        <w:rPr>
          <w:noProof/>
        </w:rPr>
        <w:t xml:space="preserve"> no additional in vivo PK studies may be needed. T</w:t>
      </w:r>
      <w:r w:rsidRPr="00012029">
        <w:rPr>
          <w:noProof/>
        </w:rPr>
        <w:t xml:space="preserve">he PBPK models </w:t>
      </w:r>
      <w:r>
        <w:rPr>
          <w:noProof/>
        </w:rPr>
        <w:t>can be direclty applied</w:t>
      </w:r>
      <w:r w:rsidRPr="00012029">
        <w:rPr>
          <w:noProof/>
        </w:rPr>
        <w:t xml:space="preserve"> to support dose selection and study design for in vivo pharmacology and toxicology studies, ultimately informing FIH dose and design decisions through integrated modeling approaches.</w:t>
      </w:r>
      <w:r>
        <w:rPr>
          <w:noProof/>
        </w:rPr>
        <w:t xml:space="preserve"> </w:t>
      </w:r>
    </w:p>
    <w:p w14:paraId="6D4F9BE7" w14:textId="2EFBB510" w:rsidR="0034678A" w:rsidRDefault="0034678A" w:rsidP="0034678A">
      <w:pPr>
        <w:rPr>
          <w:noProof/>
        </w:rPr>
      </w:pPr>
      <w:r>
        <w:rPr>
          <w:noProof/>
        </w:rPr>
        <w:t>To validate and qualify the proposed decision-tree based workflow, the approach can be divided into two phases, (1) learning phase, (2) confirmatory phase, as discussed below.</w:t>
      </w:r>
    </w:p>
    <w:p w14:paraId="20717224" w14:textId="77777777" w:rsidR="0034678A" w:rsidRDefault="0034678A">
      <w:pPr>
        <w:jc w:val="left"/>
        <w:rPr>
          <w:b/>
          <w:bCs/>
          <w:noProof/>
        </w:rPr>
      </w:pPr>
      <w:r>
        <w:rPr>
          <w:b/>
          <w:bCs/>
          <w:noProof/>
        </w:rPr>
        <w:br w:type="page"/>
      </w:r>
    </w:p>
    <w:p w14:paraId="77F97877" w14:textId="4285C208" w:rsidR="00F61E82" w:rsidRDefault="00EE64CD" w:rsidP="00F61E82">
      <w:pPr>
        <w:rPr>
          <w:noProof/>
        </w:rPr>
      </w:pPr>
      <w:r w:rsidRPr="00EE64CD">
        <w:rPr>
          <w:b/>
          <w:bCs/>
          <w:noProof/>
        </w:rPr>
        <w:lastRenderedPageBreak/>
        <w:t>Figure 1.</w:t>
      </w:r>
      <w:r>
        <w:rPr>
          <w:noProof/>
        </w:rPr>
        <w:t xml:space="preserve"> Diagram of current standard </w:t>
      </w:r>
      <w:r w:rsidR="00F61E82">
        <w:rPr>
          <w:noProof/>
        </w:rPr>
        <w:t xml:space="preserve">workflow </w:t>
      </w:r>
      <w:r>
        <w:rPr>
          <w:noProof/>
        </w:rPr>
        <w:t xml:space="preserve">vs. proposed preclinical PK evaluations </w:t>
      </w:r>
      <w:r w:rsidR="00F61E82">
        <w:rPr>
          <w:noProof/>
        </w:rPr>
        <w:t xml:space="preserve">decision-tree based </w:t>
      </w:r>
      <w:r>
        <w:rPr>
          <w:noProof/>
        </w:rPr>
        <w:t>workflow.</w:t>
      </w:r>
    </w:p>
    <w:p w14:paraId="24B3FA24" w14:textId="5F12A7D2" w:rsidR="00EE64CD" w:rsidRDefault="00687ABB" w:rsidP="00F61E82">
      <w:r>
        <w:rPr>
          <w:noProof/>
        </w:rPr>
        <w:drawing>
          <wp:inline distT="0" distB="0" distL="0" distR="0" wp14:anchorId="69BCFABA" wp14:editId="47E06039">
            <wp:extent cx="6699250" cy="4156255"/>
            <wp:effectExtent l="0" t="0" r="6350" b="0"/>
            <wp:docPr id="2103634156" name="Picture 2"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34156" name="Picture 2" descr="A diagram of a workflow&#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706212" cy="4160574"/>
                    </a:xfrm>
                    <a:prstGeom prst="rect">
                      <a:avLst/>
                    </a:prstGeom>
                  </pic:spPr>
                </pic:pic>
              </a:graphicData>
            </a:graphic>
          </wp:inline>
        </w:drawing>
      </w:r>
    </w:p>
    <w:p w14:paraId="14419AE7" w14:textId="0059179B" w:rsidR="000C390A" w:rsidRDefault="000C390A" w:rsidP="000C390A">
      <w:pPr>
        <w:rPr>
          <w:noProof/>
        </w:rPr>
      </w:pPr>
      <w:r>
        <w:rPr>
          <w:noProof/>
        </w:rPr>
        <w:t>The</w:t>
      </w:r>
      <w:r w:rsidR="001A1BC7">
        <w:rPr>
          <w:noProof/>
        </w:rPr>
        <w:t xml:space="preserve"> goal of the learning phase is to establish and evaluate a structured workflow. The le</w:t>
      </w:r>
      <w:r>
        <w:rPr>
          <w:noProof/>
        </w:rPr>
        <w:t xml:space="preserve">arning phase can be executed in </w:t>
      </w:r>
      <w:r w:rsidR="003A5500">
        <w:rPr>
          <w:noProof/>
        </w:rPr>
        <w:t xml:space="preserve">a </w:t>
      </w:r>
      <w:r>
        <w:rPr>
          <w:noProof/>
        </w:rPr>
        <w:t xml:space="preserve">step-wise manner as mentioned below: </w:t>
      </w:r>
    </w:p>
    <w:p w14:paraId="7AA23B34" w14:textId="23E8B611" w:rsidR="000A33A6" w:rsidRDefault="000A33A6" w:rsidP="000A33A6">
      <w:pPr>
        <w:pStyle w:val="ListParagraph"/>
        <w:numPr>
          <w:ilvl w:val="0"/>
          <w:numId w:val="33"/>
        </w:numPr>
        <w:rPr>
          <w:noProof/>
        </w:rPr>
      </w:pPr>
      <w:r>
        <w:rPr>
          <w:noProof/>
        </w:rPr>
        <w:t>A workflow structured of “a priori” PBPK modeling — without using in vivo PK data for model calibration — for inter-species translation can be first developed. An existing open-source PBPK platform, PK-Sim® and Mobi®, is well suited for this purpose [</w:t>
      </w:r>
      <w:r w:rsidRPr="00D875BB">
        <w:t xml:space="preserve">Niederalt </w:t>
      </w:r>
      <w:r w:rsidRPr="00052F67">
        <w:t xml:space="preserve">et al., </w:t>
      </w:r>
      <w:r>
        <w:t xml:space="preserve">2018, </w:t>
      </w:r>
      <w:r w:rsidRPr="00D875BB">
        <w:t>Pasquiers</w:t>
      </w:r>
      <w:r>
        <w:t xml:space="preserve"> </w:t>
      </w:r>
      <w:r w:rsidRPr="00052F67">
        <w:t xml:space="preserve">et al., </w:t>
      </w:r>
      <w:r>
        <w:t>2023</w:t>
      </w:r>
      <w:r>
        <w:rPr>
          <w:noProof/>
        </w:rPr>
        <w:t xml:space="preserve">, </w:t>
      </w:r>
      <w:hyperlink r:id="rId6" w:history="1">
        <w:r w:rsidRPr="008D50AB">
          <w:rPr>
            <w:rStyle w:val="Hyperlink"/>
            <w:noProof/>
          </w:rPr>
          <w:t>https://www.open-systems-pharmacology.org</w:t>
        </w:r>
      </w:hyperlink>
      <w:r w:rsidR="00CB4A90">
        <w:t xml:space="preserve">]. </w:t>
      </w:r>
      <w:r w:rsidR="001F4D46">
        <w:t xml:space="preserve"> </w:t>
      </w:r>
      <w:r w:rsidR="00CB4A90">
        <w:t>T</w:t>
      </w:r>
      <w:r w:rsidR="00CB4A90" w:rsidRPr="00CB4A90">
        <w:t xml:space="preserve">he open-source, version-controlled architecture of the Open Systems Pharmacology Suite, coupled with its GitHub-hosted qualification framework [Frechen et al., 2021; </w:t>
      </w:r>
      <w:hyperlink r:id="rId7" w:tgtFrame="_new" w:history="1">
        <w:r w:rsidR="00CB4A90" w:rsidRPr="00CB4A90">
          <w:rPr>
            <w:rStyle w:val="Hyperlink"/>
          </w:rPr>
          <w:t>https://github.com/Open-Systems-Pharmacology/OSP-Qualification-Reports</w:t>
        </w:r>
      </w:hyperlink>
      <w:r w:rsidR="00CB4A90" w:rsidRPr="00CB4A90">
        <w:t xml:space="preserve">], </w:t>
      </w:r>
      <w:r w:rsidR="00CB4A90">
        <w:t xml:space="preserve">can be utilized to </w:t>
      </w:r>
      <w:r w:rsidR="00CB4A90" w:rsidRPr="00CB4A90">
        <w:t>support reproducible, transparent, and traceable PBPK model development and evaluation</w:t>
      </w:r>
      <w:r w:rsidR="00CB4A90">
        <w:t xml:space="preserve"> workflow.</w:t>
      </w:r>
    </w:p>
    <w:p w14:paraId="3CC63659" w14:textId="3A00BB3E" w:rsidR="000A33A6" w:rsidRDefault="000A33A6" w:rsidP="000A33A6">
      <w:pPr>
        <w:pStyle w:val="ListParagraph"/>
        <w:numPr>
          <w:ilvl w:val="0"/>
          <w:numId w:val="33"/>
        </w:numPr>
        <w:rPr>
          <w:noProof/>
        </w:rPr>
      </w:pPr>
      <w:r>
        <w:rPr>
          <w:noProof/>
        </w:rPr>
        <w:t xml:space="preserve">A retrospective analysis of “a priori” PBPK modeling for at least, but not limited to, 30 mAbs can be performed. </w:t>
      </w:r>
    </w:p>
    <w:p w14:paraId="1B1FC2EF" w14:textId="77777777" w:rsidR="000A33A6" w:rsidRDefault="000A33A6" w:rsidP="000A33A6">
      <w:pPr>
        <w:pStyle w:val="ListParagraph"/>
        <w:numPr>
          <w:ilvl w:val="1"/>
          <w:numId w:val="33"/>
        </w:numPr>
        <w:rPr>
          <w:noProof/>
        </w:rPr>
      </w:pPr>
      <w:r>
        <w:rPr>
          <w:noProof/>
        </w:rPr>
        <w:t xml:space="preserve">A dataset containing standard species-specific and the mAb-specific in vitro data—such as antibody molecular weight, antibody-target binding affinity, </w:t>
      </w:r>
      <w:r>
        <w:rPr>
          <w:noProof/>
        </w:rPr>
        <w:lastRenderedPageBreak/>
        <w:t xml:space="preserve">antibody-FcRn binding affinity, target expression levels, target turn-over rates, and antibody-receptor complex internalization rate will need to gathered or generated. </w:t>
      </w:r>
    </w:p>
    <w:p w14:paraId="2C86130E" w14:textId="77777777" w:rsidR="000A33A6" w:rsidRDefault="000A33A6" w:rsidP="000A33A6">
      <w:pPr>
        <w:pStyle w:val="ListParagraph"/>
        <w:numPr>
          <w:ilvl w:val="1"/>
          <w:numId w:val="33"/>
        </w:numPr>
        <w:rPr>
          <w:noProof/>
        </w:rPr>
      </w:pPr>
      <w:r>
        <w:rPr>
          <w:noProof/>
        </w:rPr>
        <w:t>Population-specific target concentrations may be needed to fully evaluate the role of target-mediated drug disposition in the population from which human PK data were collected. Healthy humans can be considered for simulations where no information is available regarding population and population-specific target concentrations.</w:t>
      </w:r>
    </w:p>
    <w:p w14:paraId="2E95DDD3" w14:textId="77777777" w:rsidR="000A33A6" w:rsidRDefault="000A33A6" w:rsidP="000A33A6">
      <w:pPr>
        <w:pStyle w:val="ListParagraph"/>
        <w:numPr>
          <w:ilvl w:val="1"/>
          <w:numId w:val="33"/>
        </w:numPr>
        <w:rPr>
          <w:noProof/>
        </w:rPr>
      </w:pPr>
      <w:r>
        <w:rPr>
          <w:noProof/>
        </w:rPr>
        <w:t xml:space="preserve">Literature can be used to curate a PK dataset containing observed NHP and human plasma/serum concentrations-time profiles. Model-based simulations for these 30 mAbs can be compared against observed data for both NHPs and humans. </w:t>
      </w:r>
    </w:p>
    <w:p w14:paraId="466BA40B" w14:textId="77777777" w:rsidR="000A33A6" w:rsidRDefault="000A33A6" w:rsidP="000A33A6">
      <w:pPr>
        <w:pStyle w:val="ListParagraph"/>
        <w:numPr>
          <w:ilvl w:val="0"/>
          <w:numId w:val="33"/>
        </w:numPr>
        <w:rPr>
          <w:noProof/>
        </w:rPr>
      </w:pPr>
      <w:r>
        <w:rPr>
          <w:noProof/>
        </w:rPr>
        <w:t>For mAb cases from step 2 where predicted exposure metrics (Cmax, AUC0-t) are not within 2-fold of the observed for all dosing regimens evaluated, the observed NHP PK data can be used to recalibrate a few relevant model parameters.</w:t>
      </w:r>
    </w:p>
    <w:p w14:paraId="2A812346" w14:textId="77777777" w:rsidR="000A33A6" w:rsidRDefault="000A33A6" w:rsidP="000A33A6">
      <w:pPr>
        <w:pStyle w:val="ListParagraph"/>
        <w:numPr>
          <w:ilvl w:val="0"/>
          <w:numId w:val="33"/>
        </w:numPr>
        <w:rPr>
          <w:noProof/>
        </w:rPr>
      </w:pPr>
      <w:r>
        <w:rPr>
          <w:noProof/>
        </w:rPr>
        <w:t>Additionally, the statistical power of the reduced NHP PK study design proposed in Figure 1, i.e., two dose levels, one low dose and one high dose, per group (n=3 per group ~ n=6 total), to recalibrate the PBPK model to enable accurate PK predictions, should be evaluated.</w:t>
      </w:r>
    </w:p>
    <w:p w14:paraId="3732EFC6" w14:textId="77777777" w:rsidR="000A33A6" w:rsidRDefault="000A33A6" w:rsidP="000A33A6">
      <w:pPr>
        <w:pStyle w:val="ListParagraph"/>
        <w:numPr>
          <w:ilvl w:val="0"/>
          <w:numId w:val="33"/>
        </w:numPr>
        <w:tabs>
          <w:tab w:val="left" w:pos="6197"/>
        </w:tabs>
      </w:pPr>
      <w:r>
        <w:t>Percentage of successful “a priori PBPK” case studies can be quantified at the end of the learning phase. Here, successful case studies can be defined as where “a priori PBPK” model-based predictions for exposures (AUC</w:t>
      </w:r>
      <w:r w:rsidRPr="00EE01DB">
        <w:rPr>
          <w:vertAlign w:val="subscript"/>
        </w:rPr>
        <w:t>0-t</w:t>
      </w:r>
      <w:r>
        <w:t>) are within 2-fold of the observed PK data for NHPs and for humans.</w:t>
      </w:r>
    </w:p>
    <w:p w14:paraId="38255360" w14:textId="5E03B3C1" w:rsidR="000A33A6" w:rsidRDefault="000A33A6" w:rsidP="000A33A6">
      <w:pPr>
        <w:rPr>
          <w:noProof/>
        </w:rPr>
      </w:pPr>
      <w:r>
        <w:rPr>
          <w:noProof/>
        </w:rPr>
        <w:t xml:space="preserve">The findings from the learning phase can be used to plan the confirmatory phase. The goal of the confirmatory phase is to prospectively compare the performance of the proposed approach to that of the traditional approach for a small number of new mAbs. Standard accuracy metrics, such as fold error, can be utilized. Additionally, reductions in the number of animals and financial resources can also be calculated. To do so, partnerships with biopharmaceutical companies would be essential. </w:t>
      </w:r>
    </w:p>
    <w:p w14:paraId="0AFC588E" w14:textId="4F13EE25" w:rsidR="000A33A6" w:rsidRDefault="000A33A6" w:rsidP="000A33A6">
      <w:pPr>
        <w:rPr>
          <w:noProof/>
        </w:rPr>
      </w:pPr>
      <w:r>
        <w:rPr>
          <w:noProof/>
        </w:rPr>
        <w:t xml:space="preserve">Overall, the </w:t>
      </w:r>
      <w:r w:rsidRPr="007E14EA">
        <w:rPr>
          <w:noProof/>
        </w:rPr>
        <w:t xml:space="preserve">proposed project aims to </w:t>
      </w:r>
      <w:r>
        <w:rPr>
          <w:noProof/>
        </w:rPr>
        <w:t xml:space="preserve">validate and </w:t>
      </w:r>
      <w:r w:rsidRPr="007E14EA">
        <w:rPr>
          <w:noProof/>
        </w:rPr>
        <w:t xml:space="preserve">establish a structured PBPK modeling workflow for </w:t>
      </w:r>
      <w:r>
        <w:rPr>
          <w:noProof/>
        </w:rPr>
        <w:t>mAbs</w:t>
      </w:r>
      <w:r w:rsidRPr="007E14EA">
        <w:rPr>
          <w:noProof/>
        </w:rPr>
        <w:t xml:space="preserve"> that integrates early in vitro data </w:t>
      </w:r>
      <w:r>
        <w:rPr>
          <w:noProof/>
        </w:rPr>
        <w:t xml:space="preserve">and mechanistic </w:t>
      </w:r>
      <w:r w:rsidRPr="007E14EA">
        <w:rPr>
          <w:noProof/>
        </w:rPr>
        <w:t xml:space="preserve">model-based predictions to design reduced preclinical PK studies, refine models with </w:t>
      </w:r>
      <w:r>
        <w:rPr>
          <w:noProof/>
        </w:rPr>
        <w:t>reduced but scientifically robust</w:t>
      </w:r>
      <w:r w:rsidRPr="007E14EA">
        <w:rPr>
          <w:noProof/>
        </w:rPr>
        <w:t xml:space="preserve"> in vivo data, and ultimately enable reliable interspecies translation </w:t>
      </w:r>
      <w:r>
        <w:rPr>
          <w:noProof/>
        </w:rPr>
        <w:t>to support</w:t>
      </w:r>
      <w:r w:rsidRPr="007E14EA">
        <w:rPr>
          <w:noProof/>
        </w:rPr>
        <w:t xml:space="preserve"> </w:t>
      </w:r>
      <w:r>
        <w:rPr>
          <w:noProof/>
        </w:rPr>
        <w:t xml:space="preserve"> FIH</w:t>
      </w:r>
      <w:r w:rsidRPr="007E14EA">
        <w:rPr>
          <w:noProof/>
        </w:rPr>
        <w:t xml:space="preserve"> studies.</w:t>
      </w:r>
    </w:p>
    <w:p w14:paraId="34542724" w14:textId="5924BA35" w:rsidR="002D308A" w:rsidRDefault="00196107" w:rsidP="00DE660A">
      <w:pPr>
        <w:pStyle w:val="Heading2"/>
      </w:pPr>
      <w:r>
        <w:lastRenderedPageBreak/>
        <w:t>PBPK – Machine Learning Integration</w:t>
      </w:r>
    </w:p>
    <w:p w14:paraId="4298B713" w14:textId="0C90CDAA" w:rsidR="009F5999" w:rsidRDefault="009F5999" w:rsidP="00921C57">
      <w:r w:rsidRPr="009F5999">
        <w:t xml:space="preserve">Advances in </w:t>
      </w:r>
      <w:r w:rsidR="00196107">
        <w:t>computational methods, such as machine learning,</w:t>
      </w:r>
      <w:r>
        <w:t xml:space="preserve"> can enable</w:t>
      </w:r>
      <w:r w:rsidRPr="009F5999">
        <w:t xml:space="preserve"> the development of </w:t>
      </w:r>
      <w:r>
        <w:t xml:space="preserve">integrated </w:t>
      </w:r>
      <w:r w:rsidRPr="009F5999">
        <w:t xml:space="preserve">PBPK–machine learning </w:t>
      </w:r>
      <w:r w:rsidR="00921C57">
        <w:t xml:space="preserve">(ML) </w:t>
      </w:r>
      <w:r w:rsidRPr="009F5999">
        <w:t xml:space="preserve">workflows for </w:t>
      </w:r>
      <w:r w:rsidR="00196107">
        <w:t>mAbs’</w:t>
      </w:r>
      <w:r w:rsidRPr="009F5999">
        <w:t xml:space="preserve"> discovery and optimization.</w:t>
      </w:r>
      <w:r>
        <w:t xml:space="preserve"> For example, </w:t>
      </w:r>
      <w:r w:rsidR="007D73FA">
        <w:t xml:space="preserve">PBPK models can be set up in high throughput </w:t>
      </w:r>
      <w:r w:rsidR="00B773FA">
        <w:t>settings</w:t>
      </w:r>
      <w:r w:rsidR="007D73FA">
        <w:t xml:space="preserve"> and can be integrated with</w:t>
      </w:r>
      <w:r w:rsidR="00196107">
        <w:t xml:space="preserve"> ML</w:t>
      </w:r>
      <w:r w:rsidR="007D73FA">
        <w:t xml:space="preserve">-based approaches to predict ADME properties of mAbs to </w:t>
      </w:r>
      <w:r>
        <w:t>support</w:t>
      </w:r>
      <w:r w:rsidR="007D73FA">
        <w:t xml:space="preserve"> </w:t>
      </w:r>
      <w:r>
        <w:t>computational</w:t>
      </w:r>
      <w:r w:rsidR="007D73FA">
        <w:t xml:space="preserve"> drug screening and optimization. </w:t>
      </w:r>
      <w:r>
        <w:t>D</w:t>
      </w:r>
      <w:r w:rsidR="007D73FA">
        <w:t xml:space="preserve">eep learning approaches to predict mAb-antigen binding affinity, </w:t>
      </w:r>
      <w:r w:rsidR="00DC3D89">
        <w:t>mAb-FcRn binding affinity,</w:t>
      </w:r>
      <w:r>
        <w:t xml:space="preserve"> and mAb-FcγR binding affinity and</w:t>
      </w:r>
      <w:r w:rsidR="00196107">
        <w:t xml:space="preserve"> binding</w:t>
      </w:r>
      <w:r>
        <w:t xml:space="preserve"> </w:t>
      </w:r>
      <w:r w:rsidRPr="00B25A8C">
        <w:t>site [</w:t>
      </w:r>
      <w:r w:rsidR="00DC3D89" w:rsidRPr="00B25A8C">
        <w:t>Cymer et al., 2019</w:t>
      </w:r>
      <w:r w:rsidR="00B25A8C" w:rsidRPr="00B25A8C">
        <w:t xml:space="preserve">, </w:t>
      </w:r>
      <w:r w:rsidR="00B25A8C" w:rsidRPr="00B25A8C">
        <w:t>Wang 2024</w:t>
      </w:r>
      <w:r w:rsidR="00B25A8C" w:rsidRPr="00B25A8C">
        <w:t>, Goulet et al., 2018</w:t>
      </w:r>
      <w:r w:rsidR="007D73FA" w:rsidRPr="00B25A8C">
        <w:t xml:space="preserve">]. </w:t>
      </w:r>
      <w:r w:rsidRPr="00B25A8C">
        <w:t>Qualified</w:t>
      </w:r>
      <w:r w:rsidRPr="009F5999">
        <w:t>, open-source, high-</w:t>
      </w:r>
      <w:r w:rsidRPr="009F5999">
        <w:t>throughput</w:t>
      </w:r>
      <w:r w:rsidRPr="009F5999">
        <w:t xml:space="preserve"> PBPK workflow integrating </w:t>
      </w:r>
      <w:r w:rsidR="00C81BB6">
        <w:t>ML</w:t>
      </w:r>
      <w:r w:rsidRPr="009F5999">
        <w:t xml:space="preserve"> models based predictions of mAb ADME related parameters and human PK predictions can support functional discovery and optimization of mAbs to replace animals-based </w:t>
      </w:r>
      <w:r w:rsidR="00A42F3A">
        <w:t xml:space="preserve">mAb </w:t>
      </w:r>
      <w:r w:rsidRPr="009F5999">
        <w:t>discovery methods [</w:t>
      </w:r>
      <w:r w:rsidRPr="00435435">
        <w:t xml:space="preserve">Han </w:t>
      </w:r>
      <w:r w:rsidRPr="00435435">
        <w:t>et al.,</w:t>
      </w:r>
      <w:r w:rsidRPr="00435435">
        <w:t xml:space="preserve"> 2025]. </w:t>
      </w:r>
      <w:r w:rsidRPr="00435435">
        <w:t>Moreover, t</w:t>
      </w:r>
      <w:r w:rsidRPr="00435435">
        <w:t>arget expression levels and target-expressing cell concentrations at each</w:t>
      </w:r>
      <w:r w:rsidRPr="009F5999">
        <w:t xml:space="preserve"> tissue site are key parameters influencing TMDD behavior and PK predictions.</w:t>
      </w:r>
      <w:r>
        <w:t xml:space="preserve"> </w:t>
      </w:r>
      <w:r w:rsidR="002D308A" w:rsidRPr="007F17C3">
        <w:t>Integration of PBPK models with large language models (LLMs) using a retrieval-augmented generation (RAG) framework</w:t>
      </w:r>
      <w:r>
        <w:t xml:space="preserve"> </w:t>
      </w:r>
      <w:r w:rsidR="002D308A" w:rsidRPr="007F17C3">
        <w:t xml:space="preserve">could enable automated extraction </w:t>
      </w:r>
      <w:r>
        <w:t>target-relevant data</w:t>
      </w:r>
      <w:r w:rsidR="002D308A" w:rsidRPr="007F17C3">
        <w:t xml:space="preserve"> from the literature </w:t>
      </w:r>
      <w:r>
        <w:t>or omics database to</w:t>
      </w:r>
      <w:r w:rsidR="002D308A" w:rsidRPr="007F17C3">
        <w:t xml:space="preserve"> inform </w:t>
      </w:r>
      <w:r>
        <w:t>PBPK</w:t>
      </w:r>
      <w:r w:rsidR="002D308A" w:rsidRPr="007F17C3">
        <w:t xml:space="preserve"> models</w:t>
      </w:r>
      <w:r w:rsidR="002C6FDB">
        <w:t xml:space="preserve"> [Saini </w:t>
      </w:r>
      <w:r w:rsidR="00097A16">
        <w:t xml:space="preserve">and Farnoud </w:t>
      </w:r>
      <w:r w:rsidR="002C6FDB">
        <w:t>2025]</w:t>
      </w:r>
      <w:r w:rsidR="002D308A" w:rsidRPr="007F17C3">
        <w:t>.</w:t>
      </w:r>
      <w:r w:rsidR="00921C57">
        <w:t xml:space="preserve"> </w:t>
      </w:r>
      <w:r w:rsidR="00921C57" w:rsidRPr="00921C57">
        <w:t>Although PBPK</w:t>
      </w:r>
      <w:r w:rsidR="00921C57">
        <w:t>-ML</w:t>
      </w:r>
      <w:r w:rsidR="00921C57" w:rsidRPr="00921C57">
        <w:t xml:space="preserve"> integration is not yet publicly available within </w:t>
      </w:r>
      <w:r w:rsidR="00921C57">
        <w:t xml:space="preserve">PBPK </w:t>
      </w:r>
      <w:r w:rsidR="00921C57" w:rsidRPr="00921C57">
        <w:t xml:space="preserve">platforms such as PK-Sim®, the rapid pace of advancement in this area warrants its inclusion in the validation context to ensure the </w:t>
      </w:r>
      <w:r w:rsidR="00921C57">
        <w:t>approach</w:t>
      </w:r>
      <w:r w:rsidR="00921C57" w:rsidRPr="00921C57">
        <w:t xml:space="preserve"> remains relevant at the time of implementation.</w:t>
      </w:r>
    </w:p>
    <w:p w14:paraId="4A51D2C2" w14:textId="2362E9E7" w:rsidR="00456D3D" w:rsidRDefault="00456D3D" w:rsidP="00456D3D">
      <w:pPr>
        <w:pStyle w:val="Heading1"/>
      </w:pPr>
      <w:r w:rsidRPr="00A675FF">
        <w:t>Biological Model Relevance</w:t>
      </w:r>
    </w:p>
    <w:p w14:paraId="37AF090A" w14:textId="77777777" w:rsidR="000A33A6" w:rsidRDefault="00522985" w:rsidP="000A33A6">
      <w:r w:rsidRPr="0017608A">
        <w:t xml:space="preserve">PBPK models </w:t>
      </w:r>
      <w:r>
        <w:t xml:space="preserve">can </w:t>
      </w:r>
      <w:r w:rsidR="00456D3D" w:rsidRPr="0017608A">
        <w:t>integrat</w:t>
      </w:r>
      <w:r>
        <w:t>e</w:t>
      </w:r>
      <w:r w:rsidR="00456D3D" w:rsidRPr="0017608A">
        <w:t xml:space="preserve"> </w:t>
      </w:r>
      <w:r w:rsidR="00456D3D">
        <w:t>in vitro</w:t>
      </w:r>
      <w:r w:rsidR="00456D3D" w:rsidRPr="0017608A">
        <w:t xml:space="preserve"> </w:t>
      </w:r>
      <w:r w:rsidR="00456D3D">
        <w:t xml:space="preserve">data </w:t>
      </w:r>
      <w:r w:rsidR="00456D3D" w:rsidRPr="0017608A">
        <w:t xml:space="preserve">and </w:t>
      </w:r>
      <w:r w:rsidR="00456D3D">
        <w:t>physiological information</w:t>
      </w:r>
      <w:r w:rsidR="00456D3D" w:rsidRPr="0017608A">
        <w:t xml:space="preserve"> to simulate drug absorption, distribution, metabolism, and </w:t>
      </w:r>
      <w:r w:rsidR="00456D3D">
        <w:t>elimination</w:t>
      </w:r>
      <w:r w:rsidR="00456D3D" w:rsidRPr="0017608A">
        <w:t xml:space="preserve"> in virtual </w:t>
      </w:r>
      <w:r w:rsidR="002E7A90">
        <w:t xml:space="preserve">preclinical or human </w:t>
      </w:r>
      <w:r w:rsidR="00456D3D" w:rsidRPr="0017608A">
        <w:t xml:space="preserve">populations </w:t>
      </w:r>
      <w:r w:rsidR="000629F7" w:rsidRPr="002B3CE2">
        <w:t>[</w:t>
      </w:r>
      <w:r w:rsidR="002B3CE2" w:rsidRPr="002B3CE2">
        <w:t xml:space="preserve">Mehta </w:t>
      </w:r>
      <w:r w:rsidR="007142B3" w:rsidRPr="00052F67">
        <w:t xml:space="preserve">et al., </w:t>
      </w:r>
      <w:r w:rsidR="002B3CE2" w:rsidRPr="002B3CE2">
        <w:t>2025</w:t>
      </w:r>
      <w:r w:rsidR="000629F7" w:rsidRPr="002B3CE2">
        <w:t>]</w:t>
      </w:r>
      <w:r w:rsidR="00456D3D" w:rsidRPr="002B3CE2">
        <w:t>.</w:t>
      </w:r>
      <w:r w:rsidR="00456D3D">
        <w:t xml:space="preserve"> </w:t>
      </w:r>
      <w:r>
        <w:t>To date, both w</w:t>
      </w:r>
      <w:r w:rsidR="002B3CE2" w:rsidRPr="002B3CE2">
        <w:t xml:space="preserve">hole-body and minimal </w:t>
      </w:r>
      <w:r w:rsidR="00EE5F7F">
        <w:t xml:space="preserve">PBPK </w:t>
      </w:r>
      <w:r w:rsidR="002B3CE2" w:rsidRPr="002B3CE2">
        <w:t>models have advanced significantly, enabling the incorporation of key processes central to mAb disposition</w:t>
      </w:r>
      <w:r w:rsidR="0029214D">
        <w:t xml:space="preserve">, </w:t>
      </w:r>
      <w:r w:rsidR="002B3CE2" w:rsidRPr="00E66C94">
        <w:t xml:space="preserve">such as species-specific physiological factors, nonspecific binding, </w:t>
      </w:r>
      <w:r>
        <w:t>mAb-</w:t>
      </w:r>
      <w:r w:rsidR="002B3CE2" w:rsidRPr="00E66C94">
        <w:t>FcRn interactions and recycling, target-specific binding</w:t>
      </w:r>
      <w:r w:rsidR="002F4F10" w:rsidRPr="00E66C94">
        <w:t xml:space="preserve"> and non-linear elimination</w:t>
      </w:r>
      <w:r w:rsidR="002B3CE2" w:rsidRPr="00E66C94">
        <w:t xml:space="preserve">, pinocytosis, and transcytosis [Ferl </w:t>
      </w:r>
      <w:r w:rsidR="007142B3" w:rsidRPr="00052F67">
        <w:t xml:space="preserve">et al., </w:t>
      </w:r>
      <w:r w:rsidR="002B3CE2" w:rsidRPr="00E66C94">
        <w:t>2005</w:t>
      </w:r>
      <w:r w:rsidR="002B3CE2">
        <w:t xml:space="preserve">, </w:t>
      </w:r>
      <w:r w:rsidR="002B3CE2" w:rsidRPr="0003644C">
        <w:t>Garg and Balthasar 2007</w:t>
      </w:r>
      <w:r w:rsidR="002B3CE2">
        <w:t xml:space="preserve">, </w:t>
      </w:r>
      <w:r w:rsidR="002B3CE2" w:rsidRPr="0003644C">
        <w:t xml:space="preserve">Gibbs </w:t>
      </w:r>
      <w:r w:rsidR="007142B3" w:rsidRPr="00052F67">
        <w:t xml:space="preserve">et al., </w:t>
      </w:r>
      <w:r w:rsidR="002B3CE2" w:rsidRPr="0003644C">
        <w:t>2008</w:t>
      </w:r>
      <w:r w:rsidR="002B3CE2">
        <w:t xml:space="preserve">, </w:t>
      </w:r>
      <w:r w:rsidR="002B3CE2" w:rsidRPr="0003644C">
        <w:t xml:space="preserve">Baxter </w:t>
      </w:r>
      <w:r w:rsidR="007142B3" w:rsidRPr="00052F67">
        <w:t xml:space="preserve">et al., </w:t>
      </w:r>
      <w:r w:rsidR="002B3CE2" w:rsidRPr="0003644C">
        <w:t>2012</w:t>
      </w:r>
      <w:r w:rsidR="002F4F10">
        <w:t xml:space="preserve">, </w:t>
      </w:r>
      <w:r w:rsidR="002F4F10" w:rsidRPr="0003644C">
        <w:t>Glassman and Balthasar 2016</w:t>
      </w:r>
      <w:r w:rsidR="002F4F10">
        <w:t>, G</w:t>
      </w:r>
      <w:r w:rsidR="002F4F10" w:rsidRPr="0003644C">
        <w:t xml:space="preserve">ill </w:t>
      </w:r>
      <w:r w:rsidR="007142B3" w:rsidRPr="00052F67">
        <w:t xml:space="preserve">et al., </w:t>
      </w:r>
      <w:r w:rsidR="002F4F10" w:rsidRPr="0003644C">
        <w:t>2016</w:t>
      </w:r>
      <w:r w:rsidR="002B3CE2">
        <w:t>].</w:t>
      </w:r>
      <w:r w:rsidR="002F4F10">
        <w:t xml:space="preserve"> PBPK models have </w:t>
      </w:r>
      <w:r w:rsidR="0003644C" w:rsidRPr="0003644C">
        <w:t>demonstrated</w:t>
      </w:r>
      <w:r w:rsidR="002F4F10">
        <w:t xml:space="preserve"> to be excellent </w:t>
      </w:r>
      <w:r w:rsidR="007142B3">
        <w:t>tools</w:t>
      </w:r>
      <w:r w:rsidR="002F4F10">
        <w:t xml:space="preserve"> for </w:t>
      </w:r>
      <w:r w:rsidR="0003644C" w:rsidRPr="0003644C">
        <w:t>cross-species translation, supporting</w:t>
      </w:r>
      <w:r w:rsidR="002F4F10">
        <w:t xml:space="preserve"> numerous</w:t>
      </w:r>
      <w:r w:rsidR="0003644C" w:rsidRPr="0003644C">
        <w:t xml:space="preserve"> first-in-human</w:t>
      </w:r>
      <w:r w:rsidR="00E56E25">
        <w:t xml:space="preserve"> (FIH)</w:t>
      </w:r>
      <w:r w:rsidR="0003644C" w:rsidRPr="0003644C">
        <w:t xml:space="preserve"> dose projections</w:t>
      </w:r>
      <w:r w:rsidR="002F4F10">
        <w:t xml:space="preserve"> [Baxter</w:t>
      </w:r>
      <w:r w:rsidR="007142B3">
        <w:t xml:space="preserve"> </w:t>
      </w:r>
      <w:r w:rsidR="007142B3" w:rsidRPr="00052F67">
        <w:t xml:space="preserve">et al., </w:t>
      </w:r>
      <w:r w:rsidR="002F4F10">
        <w:t>2012]</w:t>
      </w:r>
      <w:r w:rsidR="0003644C" w:rsidRPr="0003644C">
        <w:t xml:space="preserve">. </w:t>
      </w:r>
      <w:r w:rsidRPr="003314C4">
        <w:t xml:space="preserve">It also </w:t>
      </w:r>
      <w:r>
        <w:t>allows s</w:t>
      </w:r>
      <w:r w:rsidRPr="003314C4">
        <w:t xml:space="preserve">imulation across different species, populations, and administration routes, making it a robust tool for predicting the </w:t>
      </w:r>
      <w:r>
        <w:t>PK</w:t>
      </w:r>
      <w:r w:rsidRPr="003314C4">
        <w:t xml:space="preserve"> of mAbs in preclinical </w:t>
      </w:r>
      <w:r>
        <w:t>species and in humans</w:t>
      </w:r>
      <w:r w:rsidRPr="003314C4">
        <w:t>.</w:t>
      </w:r>
      <w:r>
        <w:t xml:space="preserve"> </w:t>
      </w:r>
      <w:r w:rsidR="00812E39">
        <w:t>Case studies</w:t>
      </w:r>
      <w:r w:rsidR="008C0AD5">
        <w:t xml:space="preserve"> </w:t>
      </w:r>
      <w:r w:rsidR="00812E39">
        <w:t>have demonstrated that the predictions of models based on “a</w:t>
      </w:r>
      <w:r w:rsidR="008C0AD5">
        <w:t xml:space="preserve"> </w:t>
      </w:r>
      <w:r w:rsidR="00812E39">
        <w:t>priori</w:t>
      </w:r>
      <w:r>
        <w:t>”</w:t>
      </w:r>
      <w:r w:rsidR="00812E39">
        <w:t xml:space="preserve"> in silico approach using in vitro data and prior</w:t>
      </w:r>
      <w:r w:rsidR="008C0AD5">
        <w:t xml:space="preserve"> </w:t>
      </w:r>
      <w:r w:rsidR="00812E39">
        <w:t>knowledge have shown reasonable agreement with in vivo</w:t>
      </w:r>
      <w:r w:rsidR="008C0AD5">
        <w:t xml:space="preserve"> </w:t>
      </w:r>
      <w:r w:rsidR="00812E39">
        <w:t>observed data for numerous small molecules and biologics</w:t>
      </w:r>
      <w:r w:rsidR="008C0AD5">
        <w:t xml:space="preserve"> [Mehta </w:t>
      </w:r>
      <w:r w:rsidR="007142B3" w:rsidRPr="00052F67">
        <w:t xml:space="preserve">et al., </w:t>
      </w:r>
      <w:r w:rsidR="008C0AD5">
        <w:t xml:space="preserve">2025, </w:t>
      </w:r>
      <w:r w:rsidR="00A80023">
        <w:t xml:space="preserve">Jones </w:t>
      </w:r>
      <w:r w:rsidR="007142B3" w:rsidRPr="00052F67">
        <w:t xml:space="preserve">et al., </w:t>
      </w:r>
      <w:r w:rsidR="00A80023">
        <w:t xml:space="preserve">2019, </w:t>
      </w:r>
      <w:r w:rsidR="008C0AD5">
        <w:t xml:space="preserve">Yuan </w:t>
      </w:r>
      <w:r w:rsidR="007142B3" w:rsidRPr="00052F67">
        <w:t xml:space="preserve">et al., et al., </w:t>
      </w:r>
      <w:r w:rsidR="008C0AD5">
        <w:t>2022, Hu 2022, Bal</w:t>
      </w:r>
      <w:r w:rsidR="007142B3">
        <w:t xml:space="preserve"> </w:t>
      </w:r>
      <w:r w:rsidR="007142B3" w:rsidRPr="00052F67">
        <w:t xml:space="preserve">et al., </w:t>
      </w:r>
      <w:r w:rsidR="008C0AD5">
        <w:lastRenderedPageBreak/>
        <w:t xml:space="preserve">2023]. </w:t>
      </w:r>
      <w:r w:rsidR="000A33A6" w:rsidRPr="00CC00B6">
        <w:t>PBPK</w:t>
      </w:r>
      <w:r w:rsidR="000A33A6">
        <w:t xml:space="preserve"> models are biologically relevant</w:t>
      </w:r>
      <w:r w:rsidR="000A33A6" w:rsidRPr="00CC00B6">
        <w:t xml:space="preserve"> </w:t>
      </w:r>
      <w:r w:rsidR="000A33A6">
        <w:t xml:space="preserve">for </w:t>
      </w:r>
      <w:r w:rsidR="000A33A6" w:rsidRPr="00CC00B6">
        <w:t xml:space="preserve">predicting </w:t>
      </w:r>
      <w:r w:rsidR="000A33A6">
        <w:t>PK of mAbs</w:t>
      </w:r>
      <w:r w:rsidR="000A33A6" w:rsidRPr="00CC00B6">
        <w:t xml:space="preserve"> using in vitro data across species, supporting dose selection and translational decisions </w:t>
      </w:r>
      <w:r w:rsidR="000A33A6">
        <w:t>for mAbs</w:t>
      </w:r>
      <w:r w:rsidR="000A33A6" w:rsidRPr="00CC00B6">
        <w:t>.</w:t>
      </w:r>
      <w:r w:rsidR="000A33A6">
        <w:t xml:space="preserve"> </w:t>
      </w:r>
    </w:p>
    <w:p w14:paraId="31B64445" w14:textId="77777777" w:rsidR="00052F67" w:rsidRDefault="00052F67" w:rsidP="00052F67">
      <w:pPr>
        <w:pStyle w:val="Heading1"/>
      </w:pPr>
      <w:r w:rsidRPr="00A675FF">
        <w:t>Regulatory Relevance</w:t>
      </w:r>
    </w:p>
    <w:p w14:paraId="78506BE3" w14:textId="460795EB" w:rsidR="00052F67" w:rsidRPr="00052F67" w:rsidRDefault="00052F67" w:rsidP="00052F67">
      <w:r w:rsidRPr="00052F67">
        <w:t xml:space="preserve">The proposed project concept directly aligns with regulatory priorities and the FDA’s recent roadmap to </w:t>
      </w:r>
      <w:r w:rsidR="00190074" w:rsidRPr="00052F67">
        <w:t>reduce</w:t>
      </w:r>
      <w:r w:rsidRPr="00052F67">
        <w:t xml:space="preserve"> animal testing </w:t>
      </w:r>
      <w:r w:rsidR="00197EA8">
        <w:t xml:space="preserve">[FDA 2025, </w:t>
      </w:r>
      <w:r w:rsidR="00197EA8" w:rsidRPr="00052F67">
        <w:t>FDA</w:t>
      </w:r>
      <w:r w:rsidR="00197EA8">
        <w:t xml:space="preserve"> </w:t>
      </w:r>
      <w:r w:rsidR="00197EA8" w:rsidRPr="00052F67">
        <w:t>2023</w:t>
      </w:r>
      <w:r w:rsidR="00197EA8">
        <w:t>]</w:t>
      </w:r>
      <w:r w:rsidRPr="00052F67">
        <w:t xml:space="preserve">. </w:t>
      </w:r>
      <w:r w:rsidR="00190074">
        <w:t xml:space="preserve"> PBPK </w:t>
      </w:r>
      <w:r w:rsidRPr="00052F67">
        <w:t xml:space="preserve">approaches have already been recognized for their regulatory utility in model-informed drug development </w:t>
      </w:r>
      <w:r w:rsidR="00190074">
        <w:t>[</w:t>
      </w:r>
      <w:r w:rsidRPr="00052F67">
        <w:t>Zhao et al., 2011; Sager et al., 2015</w:t>
      </w:r>
      <w:r w:rsidR="00190074">
        <w:t xml:space="preserve">]. </w:t>
      </w:r>
      <w:r w:rsidR="008514B6" w:rsidRPr="008514B6">
        <w:t>Both the FDA and the EMA have issued guidance</w:t>
      </w:r>
      <w:r w:rsidR="008514B6">
        <w:t xml:space="preserve"> document</w:t>
      </w:r>
      <w:r w:rsidR="008514B6" w:rsidRPr="008514B6">
        <w:t xml:space="preserve">s recognizing </w:t>
      </w:r>
      <w:r w:rsidR="008514B6">
        <w:t>PBPK</w:t>
      </w:r>
      <w:r w:rsidR="008514B6" w:rsidRPr="008514B6">
        <w:t xml:space="preserve"> modeling as a valuable tool to inform first-in-human (FIH) dose selection</w:t>
      </w:r>
      <w:r w:rsidR="008514B6">
        <w:t xml:space="preserve"> </w:t>
      </w:r>
      <w:r w:rsidR="008514B6" w:rsidRPr="00052F67">
        <w:t>[</w:t>
      </w:r>
      <w:r w:rsidR="008514B6">
        <w:t>FDA 2018, EMA 2018]</w:t>
      </w:r>
      <w:r w:rsidR="008514B6" w:rsidRPr="00052F67">
        <w:t xml:space="preserve">. </w:t>
      </w:r>
      <w:r w:rsidR="008514B6">
        <w:t xml:space="preserve"> </w:t>
      </w:r>
      <w:r w:rsidR="008514B6" w:rsidRPr="008514B6">
        <w:t>Endorsements highlight PBPK’s role in improving dose justification, supporting regulatory submissions, and reducing uncertainty in early clinical development.</w:t>
      </w:r>
      <w:r w:rsidR="008514B6">
        <w:t xml:space="preserve"> </w:t>
      </w:r>
      <w:r w:rsidR="00EE01DB">
        <w:t>T</w:t>
      </w:r>
      <w:r w:rsidR="00EE01DB" w:rsidRPr="00496B6E">
        <w:t>he FDA and EMA endorse the qualification of</w:t>
      </w:r>
      <w:r w:rsidR="00EE01DB">
        <w:t xml:space="preserve"> </w:t>
      </w:r>
      <w:r w:rsidR="00EE01DB" w:rsidRPr="00496B6E">
        <w:t xml:space="preserve">PBPK platforms for specific applications, requiring comprehensive documentation and validation to ensure model reliability and predictive performance. For instance, the EMA's guideline on PBPK modeling emphasizes the need for qualification reports to demonstrate the platform's ability to predict observed outcomes, with a focus on transparency and reproducibility </w:t>
      </w:r>
      <w:r w:rsidR="00EE01DB">
        <w:t>[EMA</w:t>
      </w:r>
      <w:r w:rsidR="00EE01DB" w:rsidRPr="00496B6E">
        <w:t xml:space="preserve"> 2018</w:t>
      </w:r>
      <w:r w:rsidR="00EE01DB">
        <w:t>]</w:t>
      </w:r>
      <w:r w:rsidR="00EE01DB" w:rsidRPr="00496B6E">
        <w:t>.</w:t>
      </w:r>
      <w:r w:rsidR="00EE01DB">
        <w:t xml:space="preserve"> </w:t>
      </w:r>
      <w:r w:rsidR="008514B6" w:rsidRPr="008514B6">
        <w:t>Th</w:t>
      </w:r>
      <w:r w:rsidR="008514B6">
        <w:t xml:space="preserve">e proposed </w:t>
      </w:r>
      <w:r w:rsidR="008514B6" w:rsidRPr="008514B6">
        <w:t xml:space="preserve">project </w:t>
      </w:r>
      <w:r w:rsidR="008514B6">
        <w:t xml:space="preserve">will </w:t>
      </w:r>
      <w:r w:rsidR="00EE01DB">
        <w:t>build</w:t>
      </w:r>
      <w:r w:rsidR="008514B6" w:rsidRPr="008514B6">
        <w:t xml:space="preserve"> </w:t>
      </w:r>
      <w:r w:rsidR="00EE01DB">
        <w:t xml:space="preserve">on the current </w:t>
      </w:r>
      <w:r w:rsidR="008514B6" w:rsidRPr="008514B6">
        <w:t>regulatory momentum and established</w:t>
      </w:r>
      <w:r w:rsidR="00EE01DB">
        <w:t xml:space="preserve"> regulatory</w:t>
      </w:r>
      <w:r w:rsidR="008514B6" w:rsidRPr="008514B6">
        <w:t xml:space="preserve"> guidance by leveraging PBPK modeling as a recognized tool to support</w:t>
      </w:r>
      <w:r w:rsidR="008514B6">
        <w:t xml:space="preserve"> reduction in use of animals in PK studies, while supporting comprehensive evaluation of mAb’s PK to support</w:t>
      </w:r>
      <w:r w:rsidR="008514B6" w:rsidRPr="008514B6">
        <w:t xml:space="preserve"> </w:t>
      </w:r>
      <w:r w:rsidR="008514B6">
        <w:t>FIH</w:t>
      </w:r>
      <w:r w:rsidR="008514B6" w:rsidRPr="008514B6">
        <w:t xml:space="preserve"> dose selection</w:t>
      </w:r>
      <w:r w:rsidR="008514B6">
        <w:t xml:space="preserve"> and</w:t>
      </w:r>
      <w:r w:rsidR="008514B6" w:rsidRPr="008514B6">
        <w:t xml:space="preserve"> reduce uncertainty in early drug development.</w:t>
      </w:r>
    </w:p>
    <w:p w14:paraId="36053300" w14:textId="54312488" w:rsidR="004A75C9" w:rsidRPr="00A675FF" w:rsidRDefault="004A75C9" w:rsidP="004A75C9">
      <w:pPr>
        <w:pStyle w:val="Heading1"/>
      </w:pPr>
      <w:r>
        <w:t xml:space="preserve">Maturity, </w:t>
      </w:r>
      <w:r w:rsidR="00A675FF" w:rsidRPr="00A675FF">
        <w:t>Performance</w:t>
      </w:r>
      <w:r>
        <w:t>/</w:t>
      </w:r>
      <w:r w:rsidRPr="00A675FF">
        <w:t>Rigor</w:t>
      </w:r>
      <w:r>
        <w:t>,</w:t>
      </w:r>
      <w:r w:rsidRPr="00A675FF">
        <w:t xml:space="preserve"> and Reproducibility </w:t>
      </w:r>
    </w:p>
    <w:p w14:paraId="1F1E96AA" w14:textId="02086EDB" w:rsidR="000A33A6" w:rsidRDefault="000A33A6" w:rsidP="000A33A6">
      <w:r w:rsidRPr="0022264B">
        <w:t xml:space="preserve">The </w:t>
      </w:r>
      <w:r w:rsidRPr="008E55CD">
        <w:t>predictive performance of</w:t>
      </w:r>
      <w:r w:rsidRPr="0022264B">
        <w:t xml:space="preserve"> PBPK </w:t>
      </w:r>
      <w:r>
        <w:t>for the proposed application</w:t>
      </w:r>
      <w:r w:rsidRPr="0022264B">
        <w:t xml:space="preserve"> will be governed by how well the model structure captures the dominant mechanisms for the question being asked</w:t>
      </w:r>
      <w:r>
        <w:t xml:space="preserve"> and </w:t>
      </w:r>
      <w:r w:rsidRPr="0022264B">
        <w:t xml:space="preserve">by the quality of </w:t>
      </w:r>
      <w:r>
        <w:t>the</w:t>
      </w:r>
      <w:r w:rsidRPr="0022264B">
        <w:t xml:space="preserve"> input</w:t>
      </w:r>
      <w:r>
        <w:t xml:space="preserve"> parameters</w:t>
      </w:r>
      <w:r w:rsidRPr="0022264B">
        <w:t xml:space="preserve">. PBPK model inputs for mAbs come from two sources: (1) established species-specific physiological priors from curated databases and literature, and (2) mAb- and target-specific experimental measurements or literature values that must be gathered </w:t>
      </w:r>
      <w:r>
        <w:t xml:space="preserve">from literature </w:t>
      </w:r>
      <w:r w:rsidRPr="0022264B">
        <w:t>or generated (in vitro FcRn and target binding kinetics, target expression and turnover, cellular uptake rates).</w:t>
      </w:r>
      <w:r>
        <w:t xml:space="preserve"> </w:t>
      </w:r>
      <w:r>
        <w:rPr>
          <w:noProof/>
        </w:rPr>
        <w:t>We propose using the open-source PBPK platform OSP Suite, with PK-Sim® and Mobi®, for this project</w:t>
      </w:r>
      <w:r>
        <w:t xml:space="preserve">. </w:t>
      </w:r>
      <w:r w:rsidRPr="0022264B">
        <w:t xml:space="preserve">PK-Sim® </w:t>
      </w:r>
      <w:r>
        <w:t>provides an open, transparent platform and a curated database of species-specific physiological parameters (organ volumes, blood flows, lymph flows, FcRn expression,</w:t>
      </w:r>
      <w:r w:rsidRPr="0022264B">
        <w:t xml:space="preserve"> where available) that enable rapid assembly of whole-body PBPK models for humans and </w:t>
      </w:r>
      <w:r>
        <w:t xml:space="preserve">preclinical </w:t>
      </w:r>
      <w:r w:rsidRPr="0022264B">
        <w:t>species</w:t>
      </w:r>
      <w:r>
        <w:t xml:space="preserve"> [</w:t>
      </w:r>
      <w:hyperlink r:id="rId8" w:history="1">
        <w:r w:rsidRPr="008D50AB">
          <w:rPr>
            <w:rStyle w:val="Hyperlink"/>
            <w:noProof/>
          </w:rPr>
          <w:t>https://www.open-systems-pharmacology.org</w:t>
        </w:r>
      </w:hyperlink>
      <w:r>
        <w:t>]</w:t>
      </w:r>
      <w:r w:rsidRPr="0022264B">
        <w:t xml:space="preserve">. </w:t>
      </w:r>
      <w:r w:rsidRPr="00272372">
        <w:t xml:space="preserve">PK-Sim® </w:t>
      </w:r>
      <w:r>
        <w:t>is a well-evaluated</w:t>
      </w:r>
      <w:r w:rsidRPr="00272372">
        <w:t xml:space="preserve"> </w:t>
      </w:r>
      <w:r>
        <w:t>PBPK</w:t>
      </w:r>
      <w:r w:rsidRPr="00272372">
        <w:t xml:space="preserve"> platform, having met </w:t>
      </w:r>
      <w:r>
        <w:t xml:space="preserve">high reproducibility, </w:t>
      </w:r>
      <w:r w:rsidRPr="00272372">
        <w:t>predictive performance, transparency, and version</w:t>
      </w:r>
      <w:r w:rsidRPr="00272372">
        <w:rPr>
          <w:rFonts w:ascii="Cambria Math" w:hAnsi="Cambria Math" w:cs="Cambria Math"/>
        </w:rPr>
        <w:t>‐</w:t>
      </w:r>
      <w:r w:rsidRPr="00272372">
        <w:t>specific qualification</w:t>
      </w:r>
      <w:r>
        <w:t xml:space="preserve"> [</w:t>
      </w:r>
      <w:r w:rsidRPr="00272372">
        <w:t>Basu</w:t>
      </w:r>
      <w:r w:rsidRPr="007515FB">
        <w:t xml:space="preserve"> et al., 2020, Pasquiers et al., 2023, Kagan et al., 2025, </w:t>
      </w:r>
      <w:r w:rsidRPr="007515FB">
        <w:lastRenderedPageBreak/>
        <w:t>Nestorov et al., 2024</w:t>
      </w:r>
      <w:r>
        <w:t>]</w:t>
      </w:r>
      <w:r w:rsidRPr="00272372">
        <w:t>.</w:t>
      </w:r>
      <w:r>
        <w:t xml:space="preserve"> </w:t>
      </w:r>
      <w:r w:rsidRPr="00146A0E">
        <w:t>Importantly, the open-source and version-controlled nature of the Open Systems Pharmacology Suite</w:t>
      </w:r>
      <w:r>
        <w:t>, with an embedded GitHub-hosted qualification framework [</w:t>
      </w:r>
      <w:r w:rsidR="00057297" w:rsidRPr="00057297">
        <w:t>Frechen</w:t>
      </w:r>
      <w:r w:rsidR="00057297">
        <w:t xml:space="preserve"> </w:t>
      </w:r>
      <w:r w:rsidR="00057297" w:rsidRPr="00146A0E">
        <w:t>et al.,</w:t>
      </w:r>
      <w:r w:rsidR="00057297">
        <w:t xml:space="preserve"> 2021</w:t>
      </w:r>
      <w:r>
        <w:t>],</w:t>
      </w:r>
      <w:r w:rsidRPr="00146A0E">
        <w:t xml:space="preserve"> ensures reproducibility and transparency of PBPK model development and results </w:t>
      </w:r>
      <w:r>
        <w:t>[</w:t>
      </w:r>
      <w:r w:rsidRPr="00146A0E">
        <w:t>Kuepfer et al., 2016</w:t>
      </w:r>
      <w:r>
        <w:t>]</w:t>
      </w:r>
      <w:r w:rsidRPr="00146A0E">
        <w:t>.</w:t>
      </w:r>
      <w:r>
        <w:t xml:space="preserve"> </w:t>
      </w:r>
      <w:r w:rsidRPr="0022264B">
        <w:t xml:space="preserve"> When </w:t>
      </w:r>
      <w:r>
        <w:t xml:space="preserve">the input parameters </w:t>
      </w:r>
      <w:r w:rsidRPr="0022264B">
        <w:t xml:space="preserve">are </w:t>
      </w:r>
      <w:r>
        <w:t>well-</w:t>
      </w:r>
      <w:r w:rsidRPr="0022264B">
        <w:t xml:space="preserve">known or well-characterized, published studies report </w:t>
      </w:r>
      <w:r w:rsidRPr="003F05AE">
        <w:t xml:space="preserve">good predictive performance for </w:t>
      </w:r>
      <w:r>
        <w:t xml:space="preserve">predictions of </w:t>
      </w:r>
      <w:r w:rsidRPr="003F05AE">
        <w:t xml:space="preserve">systemic exposure </w:t>
      </w:r>
      <w:r w:rsidRPr="0022264B">
        <w:t>across species</w:t>
      </w:r>
      <w:r>
        <w:t xml:space="preserve"> [</w:t>
      </w:r>
      <w:r w:rsidRPr="0003644C">
        <w:t>Glassman and Balthasar 2016</w:t>
      </w:r>
      <w:r>
        <w:t xml:space="preserve">]. In general, </w:t>
      </w:r>
      <w:r w:rsidRPr="002A10C8">
        <w:t xml:space="preserve">PK-Sim® </w:t>
      </w:r>
      <w:r>
        <w:t>platform and PBPK approach presents</w:t>
      </w:r>
      <w:r w:rsidRPr="002A10C8">
        <w:t xml:space="preserve"> a</w:t>
      </w:r>
      <w:r>
        <w:t>n open-source,</w:t>
      </w:r>
      <w:r w:rsidRPr="002A10C8">
        <w:t xml:space="preserve"> transparent,</w:t>
      </w:r>
      <w:r>
        <w:t xml:space="preserve"> reproducible,</w:t>
      </w:r>
      <w:r w:rsidRPr="002A10C8">
        <w:t xml:space="preserve"> well-</w:t>
      </w:r>
      <w:r>
        <w:t xml:space="preserve">evaluated mechanistic </w:t>
      </w:r>
      <w:r w:rsidRPr="002A10C8">
        <w:t>platform</w:t>
      </w:r>
      <w:r>
        <w:t>, supported by versioning and model qualification infrastructures,</w:t>
      </w:r>
      <w:r w:rsidRPr="002A10C8">
        <w:t xml:space="preserve"> that integrates curated physiological p</w:t>
      </w:r>
      <w:r>
        <w:t>arameters</w:t>
      </w:r>
      <w:r w:rsidRPr="002A10C8">
        <w:t xml:space="preserve">, enabling robust cross-species predictions whose performance </w:t>
      </w:r>
      <w:r>
        <w:t>for “a priori” PBPK simulations for efficient preclinical PK evaluations should be evaluated, qualified, and validated</w:t>
      </w:r>
      <w:r w:rsidRPr="002A10C8">
        <w:t>.</w:t>
      </w:r>
    </w:p>
    <w:p w14:paraId="37ADCFEC" w14:textId="052B26EB" w:rsidR="00A675FF" w:rsidRDefault="00A675FF" w:rsidP="00C33BAC">
      <w:pPr>
        <w:pStyle w:val="Heading1"/>
      </w:pPr>
      <w:r w:rsidRPr="00A675FF">
        <w:t xml:space="preserve">Inference Model </w:t>
      </w:r>
    </w:p>
    <w:p w14:paraId="3619C206" w14:textId="261EF728" w:rsidR="0020535A" w:rsidRDefault="00EE01DB" w:rsidP="00EE01DB">
      <w:pPr>
        <w:tabs>
          <w:tab w:val="left" w:pos="6197"/>
        </w:tabs>
        <w:rPr>
          <w:rStyle w:val="Strong"/>
          <w:b w:val="0"/>
          <w:bCs w:val="0"/>
        </w:rPr>
      </w:pPr>
      <w:r>
        <w:rPr>
          <w:noProof/>
        </w:rPr>
        <w:t>T</w:t>
      </w:r>
      <w:r w:rsidR="009C31D7">
        <w:rPr>
          <w:noProof/>
        </w:rPr>
        <w:t xml:space="preserve">he </w:t>
      </w:r>
      <w:r>
        <w:rPr>
          <w:noProof/>
        </w:rPr>
        <w:t xml:space="preserve">particular mAb’s PBPK model performance </w:t>
      </w:r>
      <w:r w:rsidR="009C31D7">
        <w:rPr>
          <w:noProof/>
        </w:rPr>
        <w:t xml:space="preserve">can be evaluated based on the </w:t>
      </w:r>
      <w:r w:rsidR="00C5174E">
        <w:rPr>
          <w:noProof/>
        </w:rPr>
        <w:t>established best practices [</w:t>
      </w:r>
      <w:r w:rsidR="00C5174E" w:rsidRPr="00C5174E">
        <w:rPr>
          <w:noProof/>
        </w:rPr>
        <w:t>Schlender</w:t>
      </w:r>
      <w:r w:rsidR="00C5174E">
        <w:rPr>
          <w:noProof/>
        </w:rPr>
        <w:t xml:space="preserve"> 2025], </w:t>
      </w:r>
      <w:r>
        <w:rPr>
          <w:noProof/>
        </w:rPr>
        <w:t xml:space="preserve">for example, using </w:t>
      </w:r>
      <w:r w:rsidR="00C5174E" w:rsidRPr="00C5174E">
        <w:t>performance metrices</w:t>
      </w:r>
      <w:r w:rsidR="00E84CF8">
        <w:t xml:space="preserve">, </w:t>
      </w:r>
      <w:r w:rsidR="00C5174E" w:rsidRPr="00C5174E">
        <w:t>such as</w:t>
      </w:r>
      <w:r w:rsidR="00B94468">
        <w:t xml:space="preserve">. </w:t>
      </w:r>
      <w:r w:rsidR="00F46D3D">
        <w:t>p</w:t>
      </w:r>
      <w:r w:rsidR="00B94468">
        <w:t>ercent error, g</w:t>
      </w:r>
      <w:r w:rsidR="00C5174E" w:rsidRPr="00C5174E">
        <w:rPr>
          <w:rStyle w:val="Strong"/>
          <w:b w:val="0"/>
          <w:bCs w:val="0"/>
        </w:rPr>
        <w:t xml:space="preserve">eometric </w:t>
      </w:r>
      <w:r w:rsidR="00B94468">
        <w:rPr>
          <w:rStyle w:val="Strong"/>
          <w:b w:val="0"/>
          <w:bCs w:val="0"/>
        </w:rPr>
        <w:t>mean f</w:t>
      </w:r>
      <w:r w:rsidR="00C5174E" w:rsidRPr="00C5174E">
        <w:rPr>
          <w:rStyle w:val="Strong"/>
          <w:b w:val="0"/>
          <w:bCs w:val="0"/>
        </w:rPr>
        <w:t xml:space="preserve">old </w:t>
      </w:r>
      <w:r w:rsidR="00B94468">
        <w:rPr>
          <w:rStyle w:val="Strong"/>
          <w:b w:val="0"/>
          <w:bCs w:val="0"/>
        </w:rPr>
        <w:t>e</w:t>
      </w:r>
      <w:r w:rsidR="00C5174E" w:rsidRPr="00C5174E">
        <w:rPr>
          <w:rStyle w:val="Strong"/>
          <w:b w:val="0"/>
          <w:bCs w:val="0"/>
        </w:rPr>
        <w:t>rror</w:t>
      </w:r>
      <w:r w:rsidR="00F46D3D">
        <w:rPr>
          <w:rStyle w:val="Strong"/>
          <w:b w:val="0"/>
          <w:bCs w:val="0"/>
        </w:rPr>
        <w:t>,</w:t>
      </w:r>
      <w:r w:rsidR="00C5174E" w:rsidRPr="00C5174E">
        <w:rPr>
          <w:rStyle w:val="Strong"/>
          <w:b w:val="0"/>
          <w:bCs w:val="0"/>
        </w:rPr>
        <w:t xml:space="preserve"> or </w:t>
      </w:r>
      <w:r w:rsidR="00B94468">
        <w:rPr>
          <w:rStyle w:val="Strong"/>
          <w:b w:val="0"/>
          <w:bCs w:val="0"/>
        </w:rPr>
        <w:t>r</w:t>
      </w:r>
      <w:r w:rsidR="00C5174E" w:rsidRPr="00C5174E">
        <w:rPr>
          <w:rStyle w:val="Strong"/>
          <w:b w:val="0"/>
          <w:bCs w:val="0"/>
        </w:rPr>
        <w:t xml:space="preserve">oot </w:t>
      </w:r>
      <w:r w:rsidR="00B94468">
        <w:rPr>
          <w:rStyle w:val="Strong"/>
          <w:b w:val="0"/>
          <w:bCs w:val="0"/>
        </w:rPr>
        <w:t>me</w:t>
      </w:r>
      <w:r w:rsidR="00C5174E" w:rsidRPr="00C5174E">
        <w:rPr>
          <w:rStyle w:val="Strong"/>
          <w:b w:val="0"/>
          <w:bCs w:val="0"/>
        </w:rPr>
        <w:t xml:space="preserve">an </w:t>
      </w:r>
      <w:r w:rsidR="00B94468">
        <w:rPr>
          <w:rStyle w:val="Strong"/>
          <w:b w:val="0"/>
          <w:bCs w:val="0"/>
        </w:rPr>
        <w:t>s</w:t>
      </w:r>
      <w:r w:rsidR="00C5174E" w:rsidRPr="00C5174E">
        <w:rPr>
          <w:rStyle w:val="Strong"/>
          <w:b w:val="0"/>
          <w:bCs w:val="0"/>
        </w:rPr>
        <w:t xml:space="preserve">quare </w:t>
      </w:r>
      <w:r w:rsidR="00B94468">
        <w:rPr>
          <w:rStyle w:val="Strong"/>
          <w:b w:val="0"/>
          <w:bCs w:val="0"/>
        </w:rPr>
        <w:t>e</w:t>
      </w:r>
      <w:r w:rsidR="00C5174E" w:rsidRPr="00C5174E">
        <w:rPr>
          <w:rStyle w:val="Strong"/>
          <w:b w:val="0"/>
          <w:bCs w:val="0"/>
        </w:rPr>
        <w:t xml:space="preserve">rror </w:t>
      </w:r>
      <w:r w:rsidR="00C5174E">
        <w:rPr>
          <w:rStyle w:val="Strong"/>
          <w:b w:val="0"/>
          <w:bCs w:val="0"/>
        </w:rPr>
        <w:t>in C</w:t>
      </w:r>
      <w:r w:rsidR="00C5174E" w:rsidRPr="0020535A">
        <w:rPr>
          <w:rStyle w:val="Strong"/>
          <w:b w:val="0"/>
          <w:bCs w:val="0"/>
          <w:vertAlign w:val="subscript"/>
        </w:rPr>
        <w:t>max</w:t>
      </w:r>
      <w:r w:rsidR="0020535A">
        <w:rPr>
          <w:rStyle w:val="Strong"/>
          <w:b w:val="0"/>
          <w:bCs w:val="0"/>
        </w:rPr>
        <w:t xml:space="preserve"> a</w:t>
      </w:r>
      <w:r w:rsidR="00C5174E">
        <w:rPr>
          <w:rStyle w:val="Strong"/>
          <w:b w:val="0"/>
          <w:bCs w:val="0"/>
        </w:rPr>
        <w:t>nd/or AUC</w:t>
      </w:r>
      <w:r w:rsidR="00C5174E" w:rsidRPr="00C5174E">
        <w:rPr>
          <w:rStyle w:val="Strong"/>
          <w:b w:val="0"/>
          <w:bCs w:val="0"/>
          <w:vertAlign w:val="subscript"/>
        </w:rPr>
        <w:t xml:space="preserve">0-t </w:t>
      </w:r>
      <w:r w:rsidR="00C5174E">
        <w:rPr>
          <w:rStyle w:val="Strong"/>
          <w:b w:val="0"/>
          <w:bCs w:val="0"/>
        </w:rPr>
        <w:t>measures</w:t>
      </w:r>
      <w:r>
        <w:rPr>
          <w:rStyle w:val="Strong"/>
          <w:b w:val="0"/>
          <w:bCs w:val="0"/>
        </w:rPr>
        <w:t xml:space="preserve">. </w:t>
      </w:r>
      <w:r w:rsidR="0020535A">
        <w:rPr>
          <w:rStyle w:val="Strong"/>
          <w:b w:val="0"/>
          <w:bCs w:val="0"/>
        </w:rPr>
        <w:t>Success of the learning phase of the project can be measured as p</w:t>
      </w:r>
      <w:r w:rsidR="0020535A">
        <w:t>ercentage of successful “a priori PBPK” case studies that can be quantified. Here, successful case studies can be defined as where “a priori PBPK” model-based predictions for exposures (AUC</w:t>
      </w:r>
      <w:r w:rsidR="0020535A" w:rsidRPr="00EE01DB">
        <w:rPr>
          <w:vertAlign w:val="subscript"/>
        </w:rPr>
        <w:t>0-t</w:t>
      </w:r>
      <w:r w:rsidR="0020535A">
        <w:t xml:space="preserve">) are within 2-fold of the observed PK data for NHPs and for humans. Further discussion </w:t>
      </w:r>
      <w:r w:rsidR="00F5022B">
        <w:t>on establishing appropriate credibility assessment criteria will be needed.</w:t>
      </w:r>
    </w:p>
    <w:p w14:paraId="220E736B" w14:textId="0CFC8609" w:rsidR="00A675FF" w:rsidRDefault="00A675FF" w:rsidP="00C33BAC">
      <w:pPr>
        <w:pStyle w:val="Heading1"/>
      </w:pPr>
      <w:r w:rsidRPr="00A675FF">
        <w:t>Potential</w:t>
      </w:r>
      <w:r w:rsidR="00C02A3F">
        <w:t xml:space="preserve"> </w:t>
      </w:r>
      <w:r w:rsidRPr="00A675FF">
        <w:t xml:space="preserve">Reduction or Replacement of Animal Use </w:t>
      </w:r>
    </w:p>
    <w:p w14:paraId="6FACB9C8" w14:textId="37D59E77" w:rsidR="00B92909" w:rsidRDefault="00CB7691" w:rsidP="00CB7691">
      <w:r>
        <w:t>PBPK</w:t>
      </w:r>
      <w:r w:rsidRPr="00CB7691">
        <w:t xml:space="preserve"> models </w:t>
      </w:r>
      <w:r>
        <w:t xml:space="preserve">for </w:t>
      </w:r>
      <w:r w:rsidRPr="00CB7691">
        <w:t>mAbs</w:t>
      </w:r>
      <w:r>
        <w:t xml:space="preserve"> can </w:t>
      </w:r>
      <w:r w:rsidRPr="00CB7691">
        <w:t>provide a powerful framework to reduce</w:t>
      </w:r>
      <w:r>
        <w:t xml:space="preserve">, and eventually </w:t>
      </w:r>
      <w:r w:rsidRPr="00CB7691">
        <w:t>replace</w:t>
      </w:r>
      <w:r>
        <w:t>,</w:t>
      </w:r>
      <w:r w:rsidRPr="00CB7691">
        <w:t xml:space="preserve"> </w:t>
      </w:r>
      <w:r>
        <w:t>in vivo PK studies</w:t>
      </w:r>
      <w:r w:rsidRPr="00CB7691">
        <w:t>. While preclinical PBPK model</w:t>
      </w:r>
      <w:r>
        <w:t xml:space="preserve"> development workflows</w:t>
      </w:r>
      <w:r w:rsidRPr="00CB7691">
        <w:t xml:space="preserve"> have often relied on extensive in vivo datasets for calibration and validation, </w:t>
      </w:r>
      <w:r w:rsidRPr="00CB3207">
        <w:t>case studies show that “a priori in silico” approaches can achieve reasonable agreement with observed data across species without the need for</w:t>
      </w:r>
      <w:r w:rsidR="00C5174E">
        <w:t xml:space="preserve"> extensive</w:t>
      </w:r>
      <w:r w:rsidRPr="00CB3207">
        <w:t xml:space="preserve"> large-scale animal studies</w:t>
      </w:r>
      <w:r w:rsidR="004348C3">
        <w:t xml:space="preserve"> [Mehta et al., 2025].</w:t>
      </w:r>
      <w:r w:rsidR="00CE1F4F">
        <w:t xml:space="preserve"> </w:t>
      </w:r>
      <w:r w:rsidR="00122E5A">
        <w:t xml:space="preserve">We predict that the number of NHPs used for </w:t>
      </w:r>
      <w:r w:rsidR="00347EAA">
        <w:t xml:space="preserve">dedicated </w:t>
      </w:r>
      <w:r w:rsidR="00122E5A">
        <w:t xml:space="preserve">preclinical </w:t>
      </w:r>
      <w:r w:rsidR="00347EAA">
        <w:t>PK or toxicokinetic (TK)</w:t>
      </w:r>
      <w:r w:rsidR="00122E5A">
        <w:t xml:space="preserve"> can be reduced from approximately </w:t>
      </w:r>
      <w:r w:rsidR="00347EAA">
        <w:t>36 (i.e., 3 dose groups, n=3/sex/group, n=18 for each single-dose and repeat-dose PK/TK studies)</w:t>
      </w:r>
      <w:r w:rsidR="00122E5A">
        <w:t xml:space="preserve"> using the current workflow to </w:t>
      </w:r>
      <w:r w:rsidR="00F44483">
        <w:t>approximately 6-12</w:t>
      </w:r>
      <w:r w:rsidR="00122E5A">
        <w:t xml:space="preserve"> with the proposed workflow.</w:t>
      </w:r>
    </w:p>
    <w:p w14:paraId="58E5A5CC" w14:textId="52969513" w:rsidR="00ED784C" w:rsidRDefault="00ED784C" w:rsidP="00CB7691">
      <w:r>
        <w:t>Moreover, a q</w:t>
      </w:r>
      <w:r w:rsidRPr="00B25A8C">
        <w:t>ualified</w:t>
      </w:r>
      <w:r w:rsidRPr="009F5999">
        <w:t xml:space="preserve">, open-source, high-throughput PBPK workflow integrating </w:t>
      </w:r>
      <w:r>
        <w:t>ML</w:t>
      </w:r>
      <w:r w:rsidRPr="009F5999">
        <w:t xml:space="preserve"> models based predictions of mAb ADME related parameters and human PK predictions can support functional discovery and optimization of mAbs to replace animals-based </w:t>
      </w:r>
      <w:r>
        <w:t xml:space="preserve">mAb </w:t>
      </w:r>
      <w:r w:rsidRPr="009F5999">
        <w:t>discovery methods</w:t>
      </w:r>
      <w:r>
        <w:t>.</w:t>
      </w:r>
    </w:p>
    <w:p w14:paraId="040E2067" w14:textId="572BD9C1" w:rsidR="00A675FF" w:rsidRPr="00A675FF" w:rsidRDefault="00A675FF" w:rsidP="00C33BAC">
      <w:pPr>
        <w:pStyle w:val="Heading1"/>
      </w:pPr>
      <w:r w:rsidRPr="00A675FF">
        <w:lastRenderedPageBreak/>
        <w:t xml:space="preserve">Project Feasibility </w:t>
      </w:r>
    </w:p>
    <w:p w14:paraId="2CFDBB67" w14:textId="77777777" w:rsidR="00A675FF" w:rsidRDefault="00A675FF" w:rsidP="006D2AF7">
      <w:pPr>
        <w:pStyle w:val="Heading2"/>
      </w:pPr>
      <w:r w:rsidRPr="00A675FF">
        <w:t xml:space="preserve">Proposed project timeline for validation or qualification of the NAM </w:t>
      </w:r>
    </w:p>
    <w:p w14:paraId="498C4749" w14:textId="051CAB78" w:rsidR="002D694B" w:rsidRDefault="0015246A" w:rsidP="001A0821">
      <w:pPr>
        <w:pStyle w:val="ListParagraph"/>
        <w:numPr>
          <w:ilvl w:val="0"/>
          <w:numId w:val="31"/>
        </w:numPr>
      </w:pPr>
      <w:r>
        <w:t xml:space="preserve">Learning Phase: </w:t>
      </w:r>
      <w:r w:rsidR="002D694B">
        <w:t xml:space="preserve">1-2 years </w:t>
      </w:r>
    </w:p>
    <w:p w14:paraId="119BA455" w14:textId="04C67580" w:rsidR="0015246A" w:rsidRPr="00A675FF" w:rsidRDefault="0015246A" w:rsidP="001A0821">
      <w:pPr>
        <w:pStyle w:val="ListParagraph"/>
        <w:numPr>
          <w:ilvl w:val="0"/>
          <w:numId w:val="31"/>
        </w:numPr>
      </w:pPr>
      <w:r>
        <w:t xml:space="preserve">Confirmatory Phase: 2-3 years </w:t>
      </w:r>
    </w:p>
    <w:p w14:paraId="1D0B29CC" w14:textId="77777777" w:rsidR="00A675FF" w:rsidRDefault="00A675FF" w:rsidP="006D2AF7">
      <w:pPr>
        <w:pStyle w:val="Heading2"/>
      </w:pPr>
      <w:r w:rsidRPr="00A675FF">
        <w:t xml:space="preserve">Existing infrastructure or resources that can be leveraged </w:t>
      </w:r>
    </w:p>
    <w:p w14:paraId="42C32231" w14:textId="502C436D" w:rsidR="00734084" w:rsidRDefault="0015246A" w:rsidP="001A0821">
      <w:pPr>
        <w:pStyle w:val="ListParagraph"/>
        <w:numPr>
          <w:ilvl w:val="0"/>
          <w:numId w:val="30"/>
        </w:numPr>
      </w:pPr>
      <w:r>
        <w:t>O</w:t>
      </w:r>
      <w:r w:rsidRPr="0015246A">
        <w:t>pen-source PBPK platform, PK-Sim® and Mobi®</w:t>
      </w:r>
      <w:r>
        <w:t xml:space="preserve">, </w:t>
      </w:r>
      <w:r w:rsidR="00734084">
        <w:t>can be leveraged</w:t>
      </w:r>
    </w:p>
    <w:p w14:paraId="3A934071" w14:textId="47736902" w:rsidR="00734084" w:rsidRPr="00A675FF" w:rsidRDefault="00734084" w:rsidP="001A0821">
      <w:pPr>
        <w:pStyle w:val="ListParagraph"/>
        <w:numPr>
          <w:ilvl w:val="0"/>
          <w:numId w:val="30"/>
        </w:numPr>
      </w:pPr>
      <w:r>
        <w:t>Additional infrastructure, especially data collection</w:t>
      </w:r>
      <w:r w:rsidR="0015246A">
        <w:t xml:space="preserve"> </w:t>
      </w:r>
      <w:r>
        <w:t>and resources need to be determined</w:t>
      </w:r>
    </w:p>
    <w:p w14:paraId="403CEF3C" w14:textId="4C0FD393" w:rsidR="00734084" w:rsidRDefault="00A675FF" w:rsidP="006D2AF7">
      <w:pPr>
        <w:pStyle w:val="Heading2"/>
      </w:pPr>
      <w:r w:rsidRPr="00A675FF">
        <w:t>Estimated cost or cost range (if enough detail</w:t>
      </w:r>
      <w:r w:rsidR="0034678A">
        <w:t>s are</w:t>
      </w:r>
      <w:r w:rsidRPr="00A675FF">
        <w:t xml:space="preserve"> know</w:t>
      </w:r>
      <w:r w:rsidR="0034678A">
        <w:t>n</w:t>
      </w:r>
      <w:r w:rsidRPr="00A675FF">
        <w:t xml:space="preserve">) </w:t>
      </w:r>
    </w:p>
    <w:p w14:paraId="307C2E70" w14:textId="1D1726C4" w:rsidR="00734084" w:rsidRPr="00A675FF" w:rsidRDefault="00734084" w:rsidP="006D2AF7">
      <w:r>
        <w:t>To be determined</w:t>
      </w:r>
    </w:p>
    <w:p w14:paraId="18DDBD31" w14:textId="40493FB5" w:rsidR="00734084" w:rsidRDefault="00A675FF" w:rsidP="006D2AF7">
      <w:pPr>
        <w:pStyle w:val="Heading2"/>
      </w:pPr>
      <w:r w:rsidRPr="00A675FF">
        <w:t xml:space="preserve">Risk assessment and mitigation strategies (where possible) </w:t>
      </w:r>
    </w:p>
    <w:p w14:paraId="40B3B9EB" w14:textId="16C9DD77" w:rsidR="006D2AF7" w:rsidRPr="006D2AF7" w:rsidRDefault="006D2AF7" w:rsidP="006D2AF7">
      <w:r w:rsidRPr="006D2AF7">
        <w:t xml:space="preserve">The main risks to successful implementation </w:t>
      </w:r>
      <w:r>
        <w:t xml:space="preserve">may </w:t>
      </w:r>
      <w:r w:rsidRPr="006D2AF7">
        <w:t>arise from (1) uncertain or mechanistically critical input parameters, (2) variable data quality and assay heterogeneity, and (3) human or technical errors in model development and execution. These risks can be mitigated by:</w:t>
      </w:r>
    </w:p>
    <w:p w14:paraId="49F04BAE" w14:textId="77777777" w:rsidR="006D2AF7" w:rsidRPr="006D2AF7" w:rsidRDefault="006D2AF7" w:rsidP="006D2AF7">
      <w:pPr>
        <w:pStyle w:val="ListParagraph"/>
        <w:numPr>
          <w:ilvl w:val="0"/>
          <w:numId w:val="30"/>
        </w:numPr>
      </w:pPr>
      <w:r w:rsidRPr="006D2AF7">
        <w:t>Conducting sensitivity analyses to assess the impact of parameter uncertainty on exposure predictions,</w:t>
      </w:r>
    </w:p>
    <w:p w14:paraId="22942DDA" w14:textId="77777777" w:rsidR="006D2AF7" w:rsidRPr="006D2AF7" w:rsidRDefault="006D2AF7" w:rsidP="006D2AF7">
      <w:pPr>
        <w:pStyle w:val="ListParagraph"/>
        <w:numPr>
          <w:ilvl w:val="0"/>
          <w:numId w:val="30"/>
        </w:numPr>
      </w:pPr>
      <w:r w:rsidRPr="006D2AF7">
        <w:t>Applying rigorous quality control (QC) procedures throughout the workflow,</w:t>
      </w:r>
    </w:p>
    <w:p w14:paraId="29AFBD4B" w14:textId="77777777" w:rsidR="006D2AF7" w:rsidRPr="006D2AF7" w:rsidRDefault="006D2AF7" w:rsidP="006D2AF7">
      <w:pPr>
        <w:pStyle w:val="ListParagraph"/>
        <w:numPr>
          <w:ilvl w:val="0"/>
          <w:numId w:val="30"/>
        </w:numPr>
      </w:pPr>
      <w:r w:rsidRPr="006D2AF7">
        <w:t>Using an adaptive confirmatory in vivo calibration strategy (with reduced NHP cohorts) only when model uncertainty for decision-critical outputs remains high, and</w:t>
      </w:r>
    </w:p>
    <w:p w14:paraId="55FDA975" w14:textId="77777777" w:rsidR="006D2AF7" w:rsidRDefault="006D2AF7" w:rsidP="006D2AF7">
      <w:pPr>
        <w:pStyle w:val="ListParagraph"/>
        <w:numPr>
          <w:ilvl w:val="0"/>
          <w:numId w:val="30"/>
        </w:numPr>
      </w:pPr>
      <w:r w:rsidRPr="006D2AF7">
        <w:t>Integrating regulatory engagement and transparent reporting per EMA/FDA PBPK guidance into the qualification plan.</w:t>
      </w:r>
    </w:p>
    <w:p w14:paraId="561FE419" w14:textId="0F8EBAB8" w:rsidR="006D2AF7" w:rsidRPr="006D2AF7" w:rsidRDefault="006D2AF7" w:rsidP="006D2AF7">
      <w:r w:rsidRPr="006D2AF7">
        <w:rPr>
          <w:b/>
          <w:bCs/>
        </w:rPr>
        <w:t>Table 2.</w:t>
      </w:r>
      <w:r>
        <w:t xml:space="preserve"> Potential risks, their causes, and mitigation strategies of the proposed “a priori” PBPK approach.</w:t>
      </w:r>
    </w:p>
    <w:tbl>
      <w:tblPr>
        <w:tblStyle w:val="TableGrid"/>
        <w:tblW w:w="0" w:type="auto"/>
        <w:jc w:val="left"/>
        <w:tblLook w:val="04A0" w:firstRow="1" w:lastRow="0" w:firstColumn="1" w:lastColumn="0" w:noHBand="0" w:noVBand="1"/>
      </w:tblPr>
      <w:tblGrid>
        <w:gridCol w:w="2813"/>
        <w:gridCol w:w="3426"/>
        <w:gridCol w:w="3111"/>
      </w:tblGrid>
      <w:tr w:rsidR="006D2AF7" w:rsidRPr="006D2AF7" w14:paraId="7CEE6D84" w14:textId="77777777" w:rsidTr="007C699A">
        <w:trPr>
          <w:jc w:val="left"/>
        </w:trPr>
        <w:tc>
          <w:tcPr>
            <w:tcW w:w="0" w:type="auto"/>
            <w:hideMark/>
          </w:tcPr>
          <w:p w14:paraId="5839B12A" w14:textId="77777777" w:rsidR="006D2AF7" w:rsidRPr="006D2AF7" w:rsidRDefault="006D2AF7" w:rsidP="006D2AF7">
            <w:pPr>
              <w:spacing w:after="160" w:line="278" w:lineRule="auto"/>
              <w:rPr>
                <w:b/>
                <w:bCs/>
              </w:rPr>
            </w:pPr>
            <w:r w:rsidRPr="006D2AF7">
              <w:rPr>
                <w:b/>
                <w:bCs/>
              </w:rPr>
              <w:t>Potential Risk</w:t>
            </w:r>
          </w:p>
        </w:tc>
        <w:tc>
          <w:tcPr>
            <w:tcW w:w="0" w:type="auto"/>
            <w:hideMark/>
          </w:tcPr>
          <w:p w14:paraId="384E8EDF" w14:textId="77777777" w:rsidR="006D2AF7" w:rsidRPr="006D2AF7" w:rsidRDefault="006D2AF7" w:rsidP="006D2AF7">
            <w:pPr>
              <w:spacing w:after="160" w:line="278" w:lineRule="auto"/>
              <w:rPr>
                <w:b/>
                <w:bCs/>
              </w:rPr>
            </w:pPr>
            <w:r w:rsidRPr="006D2AF7">
              <w:rPr>
                <w:b/>
                <w:bCs/>
              </w:rPr>
              <w:t>Potential Causes</w:t>
            </w:r>
          </w:p>
        </w:tc>
        <w:tc>
          <w:tcPr>
            <w:tcW w:w="0" w:type="auto"/>
            <w:hideMark/>
          </w:tcPr>
          <w:p w14:paraId="38CBC918" w14:textId="77777777" w:rsidR="006D2AF7" w:rsidRPr="006D2AF7" w:rsidRDefault="006D2AF7" w:rsidP="006D2AF7">
            <w:pPr>
              <w:spacing w:after="160" w:line="278" w:lineRule="auto"/>
              <w:rPr>
                <w:b/>
                <w:bCs/>
              </w:rPr>
            </w:pPr>
            <w:r w:rsidRPr="006D2AF7">
              <w:rPr>
                <w:b/>
                <w:bCs/>
              </w:rPr>
              <w:t>Mitigation Strategy / Actions</w:t>
            </w:r>
          </w:p>
        </w:tc>
      </w:tr>
      <w:tr w:rsidR="006D2AF7" w:rsidRPr="006D2AF7" w14:paraId="3A4DB800" w14:textId="77777777" w:rsidTr="007C699A">
        <w:trPr>
          <w:jc w:val="left"/>
        </w:trPr>
        <w:tc>
          <w:tcPr>
            <w:tcW w:w="0" w:type="auto"/>
            <w:hideMark/>
          </w:tcPr>
          <w:p w14:paraId="61EC4BF3" w14:textId="77777777" w:rsidR="006D2AF7" w:rsidRPr="006D2AF7" w:rsidRDefault="006D2AF7" w:rsidP="006D2AF7">
            <w:r w:rsidRPr="006D2AF7">
              <w:t>Highly uncertain key input parameters (FcRn affinity, target binding affinity, internalization rates, target expression, turnover)</w:t>
            </w:r>
          </w:p>
        </w:tc>
        <w:tc>
          <w:tcPr>
            <w:tcW w:w="0" w:type="auto"/>
            <w:hideMark/>
          </w:tcPr>
          <w:p w14:paraId="412A91CD" w14:textId="77777777" w:rsidR="006D2AF7" w:rsidRPr="006D2AF7" w:rsidRDefault="006D2AF7" w:rsidP="007C699A">
            <w:pPr>
              <w:jc w:val="left"/>
            </w:pPr>
            <w:r w:rsidRPr="006D2AF7">
              <w:t>Lack of reliable in vitro data; inconsistent literature values; assay variability; missing data on target density/turnover/tissue localization; species- or disease-specific differences</w:t>
            </w:r>
          </w:p>
        </w:tc>
        <w:tc>
          <w:tcPr>
            <w:tcW w:w="0" w:type="auto"/>
            <w:hideMark/>
          </w:tcPr>
          <w:p w14:paraId="141604E7" w14:textId="77777777" w:rsidR="00ED03EB" w:rsidRDefault="006D2AF7" w:rsidP="007C699A">
            <w:pPr>
              <w:jc w:val="left"/>
            </w:pPr>
            <w:r w:rsidRPr="006D2AF7">
              <w:t>• Generate FcRn and target binding affinities using standardized in vitro assays</w:t>
            </w:r>
            <w:r w:rsidRPr="006D2AF7">
              <w:br/>
              <w:t>• Collect target expression/turnover data (PCR, IHC, qPCR) and conduct in vitro uptake/internalization assays</w:t>
            </w:r>
          </w:p>
          <w:p w14:paraId="7E1FC845" w14:textId="505F60A3" w:rsidR="009204BB" w:rsidRDefault="006D2AF7" w:rsidP="007C699A">
            <w:pPr>
              <w:jc w:val="left"/>
            </w:pPr>
            <w:r w:rsidRPr="006D2AF7">
              <w:t>• Benchmark against parameter ranges from other mAbs</w:t>
            </w:r>
            <w:r w:rsidRPr="006D2AF7">
              <w:br/>
              <w:t xml:space="preserve">• Perform sensitivity analyses to quantify impact of uncertainty on </w:t>
            </w:r>
            <w:r w:rsidRPr="006D2AF7">
              <w:lastRenderedPageBreak/>
              <w:t>exposure predictions</w:t>
            </w:r>
            <w:r w:rsidRPr="006D2AF7">
              <w:br/>
            </w:r>
            <w:r w:rsidR="00ED03EB" w:rsidRPr="006D2AF7">
              <w:t>•</w:t>
            </w:r>
            <w:r w:rsidRPr="006D2AF7">
              <w:t xml:space="preserve"> If uncertainty remains critical, design a reduced confirmatory in vivo study to calibrate sensitive parameters</w:t>
            </w:r>
            <w:r w:rsidR="009204BB">
              <w:t xml:space="preserve"> </w:t>
            </w:r>
          </w:p>
          <w:p w14:paraId="0C08EAE4" w14:textId="69CC1961" w:rsidR="00097A16" w:rsidRDefault="00097A16" w:rsidP="007C699A">
            <w:pPr>
              <w:jc w:val="left"/>
            </w:pPr>
            <w:r w:rsidRPr="006D2AF7">
              <w:t>•</w:t>
            </w:r>
            <w:r>
              <w:t xml:space="preserve"> Calibration of</w:t>
            </w:r>
            <w:r w:rsidRPr="006D2AF7">
              <w:t xml:space="preserve"> </w:t>
            </w:r>
            <w:r>
              <w:t>PBPK-ML framework can support predictions of ADME related parameters.</w:t>
            </w:r>
          </w:p>
          <w:p w14:paraId="19284E3A" w14:textId="4A075FA9" w:rsidR="00ED03EB" w:rsidRPr="006D2AF7" w:rsidRDefault="00ED03EB" w:rsidP="007C699A">
            <w:pPr>
              <w:jc w:val="left"/>
            </w:pPr>
          </w:p>
        </w:tc>
      </w:tr>
      <w:tr w:rsidR="006D2AF7" w:rsidRPr="006D2AF7" w14:paraId="55FB5473" w14:textId="77777777" w:rsidTr="007C699A">
        <w:trPr>
          <w:jc w:val="left"/>
        </w:trPr>
        <w:tc>
          <w:tcPr>
            <w:tcW w:w="0" w:type="auto"/>
            <w:hideMark/>
          </w:tcPr>
          <w:p w14:paraId="5298A2ED" w14:textId="77777777" w:rsidR="006D2AF7" w:rsidRPr="006D2AF7" w:rsidRDefault="006D2AF7" w:rsidP="006D2AF7">
            <w:r w:rsidRPr="006D2AF7">
              <w:lastRenderedPageBreak/>
              <w:t>Anti-drug antibodies (ADA) / immunogenicity altering PK</w:t>
            </w:r>
          </w:p>
        </w:tc>
        <w:tc>
          <w:tcPr>
            <w:tcW w:w="0" w:type="auto"/>
            <w:hideMark/>
          </w:tcPr>
          <w:p w14:paraId="44AF5083" w14:textId="77777777" w:rsidR="006D2AF7" w:rsidRPr="006D2AF7" w:rsidRDefault="006D2AF7" w:rsidP="007C699A">
            <w:pPr>
              <w:jc w:val="left"/>
            </w:pPr>
            <w:r w:rsidRPr="006D2AF7">
              <w:t>ADA formation in animals or humans leading to increased clearance; retrospective datasets without ADA annotation</w:t>
            </w:r>
          </w:p>
        </w:tc>
        <w:tc>
          <w:tcPr>
            <w:tcW w:w="0" w:type="auto"/>
            <w:hideMark/>
          </w:tcPr>
          <w:p w14:paraId="14B09972" w14:textId="77777777" w:rsidR="006D2AF7" w:rsidRPr="006D2AF7" w:rsidRDefault="006D2AF7" w:rsidP="007C699A">
            <w:pPr>
              <w:jc w:val="left"/>
            </w:pPr>
            <w:r w:rsidRPr="006D2AF7">
              <w:t>• Review retrospective datasets for ADA annotation and identify time-dependent clearance changes</w:t>
            </w:r>
            <w:r w:rsidRPr="006D2AF7">
              <w:br/>
              <w:t>• Exclude or flag ADA-positive profiles from validation datasets</w:t>
            </w:r>
            <w:r w:rsidRPr="006D2AF7">
              <w:br/>
              <w:t>• In confirmatory studies, monitor ADA and plan secondary analyses excluding ADA-positive animals or explicitly evaluate ADA impact in the model</w:t>
            </w:r>
          </w:p>
        </w:tc>
      </w:tr>
      <w:tr w:rsidR="006D2AF7" w:rsidRPr="006D2AF7" w14:paraId="40A8B158" w14:textId="77777777" w:rsidTr="007C699A">
        <w:trPr>
          <w:jc w:val="left"/>
        </w:trPr>
        <w:tc>
          <w:tcPr>
            <w:tcW w:w="0" w:type="auto"/>
            <w:hideMark/>
          </w:tcPr>
          <w:p w14:paraId="25E395CC" w14:textId="77777777" w:rsidR="006D2AF7" w:rsidRPr="006D2AF7" w:rsidRDefault="006D2AF7" w:rsidP="007C699A">
            <w:pPr>
              <w:jc w:val="left"/>
            </w:pPr>
            <w:r w:rsidRPr="006D2AF7">
              <w:t>Platform/versioning, software bugs, reproducibility and QA issues</w:t>
            </w:r>
          </w:p>
        </w:tc>
        <w:tc>
          <w:tcPr>
            <w:tcW w:w="0" w:type="auto"/>
            <w:hideMark/>
          </w:tcPr>
          <w:p w14:paraId="26F67AAB" w14:textId="77777777" w:rsidR="006D2AF7" w:rsidRPr="006D2AF7" w:rsidRDefault="006D2AF7" w:rsidP="007C699A">
            <w:pPr>
              <w:jc w:val="left"/>
            </w:pPr>
            <w:r w:rsidRPr="006D2AF7">
              <w:t>Uncontrolled code or platform versions; undocumented model files; lack of platform qualification</w:t>
            </w:r>
          </w:p>
        </w:tc>
        <w:tc>
          <w:tcPr>
            <w:tcW w:w="0" w:type="auto"/>
            <w:hideMark/>
          </w:tcPr>
          <w:p w14:paraId="58CCB781" w14:textId="77777777" w:rsidR="006D2AF7" w:rsidRPr="006D2AF7" w:rsidRDefault="006D2AF7" w:rsidP="007C699A">
            <w:pPr>
              <w:jc w:val="left"/>
            </w:pPr>
            <w:r w:rsidRPr="006D2AF7">
              <w:t>• Use open-source PK-Sim/MoBi with strict version control and scripted workflows</w:t>
            </w:r>
            <w:r w:rsidRPr="006D2AF7">
              <w:br/>
              <w:t>• Ensure peer review of code and models</w:t>
            </w:r>
            <w:r w:rsidRPr="006D2AF7">
              <w:br/>
              <w:t>• Prepare platform qualification documentation per regulatory expectations</w:t>
            </w:r>
            <w:r w:rsidRPr="006D2AF7">
              <w:br/>
              <w:t>• Implement standard work instructions for model development, verification, and change control</w:t>
            </w:r>
          </w:p>
        </w:tc>
      </w:tr>
      <w:tr w:rsidR="006D2AF7" w:rsidRPr="006D2AF7" w14:paraId="5AE4164A" w14:textId="77777777" w:rsidTr="007C699A">
        <w:trPr>
          <w:jc w:val="left"/>
        </w:trPr>
        <w:tc>
          <w:tcPr>
            <w:tcW w:w="0" w:type="auto"/>
            <w:hideMark/>
          </w:tcPr>
          <w:p w14:paraId="22A862E0" w14:textId="77777777" w:rsidR="006D2AF7" w:rsidRPr="006D2AF7" w:rsidRDefault="006D2AF7" w:rsidP="007C699A">
            <w:pPr>
              <w:jc w:val="left"/>
            </w:pPr>
            <w:r w:rsidRPr="006D2AF7">
              <w:t>Reliance on 2-fold acceptance threshold without uncertainty quantification</w:t>
            </w:r>
          </w:p>
        </w:tc>
        <w:tc>
          <w:tcPr>
            <w:tcW w:w="0" w:type="auto"/>
            <w:hideMark/>
          </w:tcPr>
          <w:p w14:paraId="30E5E00D" w14:textId="77777777" w:rsidR="006D2AF7" w:rsidRPr="006D2AF7" w:rsidRDefault="006D2AF7" w:rsidP="007C699A">
            <w:pPr>
              <w:jc w:val="left"/>
            </w:pPr>
            <w:r w:rsidRPr="006D2AF7">
              <w:t>Binary pass/fail criteria ignoring uncertainty impact</w:t>
            </w:r>
          </w:p>
        </w:tc>
        <w:tc>
          <w:tcPr>
            <w:tcW w:w="0" w:type="auto"/>
            <w:hideMark/>
          </w:tcPr>
          <w:p w14:paraId="7DD120CB" w14:textId="77777777" w:rsidR="006D2AF7" w:rsidRPr="006D2AF7" w:rsidRDefault="006D2AF7" w:rsidP="007C699A">
            <w:pPr>
              <w:jc w:val="left"/>
            </w:pPr>
            <w:r w:rsidRPr="006D2AF7">
              <w:t>• Retain 2-fold threshold as pragmatic criterion but always report prediction intervals and percent coverage</w:t>
            </w:r>
            <w:r w:rsidRPr="006D2AF7">
              <w:br/>
              <w:t>• Include continuous error metrics (GMFE, RMSE) with confidence intervals</w:t>
            </w:r>
            <w:r w:rsidRPr="006D2AF7">
              <w:br/>
              <w:t>• Apply probabilistic coverage checks (e.g., ≥80% of simulated profiles within 2-fold of observed)</w:t>
            </w:r>
          </w:p>
        </w:tc>
      </w:tr>
      <w:tr w:rsidR="006D2AF7" w:rsidRPr="006D2AF7" w14:paraId="6B313E35" w14:textId="77777777" w:rsidTr="007C699A">
        <w:trPr>
          <w:jc w:val="left"/>
        </w:trPr>
        <w:tc>
          <w:tcPr>
            <w:tcW w:w="0" w:type="auto"/>
            <w:hideMark/>
          </w:tcPr>
          <w:p w14:paraId="7B37E92D" w14:textId="77777777" w:rsidR="006D2AF7" w:rsidRPr="006D2AF7" w:rsidRDefault="006D2AF7" w:rsidP="007C699A">
            <w:pPr>
              <w:jc w:val="left"/>
            </w:pPr>
            <w:r w:rsidRPr="006D2AF7">
              <w:t>Regulatory / stakeholder acceptance risk</w:t>
            </w:r>
          </w:p>
        </w:tc>
        <w:tc>
          <w:tcPr>
            <w:tcW w:w="0" w:type="auto"/>
            <w:hideMark/>
          </w:tcPr>
          <w:p w14:paraId="2AF94A73" w14:textId="77777777" w:rsidR="006D2AF7" w:rsidRPr="006D2AF7" w:rsidRDefault="006D2AF7" w:rsidP="007C699A">
            <w:pPr>
              <w:jc w:val="left"/>
            </w:pPr>
            <w:r w:rsidRPr="006D2AF7">
              <w:t>Lack of transparent reporting, missing qualification report, inconsistent documentation</w:t>
            </w:r>
          </w:p>
        </w:tc>
        <w:tc>
          <w:tcPr>
            <w:tcW w:w="0" w:type="auto"/>
            <w:hideMark/>
          </w:tcPr>
          <w:p w14:paraId="38A9F538" w14:textId="77777777" w:rsidR="006D2AF7" w:rsidRPr="006D2AF7" w:rsidRDefault="006D2AF7" w:rsidP="007C699A">
            <w:pPr>
              <w:jc w:val="left"/>
            </w:pPr>
            <w:r w:rsidRPr="006D2AF7">
              <w:t>• Follow FDA/EMA PBPK reporting and credibility frameworks</w:t>
            </w:r>
            <w:r w:rsidRPr="006D2AF7">
              <w:br/>
              <w:t>• Develop a formal qualification and credibility report</w:t>
            </w:r>
            <w:r w:rsidRPr="006D2AF7">
              <w:br/>
              <w:t>• Engage regulators and stakeholders early to align expectations</w:t>
            </w:r>
          </w:p>
        </w:tc>
      </w:tr>
    </w:tbl>
    <w:p w14:paraId="25366DC2" w14:textId="2B2906FC" w:rsidR="00A675FF" w:rsidRPr="00A675FF" w:rsidRDefault="00A675FF" w:rsidP="00C33BAC">
      <w:pPr>
        <w:pStyle w:val="Heading1"/>
      </w:pPr>
      <w:r w:rsidRPr="00A675FF">
        <w:lastRenderedPageBreak/>
        <w:t xml:space="preserve">Potential for Precompetitive Project Development </w:t>
      </w:r>
    </w:p>
    <w:p w14:paraId="056CA520" w14:textId="77777777" w:rsidR="00E54E28" w:rsidRDefault="00A675FF" w:rsidP="00992D15">
      <w:r w:rsidRPr="00A675FF">
        <w:t>Willingness to participate in pre-competitive pilot project development</w:t>
      </w:r>
      <w:r w:rsidR="00E54E28">
        <w:t xml:space="preserve">: </w:t>
      </w:r>
    </w:p>
    <w:p w14:paraId="5737CE68" w14:textId="7A322F39" w:rsidR="00D902C3" w:rsidRPr="00D902C3" w:rsidRDefault="007E14EA" w:rsidP="00E54E28">
      <w:pPr>
        <w:pStyle w:val="ListParagraph"/>
        <w:numPr>
          <w:ilvl w:val="0"/>
          <w:numId w:val="22"/>
        </w:numPr>
      </w:pPr>
      <w:r>
        <w:t>“</w:t>
      </w:r>
      <w:r w:rsidR="00D902C3" w:rsidRPr="00D902C3">
        <w:t>Yes</w:t>
      </w:r>
      <w:r>
        <w:t xml:space="preserve">” from all authors of this proposal document </w:t>
      </w:r>
    </w:p>
    <w:p w14:paraId="67D31129" w14:textId="7D568660" w:rsidR="00A675FF" w:rsidRDefault="00E54E28" w:rsidP="00E54E28">
      <w:r>
        <w:t>Potential p</w:t>
      </w:r>
      <w:r w:rsidR="00A675FF" w:rsidRPr="00A675FF">
        <w:t>artnering entities</w:t>
      </w:r>
      <w:r>
        <w:t>:</w:t>
      </w:r>
    </w:p>
    <w:p w14:paraId="189226B3" w14:textId="77777777" w:rsidR="002B3CE2" w:rsidRDefault="002B3CE2" w:rsidP="002B3CE2">
      <w:pPr>
        <w:pStyle w:val="ListParagraph"/>
        <w:numPr>
          <w:ilvl w:val="0"/>
          <w:numId w:val="22"/>
        </w:numPr>
      </w:pPr>
      <w:r>
        <w:t xml:space="preserve">Regulatory, e.g., </w:t>
      </w:r>
      <w:r w:rsidRPr="00D902C3">
        <w:t>FDA</w:t>
      </w:r>
    </w:p>
    <w:p w14:paraId="795B19F2" w14:textId="18AF15CB" w:rsidR="007E14EA" w:rsidRDefault="007E14EA" w:rsidP="007E14EA">
      <w:pPr>
        <w:pStyle w:val="ListParagraph"/>
        <w:numPr>
          <w:ilvl w:val="0"/>
          <w:numId w:val="22"/>
        </w:numPr>
      </w:pPr>
      <w:r>
        <w:t xml:space="preserve">CRO, e.g., Speccro, </w:t>
      </w:r>
      <w:r w:rsidR="00CD32F5">
        <w:t>Inc.</w:t>
      </w:r>
      <w:r w:rsidR="00DE240C">
        <w:t>, ESQLabs</w:t>
      </w:r>
      <w:r>
        <w:t xml:space="preserve"> </w:t>
      </w:r>
    </w:p>
    <w:p w14:paraId="61167DA3" w14:textId="14FC2837" w:rsidR="00D902C3" w:rsidRDefault="00D92153" w:rsidP="00E54E28">
      <w:pPr>
        <w:pStyle w:val="ListParagraph"/>
        <w:numPr>
          <w:ilvl w:val="0"/>
          <w:numId w:val="22"/>
        </w:numPr>
      </w:pPr>
      <w:r>
        <w:t>Pharma companies</w:t>
      </w:r>
      <w:r w:rsidR="00F45300">
        <w:t>, to be determined</w:t>
      </w:r>
    </w:p>
    <w:p w14:paraId="528572DC" w14:textId="6425BB01" w:rsidR="00AD2001" w:rsidRDefault="00AD2001" w:rsidP="007F17C3">
      <w:pPr>
        <w:pStyle w:val="Heading1"/>
      </w:pPr>
      <w:r>
        <w:t>References</w:t>
      </w:r>
    </w:p>
    <w:p w14:paraId="5A231803" w14:textId="77777777" w:rsidR="00506C77" w:rsidRPr="006D3328" w:rsidRDefault="00506C77" w:rsidP="00506C77">
      <w:pPr>
        <w:spacing w:before="100" w:beforeAutospacing="1" w:after="100" w:afterAutospacing="1" w:line="240" w:lineRule="auto"/>
        <w:jc w:val="left"/>
      </w:pPr>
      <w:r w:rsidRPr="006D3328">
        <w:t xml:space="preserve">Aghamiri, S. S., Vaziri, B., &amp; Ghaffari, A. (2020). Physiologically based pharmacokinetic modeling of therapeutic antibodies: Applications and challenges. </w:t>
      </w:r>
      <w:r w:rsidRPr="006D3328">
        <w:rPr>
          <w:i/>
          <w:iCs/>
        </w:rPr>
        <w:t>CPT: Pharmacometrics &amp; Systems Pharmacology, 9</w:t>
      </w:r>
      <w:r w:rsidRPr="006D3328">
        <w:t>(5), 277–287. https://doi.org/10.1002/psp4.12499</w:t>
      </w:r>
    </w:p>
    <w:p w14:paraId="0F5D12B8" w14:textId="77777777" w:rsidR="00506C77" w:rsidRPr="00D5136D" w:rsidRDefault="00506C77" w:rsidP="00506C77">
      <w:pPr>
        <w:spacing w:before="100" w:beforeAutospacing="1" w:after="100" w:afterAutospacing="1" w:line="240" w:lineRule="auto"/>
        <w:jc w:val="left"/>
        <w:rPr>
          <w:lang w:val="nl-NL"/>
        </w:rPr>
      </w:pPr>
      <w:r w:rsidRPr="006D3328">
        <w:t>Bal, G.; Kanakaraj, L.; Mohanta, B. C. Prediction of pharmacokinetics of an anaplastic lymphoma kinase inhibitor in rat and monkey: application of physiologically based pharmacokinetic model as an alternative tool to minimise animal studies. </w:t>
      </w:r>
      <w:r w:rsidRPr="00D5136D">
        <w:rPr>
          <w:i/>
          <w:iCs/>
          <w:lang w:val="nl-NL"/>
        </w:rPr>
        <w:t>Xenobiotica</w:t>
      </w:r>
      <w:r w:rsidRPr="00D5136D">
        <w:rPr>
          <w:lang w:val="nl-NL"/>
        </w:rPr>
        <w:t>, (2023). </w:t>
      </w:r>
      <w:r w:rsidRPr="00D5136D">
        <w:rPr>
          <w:i/>
          <w:iCs/>
          <w:lang w:val="nl-NL"/>
        </w:rPr>
        <w:t>53</w:t>
      </w:r>
      <w:r w:rsidRPr="00D5136D">
        <w:rPr>
          <w:lang w:val="nl-NL"/>
        </w:rPr>
        <w:t>(12), 621–633. https://doi.org/10.1080/00498254.2023.2292725</w:t>
      </w:r>
    </w:p>
    <w:p w14:paraId="00A3D857" w14:textId="77777777" w:rsidR="00506C77" w:rsidRPr="00272372" w:rsidRDefault="00506C77" w:rsidP="00506C77">
      <w:pPr>
        <w:spacing w:before="100" w:beforeAutospacing="1" w:after="100" w:afterAutospacing="1" w:line="240" w:lineRule="auto"/>
        <w:jc w:val="left"/>
      </w:pPr>
      <w:r w:rsidRPr="00272372">
        <w:rPr>
          <w:lang w:val="nl-NL"/>
        </w:rPr>
        <w:t xml:space="preserve">Basu, S., Garg, A., Kulkarni, S., Yang, H., &amp; Dutta, S. (2020). </w:t>
      </w:r>
      <w:r w:rsidRPr="00272372">
        <w:t xml:space="preserve">Physiologically based pharmacokinetic modeling of monoclonal antibodies in pediatric populations using PK-Sim. </w:t>
      </w:r>
      <w:r w:rsidRPr="00272372">
        <w:rPr>
          <w:i/>
          <w:iCs/>
        </w:rPr>
        <w:t>CPT: Pharmacometrics &amp; Systems Pharmacology</w:t>
      </w:r>
      <w:r w:rsidRPr="00272372">
        <w:t>, 9(8), 432–441. https://doi.org/10.1002/psp4.12539</w:t>
      </w:r>
    </w:p>
    <w:p w14:paraId="28AF3DA0" w14:textId="66D8B791" w:rsidR="00506C77" w:rsidRDefault="00506C77" w:rsidP="00506C77">
      <w:pPr>
        <w:spacing w:before="100" w:beforeAutospacing="1" w:after="100" w:afterAutospacing="1" w:line="240" w:lineRule="auto"/>
        <w:jc w:val="left"/>
      </w:pPr>
      <w:r w:rsidRPr="00D5136D">
        <w:t xml:space="preserve">Baxter, L. T., Zhu, H., Mackensen, D. G., &amp; Jain, R. K. (2012). </w:t>
      </w:r>
      <w:r w:rsidRPr="006D3328">
        <w:t xml:space="preserve">Physiologically based pharmacokinetic model for monoclonal antibodies: Application to the design of studies of an anti-VEGF antibody. </w:t>
      </w:r>
      <w:r w:rsidRPr="006D3328">
        <w:rPr>
          <w:i/>
          <w:iCs/>
        </w:rPr>
        <w:t>mAbs, 4</w:t>
      </w:r>
      <w:r w:rsidRPr="006D3328">
        <w:t xml:space="preserve">(5), 509–518. </w:t>
      </w:r>
      <w:hyperlink r:id="rId9" w:history="1">
        <w:r w:rsidR="00196107" w:rsidRPr="00E736E4">
          <w:rPr>
            <w:rStyle w:val="Hyperlink"/>
          </w:rPr>
          <w:t>https://doi.org/10.4161/mabs.21186</w:t>
        </w:r>
      </w:hyperlink>
    </w:p>
    <w:p w14:paraId="04FFB625" w14:textId="6B1D199A" w:rsidR="00196107" w:rsidRPr="006D3328" w:rsidRDefault="00196107" w:rsidP="00196107">
      <w:pPr>
        <w:spacing w:before="100" w:beforeAutospacing="1" w:after="100" w:afterAutospacing="1" w:line="240" w:lineRule="auto"/>
        <w:jc w:val="left"/>
      </w:pPr>
      <w:r>
        <w:t>Cymer</w:t>
      </w:r>
      <w:r>
        <w:t xml:space="preserve"> F</w:t>
      </w:r>
      <w:r>
        <w:t>, Schlothauer</w:t>
      </w:r>
      <w:r>
        <w:t xml:space="preserve"> T</w:t>
      </w:r>
      <w:r>
        <w:t xml:space="preserve">, Knaupp </w:t>
      </w:r>
      <w:r>
        <w:t xml:space="preserve">A, and </w:t>
      </w:r>
      <w:r>
        <w:t>Beck</w:t>
      </w:r>
      <w:r>
        <w:t xml:space="preserve"> H. </w:t>
      </w:r>
      <w:r>
        <w:t>(2017) Evaluation of an Fcrn A</w:t>
      </w:r>
      <w:r>
        <w:rPr>
          <w:rFonts w:ascii="Arial" w:hAnsi="Arial" w:cs="Arial"/>
        </w:rPr>
        <w:t>ﬃ</w:t>
      </w:r>
      <w:r>
        <w:t>nity Chromatographic Method for Igg1-Type Antibodies and</w:t>
      </w:r>
      <w:r>
        <w:t xml:space="preserve"> </w:t>
      </w:r>
      <w:r>
        <w:t>Evaluation of Igg Variants, Bioanalysis, 9:17, 1305-1317, DOI: 10.4155/bio-2017-0109</w:t>
      </w:r>
    </w:p>
    <w:p w14:paraId="65DBE98F" w14:textId="77777777" w:rsidR="00506C77" w:rsidRPr="00A63945" w:rsidRDefault="00506C77" w:rsidP="00506C77">
      <w:pPr>
        <w:spacing w:before="100" w:beforeAutospacing="1" w:after="100" w:afterAutospacing="1" w:line="240" w:lineRule="auto"/>
        <w:jc w:val="left"/>
      </w:pPr>
      <w:r w:rsidRPr="00A63945">
        <w:t xml:space="preserve">European Medicines Agency. (2018). </w:t>
      </w:r>
      <w:r w:rsidRPr="00A63945">
        <w:rPr>
          <w:i/>
          <w:iCs/>
        </w:rPr>
        <w:t>Guideline on the reporting of physiologically based pharmacokinetic (PBPK) modelling and simulation</w:t>
      </w:r>
      <w:r w:rsidRPr="00A63945">
        <w:t>. https://www.ema.europa.eu/en/documents/scientific-guideline/guideline-reporting-physiologically-based-pharmacokinetic-pbpk-modelling-and-simulation_en.pdf</w:t>
      </w:r>
    </w:p>
    <w:p w14:paraId="28164ED4" w14:textId="7E0C88E3" w:rsidR="008514B6" w:rsidRDefault="008514B6" w:rsidP="008514B6">
      <w:pPr>
        <w:spacing w:before="100" w:beforeAutospacing="1" w:after="100" w:afterAutospacing="1" w:line="240" w:lineRule="auto"/>
        <w:jc w:val="left"/>
      </w:pPr>
      <w:r w:rsidRPr="008514B6">
        <w:lastRenderedPageBreak/>
        <w:t xml:space="preserve">European Medicines Agency (EMA). (2018). </w:t>
      </w:r>
      <w:r w:rsidRPr="008514B6">
        <w:rPr>
          <w:i/>
          <w:iCs/>
        </w:rPr>
        <w:t>Guideline on the qualification and reporting of physiologically based pharmacokinetic (PBPK) modelling and simulation</w:t>
      </w:r>
      <w:r w:rsidRPr="008514B6">
        <w:t>. EMA/CHMP/458101/2016.</w:t>
      </w:r>
    </w:p>
    <w:p w14:paraId="3915A050" w14:textId="606EEA0B" w:rsidR="00506C77" w:rsidRDefault="00506C77" w:rsidP="00506C77">
      <w:pPr>
        <w:spacing w:before="100" w:beforeAutospacing="1" w:after="100" w:afterAutospacing="1" w:line="240" w:lineRule="auto"/>
        <w:jc w:val="left"/>
      </w:pPr>
      <w:r w:rsidRPr="006D3328">
        <w:t xml:space="preserve">Ferl, G. Z., Wu, A. M., &amp; DiStefano, J. J. (2005). A mechanistic model of antibody pharmacokinetics in mice: Roles for target-mediated disposition and FcRn. </w:t>
      </w:r>
      <w:r w:rsidRPr="006D3328">
        <w:rPr>
          <w:i/>
          <w:iCs/>
        </w:rPr>
        <w:t>Journal of Pharmaceutical Sciences, 94</w:t>
      </w:r>
      <w:r w:rsidRPr="006D3328">
        <w:t xml:space="preserve">(6), 1259–1276. </w:t>
      </w:r>
      <w:hyperlink r:id="rId10" w:history="1">
        <w:r w:rsidR="006F6FBA" w:rsidRPr="00000E16">
          <w:rPr>
            <w:rStyle w:val="Hyperlink"/>
          </w:rPr>
          <w:t>https://doi.org/10.1002/jps.20348</w:t>
        </w:r>
      </w:hyperlink>
    </w:p>
    <w:p w14:paraId="75EE402F" w14:textId="5B788C2E" w:rsidR="006F6FBA" w:rsidRPr="006D3328" w:rsidRDefault="006F6FBA" w:rsidP="00506C77">
      <w:pPr>
        <w:spacing w:before="100" w:beforeAutospacing="1" w:after="100" w:afterAutospacing="1" w:line="240" w:lineRule="auto"/>
        <w:jc w:val="left"/>
      </w:pPr>
      <w:r w:rsidRPr="006F6FBA">
        <w:t>Frechen, S., Solodenko, J., Wendl, T., Dallmann, A., Ince, I., Lehr, T., Lippert, J. and Burghaus, R. (2021), A generic framework for the physiologically-based pharmacokinetic platform qualification of PK-Sim and its application to predicting cytochrome P450 3A4–mediated drug–drug interactions. CPT Pharmacometrics Syst. Pharmacol., 10: 633-644. </w:t>
      </w:r>
      <w:hyperlink r:id="rId11" w:history="1">
        <w:r w:rsidRPr="006F6FBA">
          <w:rPr>
            <w:rStyle w:val="Hyperlink"/>
          </w:rPr>
          <w:t>https://doi.org/10.1002/psp4.12636</w:t>
        </w:r>
      </w:hyperlink>
    </w:p>
    <w:p w14:paraId="0DB3EE10" w14:textId="77777777" w:rsidR="00506C77" w:rsidRPr="006D3328" w:rsidRDefault="00506C77" w:rsidP="00506C77">
      <w:pPr>
        <w:spacing w:before="100" w:beforeAutospacing="1" w:after="100" w:afterAutospacing="1" w:line="240" w:lineRule="auto"/>
        <w:jc w:val="left"/>
      </w:pPr>
      <w:r w:rsidRPr="006D3328">
        <w:t xml:space="preserve">Garg, A., &amp; Balthasar, J. P. (2007). Physiologically based pharmacokinetic (PBPK) model for monoclonal antibodies: Incorporating FcRn-mediated recycling and target-mediated disposition. </w:t>
      </w:r>
      <w:r w:rsidRPr="006D3328">
        <w:rPr>
          <w:i/>
          <w:iCs/>
        </w:rPr>
        <w:t>Journal of Pharmacokinetics and Pharmacodynamics, 34</w:t>
      </w:r>
      <w:r w:rsidRPr="006D3328">
        <w:t>(5), 687–709. https://doi.org/10.1007/s10928-007-9065-1</w:t>
      </w:r>
    </w:p>
    <w:p w14:paraId="4AC09CDA" w14:textId="77777777" w:rsidR="00506C77" w:rsidRPr="006D3328" w:rsidRDefault="00506C77" w:rsidP="00506C77">
      <w:pPr>
        <w:spacing w:before="100" w:beforeAutospacing="1" w:after="100" w:afterAutospacing="1" w:line="240" w:lineRule="auto"/>
        <w:jc w:val="left"/>
      </w:pPr>
      <w:r w:rsidRPr="006D3328">
        <w:t xml:space="preserve">Gibbs, M. A., Shah, A., Shen, F., &amp; Kearns, G. L. (2008). Incorporating target-mediated drug disposition into physiologically based pharmacokinetic models. </w:t>
      </w:r>
      <w:r w:rsidRPr="006D3328">
        <w:rPr>
          <w:i/>
          <w:iCs/>
        </w:rPr>
        <w:t>Clinical Pharmacology &amp; Therapeutics, 84</w:t>
      </w:r>
      <w:r w:rsidRPr="006D3328">
        <w:t>(5), 548–558. https://doi.org/10.1038/clpt.2008.166</w:t>
      </w:r>
    </w:p>
    <w:p w14:paraId="5A4E2425" w14:textId="77777777" w:rsidR="00506C77" w:rsidRPr="006D3328" w:rsidRDefault="00506C77" w:rsidP="00506C77">
      <w:pPr>
        <w:spacing w:before="100" w:beforeAutospacing="1" w:after="100" w:afterAutospacing="1" w:line="240" w:lineRule="auto"/>
        <w:jc w:val="left"/>
      </w:pPr>
      <w:r w:rsidRPr="006D3328">
        <w:t xml:space="preserve">Gill, K. L., Machavaram, K. K., Rose, R. H., &amp; Chetty, M. (2016). Potential use of PBPK modeling in the development of monoclonal antibodies. </w:t>
      </w:r>
      <w:r w:rsidRPr="006D3328">
        <w:rPr>
          <w:i/>
          <w:iCs/>
        </w:rPr>
        <w:t>The AAPS Journal, 18</w:t>
      </w:r>
      <w:r w:rsidRPr="006D3328">
        <w:t>(1), 1–13. https://doi.org/10.1208/s12248-015-9815-3</w:t>
      </w:r>
    </w:p>
    <w:p w14:paraId="02CD8E31" w14:textId="77777777" w:rsidR="00506C77" w:rsidRDefault="00506C77" w:rsidP="00506C77">
      <w:pPr>
        <w:spacing w:before="100" w:beforeAutospacing="1" w:after="100" w:afterAutospacing="1" w:line="240" w:lineRule="auto"/>
        <w:jc w:val="left"/>
      </w:pPr>
      <w:r w:rsidRPr="006D3328">
        <w:t xml:space="preserve">Glassman, P. M., &amp; Balthasar, J. P. (2016). Physiologically-based pharmacokinetic modeling of monoclonal antibodies. </w:t>
      </w:r>
      <w:r w:rsidRPr="006D3328">
        <w:rPr>
          <w:i/>
          <w:iCs/>
        </w:rPr>
        <w:t>Journal of Clinical Pharmacology, 56</w:t>
      </w:r>
      <w:r w:rsidRPr="006D3328">
        <w:t xml:space="preserve">(S10), S29–S38. </w:t>
      </w:r>
      <w:hyperlink r:id="rId12" w:history="1">
        <w:r w:rsidRPr="006D3328">
          <w:rPr>
            <w:rStyle w:val="Hyperlink"/>
          </w:rPr>
          <w:t>https://doi.org/10.1002/jcph.670</w:t>
        </w:r>
      </w:hyperlink>
    </w:p>
    <w:p w14:paraId="6F31EFC0" w14:textId="793BC8C5" w:rsidR="004F7484" w:rsidRDefault="004F7484" w:rsidP="00506C77">
      <w:pPr>
        <w:spacing w:before="100" w:beforeAutospacing="1" w:after="100" w:afterAutospacing="1" w:line="240" w:lineRule="auto"/>
        <w:jc w:val="left"/>
      </w:pPr>
      <w:r w:rsidRPr="004F7484">
        <w:t>Glassman PM, Chen Y, Balthasar JP (2015) Scale-up of a physiologically-based pharmacokinetic model to predict the disposition of monoclonal antibodies in monkeys. J Pharmacokinet Pharmacodyn 42 (5):527–540. doi: 10.1007/s10928-015-9444-y</w:t>
      </w:r>
    </w:p>
    <w:p w14:paraId="01233C71" w14:textId="4851BD4B" w:rsidR="00196107" w:rsidRDefault="00196107" w:rsidP="00506C77">
      <w:pPr>
        <w:spacing w:before="100" w:beforeAutospacing="1" w:after="100" w:afterAutospacing="1" w:line="240" w:lineRule="auto"/>
        <w:jc w:val="left"/>
      </w:pPr>
      <w:r w:rsidRPr="00196107">
        <w:t>Goulet D</w:t>
      </w:r>
      <w:r>
        <w:t xml:space="preserve">R, Watson MJ, Tam SH, Zwolak A, Chiu ML, Atkins WM, and Nath A. </w:t>
      </w:r>
      <w:r w:rsidR="00DE660A">
        <w:t xml:space="preserve">(2018) </w:t>
      </w:r>
      <w:r w:rsidRPr="00196107">
        <w:t>Toward a Combinatorial Approach for the Prediction of IgG Half-Life and Clearance</w:t>
      </w:r>
      <w:r>
        <w:t xml:space="preserve">. </w:t>
      </w:r>
      <w:r w:rsidRPr="00196107">
        <w:t xml:space="preserve">Drug Metabolism and Disposition, Volume 46, Issue 12, 1900 </w:t>
      </w:r>
      <w:r>
        <w:t>–</w:t>
      </w:r>
      <w:r w:rsidRPr="00196107">
        <w:t xml:space="preserve"> 1907</w:t>
      </w:r>
    </w:p>
    <w:p w14:paraId="7119EA2F" w14:textId="2F2557F4" w:rsidR="00435435" w:rsidRDefault="00435435" w:rsidP="00506C77">
      <w:pPr>
        <w:spacing w:before="100" w:beforeAutospacing="1" w:after="100" w:afterAutospacing="1" w:line="240" w:lineRule="auto"/>
        <w:jc w:val="left"/>
      </w:pPr>
      <w:r w:rsidRPr="00435435">
        <w:t>Han, K. H., Li, Y.-C., Parveen, R., Venkataraman, S., &amp; Lin, C.-W. (2025). Technologies for Monoclonal Antibody Discovery and Development. </w:t>
      </w:r>
      <w:r w:rsidRPr="00435435">
        <w:rPr>
          <w:i/>
          <w:iCs/>
        </w:rPr>
        <w:t>International Journal of Molecular Sciences</w:t>
      </w:r>
      <w:r w:rsidRPr="00435435">
        <w:t>, </w:t>
      </w:r>
      <w:r w:rsidRPr="00435435">
        <w:rPr>
          <w:i/>
          <w:iCs/>
        </w:rPr>
        <w:t>26</w:t>
      </w:r>
      <w:r w:rsidRPr="00435435">
        <w:t>(21), 10470. https://doi.org/10.3390/ijms262110470</w:t>
      </w:r>
    </w:p>
    <w:p w14:paraId="22D48CC0" w14:textId="23DD7020" w:rsidR="00506C77" w:rsidRPr="006D3328" w:rsidRDefault="00506C77" w:rsidP="00506C77">
      <w:pPr>
        <w:spacing w:before="100" w:beforeAutospacing="1" w:after="100" w:afterAutospacing="1" w:line="240" w:lineRule="auto"/>
        <w:jc w:val="left"/>
      </w:pPr>
      <w:r w:rsidRPr="006D3328">
        <w:lastRenderedPageBreak/>
        <w:t xml:space="preserve">Hu, S.; Datta-Mannan, A.; D’Argenio, D. Z. Physiologically Based Modeling to Predict Monoclonal Antibody Pharmacokinetics in Humans from in vitro Physiochemical Properties. mAbs. 2022. </w:t>
      </w:r>
    </w:p>
    <w:p w14:paraId="4F2855E7" w14:textId="77777777" w:rsidR="00506C77" w:rsidRPr="006D3328" w:rsidRDefault="00506C77" w:rsidP="00506C77">
      <w:pPr>
        <w:spacing w:before="100" w:beforeAutospacing="1" w:after="100" w:afterAutospacing="1" w:line="240" w:lineRule="auto"/>
        <w:jc w:val="left"/>
      </w:pPr>
      <w:r w:rsidRPr="006D3328">
        <w:t>Jones HM, Zhang Z, Jasper P, Luo H, Avery LB, King LE, Neubert H, Barton HA, Betts AM, Webster R. A Physiologically-Based Pharmacokinetic Model for the Prediction of Monoclonal Antibody Pharmacokinetics From In Vitro Data. CPT Pharmacometrics Syst Pharmacol. 2019 Oct;8(10):738-747. doi: 10.1002/psp4.12461. </w:t>
      </w:r>
    </w:p>
    <w:p w14:paraId="59745994" w14:textId="77777777" w:rsidR="00506C77" w:rsidRPr="00272372" w:rsidRDefault="00506C77" w:rsidP="00506C77">
      <w:pPr>
        <w:spacing w:before="100" w:beforeAutospacing="1" w:after="100" w:afterAutospacing="1" w:line="240" w:lineRule="auto"/>
        <w:jc w:val="left"/>
      </w:pPr>
      <w:r w:rsidRPr="00272372">
        <w:t xml:space="preserve">Kagan, L., Zhao, R., &amp; Mager, D. E. (2025). Translation of monoclonal antibody pharmacokinetics from animals to humans using physiologically based modeling in the Open Systems Pharmacology suite: A retrospective analysis of bevacizumab. </w:t>
      </w:r>
      <w:r w:rsidRPr="00272372">
        <w:rPr>
          <w:i/>
          <w:iCs/>
        </w:rPr>
        <w:t>CPT: Pharmacometrics &amp; Systems Pharmacology</w:t>
      </w:r>
      <w:r w:rsidRPr="00272372">
        <w:t>, 14(1), 39–51. https://doi.org/10.1002/psp4.13256</w:t>
      </w:r>
    </w:p>
    <w:p w14:paraId="5F9D7AB9" w14:textId="439832AD" w:rsidR="00506C77" w:rsidRPr="002D308A" w:rsidRDefault="00506C77" w:rsidP="00506C77">
      <w:pPr>
        <w:spacing w:before="100" w:beforeAutospacing="1" w:after="100" w:afterAutospacing="1" w:line="240" w:lineRule="auto"/>
        <w:jc w:val="left"/>
      </w:pPr>
      <w:r w:rsidRPr="00F2648C">
        <w:t>Mehta</w:t>
      </w:r>
      <w:r w:rsidR="006F6FBA">
        <w:t xml:space="preserve"> K</w:t>
      </w:r>
      <w:r w:rsidRPr="00F2648C">
        <w:t>, Maass</w:t>
      </w:r>
      <w:r w:rsidR="006F6FBA">
        <w:t xml:space="preserve"> C</w:t>
      </w:r>
      <w:r w:rsidRPr="00F2648C">
        <w:t>, Cucurull-Sanchez</w:t>
      </w:r>
      <w:r w:rsidR="006F6FBA">
        <w:t xml:space="preserve"> L</w:t>
      </w:r>
      <w:r w:rsidRPr="00F2648C">
        <w:t>, Pichardo-Almarza</w:t>
      </w:r>
      <w:r w:rsidR="006F6FBA">
        <w:t xml:space="preserve"> C</w:t>
      </w:r>
      <w:r w:rsidRPr="00F2648C">
        <w:t>, Subramanian</w:t>
      </w:r>
      <w:r w:rsidR="006F6FBA">
        <w:t xml:space="preserve"> K</w:t>
      </w:r>
      <w:r w:rsidRPr="00F2648C">
        <w:t>, Androulakis</w:t>
      </w:r>
      <w:r w:rsidR="006F6FBA">
        <w:t xml:space="preserve"> IP</w:t>
      </w:r>
      <w:r w:rsidRPr="00F2648C">
        <w:t>, Gobburu</w:t>
      </w:r>
      <w:r w:rsidR="006F6FBA">
        <w:t xml:space="preserve"> J</w:t>
      </w:r>
      <w:r w:rsidRPr="00F2648C">
        <w:t>, Schaller</w:t>
      </w:r>
      <w:r w:rsidR="006F6FBA">
        <w:t xml:space="preserve"> S</w:t>
      </w:r>
      <w:r w:rsidRPr="00F2648C">
        <w:t>, and Sherwin</w:t>
      </w:r>
      <w:r w:rsidR="006F6FBA">
        <w:t xml:space="preserve"> CM</w:t>
      </w:r>
      <w:r w:rsidRPr="006D3328">
        <w:t xml:space="preserve">. </w:t>
      </w:r>
      <w:r w:rsidRPr="00F2648C">
        <w:rPr>
          <w:i/>
          <w:iCs/>
        </w:rPr>
        <w:t>ACS Pharmacology &amp; Translational Science</w:t>
      </w:r>
      <w:r w:rsidRPr="00F2648C">
        <w:t> 2025 </w:t>
      </w:r>
      <w:r w:rsidRPr="00F2648C">
        <w:rPr>
          <w:i/>
          <w:iCs/>
        </w:rPr>
        <w:t>8</w:t>
      </w:r>
      <w:r w:rsidRPr="00F2648C">
        <w:t> (6), 1513-1525</w:t>
      </w:r>
      <w:r w:rsidRPr="006D3328">
        <w:t xml:space="preserve">. </w:t>
      </w:r>
      <w:r w:rsidRPr="002D308A">
        <w:t xml:space="preserve">DOI: 10.1021/acsptsci.5c00162 </w:t>
      </w:r>
    </w:p>
    <w:p w14:paraId="377A03FE" w14:textId="77777777" w:rsidR="00506C77" w:rsidRPr="00A63945" w:rsidRDefault="00506C77" w:rsidP="00506C77">
      <w:pPr>
        <w:spacing w:before="100" w:beforeAutospacing="1" w:after="100" w:afterAutospacing="1" w:line="240" w:lineRule="auto"/>
        <w:jc w:val="left"/>
      </w:pPr>
      <w:r w:rsidRPr="002D308A">
        <w:t xml:space="preserve">Kuepfer, L., Niederalt, C., Wendl, T., Schlender, J. F., Willmann, S., Lippert, J., … </w:t>
      </w:r>
      <w:r w:rsidRPr="00A63945">
        <w:t xml:space="preserve">Block, M. (2016). Applied concepts in PBPK modeling: How to build a PBPK/PD model. </w:t>
      </w:r>
      <w:r w:rsidRPr="00A63945">
        <w:rPr>
          <w:i/>
          <w:iCs/>
        </w:rPr>
        <w:t>CPT: Pharmacometrics &amp; Systems Pharmacology, 5</w:t>
      </w:r>
      <w:r w:rsidRPr="00A63945">
        <w:t>(10), 516–531. https://doi.org/10.1002/psp4.12134</w:t>
      </w:r>
    </w:p>
    <w:p w14:paraId="5EF7F99E" w14:textId="77777777" w:rsidR="00506C77" w:rsidRPr="002C7527" w:rsidRDefault="00506C77" w:rsidP="00506C77">
      <w:pPr>
        <w:spacing w:before="100" w:beforeAutospacing="1" w:after="100" w:afterAutospacing="1" w:line="240" w:lineRule="auto"/>
        <w:jc w:val="left"/>
      </w:pPr>
      <w:r w:rsidRPr="00272372">
        <w:t xml:space="preserve">Nestorov, I., Aarons, L., Rowland, M., &amp; Yates, J. W. T. (2024). Comparison of monoclonal antibody disposition predictions using different physiologically based pharmacokinetic modeling platforms. </w:t>
      </w:r>
      <w:r w:rsidRPr="00272372">
        <w:rPr>
          <w:i/>
          <w:iCs/>
        </w:rPr>
        <w:t>Pharmaceutical Research</w:t>
      </w:r>
      <w:r w:rsidRPr="00272372">
        <w:t xml:space="preserve">, 41(11), 1896–1908. </w:t>
      </w:r>
      <w:hyperlink r:id="rId13" w:history="1">
        <w:r w:rsidRPr="002C7527">
          <w:rPr>
            <w:rStyle w:val="Hyperlink"/>
          </w:rPr>
          <w:t>https://doi.org/10.1007/s11095-023-03654-1</w:t>
        </w:r>
      </w:hyperlink>
    </w:p>
    <w:p w14:paraId="6A301423" w14:textId="77777777" w:rsidR="00506C77" w:rsidRPr="006D3328" w:rsidRDefault="00506C77" w:rsidP="00506C77">
      <w:pPr>
        <w:spacing w:before="100" w:beforeAutospacing="1" w:after="100" w:afterAutospacing="1" w:line="240" w:lineRule="auto"/>
        <w:jc w:val="left"/>
      </w:pPr>
      <w:r w:rsidRPr="00D5136D">
        <w:t>Niederalt, C., Kuepfer, L., Solodenko, J. </w:t>
      </w:r>
      <w:r w:rsidRPr="00D5136D">
        <w:rPr>
          <w:i/>
          <w:iCs/>
        </w:rPr>
        <w:t>et al.</w:t>
      </w:r>
      <w:r w:rsidRPr="00D5136D">
        <w:t> </w:t>
      </w:r>
      <w:r w:rsidRPr="006D3328">
        <w:t>A generic whole body physiologically based pharmacokinetic model for therapeutic proteins in PK-Sim. </w:t>
      </w:r>
      <w:r w:rsidRPr="006D3328">
        <w:rPr>
          <w:i/>
          <w:iCs/>
        </w:rPr>
        <w:t>J Pharmacokinet Pharmacodyn</w:t>
      </w:r>
      <w:r w:rsidRPr="006D3328">
        <w:t xml:space="preserve"> 45, 235–257 (2018). </w:t>
      </w:r>
      <w:hyperlink r:id="rId14" w:history="1">
        <w:r w:rsidRPr="006D3328">
          <w:rPr>
            <w:rStyle w:val="Hyperlink"/>
          </w:rPr>
          <w:t>https://doi.org/10.1007/s10928-017-9559-4</w:t>
        </w:r>
      </w:hyperlink>
    </w:p>
    <w:p w14:paraId="51817894" w14:textId="77777777" w:rsidR="00506C77" w:rsidRPr="006D3328" w:rsidRDefault="00506C77" w:rsidP="00506C77">
      <w:pPr>
        <w:spacing w:before="100" w:beforeAutospacing="1" w:after="100" w:afterAutospacing="1" w:line="240" w:lineRule="auto"/>
        <w:jc w:val="left"/>
      </w:pPr>
      <w:r w:rsidRPr="006D3328">
        <w:t xml:space="preserve">Open Systems Pharmacology. PK-Sim®: A Comprehensive Software Tool for Whole-Body Physiologically Based Pharmacokinetic Modeling. Open Systems Pharmacology Suite. </w:t>
      </w:r>
      <w:hyperlink r:id="rId15" w:tgtFrame="_new" w:history="1">
        <w:r w:rsidRPr="006D3328">
          <w:rPr>
            <w:rStyle w:val="Hyperlink"/>
          </w:rPr>
          <w:t>https://www.open-systems-pharmacology.org/</w:t>
        </w:r>
      </w:hyperlink>
    </w:p>
    <w:p w14:paraId="6EFB94E3" w14:textId="77777777" w:rsidR="00506C77" w:rsidRPr="006D3328" w:rsidRDefault="00506C77" w:rsidP="00506C77">
      <w:pPr>
        <w:spacing w:before="100" w:beforeAutospacing="1" w:after="100" w:afterAutospacing="1" w:line="240" w:lineRule="auto"/>
        <w:jc w:val="left"/>
      </w:pPr>
      <w:r w:rsidRPr="006D3328">
        <w:t>Pasquiers B, Benamara S, Felices M, Ternant D, Declèves X, Puszkiel A. Translation of Monoclonal Antibodies Pharmacokinetics from Animal to Human Using Physiologically Based Modeling in Open Systems Pharmacology (OSP) Suite: A Retrospective Analysis of Bevacizumab. Pharmaceutics. 2023 Aug 14;15(8):2129. doi: 10.3390/pharmaceutics15082129.</w:t>
      </w:r>
    </w:p>
    <w:p w14:paraId="448BC179" w14:textId="77777777" w:rsidR="00506C77" w:rsidRPr="00272372" w:rsidRDefault="00506C77" w:rsidP="00506C77">
      <w:pPr>
        <w:spacing w:before="100" w:beforeAutospacing="1" w:after="100" w:afterAutospacing="1" w:line="240" w:lineRule="auto"/>
        <w:jc w:val="left"/>
      </w:pPr>
      <w:r w:rsidRPr="00272372">
        <w:lastRenderedPageBreak/>
        <w:t xml:space="preserve">Pasquiers, L., Camenisch, G., Frechen, S., Spieser, S. A., &amp; Parrott, N. (2023). Translational PBPK modeling of monoclonal antibodies using the Open Systems Pharmacology suite: Application to bevacizumab. </w:t>
      </w:r>
      <w:r w:rsidRPr="00272372">
        <w:rPr>
          <w:i/>
          <w:iCs/>
        </w:rPr>
        <w:t>CPT: Pharmacometrics &amp; Systems Pharmacology</w:t>
      </w:r>
      <w:r w:rsidRPr="00272372">
        <w:t>, 12(4), 397–407. https://doi.org/10.1002/psp4.12883</w:t>
      </w:r>
    </w:p>
    <w:p w14:paraId="408A2649" w14:textId="01B934E4" w:rsidR="00506C77" w:rsidRDefault="00506C77" w:rsidP="00506C77">
      <w:pPr>
        <w:spacing w:before="100" w:beforeAutospacing="1" w:after="100" w:afterAutospacing="1" w:line="240" w:lineRule="auto"/>
        <w:jc w:val="left"/>
      </w:pPr>
      <w:r w:rsidRPr="006D3328">
        <w:t xml:space="preserve">Sager, J. E., Yu, J., Ragueneau-Majlessi, I., &amp; Isoherranen, N. (2015). Physiologically based pharmacokinetic (PBPK) modeling and simulation approaches: A systematic review of published models, applications, and model verification. </w:t>
      </w:r>
      <w:r w:rsidRPr="006D3328">
        <w:rPr>
          <w:i/>
          <w:iCs/>
        </w:rPr>
        <w:t>Drug Metabolism and Disposition, 43</w:t>
      </w:r>
      <w:r w:rsidRPr="006D3328">
        <w:t xml:space="preserve">(11), 1823–1837. </w:t>
      </w:r>
      <w:hyperlink r:id="rId16" w:history="1">
        <w:r w:rsidR="00D501FA" w:rsidRPr="00E736E4">
          <w:rPr>
            <w:rStyle w:val="Hyperlink"/>
          </w:rPr>
          <w:t>https://doi.org/10.1124/dmd.115.065920</w:t>
        </w:r>
      </w:hyperlink>
    </w:p>
    <w:p w14:paraId="4AD137E6" w14:textId="2B4BCEB8" w:rsidR="00D501FA" w:rsidRPr="00D501FA" w:rsidRDefault="00D501FA" w:rsidP="00506C77">
      <w:pPr>
        <w:spacing w:before="100" w:beforeAutospacing="1" w:after="100" w:afterAutospacing="1" w:line="240" w:lineRule="auto"/>
        <w:jc w:val="left"/>
      </w:pPr>
      <w:r w:rsidRPr="00D501FA">
        <w:t>Saini</w:t>
      </w:r>
      <w:r w:rsidRPr="00D501FA">
        <w:t xml:space="preserve"> A</w:t>
      </w:r>
      <w:r w:rsidRPr="00D501FA">
        <w:t> and Farnoud</w:t>
      </w:r>
      <w:r w:rsidRPr="00D501FA">
        <w:t xml:space="preserve"> A.</w:t>
      </w:r>
      <w:r w:rsidRPr="00D501FA">
        <w:t> QSP-Copilot: An AI-Augmented Platform for Accelerating Quantitative Systems Pharmacology Model Development,” </w:t>
      </w:r>
      <w:r w:rsidRPr="00D501FA">
        <w:rPr>
          <w:i/>
          <w:iCs/>
        </w:rPr>
        <w:t>CPT: Pharmacometrics &amp; Systems Pharmacology</w:t>
      </w:r>
      <w:r w:rsidRPr="00D501FA">
        <w:t> (2025): 1–12, </w:t>
      </w:r>
      <w:hyperlink r:id="rId17" w:history="1">
        <w:r w:rsidRPr="00D501FA">
          <w:rPr>
            <w:rStyle w:val="Hyperlink"/>
          </w:rPr>
          <w:t>https://doi.org/10.1002/psp4.70127</w:t>
        </w:r>
      </w:hyperlink>
      <w:r w:rsidRPr="00D501FA">
        <w:t>.</w:t>
      </w:r>
    </w:p>
    <w:p w14:paraId="0EEB8482" w14:textId="77777777" w:rsidR="00506C77" w:rsidRPr="00BC7847" w:rsidRDefault="00506C77" w:rsidP="00506C77">
      <w:pPr>
        <w:spacing w:before="100" w:beforeAutospacing="1" w:after="100" w:afterAutospacing="1" w:line="240" w:lineRule="auto"/>
        <w:jc w:val="left"/>
      </w:pPr>
      <w:r w:rsidRPr="00BC7847">
        <w:t xml:space="preserve">Schlender, J. F. (2024). </w:t>
      </w:r>
      <w:r w:rsidRPr="00BC7847">
        <w:rPr>
          <w:i/>
          <w:iCs/>
        </w:rPr>
        <w:t>Best Practices in Physiologically Based Pharmacokinetic Modeling and Simulation</w:t>
      </w:r>
      <w:r w:rsidRPr="00BC7847">
        <w:t>.</w:t>
      </w:r>
      <w:r>
        <w:t xml:space="preserve"> </w:t>
      </w:r>
      <w:r w:rsidRPr="00C5174E">
        <w:t>https://www.open-systems-pharmacology.org/assets/conference_2024/Session%206-2_Schlender%20-%20PBPK%20best%20practices.pdf</w:t>
      </w:r>
    </w:p>
    <w:p w14:paraId="3A486BD3" w14:textId="77777777" w:rsidR="008514B6" w:rsidRDefault="008514B6" w:rsidP="008514B6">
      <w:pPr>
        <w:spacing w:before="100" w:beforeAutospacing="1" w:after="100" w:afterAutospacing="1" w:line="240" w:lineRule="auto"/>
        <w:jc w:val="left"/>
      </w:pPr>
      <w:r w:rsidRPr="008514B6">
        <w:t xml:space="preserve">U.S. Food and Drug Administration (FDA). (2018). </w:t>
      </w:r>
      <w:r w:rsidRPr="008514B6">
        <w:rPr>
          <w:i/>
          <w:iCs/>
        </w:rPr>
        <w:t>Physiologically Based Pharmacokinetic Analyses — Format and Content</w:t>
      </w:r>
      <w:r w:rsidRPr="008514B6">
        <w:t>. Guidance for Industry.</w:t>
      </w:r>
    </w:p>
    <w:p w14:paraId="7C47155D" w14:textId="056CAA31" w:rsidR="00506C77" w:rsidRDefault="00506C77" w:rsidP="00506C77">
      <w:pPr>
        <w:spacing w:before="100" w:beforeAutospacing="1" w:after="100" w:afterAutospacing="1" w:line="240" w:lineRule="auto"/>
        <w:jc w:val="left"/>
      </w:pPr>
      <w:r w:rsidRPr="00BC7847">
        <w:t xml:space="preserve">U.S. Food and Drug Administration (FDA). (2019). </w:t>
      </w:r>
      <w:r w:rsidRPr="00BC7847">
        <w:rPr>
          <w:i/>
          <w:iCs/>
        </w:rPr>
        <w:t>Model Credibility Assessment in PBPK</w:t>
      </w:r>
      <w:r w:rsidRPr="00BC7847">
        <w:t>.</w:t>
      </w:r>
    </w:p>
    <w:p w14:paraId="60CE6131" w14:textId="77777777" w:rsidR="008514B6" w:rsidRDefault="008514B6" w:rsidP="008514B6">
      <w:pPr>
        <w:spacing w:before="100" w:beforeAutospacing="1" w:after="100" w:afterAutospacing="1" w:line="240" w:lineRule="auto"/>
        <w:jc w:val="left"/>
      </w:pPr>
      <w:r w:rsidRPr="008514B6">
        <w:t>U.S. Food and Drug Administration (FDA).</w:t>
      </w:r>
      <w:r w:rsidRPr="006D3328">
        <w:t xml:space="preserve"> (2023). </w:t>
      </w:r>
      <w:r w:rsidRPr="006D3328">
        <w:rPr>
          <w:i/>
          <w:iCs/>
        </w:rPr>
        <w:t>Advancing alternative methods at FDA</w:t>
      </w:r>
      <w:r w:rsidRPr="006D3328">
        <w:t xml:space="preserve">. </w:t>
      </w:r>
      <w:hyperlink r:id="rId18" w:history="1">
        <w:r w:rsidRPr="00DA7C1E">
          <w:rPr>
            <w:rStyle w:val="Hyperlink"/>
          </w:rPr>
          <w:t>https://www.fda.gov/science-research/about-science-research-fda/advancing-alternative-methods-fda</w:t>
        </w:r>
      </w:hyperlink>
    </w:p>
    <w:p w14:paraId="4E0B7C15" w14:textId="77777777" w:rsidR="00506C77" w:rsidRDefault="00506C77" w:rsidP="00506C77">
      <w:pPr>
        <w:spacing w:before="100" w:beforeAutospacing="1" w:after="100" w:afterAutospacing="1" w:line="240" w:lineRule="auto"/>
        <w:jc w:val="left"/>
      </w:pPr>
      <w:r w:rsidRPr="006D3328">
        <w:t xml:space="preserve">U.S. Food and Drug Administration. Roadmap to Reducing Animal Testing in Preclinical Safety Studies. Published April 2025. Accessed April 13, 2025. </w:t>
      </w:r>
      <w:hyperlink r:id="rId19" w:tgtFrame="_new" w:history="1">
        <w:r w:rsidRPr="006D3328">
          <w:rPr>
            <w:rStyle w:val="Hyperlink"/>
          </w:rPr>
          <w:t>https://www.fda.gov/media/186092/download</w:t>
        </w:r>
      </w:hyperlink>
    </w:p>
    <w:p w14:paraId="395E18D4" w14:textId="00417DA7" w:rsidR="00775916" w:rsidRPr="006D3328" w:rsidRDefault="00775916" w:rsidP="00775916">
      <w:pPr>
        <w:spacing w:before="100" w:beforeAutospacing="1" w:after="100" w:afterAutospacing="1" w:line="240" w:lineRule="auto"/>
      </w:pPr>
      <w:r w:rsidRPr="00775916">
        <w:t>Huiwen Wang, Prediction of protein–ligand binding affinity via deep learning models, </w:t>
      </w:r>
      <w:r w:rsidRPr="00775916">
        <w:rPr>
          <w:i/>
          <w:iCs/>
        </w:rPr>
        <w:t>Briefings in Bioinformatics</w:t>
      </w:r>
      <w:r w:rsidRPr="00775916">
        <w:t>, Volume 25, Issue 2, March 2024, bbae081, </w:t>
      </w:r>
      <w:hyperlink r:id="rId20" w:history="1">
        <w:r w:rsidRPr="00775916">
          <w:rPr>
            <w:rStyle w:val="Hyperlink"/>
          </w:rPr>
          <w:t>https://doi.org/10.1093/bib/bbae081</w:t>
        </w:r>
      </w:hyperlink>
    </w:p>
    <w:p w14:paraId="29A40FAA" w14:textId="77777777" w:rsidR="00506C77" w:rsidRPr="006D3328" w:rsidRDefault="00506C77" w:rsidP="00506C77">
      <w:pPr>
        <w:spacing w:before="100" w:beforeAutospacing="1" w:after="100" w:afterAutospacing="1" w:line="240" w:lineRule="auto"/>
        <w:jc w:val="left"/>
      </w:pPr>
      <w:r w:rsidRPr="006D3328">
        <w:t>Yuan, Y.; He, Q.; Zhang, S.; Li, M.; Tang, Z.; Zhu, X.; Jiao, Z.; Cai, W.; Xiang, X. Application of Physiologically Based Pharmacokinetic Modeling in Preclinical Studies: A Feasible Strategy to Practice the Principles of 3Rs. Front Pharmacol. 2022, 13, No. 895556.</w:t>
      </w:r>
    </w:p>
    <w:p w14:paraId="15F9C507" w14:textId="77777777" w:rsidR="00506C77" w:rsidRPr="006D3328" w:rsidRDefault="00506C77" w:rsidP="00506C77">
      <w:pPr>
        <w:spacing w:before="100" w:beforeAutospacing="1" w:after="100" w:afterAutospacing="1" w:line="240" w:lineRule="auto"/>
        <w:jc w:val="left"/>
      </w:pPr>
      <w:r w:rsidRPr="006D3328">
        <w:t>Zhao P, Zhang L, Grillo JA, Liu Q, Bullock JM, Moon YJ, Song P, Brar SS, Madabushi R, Wu TC, Booth BP, Rahman NA, Reynolds KS, Gil Berglund E, Lesko LJ, Huang SM. Applications of physiologically based pharmacokinetic (PBPK) modeling and simulation during regulatory review. Clin Pharmacol Ther. 2011 Feb;89(2):259-67. doi: 10.1038/clpt.2010.298.</w:t>
      </w:r>
    </w:p>
    <w:p w14:paraId="6A37290C" w14:textId="77777777" w:rsidR="003F05AE" w:rsidRPr="00A63945" w:rsidRDefault="003F05AE" w:rsidP="0022264B"/>
    <w:sectPr w:rsidR="003F05AE" w:rsidRPr="00A63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ABF"/>
    <w:multiLevelType w:val="hybridMultilevel"/>
    <w:tmpl w:val="61A8D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D56D9"/>
    <w:multiLevelType w:val="multilevel"/>
    <w:tmpl w:val="1D3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E4C84"/>
    <w:multiLevelType w:val="hybridMultilevel"/>
    <w:tmpl w:val="33E8A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82E65"/>
    <w:multiLevelType w:val="hybridMultilevel"/>
    <w:tmpl w:val="76B0BB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523249"/>
    <w:multiLevelType w:val="multilevel"/>
    <w:tmpl w:val="98C4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A7234"/>
    <w:multiLevelType w:val="multilevel"/>
    <w:tmpl w:val="1D3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37FA0"/>
    <w:multiLevelType w:val="multilevel"/>
    <w:tmpl w:val="0244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54424"/>
    <w:multiLevelType w:val="hybridMultilevel"/>
    <w:tmpl w:val="F3D28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980E7E"/>
    <w:multiLevelType w:val="hybridMultilevel"/>
    <w:tmpl w:val="80F82F9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C145B1B"/>
    <w:multiLevelType w:val="hybridMultilevel"/>
    <w:tmpl w:val="DC740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405E53"/>
    <w:multiLevelType w:val="multilevel"/>
    <w:tmpl w:val="DFDA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53B21"/>
    <w:multiLevelType w:val="hybridMultilevel"/>
    <w:tmpl w:val="873C8FDA"/>
    <w:lvl w:ilvl="0" w:tplc="F1003E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830615"/>
    <w:multiLevelType w:val="multilevel"/>
    <w:tmpl w:val="0EF0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96A3F"/>
    <w:multiLevelType w:val="hybridMultilevel"/>
    <w:tmpl w:val="6F6A9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256F18"/>
    <w:multiLevelType w:val="hybridMultilevel"/>
    <w:tmpl w:val="875C7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C74D64"/>
    <w:multiLevelType w:val="hybridMultilevel"/>
    <w:tmpl w:val="7E589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1B59F9"/>
    <w:multiLevelType w:val="hybridMultilevel"/>
    <w:tmpl w:val="E2E4E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273CF1"/>
    <w:multiLevelType w:val="multilevel"/>
    <w:tmpl w:val="5A1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B1A19"/>
    <w:multiLevelType w:val="hybridMultilevel"/>
    <w:tmpl w:val="E72ACBB2"/>
    <w:lvl w:ilvl="0" w:tplc="6D48CC9C">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6B979FA"/>
    <w:multiLevelType w:val="hybridMultilevel"/>
    <w:tmpl w:val="76B0B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DB6D62"/>
    <w:multiLevelType w:val="multilevel"/>
    <w:tmpl w:val="142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75A0C"/>
    <w:multiLevelType w:val="hybridMultilevel"/>
    <w:tmpl w:val="DE564B6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B955E98"/>
    <w:multiLevelType w:val="hybridMultilevel"/>
    <w:tmpl w:val="D87EE88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34E0C23"/>
    <w:multiLevelType w:val="hybridMultilevel"/>
    <w:tmpl w:val="BF00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262A6F"/>
    <w:multiLevelType w:val="hybridMultilevel"/>
    <w:tmpl w:val="80281CE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7E652E1"/>
    <w:multiLevelType w:val="hybridMultilevel"/>
    <w:tmpl w:val="7FCC3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217DEC"/>
    <w:multiLevelType w:val="hybridMultilevel"/>
    <w:tmpl w:val="3DDA40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67807900"/>
    <w:multiLevelType w:val="hybridMultilevel"/>
    <w:tmpl w:val="76145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B87354"/>
    <w:multiLevelType w:val="hybridMultilevel"/>
    <w:tmpl w:val="4AE83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6A607A"/>
    <w:multiLevelType w:val="hybridMultilevel"/>
    <w:tmpl w:val="CF5CA6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0D613D4"/>
    <w:multiLevelType w:val="hybridMultilevel"/>
    <w:tmpl w:val="DE2AA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D6685C"/>
    <w:multiLevelType w:val="hybridMultilevel"/>
    <w:tmpl w:val="10D03D92"/>
    <w:lvl w:ilvl="0" w:tplc="6D48CC9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2804CD"/>
    <w:multiLevelType w:val="hybridMultilevel"/>
    <w:tmpl w:val="3FC84DF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6BB31F2"/>
    <w:multiLevelType w:val="hybridMultilevel"/>
    <w:tmpl w:val="7D2EB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CB796E"/>
    <w:multiLevelType w:val="hybridMultilevel"/>
    <w:tmpl w:val="3FC84DF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929720C"/>
    <w:multiLevelType w:val="hybridMultilevel"/>
    <w:tmpl w:val="BACE22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6" w15:restartNumberingAfterBreak="0">
    <w:nsid w:val="79F5035F"/>
    <w:multiLevelType w:val="hybridMultilevel"/>
    <w:tmpl w:val="EC4A6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9325F1"/>
    <w:multiLevelType w:val="hybridMultilevel"/>
    <w:tmpl w:val="C5A24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9C2A08"/>
    <w:multiLevelType w:val="hybridMultilevel"/>
    <w:tmpl w:val="26608D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070426">
    <w:abstractNumId w:val="11"/>
  </w:num>
  <w:num w:numId="2" w16cid:durableId="1402555451">
    <w:abstractNumId w:val="31"/>
  </w:num>
  <w:num w:numId="3" w16cid:durableId="2116317865">
    <w:abstractNumId w:val="38"/>
  </w:num>
  <w:num w:numId="4" w16cid:durableId="1405450824">
    <w:abstractNumId w:val="16"/>
  </w:num>
  <w:num w:numId="5" w16cid:durableId="1216551698">
    <w:abstractNumId w:val="18"/>
  </w:num>
  <w:num w:numId="6" w16cid:durableId="1446534607">
    <w:abstractNumId w:val="6"/>
  </w:num>
  <w:num w:numId="7" w16cid:durableId="1323315582">
    <w:abstractNumId w:val="37"/>
  </w:num>
  <w:num w:numId="8" w16cid:durableId="2117170848">
    <w:abstractNumId w:val="13"/>
  </w:num>
  <w:num w:numId="9" w16cid:durableId="1599830947">
    <w:abstractNumId w:val="30"/>
  </w:num>
  <w:num w:numId="10" w16cid:durableId="2039967476">
    <w:abstractNumId w:val="23"/>
  </w:num>
  <w:num w:numId="11" w16cid:durableId="184639227">
    <w:abstractNumId w:val="9"/>
  </w:num>
  <w:num w:numId="12" w16cid:durableId="1970746994">
    <w:abstractNumId w:val="29"/>
  </w:num>
  <w:num w:numId="13" w16cid:durableId="801770454">
    <w:abstractNumId w:val="33"/>
  </w:num>
  <w:num w:numId="14" w16cid:durableId="887303797">
    <w:abstractNumId w:val="22"/>
  </w:num>
  <w:num w:numId="15" w16cid:durableId="599339729">
    <w:abstractNumId w:val="24"/>
  </w:num>
  <w:num w:numId="16" w16cid:durableId="1124736057">
    <w:abstractNumId w:val="21"/>
  </w:num>
  <w:num w:numId="17" w16cid:durableId="594901528">
    <w:abstractNumId w:val="8"/>
  </w:num>
  <w:num w:numId="18" w16cid:durableId="911893311">
    <w:abstractNumId w:val="19"/>
  </w:num>
  <w:num w:numId="19" w16cid:durableId="652300554">
    <w:abstractNumId w:val="3"/>
  </w:num>
  <w:num w:numId="20" w16cid:durableId="1930457089">
    <w:abstractNumId w:val="35"/>
  </w:num>
  <w:num w:numId="21" w16cid:durableId="913970213">
    <w:abstractNumId w:val="26"/>
  </w:num>
  <w:num w:numId="22" w16cid:durableId="1003438537">
    <w:abstractNumId w:val="0"/>
  </w:num>
  <w:num w:numId="23" w16cid:durableId="131751881">
    <w:abstractNumId w:val="12"/>
  </w:num>
  <w:num w:numId="24" w16cid:durableId="1793791690">
    <w:abstractNumId w:val="20"/>
  </w:num>
  <w:num w:numId="25" w16cid:durableId="1032220668">
    <w:abstractNumId w:val="5"/>
  </w:num>
  <w:num w:numId="26" w16cid:durableId="1743066269">
    <w:abstractNumId w:val="1"/>
  </w:num>
  <w:num w:numId="27" w16cid:durableId="525288797">
    <w:abstractNumId w:val="14"/>
  </w:num>
  <w:num w:numId="28" w16cid:durableId="1316107773">
    <w:abstractNumId w:val="25"/>
  </w:num>
  <w:num w:numId="29" w16cid:durableId="784615969">
    <w:abstractNumId w:val="7"/>
  </w:num>
  <w:num w:numId="30" w16cid:durableId="1896963608">
    <w:abstractNumId w:val="36"/>
  </w:num>
  <w:num w:numId="31" w16cid:durableId="750810659">
    <w:abstractNumId w:val="27"/>
  </w:num>
  <w:num w:numId="32" w16cid:durableId="1720133306">
    <w:abstractNumId w:val="28"/>
  </w:num>
  <w:num w:numId="33" w16cid:durableId="1694839184">
    <w:abstractNumId w:val="32"/>
  </w:num>
  <w:num w:numId="34" w16cid:durableId="940990663">
    <w:abstractNumId w:val="34"/>
  </w:num>
  <w:num w:numId="35" w16cid:durableId="1554073099">
    <w:abstractNumId w:val="10"/>
  </w:num>
  <w:num w:numId="36" w16cid:durableId="821852194">
    <w:abstractNumId w:val="2"/>
  </w:num>
  <w:num w:numId="37" w16cid:durableId="181865724">
    <w:abstractNumId w:val="17"/>
  </w:num>
  <w:num w:numId="38" w16cid:durableId="568148250">
    <w:abstractNumId w:val="15"/>
  </w:num>
  <w:num w:numId="39" w16cid:durableId="1421869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A58"/>
    <w:rsid w:val="000035D2"/>
    <w:rsid w:val="00012029"/>
    <w:rsid w:val="00015959"/>
    <w:rsid w:val="00030E79"/>
    <w:rsid w:val="000312A5"/>
    <w:rsid w:val="0003644C"/>
    <w:rsid w:val="0004038F"/>
    <w:rsid w:val="00050E6B"/>
    <w:rsid w:val="00052F67"/>
    <w:rsid w:val="00057297"/>
    <w:rsid w:val="000629F7"/>
    <w:rsid w:val="0008198F"/>
    <w:rsid w:val="00082C66"/>
    <w:rsid w:val="00097A16"/>
    <w:rsid w:val="000A33A6"/>
    <w:rsid w:val="000B53A0"/>
    <w:rsid w:val="000B7534"/>
    <w:rsid w:val="000C390A"/>
    <w:rsid w:val="000C496E"/>
    <w:rsid w:val="000C6D72"/>
    <w:rsid w:val="000D1D75"/>
    <w:rsid w:val="000D35AB"/>
    <w:rsid w:val="000E58FE"/>
    <w:rsid w:val="00106357"/>
    <w:rsid w:val="00116566"/>
    <w:rsid w:val="0012125B"/>
    <w:rsid w:val="00122E5A"/>
    <w:rsid w:val="00126EFF"/>
    <w:rsid w:val="00131BF6"/>
    <w:rsid w:val="001331F5"/>
    <w:rsid w:val="00146A0E"/>
    <w:rsid w:val="0015246A"/>
    <w:rsid w:val="00170ED3"/>
    <w:rsid w:val="0017608A"/>
    <w:rsid w:val="00190074"/>
    <w:rsid w:val="0019286C"/>
    <w:rsid w:val="00195C45"/>
    <w:rsid w:val="00196107"/>
    <w:rsid w:val="00197EA8"/>
    <w:rsid w:val="001A0821"/>
    <w:rsid w:val="001A1BC7"/>
    <w:rsid w:val="001A270E"/>
    <w:rsid w:val="001C6AE4"/>
    <w:rsid w:val="001E022B"/>
    <w:rsid w:val="001F4D46"/>
    <w:rsid w:val="001F57B1"/>
    <w:rsid w:val="0020535A"/>
    <w:rsid w:val="00216084"/>
    <w:rsid w:val="002220D9"/>
    <w:rsid w:val="0022264B"/>
    <w:rsid w:val="0022653A"/>
    <w:rsid w:val="00231CAA"/>
    <w:rsid w:val="00252BCA"/>
    <w:rsid w:val="00271AC1"/>
    <w:rsid w:val="00272372"/>
    <w:rsid w:val="002733F9"/>
    <w:rsid w:val="00274279"/>
    <w:rsid w:val="002832A3"/>
    <w:rsid w:val="00283E99"/>
    <w:rsid w:val="00285530"/>
    <w:rsid w:val="002871F8"/>
    <w:rsid w:val="0029214D"/>
    <w:rsid w:val="00293C1D"/>
    <w:rsid w:val="002961A4"/>
    <w:rsid w:val="00296AC4"/>
    <w:rsid w:val="002A10C8"/>
    <w:rsid w:val="002B14FB"/>
    <w:rsid w:val="002B3CE2"/>
    <w:rsid w:val="002B4FC6"/>
    <w:rsid w:val="002C6FDB"/>
    <w:rsid w:val="002C7527"/>
    <w:rsid w:val="002D096A"/>
    <w:rsid w:val="002D147C"/>
    <w:rsid w:val="002D308A"/>
    <w:rsid w:val="002D694B"/>
    <w:rsid w:val="002E043F"/>
    <w:rsid w:val="002E7A90"/>
    <w:rsid w:val="002F0842"/>
    <w:rsid w:val="002F0A58"/>
    <w:rsid w:val="002F4F10"/>
    <w:rsid w:val="00310265"/>
    <w:rsid w:val="003109FD"/>
    <w:rsid w:val="003314C4"/>
    <w:rsid w:val="00333C11"/>
    <w:rsid w:val="0034678A"/>
    <w:rsid w:val="003470A3"/>
    <w:rsid w:val="00347EAA"/>
    <w:rsid w:val="00365F62"/>
    <w:rsid w:val="00372359"/>
    <w:rsid w:val="00372DDE"/>
    <w:rsid w:val="00380223"/>
    <w:rsid w:val="0038743A"/>
    <w:rsid w:val="003919DC"/>
    <w:rsid w:val="00391EA1"/>
    <w:rsid w:val="003A5500"/>
    <w:rsid w:val="003A6B9A"/>
    <w:rsid w:val="003B3077"/>
    <w:rsid w:val="003B578F"/>
    <w:rsid w:val="003B6985"/>
    <w:rsid w:val="003D50A4"/>
    <w:rsid w:val="003E5097"/>
    <w:rsid w:val="003E7F44"/>
    <w:rsid w:val="003F05AE"/>
    <w:rsid w:val="003F5CBE"/>
    <w:rsid w:val="0040028B"/>
    <w:rsid w:val="004031C9"/>
    <w:rsid w:val="00412C2D"/>
    <w:rsid w:val="0041693E"/>
    <w:rsid w:val="00422DEA"/>
    <w:rsid w:val="004331D9"/>
    <w:rsid w:val="004348C3"/>
    <w:rsid w:val="00435435"/>
    <w:rsid w:val="0044402D"/>
    <w:rsid w:val="00450C3C"/>
    <w:rsid w:val="004551FC"/>
    <w:rsid w:val="00456D3D"/>
    <w:rsid w:val="004646AA"/>
    <w:rsid w:val="00465D63"/>
    <w:rsid w:val="0047315D"/>
    <w:rsid w:val="00482B60"/>
    <w:rsid w:val="00484E1C"/>
    <w:rsid w:val="0049127C"/>
    <w:rsid w:val="00496B6E"/>
    <w:rsid w:val="004A73BA"/>
    <w:rsid w:val="004A75C9"/>
    <w:rsid w:val="004C136C"/>
    <w:rsid w:val="004D0FAB"/>
    <w:rsid w:val="004D7AA0"/>
    <w:rsid w:val="004E04B0"/>
    <w:rsid w:val="004E6CCC"/>
    <w:rsid w:val="004E7AF7"/>
    <w:rsid w:val="004F7484"/>
    <w:rsid w:val="00506837"/>
    <w:rsid w:val="00506C77"/>
    <w:rsid w:val="005200E4"/>
    <w:rsid w:val="00522985"/>
    <w:rsid w:val="00524757"/>
    <w:rsid w:val="0054774E"/>
    <w:rsid w:val="00552D5E"/>
    <w:rsid w:val="00552DCC"/>
    <w:rsid w:val="00557056"/>
    <w:rsid w:val="005818AD"/>
    <w:rsid w:val="005A2069"/>
    <w:rsid w:val="005A2FEB"/>
    <w:rsid w:val="005A7B1C"/>
    <w:rsid w:val="005B0CC5"/>
    <w:rsid w:val="005B2087"/>
    <w:rsid w:val="005B4B8E"/>
    <w:rsid w:val="005C7507"/>
    <w:rsid w:val="005D1C55"/>
    <w:rsid w:val="005D443D"/>
    <w:rsid w:val="005E353B"/>
    <w:rsid w:val="00630C0D"/>
    <w:rsid w:val="00637CA1"/>
    <w:rsid w:val="00653F3F"/>
    <w:rsid w:val="00687ABB"/>
    <w:rsid w:val="00691D11"/>
    <w:rsid w:val="006A5CCC"/>
    <w:rsid w:val="006A65E9"/>
    <w:rsid w:val="006B0CC8"/>
    <w:rsid w:val="006C7577"/>
    <w:rsid w:val="006C7CFA"/>
    <w:rsid w:val="006D2AF7"/>
    <w:rsid w:val="006D3328"/>
    <w:rsid w:val="006D586B"/>
    <w:rsid w:val="006E5B4E"/>
    <w:rsid w:val="006F6FBA"/>
    <w:rsid w:val="006F7A93"/>
    <w:rsid w:val="0070596D"/>
    <w:rsid w:val="007142B3"/>
    <w:rsid w:val="00715313"/>
    <w:rsid w:val="00734084"/>
    <w:rsid w:val="00735CB8"/>
    <w:rsid w:val="00735FAC"/>
    <w:rsid w:val="00736AFC"/>
    <w:rsid w:val="00740335"/>
    <w:rsid w:val="007412D5"/>
    <w:rsid w:val="007515FB"/>
    <w:rsid w:val="007630D1"/>
    <w:rsid w:val="0076657E"/>
    <w:rsid w:val="00775916"/>
    <w:rsid w:val="00777749"/>
    <w:rsid w:val="007818F5"/>
    <w:rsid w:val="00782E5A"/>
    <w:rsid w:val="007935C3"/>
    <w:rsid w:val="007A6367"/>
    <w:rsid w:val="007B39F3"/>
    <w:rsid w:val="007B44E7"/>
    <w:rsid w:val="007B4A7E"/>
    <w:rsid w:val="007C699A"/>
    <w:rsid w:val="007D73FA"/>
    <w:rsid w:val="007E14EA"/>
    <w:rsid w:val="007E6BCD"/>
    <w:rsid w:val="007F17C3"/>
    <w:rsid w:val="00801002"/>
    <w:rsid w:val="00804994"/>
    <w:rsid w:val="0080650E"/>
    <w:rsid w:val="00812E39"/>
    <w:rsid w:val="00814C21"/>
    <w:rsid w:val="0082066A"/>
    <w:rsid w:val="008300CB"/>
    <w:rsid w:val="00837A52"/>
    <w:rsid w:val="008514B6"/>
    <w:rsid w:val="008609FE"/>
    <w:rsid w:val="008778A0"/>
    <w:rsid w:val="00895DD1"/>
    <w:rsid w:val="008A4054"/>
    <w:rsid w:val="008C0AD5"/>
    <w:rsid w:val="008C3415"/>
    <w:rsid w:val="008D74C9"/>
    <w:rsid w:val="008E55CD"/>
    <w:rsid w:val="008F4C6A"/>
    <w:rsid w:val="009201F2"/>
    <w:rsid w:val="009204BB"/>
    <w:rsid w:val="00921C57"/>
    <w:rsid w:val="00934437"/>
    <w:rsid w:val="00944C36"/>
    <w:rsid w:val="00946A7A"/>
    <w:rsid w:val="00947DC3"/>
    <w:rsid w:val="0095563F"/>
    <w:rsid w:val="009607AC"/>
    <w:rsid w:val="00975C20"/>
    <w:rsid w:val="009902B7"/>
    <w:rsid w:val="00992D15"/>
    <w:rsid w:val="009A11CA"/>
    <w:rsid w:val="009A5B09"/>
    <w:rsid w:val="009B6642"/>
    <w:rsid w:val="009C31D7"/>
    <w:rsid w:val="009C4DB7"/>
    <w:rsid w:val="009E6E02"/>
    <w:rsid w:val="009F40A0"/>
    <w:rsid w:val="009F5999"/>
    <w:rsid w:val="00A005DA"/>
    <w:rsid w:val="00A01DBF"/>
    <w:rsid w:val="00A03078"/>
    <w:rsid w:val="00A24B18"/>
    <w:rsid w:val="00A360F1"/>
    <w:rsid w:val="00A37F9F"/>
    <w:rsid w:val="00A40EA2"/>
    <w:rsid w:val="00A42F3A"/>
    <w:rsid w:val="00A5157D"/>
    <w:rsid w:val="00A51EEA"/>
    <w:rsid w:val="00A55B72"/>
    <w:rsid w:val="00A63945"/>
    <w:rsid w:val="00A6750A"/>
    <w:rsid w:val="00A675FF"/>
    <w:rsid w:val="00A709AE"/>
    <w:rsid w:val="00A7385B"/>
    <w:rsid w:val="00A743C9"/>
    <w:rsid w:val="00A80023"/>
    <w:rsid w:val="00A824F9"/>
    <w:rsid w:val="00A82904"/>
    <w:rsid w:val="00A84317"/>
    <w:rsid w:val="00A90A8D"/>
    <w:rsid w:val="00A95A38"/>
    <w:rsid w:val="00AA23E1"/>
    <w:rsid w:val="00AB37C5"/>
    <w:rsid w:val="00AB68D7"/>
    <w:rsid w:val="00AC52A9"/>
    <w:rsid w:val="00AD2001"/>
    <w:rsid w:val="00AE305C"/>
    <w:rsid w:val="00AF1A2C"/>
    <w:rsid w:val="00AF5245"/>
    <w:rsid w:val="00B0484E"/>
    <w:rsid w:val="00B11AC8"/>
    <w:rsid w:val="00B25A8C"/>
    <w:rsid w:val="00B3076B"/>
    <w:rsid w:val="00B34ABD"/>
    <w:rsid w:val="00B47CB4"/>
    <w:rsid w:val="00B534D9"/>
    <w:rsid w:val="00B637F9"/>
    <w:rsid w:val="00B710DC"/>
    <w:rsid w:val="00B773FA"/>
    <w:rsid w:val="00B800DE"/>
    <w:rsid w:val="00B83425"/>
    <w:rsid w:val="00B8614E"/>
    <w:rsid w:val="00B863C1"/>
    <w:rsid w:val="00B92909"/>
    <w:rsid w:val="00B94468"/>
    <w:rsid w:val="00BA314F"/>
    <w:rsid w:val="00BA51F1"/>
    <w:rsid w:val="00BB493D"/>
    <w:rsid w:val="00BB78FA"/>
    <w:rsid w:val="00BC5121"/>
    <w:rsid w:val="00BC533A"/>
    <w:rsid w:val="00BC7847"/>
    <w:rsid w:val="00BD31AC"/>
    <w:rsid w:val="00BD4D53"/>
    <w:rsid w:val="00BF75E2"/>
    <w:rsid w:val="00C029B0"/>
    <w:rsid w:val="00C02A3F"/>
    <w:rsid w:val="00C077A1"/>
    <w:rsid w:val="00C07AA8"/>
    <w:rsid w:val="00C14772"/>
    <w:rsid w:val="00C26949"/>
    <w:rsid w:val="00C308A3"/>
    <w:rsid w:val="00C33BAC"/>
    <w:rsid w:val="00C34D48"/>
    <w:rsid w:val="00C422D4"/>
    <w:rsid w:val="00C46AC3"/>
    <w:rsid w:val="00C5174E"/>
    <w:rsid w:val="00C71FCA"/>
    <w:rsid w:val="00C7335B"/>
    <w:rsid w:val="00C7396A"/>
    <w:rsid w:val="00C75F51"/>
    <w:rsid w:val="00C81BB6"/>
    <w:rsid w:val="00CA21C0"/>
    <w:rsid w:val="00CA3AA7"/>
    <w:rsid w:val="00CB3207"/>
    <w:rsid w:val="00CB4180"/>
    <w:rsid w:val="00CB4A90"/>
    <w:rsid w:val="00CB7691"/>
    <w:rsid w:val="00CC00B6"/>
    <w:rsid w:val="00CC1926"/>
    <w:rsid w:val="00CC54ED"/>
    <w:rsid w:val="00CD32F5"/>
    <w:rsid w:val="00CE1F4F"/>
    <w:rsid w:val="00CF230C"/>
    <w:rsid w:val="00D25831"/>
    <w:rsid w:val="00D376E2"/>
    <w:rsid w:val="00D501FA"/>
    <w:rsid w:val="00D5136D"/>
    <w:rsid w:val="00D84647"/>
    <w:rsid w:val="00D875BB"/>
    <w:rsid w:val="00D902C3"/>
    <w:rsid w:val="00D92153"/>
    <w:rsid w:val="00D97C0D"/>
    <w:rsid w:val="00DA2504"/>
    <w:rsid w:val="00DC3D89"/>
    <w:rsid w:val="00DE240C"/>
    <w:rsid w:val="00DE660A"/>
    <w:rsid w:val="00DE7F73"/>
    <w:rsid w:val="00E04570"/>
    <w:rsid w:val="00E160F9"/>
    <w:rsid w:val="00E23D1E"/>
    <w:rsid w:val="00E25E4D"/>
    <w:rsid w:val="00E35E2E"/>
    <w:rsid w:val="00E54E28"/>
    <w:rsid w:val="00E56E25"/>
    <w:rsid w:val="00E66C94"/>
    <w:rsid w:val="00E7304A"/>
    <w:rsid w:val="00E83875"/>
    <w:rsid w:val="00E84734"/>
    <w:rsid w:val="00E84CF8"/>
    <w:rsid w:val="00E965BF"/>
    <w:rsid w:val="00EA4F88"/>
    <w:rsid w:val="00EB1036"/>
    <w:rsid w:val="00EB3A65"/>
    <w:rsid w:val="00ED03EB"/>
    <w:rsid w:val="00ED0DC2"/>
    <w:rsid w:val="00ED6C71"/>
    <w:rsid w:val="00ED784C"/>
    <w:rsid w:val="00EE01DB"/>
    <w:rsid w:val="00EE0E39"/>
    <w:rsid w:val="00EE5F7F"/>
    <w:rsid w:val="00EE64CD"/>
    <w:rsid w:val="00EF3BCB"/>
    <w:rsid w:val="00EF599B"/>
    <w:rsid w:val="00F018BB"/>
    <w:rsid w:val="00F2648C"/>
    <w:rsid w:val="00F3137D"/>
    <w:rsid w:val="00F33F38"/>
    <w:rsid w:val="00F36695"/>
    <w:rsid w:val="00F44483"/>
    <w:rsid w:val="00F45300"/>
    <w:rsid w:val="00F46D3D"/>
    <w:rsid w:val="00F5022B"/>
    <w:rsid w:val="00F61E82"/>
    <w:rsid w:val="00F702B7"/>
    <w:rsid w:val="00F75575"/>
    <w:rsid w:val="00F8172D"/>
    <w:rsid w:val="00F827B4"/>
    <w:rsid w:val="00F85857"/>
    <w:rsid w:val="00F94C1C"/>
    <w:rsid w:val="00FB0811"/>
    <w:rsid w:val="00FC58DE"/>
    <w:rsid w:val="00FC660A"/>
    <w:rsid w:val="00FD161B"/>
    <w:rsid w:val="00FE14E0"/>
    <w:rsid w:val="00FE5734"/>
    <w:rsid w:val="00FF3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CCA4B"/>
  <w15:chartTrackingRefBased/>
  <w15:docId w15:val="{00D12DAA-6D72-44F3-AC19-23AFF4E18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D15"/>
    <w:pPr>
      <w:jc w:val="both"/>
    </w:pPr>
  </w:style>
  <w:style w:type="paragraph" w:styleId="Heading1">
    <w:name w:val="heading 1"/>
    <w:basedOn w:val="Normal"/>
    <w:next w:val="Normal"/>
    <w:link w:val="Heading1Char"/>
    <w:uiPriority w:val="9"/>
    <w:qFormat/>
    <w:rsid w:val="00BC533A"/>
    <w:pPr>
      <w:keepNext/>
      <w:keepLines/>
      <w:spacing w:before="360" w:after="80"/>
      <w:outlineLvl w:val="0"/>
    </w:pPr>
    <w:rPr>
      <w:rFonts w:asciiTheme="majorHAnsi" w:eastAsiaTheme="majorEastAsia" w:hAnsiTheme="majorHAnsi" w:cstheme="majorBidi"/>
      <w:b/>
      <w:sz w:val="36"/>
      <w:szCs w:val="40"/>
    </w:rPr>
  </w:style>
  <w:style w:type="paragraph" w:styleId="Heading2">
    <w:name w:val="heading 2"/>
    <w:basedOn w:val="Normal"/>
    <w:next w:val="Normal"/>
    <w:link w:val="Heading2Char"/>
    <w:uiPriority w:val="9"/>
    <w:unhideWhenUsed/>
    <w:qFormat/>
    <w:rsid w:val="00946A7A"/>
    <w:pPr>
      <w:keepNext/>
      <w:keepLines/>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semiHidden/>
    <w:unhideWhenUsed/>
    <w:qFormat/>
    <w:rsid w:val="002F0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le"/>
    <w:basedOn w:val="TableGrid1"/>
    <w:uiPriority w:val="39"/>
    <w:rsid w:val="00484E1C"/>
    <w:pPr>
      <w:suppressAutoHyphens/>
      <w:autoSpaceDN w:val="0"/>
      <w:spacing w:after="0" w:line="240" w:lineRule="auto"/>
    </w:pPr>
    <w:rPr>
      <w:rFonts w:ascii="Arial" w:eastAsia="Cambria" w:hAnsi="Arial" w:cs="Times New Roman"/>
      <w:kern w:val="0"/>
      <w:sz w:val="20"/>
      <w:szCs w:val="20"/>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4E1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BC533A"/>
    <w:rPr>
      <w:rFonts w:asciiTheme="majorHAnsi" w:eastAsiaTheme="majorEastAsia" w:hAnsiTheme="majorHAnsi" w:cstheme="majorBidi"/>
      <w:b/>
      <w:sz w:val="36"/>
      <w:szCs w:val="40"/>
    </w:rPr>
  </w:style>
  <w:style w:type="character" w:customStyle="1" w:styleId="Heading2Char">
    <w:name w:val="Heading 2 Char"/>
    <w:basedOn w:val="DefaultParagraphFont"/>
    <w:link w:val="Heading2"/>
    <w:uiPriority w:val="9"/>
    <w:rsid w:val="00946A7A"/>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semiHidden/>
    <w:rsid w:val="002F0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A58"/>
    <w:rPr>
      <w:rFonts w:eastAsiaTheme="majorEastAsia" w:cstheme="majorBidi"/>
      <w:color w:val="272727" w:themeColor="text1" w:themeTint="D8"/>
    </w:rPr>
  </w:style>
  <w:style w:type="paragraph" w:styleId="Title">
    <w:name w:val="Title"/>
    <w:basedOn w:val="Heading1"/>
    <w:next w:val="Normal"/>
    <w:link w:val="TitleChar"/>
    <w:uiPriority w:val="10"/>
    <w:qFormat/>
    <w:rsid w:val="00992D15"/>
    <w:pPr>
      <w:jc w:val="center"/>
    </w:pPr>
  </w:style>
  <w:style w:type="character" w:customStyle="1" w:styleId="TitleChar">
    <w:name w:val="Title Char"/>
    <w:basedOn w:val="DefaultParagraphFont"/>
    <w:link w:val="Title"/>
    <w:uiPriority w:val="10"/>
    <w:rsid w:val="00992D15"/>
    <w:rPr>
      <w:rFonts w:asciiTheme="majorHAnsi" w:eastAsiaTheme="majorEastAsia" w:hAnsiTheme="majorHAnsi" w:cstheme="majorBidi"/>
      <w:b/>
      <w:sz w:val="36"/>
      <w:szCs w:val="40"/>
    </w:rPr>
  </w:style>
  <w:style w:type="paragraph" w:styleId="Subtitle">
    <w:name w:val="Subtitle"/>
    <w:basedOn w:val="Normal"/>
    <w:next w:val="Normal"/>
    <w:link w:val="SubtitleChar"/>
    <w:uiPriority w:val="11"/>
    <w:qFormat/>
    <w:rsid w:val="002F0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A58"/>
    <w:pPr>
      <w:spacing w:before="160"/>
      <w:jc w:val="center"/>
    </w:pPr>
    <w:rPr>
      <w:i/>
      <w:iCs/>
      <w:color w:val="404040" w:themeColor="text1" w:themeTint="BF"/>
    </w:rPr>
  </w:style>
  <w:style w:type="character" w:customStyle="1" w:styleId="QuoteChar">
    <w:name w:val="Quote Char"/>
    <w:basedOn w:val="DefaultParagraphFont"/>
    <w:link w:val="Quote"/>
    <w:uiPriority w:val="29"/>
    <w:rsid w:val="002F0A58"/>
    <w:rPr>
      <w:i/>
      <w:iCs/>
      <w:color w:val="404040" w:themeColor="text1" w:themeTint="BF"/>
    </w:rPr>
  </w:style>
  <w:style w:type="paragraph" w:styleId="ListParagraph">
    <w:name w:val="List Paragraph"/>
    <w:basedOn w:val="Normal"/>
    <w:uiPriority w:val="34"/>
    <w:qFormat/>
    <w:rsid w:val="002F0A58"/>
    <w:pPr>
      <w:ind w:left="720"/>
      <w:contextualSpacing/>
    </w:pPr>
  </w:style>
  <w:style w:type="character" w:styleId="IntenseEmphasis">
    <w:name w:val="Intense Emphasis"/>
    <w:basedOn w:val="DefaultParagraphFont"/>
    <w:uiPriority w:val="21"/>
    <w:qFormat/>
    <w:rsid w:val="002F0A58"/>
    <w:rPr>
      <w:i/>
      <w:iCs/>
      <w:color w:val="0F4761" w:themeColor="accent1" w:themeShade="BF"/>
    </w:rPr>
  </w:style>
  <w:style w:type="paragraph" w:styleId="IntenseQuote">
    <w:name w:val="Intense Quote"/>
    <w:basedOn w:val="Normal"/>
    <w:next w:val="Normal"/>
    <w:link w:val="IntenseQuoteChar"/>
    <w:uiPriority w:val="30"/>
    <w:qFormat/>
    <w:rsid w:val="002F0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A58"/>
    <w:rPr>
      <w:i/>
      <w:iCs/>
      <w:color w:val="0F4761" w:themeColor="accent1" w:themeShade="BF"/>
    </w:rPr>
  </w:style>
  <w:style w:type="character" w:styleId="IntenseReference">
    <w:name w:val="Intense Reference"/>
    <w:basedOn w:val="DefaultParagraphFont"/>
    <w:uiPriority w:val="32"/>
    <w:qFormat/>
    <w:rsid w:val="002F0A58"/>
    <w:rPr>
      <w:b/>
      <w:bCs/>
      <w:smallCaps/>
      <w:color w:val="0F4761" w:themeColor="accent1" w:themeShade="BF"/>
      <w:spacing w:val="5"/>
    </w:rPr>
  </w:style>
  <w:style w:type="character" w:styleId="Hyperlink">
    <w:name w:val="Hyperlink"/>
    <w:basedOn w:val="DefaultParagraphFont"/>
    <w:uiPriority w:val="99"/>
    <w:unhideWhenUsed/>
    <w:rsid w:val="00E7304A"/>
    <w:rPr>
      <w:color w:val="467886" w:themeColor="hyperlink"/>
      <w:u w:val="single"/>
    </w:rPr>
  </w:style>
  <w:style w:type="character" w:styleId="UnresolvedMention">
    <w:name w:val="Unresolved Mention"/>
    <w:basedOn w:val="DefaultParagraphFont"/>
    <w:uiPriority w:val="99"/>
    <w:semiHidden/>
    <w:unhideWhenUsed/>
    <w:rsid w:val="00E7304A"/>
    <w:rPr>
      <w:color w:val="605E5C"/>
      <w:shd w:val="clear" w:color="auto" w:fill="E1DFDD"/>
    </w:rPr>
  </w:style>
  <w:style w:type="character" w:styleId="FollowedHyperlink">
    <w:name w:val="FollowedHyperlink"/>
    <w:basedOn w:val="DefaultParagraphFont"/>
    <w:uiPriority w:val="99"/>
    <w:semiHidden/>
    <w:unhideWhenUsed/>
    <w:rsid w:val="004331D9"/>
    <w:rPr>
      <w:color w:val="96607D" w:themeColor="followedHyperlink"/>
      <w:u w:val="single"/>
    </w:rPr>
  </w:style>
  <w:style w:type="character" w:styleId="CommentReference">
    <w:name w:val="annotation reference"/>
    <w:basedOn w:val="DefaultParagraphFont"/>
    <w:uiPriority w:val="99"/>
    <w:semiHidden/>
    <w:unhideWhenUsed/>
    <w:rsid w:val="003E5097"/>
    <w:rPr>
      <w:sz w:val="16"/>
      <w:szCs w:val="16"/>
    </w:rPr>
  </w:style>
  <w:style w:type="paragraph" w:styleId="CommentText">
    <w:name w:val="annotation text"/>
    <w:basedOn w:val="Normal"/>
    <w:link w:val="CommentTextChar"/>
    <w:uiPriority w:val="99"/>
    <w:unhideWhenUsed/>
    <w:rsid w:val="003E5097"/>
    <w:pPr>
      <w:spacing w:line="240" w:lineRule="auto"/>
    </w:pPr>
    <w:rPr>
      <w:sz w:val="20"/>
      <w:szCs w:val="20"/>
    </w:rPr>
  </w:style>
  <w:style w:type="character" w:customStyle="1" w:styleId="CommentTextChar">
    <w:name w:val="Comment Text Char"/>
    <w:basedOn w:val="DefaultParagraphFont"/>
    <w:link w:val="CommentText"/>
    <w:uiPriority w:val="99"/>
    <w:rsid w:val="003E5097"/>
    <w:rPr>
      <w:sz w:val="20"/>
      <w:szCs w:val="20"/>
    </w:rPr>
  </w:style>
  <w:style w:type="paragraph" w:styleId="CommentSubject">
    <w:name w:val="annotation subject"/>
    <w:basedOn w:val="CommentText"/>
    <w:next w:val="CommentText"/>
    <w:link w:val="CommentSubjectChar"/>
    <w:uiPriority w:val="99"/>
    <w:semiHidden/>
    <w:unhideWhenUsed/>
    <w:rsid w:val="003E5097"/>
    <w:rPr>
      <w:b/>
      <w:bCs/>
    </w:rPr>
  </w:style>
  <w:style w:type="character" w:customStyle="1" w:styleId="CommentSubjectChar">
    <w:name w:val="Comment Subject Char"/>
    <w:basedOn w:val="CommentTextChar"/>
    <w:link w:val="CommentSubject"/>
    <w:uiPriority w:val="99"/>
    <w:semiHidden/>
    <w:rsid w:val="003E5097"/>
    <w:rPr>
      <w:b/>
      <w:bCs/>
      <w:sz w:val="20"/>
      <w:szCs w:val="20"/>
    </w:rPr>
  </w:style>
  <w:style w:type="character" w:styleId="PlaceholderText">
    <w:name w:val="Placeholder Text"/>
    <w:basedOn w:val="DefaultParagraphFont"/>
    <w:uiPriority w:val="99"/>
    <w:semiHidden/>
    <w:rsid w:val="002F4F10"/>
    <w:rPr>
      <w:color w:val="666666"/>
    </w:rPr>
  </w:style>
  <w:style w:type="paragraph" w:styleId="NormalWeb">
    <w:name w:val="Normal (Web)"/>
    <w:basedOn w:val="Normal"/>
    <w:uiPriority w:val="99"/>
    <w:semiHidden/>
    <w:unhideWhenUsed/>
    <w:rsid w:val="00C5174E"/>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174E"/>
    <w:rPr>
      <w:b/>
      <w:bCs/>
    </w:rPr>
  </w:style>
  <w:style w:type="paragraph" w:styleId="Revision">
    <w:name w:val="Revision"/>
    <w:hidden/>
    <w:uiPriority w:val="99"/>
    <w:semiHidden/>
    <w:rsid w:val="000C6D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7117">
      <w:bodyDiv w:val="1"/>
      <w:marLeft w:val="0"/>
      <w:marRight w:val="0"/>
      <w:marTop w:val="0"/>
      <w:marBottom w:val="0"/>
      <w:divBdr>
        <w:top w:val="none" w:sz="0" w:space="0" w:color="auto"/>
        <w:left w:val="none" w:sz="0" w:space="0" w:color="auto"/>
        <w:bottom w:val="none" w:sz="0" w:space="0" w:color="auto"/>
        <w:right w:val="none" w:sz="0" w:space="0" w:color="auto"/>
      </w:divBdr>
    </w:div>
    <w:div w:id="86854741">
      <w:bodyDiv w:val="1"/>
      <w:marLeft w:val="0"/>
      <w:marRight w:val="0"/>
      <w:marTop w:val="0"/>
      <w:marBottom w:val="0"/>
      <w:divBdr>
        <w:top w:val="none" w:sz="0" w:space="0" w:color="auto"/>
        <w:left w:val="none" w:sz="0" w:space="0" w:color="auto"/>
        <w:bottom w:val="none" w:sz="0" w:space="0" w:color="auto"/>
        <w:right w:val="none" w:sz="0" w:space="0" w:color="auto"/>
      </w:divBdr>
      <w:divsChild>
        <w:div w:id="405609302">
          <w:marLeft w:val="0"/>
          <w:marRight w:val="0"/>
          <w:marTop w:val="0"/>
          <w:marBottom w:val="0"/>
          <w:divBdr>
            <w:top w:val="none" w:sz="0" w:space="0" w:color="auto"/>
            <w:left w:val="none" w:sz="0" w:space="0" w:color="auto"/>
            <w:bottom w:val="none" w:sz="0" w:space="0" w:color="auto"/>
            <w:right w:val="none" w:sz="0" w:space="0" w:color="auto"/>
          </w:divBdr>
          <w:divsChild>
            <w:div w:id="2120565929">
              <w:marLeft w:val="0"/>
              <w:marRight w:val="0"/>
              <w:marTop w:val="0"/>
              <w:marBottom w:val="0"/>
              <w:divBdr>
                <w:top w:val="none" w:sz="0" w:space="0" w:color="auto"/>
                <w:left w:val="none" w:sz="0" w:space="0" w:color="auto"/>
                <w:bottom w:val="none" w:sz="0" w:space="0" w:color="auto"/>
                <w:right w:val="none" w:sz="0" w:space="0" w:color="auto"/>
              </w:divBdr>
              <w:divsChild>
                <w:div w:id="359626423">
                  <w:marLeft w:val="0"/>
                  <w:marRight w:val="0"/>
                  <w:marTop w:val="0"/>
                  <w:marBottom w:val="0"/>
                  <w:divBdr>
                    <w:top w:val="none" w:sz="0" w:space="0" w:color="auto"/>
                    <w:left w:val="none" w:sz="0" w:space="0" w:color="auto"/>
                    <w:bottom w:val="none" w:sz="0" w:space="0" w:color="auto"/>
                    <w:right w:val="none" w:sz="0" w:space="0" w:color="auto"/>
                  </w:divBdr>
                  <w:divsChild>
                    <w:div w:id="202940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11289">
          <w:marLeft w:val="0"/>
          <w:marRight w:val="0"/>
          <w:marTop w:val="0"/>
          <w:marBottom w:val="0"/>
          <w:divBdr>
            <w:top w:val="none" w:sz="0" w:space="0" w:color="auto"/>
            <w:left w:val="none" w:sz="0" w:space="0" w:color="auto"/>
            <w:bottom w:val="none" w:sz="0" w:space="0" w:color="auto"/>
            <w:right w:val="none" w:sz="0" w:space="0" w:color="auto"/>
          </w:divBdr>
          <w:divsChild>
            <w:div w:id="214855832">
              <w:marLeft w:val="0"/>
              <w:marRight w:val="0"/>
              <w:marTop w:val="0"/>
              <w:marBottom w:val="0"/>
              <w:divBdr>
                <w:top w:val="none" w:sz="0" w:space="0" w:color="auto"/>
                <w:left w:val="none" w:sz="0" w:space="0" w:color="auto"/>
                <w:bottom w:val="none" w:sz="0" w:space="0" w:color="auto"/>
                <w:right w:val="none" w:sz="0" w:space="0" w:color="auto"/>
              </w:divBdr>
              <w:divsChild>
                <w:div w:id="11728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52583">
      <w:bodyDiv w:val="1"/>
      <w:marLeft w:val="0"/>
      <w:marRight w:val="0"/>
      <w:marTop w:val="0"/>
      <w:marBottom w:val="0"/>
      <w:divBdr>
        <w:top w:val="none" w:sz="0" w:space="0" w:color="auto"/>
        <w:left w:val="none" w:sz="0" w:space="0" w:color="auto"/>
        <w:bottom w:val="none" w:sz="0" w:space="0" w:color="auto"/>
        <w:right w:val="none" w:sz="0" w:space="0" w:color="auto"/>
      </w:divBdr>
    </w:div>
    <w:div w:id="352153866">
      <w:bodyDiv w:val="1"/>
      <w:marLeft w:val="0"/>
      <w:marRight w:val="0"/>
      <w:marTop w:val="0"/>
      <w:marBottom w:val="0"/>
      <w:divBdr>
        <w:top w:val="none" w:sz="0" w:space="0" w:color="auto"/>
        <w:left w:val="none" w:sz="0" w:space="0" w:color="auto"/>
        <w:bottom w:val="none" w:sz="0" w:space="0" w:color="auto"/>
        <w:right w:val="none" w:sz="0" w:space="0" w:color="auto"/>
      </w:divBdr>
    </w:div>
    <w:div w:id="729888120">
      <w:bodyDiv w:val="1"/>
      <w:marLeft w:val="0"/>
      <w:marRight w:val="0"/>
      <w:marTop w:val="0"/>
      <w:marBottom w:val="0"/>
      <w:divBdr>
        <w:top w:val="none" w:sz="0" w:space="0" w:color="auto"/>
        <w:left w:val="none" w:sz="0" w:space="0" w:color="auto"/>
        <w:bottom w:val="none" w:sz="0" w:space="0" w:color="auto"/>
        <w:right w:val="none" w:sz="0" w:space="0" w:color="auto"/>
      </w:divBdr>
    </w:div>
    <w:div w:id="872035828">
      <w:bodyDiv w:val="1"/>
      <w:marLeft w:val="0"/>
      <w:marRight w:val="0"/>
      <w:marTop w:val="0"/>
      <w:marBottom w:val="0"/>
      <w:divBdr>
        <w:top w:val="none" w:sz="0" w:space="0" w:color="auto"/>
        <w:left w:val="none" w:sz="0" w:space="0" w:color="auto"/>
        <w:bottom w:val="none" w:sz="0" w:space="0" w:color="auto"/>
        <w:right w:val="none" w:sz="0" w:space="0" w:color="auto"/>
      </w:divBdr>
    </w:div>
    <w:div w:id="966660962">
      <w:bodyDiv w:val="1"/>
      <w:marLeft w:val="0"/>
      <w:marRight w:val="0"/>
      <w:marTop w:val="0"/>
      <w:marBottom w:val="0"/>
      <w:divBdr>
        <w:top w:val="none" w:sz="0" w:space="0" w:color="auto"/>
        <w:left w:val="none" w:sz="0" w:space="0" w:color="auto"/>
        <w:bottom w:val="none" w:sz="0" w:space="0" w:color="auto"/>
        <w:right w:val="none" w:sz="0" w:space="0" w:color="auto"/>
      </w:divBdr>
    </w:div>
    <w:div w:id="1150708432">
      <w:bodyDiv w:val="1"/>
      <w:marLeft w:val="0"/>
      <w:marRight w:val="0"/>
      <w:marTop w:val="0"/>
      <w:marBottom w:val="0"/>
      <w:divBdr>
        <w:top w:val="none" w:sz="0" w:space="0" w:color="auto"/>
        <w:left w:val="none" w:sz="0" w:space="0" w:color="auto"/>
        <w:bottom w:val="none" w:sz="0" w:space="0" w:color="auto"/>
        <w:right w:val="none" w:sz="0" w:space="0" w:color="auto"/>
      </w:divBdr>
    </w:div>
    <w:div w:id="1791313917">
      <w:bodyDiv w:val="1"/>
      <w:marLeft w:val="0"/>
      <w:marRight w:val="0"/>
      <w:marTop w:val="0"/>
      <w:marBottom w:val="0"/>
      <w:divBdr>
        <w:top w:val="none" w:sz="0" w:space="0" w:color="auto"/>
        <w:left w:val="none" w:sz="0" w:space="0" w:color="auto"/>
        <w:bottom w:val="none" w:sz="0" w:space="0" w:color="auto"/>
        <w:right w:val="none" w:sz="0" w:space="0" w:color="auto"/>
      </w:divBdr>
      <w:divsChild>
        <w:div w:id="388530071">
          <w:marLeft w:val="0"/>
          <w:marRight w:val="0"/>
          <w:marTop w:val="0"/>
          <w:marBottom w:val="0"/>
          <w:divBdr>
            <w:top w:val="none" w:sz="0" w:space="0" w:color="auto"/>
            <w:left w:val="none" w:sz="0" w:space="0" w:color="auto"/>
            <w:bottom w:val="none" w:sz="0" w:space="0" w:color="auto"/>
            <w:right w:val="none" w:sz="0" w:space="0" w:color="auto"/>
          </w:divBdr>
          <w:divsChild>
            <w:div w:id="1540432745">
              <w:marLeft w:val="0"/>
              <w:marRight w:val="0"/>
              <w:marTop w:val="0"/>
              <w:marBottom w:val="0"/>
              <w:divBdr>
                <w:top w:val="none" w:sz="0" w:space="0" w:color="auto"/>
                <w:left w:val="none" w:sz="0" w:space="0" w:color="auto"/>
                <w:bottom w:val="none" w:sz="0" w:space="0" w:color="auto"/>
                <w:right w:val="none" w:sz="0" w:space="0" w:color="auto"/>
              </w:divBdr>
              <w:divsChild>
                <w:div w:id="154004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9754">
          <w:marLeft w:val="0"/>
          <w:marRight w:val="0"/>
          <w:marTop w:val="0"/>
          <w:marBottom w:val="0"/>
          <w:divBdr>
            <w:top w:val="none" w:sz="0" w:space="0" w:color="auto"/>
            <w:left w:val="none" w:sz="0" w:space="0" w:color="auto"/>
            <w:bottom w:val="none" w:sz="0" w:space="0" w:color="auto"/>
            <w:right w:val="none" w:sz="0" w:space="0" w:color="auto"/>
          </w:divBdr>
          <w:divsChild>
            <w:div w:id="1825468340">
              <w:marLeft w:val="0"/>
              <w:marRight w:val="0"/>
              <w:marTop w:val="0"/>
              <w:marBottom w:val="0"/>
              <w:divBdr>
                <w:top w:val="none" w:sz="0" w:space="0" w:color="auto"/>
                <w:left w:val="none" w:sz="0" w:space="0" w:color="auto"/>
                <w:bottom w:val="none" w:sz="0" w:space="0" w:color="auto"/>
                <w:right w:val="none" w:sz="0" w:space="0" w:color="auto"/>
              </w:divBdr>
              <w:divsChild>
                <w:div w:id="226577900">
                  <w:marLeft w:val="0"/>
                  <w:marRight w:val="0"/>
                  <w:marTop w:val="0"/>
                  <w:marBottom w:val="0"/>
                  <w:divBdr>
                    <w:top w:val="none" w:sz="0" w:space="0" w:color="auto"/>
                    <w:left w:val="none" w:sz="0" w:space="0" w:color="auto"/>
                    <w:bottom w:val="none" w:sz="0" w:space="0" w:color="auto"/>
                    <w:right w:val="none" w:sz="0" w:space="0" w:color="auto"/>
                  </w:divBdr>
                  <w:divsChild>
                    <w:div w:id="68695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54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systems-pharmacology.org" TargetMode="External"/><Relationship Id="rId13" Type="http://schemas.openxmlformats.org/officeDocument/2006/relationships/hyperlink" Target="https://doi.org/10.1007/s11095-023-03654-1" TargetMode="External"/><Relationship Id="rId18" Type="http://schemas.openxmlformats.org/officeDocument/2006/relationships/hyperlink" Target="https://www.fda.gov/science-research/about-science-research-fda/advancing-alternative-methods-fd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Open-Systems-Pharmacology/OSP-Qualification-Reports" TargetMode="External"/><Relationship Id="rId12" Type="http://schemas.openxmlformats.org/officeDocument/2006/relationships/hyperlink" Target="https://doi.org/10.1002/jcph.670" TargetMode="External"/><Relationship Id="rId17" Type="http://schemas.openxmlformats.org/officeDocument/2006/relationships/hyperlink" Target="https://doi.org/10.1002/psp4.70127" TargetMode="External"/><Relationship Id="rId2" Type="http://schemas.openxmlformats.org/officeDocument/2006/relationships/styles" Target="styles.xml"/><Relationship Id="rId16" Type="http://schemas.openxmlformats.org/officeDocument/2006/relationships/hyperlink" Target="https://doi.org/10.1124/dmd.115.065920" TargetMode="External"/><Relationship Id="rId20" Type="http://schemas.openxmlformats.org/officeDocument/2006/relationships/hyperlink" Target="https://doi.org/10.1093/bib/bbae081" TargetMode="External"/><Relationship Id="rId1" Type="http://schemas.openxmlformats.org/officeDocument/2006/relationships/numbering" Target="numbering.xml"/><Relationship Id="rId6" Type="http://schemas.openxmlformats.org/officeDocument/2006/relationships/hyperlink" Target="https://www.open-systems-pharmacology.org" TargetMode="External"/><Relationship Id="rId11" Type="http://schemas.openxmlformats.org/officeDocument/2006/relationships/hyperlink" Target="https://doi.org/10.1002/psp4.12636" TargetMode="External"/><Relationship Id="rId5" Type="http://schemas.openxmlformats.org/officeDocument/2006/relationships/image" Target="media/image1.png"/><Relationship Id="rId15" Type="http://schemas.openxmlformats.org/officeDocument/2006/relationships/hyperlink" Target="https://www.open-systems-pharmacology.org/" TargetMode="External"/><Relationship Id="rId10" Type="http://schemas.openxmlformats.org/officeDocument/2006/relationships/hyperlink" Target="https://doi.org/10.1002/jps.20348" TargetMode="External"/><Relationship Id="rId19" Type="http://schemas.openxmlformats.org/officeDocument/2006/relationships/hyperlink" Target="https://www.fda.gov/media/186092/download" TargetMode="External"/><Relationship Id="rId4" Type="http://schemas.openxmlformats.org/officeDocument/2006/relationships/webSettings" Target="webSettings.xml"/><Relationship Id="rId9" Type="http://schemas.openxmlformats.org/officeDocument/2006/relationships/hyperlink" Target="https://doi.org/10.4161/mabs.21186" TargetMode="External"/><Relationship Id="rId14" Type="http://schemas.openxmlformats.org/officeDocument/2006/relationships/hyperlink" Target="https://doi.org/10.1007/s10928-017-9559-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560</TotalTime>
  <Pages>14</Pages>
  <Words>4072</Words>
  <Characters>26353</Characters>
  <Application>Microsoft Office Word</Application>
  <DocSecurity>0</DocSecurity>
  <Lines>488</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Krina Mehta</dc:creator>
  <cp:keywords/>
  <dc:description/>
  <cp:lastModifiedBy>Krina Mehta</cp:lastModifiedBy>
  <cp:revision>15</cp:revision>
  <dcterms:created xsi:type="dcterms:W3CDTF">2025-10-11T16:35:00Z</dcterms:created>
  <dcterms:modified xsi:type="dcterms:W3CDTF">2025-11-04T03:21:00Z</dcterms:modified>
</cp:coreProperties>
</file>