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66D64" w14:textId="143E95B7" w:rsidR="00D7032F" w:rsidRDefault="00D7032F" w:rsidP="00587022">
      <w:r>
        <w:t xml:space="preserve">Methods: </w:t>
      </w:r>
      <w:r w:rsidRPr="00D7032F">
        <w:t>The target module needs more detail because it drives the nonlinear behavior you are trying to predict. The expression database provides relative abundance (an mRNA surrogate), so please state how the absolute molar target reference concentration was set and show how sensitive the predictions are to it. Also, a single generic target may not capture soluble versus membrane target dynamics, which differ across this set (soluble and transmembrane TNF for adalimumab and golimumab, soluble VEGF for bevacizumab, soluble and membrane IL-6R for tocilizumab, membrane PD-1 and PD-L1). Please describe how soluble versus membrane targets, shedding, and soluble-complex clearance were handled, or flag this as a limitation.</w:t>
      </w:r>
    </w:p>
    <w:p w14:paraId="3499451D" w14:textId="7A354443" w:rsidR="00D7032F" w:rsidRPr="00D7032F" w:rsidRDefault="00D7032F" w:rsidP="00587022">
      <w:pPr>
        <w:rPr>
          <w:color w:val="0070C0"/>
        </w:rPr>
      </w:pPr>
      <w:r w:rsidRPr="00D7032F">
        <w:rPr>
          <w:color w:val="0070C0"/>
        </w:rPr>
        <w:t>COU</w:t>
      </w:r>
    </w:p>
    <w:p w14:paraId="3847573F" w14:textId="206D63F1" w:rsidR="00D7032F" w:rsidRDefault="00D7032F" w:rsidP="00587022">
      <w:r w:rsidRPr="00D7032F">
        <w:t>Methods</w:t>
      </w:r>
      <w:r>
        <w:t xml:space="preserve"> top-down: </w:t>
      </w:r>
      <w:r w:rsidRPr="00D7032F">
        <w:t xml:space="preserve">Two issues with the top-down benchmark. Identifiability: with single-dose IV monkey data at a few dose levels, QSS TMDD CL and kint are often weakly identifiable, and you already note fitting a minimal parameter set selected by OFV. Please report parameter precision (RSE or confidence intervals), the CL-kint correlation, and whether a linear or Michaelis-Menten model fit comparably. Confounding: </w:t>
      </w:r>
      <w:proofErr w:type="gramStart"/>
      <w:r w:rsidRPr="00D7032F">
        <w:t>the a</w:t>
      </w:r>
      <w:proofErr w:type="gramEnd"/>
      <w:r w:rsidRPr="00D7032F">
        <w:t xml:space="preserve"> priori and top-down approaches differ in more than the clearance source, because kint is taken from in vitro data (or set equal to kdeg where unavailable) in the a priori approach but estimated from monkey data in the top-down approach. A cleaner comparison would hold the target module identical and vary only whether clearance is predicted or fitted. If the benchmark is weakly constrained, please phrase the result as a priori being no worse than a weakly identified empirical model, rather than as evidence that the mechanism is captured sufficiently.</w:t>
      </w:r>
    </w:p>
    <w:p w14:paraId="45BDE89B" w14:textId="77777777" w:rsidR="004A2484" w:rsidRDefault="004A2484" w:rsidP="00587022"/>
    <w:p w14:paraId="34F5FC69" w14:textId="77777777" w:rsidR="004A2484" w:rsidRPr="004A2484" w:rsidRDefault="004A2484" w:rsidP="004A2484">
      <w:r w:rsidRPr="004A2484">
        <w:t xml:space="preserve">Two points that bear on </w:t>
      </w:r>
      <w:proofErr w:type="gramStart"/>
      <w:r w:rsidRPr="004A2484">
        <w:t>the a</w:t>
      </w:r>
      <w:proofErr w:type="gramEnd"/>
      <w:r w:rsidRPr="004A2484">
        <w:t xml:space="preserve"> priori label and on TMDD interpretation. Because internalization was set equal to kdeg for most molecules and target concentration is, as you note, the least standardized input, please state per molecule which predictions were genuinely independent of the observed PK; if any input was chosen with knowledge of the PK, the a priori label should be qualified. Separately, for TMDD it matters whether the digitized concentrations are total or free antibody, which is assay dependent, so please record the </w:t>
      </w:r>
      <w:proofErr w:type="spellStart"/>
      <w:r w:rsidRPr="004A2484">
        <w:t>bioanalyte</w:t>
      </w:r>
      <w:proofErr w:type="spellEnd"/>
      <w:r w:rsidRPr="004A2484">
        <w:t xml:space="preserve"> for each dataset.</w:t>
      </w:r>
    </w:p>
    <w:p w14:paraId="5483AFC5" w14:textId="77777777" w:rsidR="00D7032F" w:rsidRPr="00D7032F" w:rsidRDefault="00D7032F" w:rsidP="00587022"/>
    <w:p w14:paraId="61AC44B0" w14:textId="6069073B" w:rsidR="00D7032F" w:rsidRPr="00D7032F" w:rsidRDefault="00D7032F" w:rsidP="00587022">
      <w:r>
        <w:t xml:space="preserve">Methods section: </w:t>
      </w:r>
      <w:r w:rsidRPr="00D7032F">
        <w:t xml:space="preserve">Suggested OSP citations for the placeholders in this section. Large molecule protein model in PK-Sim: </w:t>
      </w:r>
      <w:proofErr w:type="spellStart"/>
      <w:r w:rsidRPr="00D7032F">
        <w:t>Niederalt</w:t>
      </w:r>
      <w:proofErr w:type="spellEnd"/>
      <w:r w:rsidRPr="00D7032F">
        <w:t xml:space="preserve"> et al., J </w:t>
      </w:r>
      <w:proofErr w:type="spellStart"/>
      <w:r w:rsidRPr="00D7032F">
        <w:t>Pharmacokinet</w:t>
      </w:r>
      <w:proofErr w:type="spellEnd"/>
      <w:r w:rsidRPr="00D7032F">
        <w:t xml:space="preserve"> </w:t>
      </w:r>
      <w:proofErr w:type="spellStart"/>
      <w:r w:rsidRPr="00D7032F">
        <w:t>Pharmacodyn</w:t>
      </w:r>
      <w:proofErr w:type="spellEnd"/>
      <w:r w:rsidRPr="00D7032F">
        <w:t xml:space="preserve"> 2018;45(2):235-257, PMID 29234936 (already cited in the Introduction). Gene expression database: Meyer et al., Drug </w:t>
      </w:r>
      <w:proofErr w:type="spellStart"/>
      <w:r w:rsidRPr="00D7032F">
        <w:t>Metab</w:t>
      </w:r>
      <w:proofErr w:type="spellEnd"/>
      <w:r w:rsidRPr="00D7032F">
        <w:t xml:space="preserve"> </w:t>
      </w:r>
      <w:proofErr w:type="spellStart"/>
      <w:r w:rsidRPr="00D7032F">
        <w:t>Dispos</w:t>
      </w:r>
      <w:proofErr w:type="spellEnd"/>
      <w:r w:rsidRPr="00D7032F">
        <w:t xml:space="preserve"> 2012;40(5):892-901, PMID 22293118; for cross </w:t>
      </w:r>
      <w:r w:rsidRPr="00D7032F">
        <w:lastRenderedPageBreak/>
        <w:t xml:space="preserve">species (monkey and human) expression specifically, Cordes et al., CPT Pharmacometrics Syst </w:t>
      </w:r>
      <w:proofErr w:type="spellStart"/>
      <w:r w:rsidRPr="00D7032F">
        <w:t>Pharmacol</w:t>
      </w:r>
      <w:proofErr w:type="spellEnd"/>
      <w:r w:rsidRPr="00D7032F">
        <w:t xml:space="preserve"> 2023, </w:t>
      </w:r>
      <w:proofErr w:type="spellStart"/>
      <w:r w:rsidRPr="00D7032F">
        <w:t>doi</w:t>
      </w:r>
      <w:proofErr w:type="spellEnd"/>
      <w:r w:rsidRPr="00D7032F">
        <w:t xml:space="preserve"> 10.1002/psp4.12904. OSP Suite and </w:t>
      </w:r>
      <w:proofErr w:type="spellStart"/>
      <w:r w:rsidRPr="00D7032F">
        <w:t>ospsuite</w:t>
      </w:r>
      <w:proofErr w:type="spellEnd"/>
      <w:r w:rsidRPr="00D7032F">
        <w:t xml:space="preserve"> ecosystem: Lippert et al., CPT Pharmacometrics Syst </w:t>
      </w:r>
      <w:proofErr w:type="spellStart"/>
      <w:r w:rsidRPr="00D7032F">
        <w:t>Pharmacol</w:t>
      </w:r>
      <w:proofErr w:type="spellEnd"/>
      <w:r w:rsidRPr="00D7032F">
        <w:t xml:space="preserve"> 2019;8(12):878-882, PMID 31671256. </w:t>
      </w:r>
      <w:proofErr w:type="spellStart"/>
      <w:r w:rsidRPr="00D7032F">
        <w:t>esqlabsR</w:t>
      </w:r>
      <w:proofErr w:type="spellEnd"/>
      <w:r w:rsidRPr="00D7032F">
        <w:t xml:space="preserve">: no journal article, cite the CRAN or GitHub package with version and access date. The PK-Sim v12 modular approach appears to be a conference poster or the OSP documentation (Modules) rather than a peer reviewed paper: cite the specific poster or the documentation </w:t>
      </w:r>
      <w:proofErr w:type="gramStart"/>
      <w:r w:rsidRPr="00D7032F">
        <w:t>page, or</w:t>
      </w:r>
      <w:proofErr w:type="gramEnd"/>
      <w:r w:rsidRPr="00D7032F">
        <w:t xml:space="preserve"> remove the citation.</w:t>
      </w:r>
    </w:p>
    <w:p w14:paraId="6569DC0F" w14:textId="77777777" w:rsidR="00D7032F" w:rsidRDefault="00D7032F" w:rsidP="00587022">
      <w:pPr>
        <w:rPr>
          <w:strike/>
        </w:rPr>
      </w:pPr>
    </w:p>
    <w:p w14:paraId="0702846F" w14:textId="14938201" w:rsidR="008657D6" w:rsidRDefault="00B314EC" w:rsidP="00587022">
      <w:r w:rsidRPr="00F32A7F">
        <w:rPr>
          <w:strike/>
        </w:rPr>
        <w:t>Because internalization was set equal to kdeg for most molecules and target concentration is, as you note, the least standardized input,</w:t>
      </w:r>
      <w:r w:rsidRPr="00B314EC">
        <w:t xml:space="preserve"> please state per molecule which predictions were genuinely independent of the observed PK; if any input was chosen with knowledge of the PK, the a priori label should be qualified. </w:t>
      </w:r>
    </w:p>
    <w:p w14:paraId="10F68D96" w14:textId="4076A265" w:rsidR="00587022" w:rsidRDefault="00587022" w:rsidP="00587022">
      <w:r>
        <w:t xml:space="preserve">LLM prompt: </w:t>
      </w:r>
    </w:p>
    <w:p w14:paraId="0C6F1BAF" w14:textId="77777777" w:rsidR="00E95D48" w:rsidRPr="008657D6" w:rsidRDefault="00E95D48" w:rsidP="008657D6"/>
    <w:p w14:paraId="2F7CCD13" w14:textId="4890BF64" w:rsidR="00D7032F" w:rsidRPr="00D7032F" w:rsidRDefault="008657D6" w:rsidP="00D7032F">
      <w:r w:rsidRPr="008657D6">
        <w:t xml:space="preserve">3. The animal-reduction analysis. As written, the reduced-study success is measured against the full-population mean generated by the same top-down model under assumed 30 percent variability. </w:t>
      </w:r>
      <w:proofErr w:type="gramStart"/>
      <w:r w:rsidRPr="008657D6">
        <w:t>So</w:t>
      </w:r>
      <w:proofErr w:type="gramEnd"/>
      <w:r w:rsidRPr="008657D6">
        <w:t xml:space="preserve"> isn't this a power check of the model rather than evidence that a smaller real study works? You could reframe it as such and test sensitivity to higher variability.</w:t>
      </w:r>
      <w:r w:rsidR="00D7032F">
        <w:t xml:space="preserve"> </w:t>
      </w:r>
      <w:r w:rsidR="00D7032F" w:rsidRPr="00D7032F">
        <w:t xml:space="preserve">The reduced-design success is measured against the full-population geometric mean generated by the same top-down model under an assumed 30 percent IIV. That is a precision or power check of the model, not evidence that a reduced real study recovers true monkey PK, let alone human PK. For low-variability IV mAb PK, recovering the </w:t>
      </w:r>
      <w:proofErr w:type="gramStart"/>
      <w:r w:rsidR="00D7032F" w:rsidRPr="00D7032F">
        <w:t>mean</w:t>
      </w:r>
      <w:proofErr w:type="gramEnd"/>
      <w:r w:rsidR="00D7032F" w:rsidRPr="00D7032F">
        <w:t xml:space="preserve"> of the same model with two animals is close to tautological, which is why every case is 100 percent. Please reframe this as a model-conditional power analysis, state the dependence on the 30 percent IIV assumption, and test sensitivity to higher IIV. The animal-reduction claim should not rest on this simulation alone.</w:t>
      </w:r>
    </w:p>
    <w:p w14:paraId="2198982C" w14:textId="12530EFF" w:rsidR="00950609" w:rsidRDefault="00950609" w:rsidP="00950609">
      <w:pPr>
        <w:rPr>
          <w:color w:val="0070C0"/>
        </w:rPr>
      </w:pPr>
      <w:r>
        <w:rPr>
          <w:color w:val="0070C0"/>
        </w:rPr>
        <w:t>Add assumption in a table; clarify this assumption in text</w:t>
      </w:r>
    </w:p>
    <w:p w14:paraId="3A3D242D" w14:textId="0A6B0366" w:rsidR="00950609" w:rsidRDefault="00950609" w:rsidP="00950609">
      <w:pPr>
        <w:rPr>
          <w:color w:val="0070C0"/>
        </w:rPr>
      </w:pPr>
      <w:r>
        <w:rPr>
          <w:color w:val="0070C0"/>
        </w:rPr>
        <w:t>Add higher variability sensitivity - argument</w:t>
      </w:r>
    </w:p>
    <w:p w14:paraId="354B26B2" w14:textId="63C61671" w:rsidR="00950609" w:rsidRPr="00950609" w:rsidRDefault="00950609" w:rsidP="008657D6">
      <w:pPr>
        <w:rPr>
          <w:color w:val="0070C0"/>
        </w:rPr>
      </w:pPr>
      <w:r w:rsidRPr="00950609">
        <w:rPr>
          <w:color w:val="0070C0"/>
        </w:rPr>
        <w:t>Smaller real study cannot be performed</w:t>
      </w:r>
    </w:p>
    <w:p w14:paraId="6DA4AF7B" w14:textId="77777777" w:rsidR="00D95848" w:rsidRDefault="00D95848" w:rsidP="00D95848"/>
    <w:p w14:paraId="5DA165D6" w14:textId="77777777" w:rsidR="006C73EF" w:rsidRPr="006C73EF" w:rsidRDefault="006C73EF" w:rsidP="006C73EF">
      <w:r w:rsidRPr="006C73EF">
        <w:t xml:space="preserve">The animal-reduction figure is per study, not program level, but the Abstract and Conclusions read as program level. The greater-than-60-percent value is computed only against a 15-animal single-dose PK study (reduced to 4 to 6). Your Introduction counts 24 </w:t>
      </w:r>
      <w:r w:rsidRPr="006C73EF">
        <w:lastRenderedPageBreak/>
        <w:t>to 42 monkeys across two studies, and the definitive repeat-dose PK study plus GLP repeat-dose toxicology are where most animals are used. The Discussion argues repeat-dose PK can be simulated from single-dose data, but that rests on two cited examples and does not remove the toxicology animal use. Please scope the headline claim to the exploratory single-dose PK study, separate it from toxicology, and adjust the Abstract and Conclusions. Also, two animals per dose group is below typical regulatory practice, so temper the feasibility statement.</w:t>
      </w:r>
    </w:p>
    <w:p w14:paraId="337EE54D" w14:textId="77777777" w:rsidR="006C73EF" w:rsidRDefault="006C73EF" w:rsidP="00D95848"/>
    <w:p w14:paraId="0D933463" w14:textId="77777777" w:rsidR="008869CA" w:rsidRDefault="008869CA" w:rsidP="00D95848"/>
    <w:p w14:paraId="52547283" w14:textId="6A50A961" w:rsidR="00D95848" w:rsidRPr="00D95848" w:rsidRDefault="00D95848" w:rsidP="00D95848">
      <w:r>
        <w:t xml:space="preserve">Results: </w:t>
      </w:r>
      <w:r w:rsidRPr="00D95848">
        <w:t>The four molecules that miss twofold are exactly the PD-1 and PD-L1 checkpoint inhibitors, which is mechanistically informative rather than a set of random misses: their human PK typically comes from oncology patients with variable and often high tumor-target burden, not from first-in-human healthy volunteers, so target-mediated disposition and a healthy-versus-patient mismatch are plausible drivers. Please report the human population for each dataset and discuss this clustering, since it speaks directly to when the a priori target module is and is not expected to work.</w:t>
      </w:r>
    </w:p>
    <w:p w14:paraId="3EFCD3ED" w14:textId="77777777" w:rsidR="00D95848" w:rsidRPr="008657D6" w:rsidRDefault="00D95848" w:rsidP="008657D6"/>
    <w:p w14:paraId="4346A6FC" w14:textId="77777777" w:rsidR="008657D6" w:rsidRDefault="008657D6" w:rsidP="008657D6">
      <w:r w:rsidRPr="008657D6">
        <w:t xml:space="preserve">4. Scope of the greater-than-60-percent claim. That figure is per </w:t>
      </w:r>
      <w:proofErr w:type="gramStart"/>
      <w:r w:rsidRPr="008657D6">
        <w:t>a single</w:t>
      </w:r>
      <w:proofErr w:type="gramEnd"/>
      <w:r w:rsidRPr="008657D6">
        <w:t xml:space="preserve">-dose PK study, not program level, right? ... </w:t>
      </w:r>
      <w:proofErr w:type="gramStart"/>
      <w:r w:rsidRPr="008657D6">
        <w:t>and toxicology</w:t>
      </w:r>
      <w:proofErr w:type="gramEnd"/>
      <w:r w:rsidRPr="008657D6">
        <w:t xml:space="preserve"> animal use is not addressed. The abstract and conclusions read as program level. Is that the right scope, then this should be more explicit?</w:t>
      </w:r>
    </w:p>
    <w:p w14:paraId="6E6BEDAF" w14:textId="4F36EC79" w:rsidR="00950609" w:rsidRDefault="00950609" w:rsidP="008657D6">
      <w:pPr>
        <w:rPr>
          <w:color w:val="0070C0"/>
        </w:rPr>
      </w:pPr>
      <w:r w:rsidRPr="00950609">
        <w:rPr>
          <w:color w:val="0070C0"/>
        </w:rPr>
        <w:t>Change at all occurrences – from 60 percent to explicit numbers</w:t>
      </w:r>
    </w:p>
    <w:p w14:paraId="337F9E9C" w14:textId="77777777" w:rsidR="007B07A0" w:rsidRDefault="007B07A0" w:rsidP="007B07A0"/>
    <w:p w14:paraId="18DE670D" w14:textId="280A7036" w:rsidR="007B07A0" w:rsidRPr="007B07A0" w:rsidRDefault="007B07A0" w:rsidP="007B07A0">
      <w:r>
        <w:t xml:space="preserve">Discussion first para: </w:t>
      </w:r>
      <w:r w:rsidRPr="007B07A0">
        <w:t>Inconsistent with the reduced design recommended in the Results (two dose groups with two animals per group, i.e., 4 animals). 15 to 4 animals is a 73 percent reduction; 15 to 6 is 60 percent. The Abstract and Conclusions state greater than 60 percent. Please state one reduced design and one headline reduction figure consistently across the Abstract, Results, Discussion, and Conclusions.</w:t>
      </w:r>
    </w:p>
    <w:p w14:paraId="6014FAE4" w14:textId="77777777" w:rsidR="007B07A0" w:rsidRDefault="007B07A0" w:rsidP="00D95848"/>
    <w:p w14:paraId="4B1F5DC2" w14:textId="786E6BE0" w:rsidR="00D95848" w:rsidRPr="00D95848" w:rsidRDefault="008657D6" w:rsidP="00D95848">
      <w:r w:rsidRPr="008657D6">
        <w:t xml:space="preserve">Endpoints. </w:t>
      </w:r>
      <w:proofErr w:type="spellStart"/>
      <w:r w:rsidRPr="008657D6">
        <w:t>Cmax</w:t>
      </w:r>
      <w:proofErr w:type="spellEnd"/>
      <w:r w:rsidRPr="008657D6">
        <w:t xml:space="preserve"> and truncated AUC are relatively insensitive to the target and TMDD module, which is the novel part. Adding clearance, terminal half-life, and a whole-profile fit would make the case much stronger, ideally stratified by dose.</w:t>
      </w:r>
      <w:r w:rsidR="00D95848">
        <w:t xml:space="preserve"> </w:t>
      </w:r>
      <w:r w:rsidR="00D95848" w:rsidRPr="00D95848">
        <w:t xml:space="preserve">Two concerns about how predictive performance is quantified. First, the endpoints are relatively insensitive to the </w:t>
      </w:r>
      <w:r w:rsidR="00D95848" w:rsidRPr="00D95848">
        <w:lastRenderedPageBreak/>
        <w:t xml:space="preserve">novel part of the model: after IV dosing </w:t>
      </w:r>
      <w:proofErr w:type="spellStart"/>
      <w:r w:rsidR="00D95848" w:rsidRPr="00D95848">
        <w:t>Cmax</w:t>
      </w:r>
      <w:proofErr w:type="spellEnd"/>
      <w:r w:rsidR="00D95848" w:rsidRPr="00D95848">
        <w:t xml:space="preserve"> is set by dose and central volume, and AUC0-28d is truncated and dominated by linear FcRn-mediated clearance, so TMDD and the target module mainly shape the terminal phase and any nonlinearity. Please add clearance, terminal half-life, and a whole-profile goodness of fit (for example average fold error and absolute average fold error across concentrations), and report AUC to a common last time or AUCinf. Second, the dose levels are not independent (multiple levels per mAb share one parameter set, and all </w:t>
      </w:r>
      <w:proofErr w:type="spellStart"/>
      <w:r w:rsidR="00D95848" w:rsidRPr="00D95848">
        <w:t>mAbs</w:t>
      </w:r>
      <w:proofErr w:type="spellEnd"/>
      <w:r w:rsidR="00D95848" w:rsidRPr="00D95848">
        <w:t xml:space="preserve"> share the generic FcRn and physiology), so the fraction of dose levels overstates the independent evidence; please also summarize per molecule and stratify performance by dose and by expected TMDD contribution so the target module is actually stress tested.</w:t>
      </w:r>
    </w:p>
    <w:p w14:paraId="569D2B55" w14:textId="3D214A5F" w:rsidR="008657D6" w:rsidRDefault="00596865" w:rsidP="008657D6">
      <w:pPr>
        <w:rPr>
          <w:color w:val="0070C0"/>
        </w:rPr>
      </w:pPr>
      <w:r>
        <w:rPr>
          <w:color w:val="0070C0"/>
        </w:rPr>
        <w:t>Add</w:t>
      </w:r>
      <w:r w:rsidRPr="00596865">
        <w:rPr>
          <w:color w:val="0070C0"/>
        </w:rPr>
        <w:t xml:space="preserve"> NCA of </w:t>
      </w:r>
      <w:r>
        <w:rPr>
          <w:color w:val="0070C0"/>
        </w:rPr>
        <w:t xml:space="preserve">observed and </w:t>
      </w:r>
      <w:r w:rsidRPr="00596865">
        <w:rPr>
          <w:color w:val="0070C0"/>
        </w:rPr>
        <w:t xml:space="preserve">simulated profiles </w:t>
      </w:r>
      <w:r>
        <w:rPr>
          <w:color w:val="0070C0"/>
        </w:rPr>
        <w:t xml:space="preserve">by dose </w:t>
      </w:r>
      <w:r w:rsidRPr="00596865">
        <w:rPr>
          <w:color w:val="0070C0"/>
        </w:rPr>
        <w:t>to derive terminal clearance</w:t>
      </w:r>
      <w:r>
        <w:rPr>
          <w:color w:val="0070C0"/>
        </w:rPr>
        <w:t xml:space="preserve"> and calculate fold errors</w:t>
      </w:r>
    </w:p>
    <w:p w14:paraId="4125AFF0" w14:textId="46CC372E" w:rsidR="00596865" w:rsidRPr="00596865" w:rsidRDefault="00596865" w:rsidP="008657D6">
      <w:pPr>
        <w:rPr>
          <w:color w:val="0070C0"/>
        </w:rPr>
      </w:pPr>
      <w:r>
        <w:rPr>
          <w:color w:val="0070C0"/>
        </w:rPr>
        <w:t>Change to a figure (</w:t>
      </w:r>
      <w:r w:rsidR="00013D85">
        <w:rPr>
          <w:color w:val="0070C0"/>
        </w:rPr>
        <w:t>tornado plot) for fold errors for all three parameters</w:t>
      </w:r>
    </w:p>
    <w:p w14:paraId="4557122B" w14:textId="77777777" w:rsidR="00013D85" w:rsidRDefault="00013D85" w:rsidP="008657D6"/>
    <w:p w14:paraId="19F89E61" w14:textId="24FCDC1C" w:rsidR="00A668CE" w:rsidRPr="00A668CE" w:rsidRDefault="008657D6" w:rsidP="00A668CE">
      <w:r w:rsidRPr="008657D6">
        <w:t xml:space="preserve">6. References (done by Claude): The reference section was empty, so I have compiled a numbered list in order of citation and renumbered the in-text tags to match. The verified entries came straight from source, but please still check them. A handful still </w:t>
      </w:r>
      <w:proofErr w:type="gramStart"/>
      <w:r w:rsidRPr="008657D6">
        <w:t>need</w:t>
      </w:r>
      <w:proofErr w:type="gramEnd"/>
      <w:r w:rsidRPr="008657D6">
        <w:t xml:space="preserve"> your input and are marked as PLACEHOLDER in the list: additional FDA NAM guidance (2025-2026), NIH Common Fund 2026, the PK-Sim v12 modular reference (looks like a poster or the OSP documentation), the </w:t>
      </w:r>
      <w:proofErr w:type="spellStart"/>
      <w:r w:rsidRPr="008657D6">
        <w:t>esqlabsR</w:t>
      </w:r>
      <w:proofErr w:type="spellEnd"/>
      <w:r w:rsidRPr="008657D6">
        <w:t xml:space="preserve"> and </w:t>
      </w:r>
      <w:proofErr w:type="spellStart"/>
      <w:r w:rsidRPr="008657D6">
        <w:t>ospsuite</w:t>
      </w:r>
      <w:proofErr w:type="spellEnd"/>
      <w:r w:rsidRPr="008657D6">
        <w:t xml:space="preserve"> package versions, and the FcRn KD meta-analysis. I also verified the OSP citations you had left as placeholders (</w:t>
      </w:r>
      <w:proofErr w:type="spellStart"/>
      <w:r w:rsidRPr="008657D6">
        <w:t>Niederalt</w:t>
      </w:r>
      <w:proofErr w:type="spellEnd"/>
      <w:r w:rsidRPr="008657D6">
        <w:t xml:space="preserve"> 2018, Meyer 2012 and Cordes 2023, Lippert 2019).</w:t>
      </w:r>
      <w:r w:rsidR="00A668CE">
        <w:t xml:space="preserve"> </w:t>
      </w:r>
      <w:r w:rsidR="00A668CE" w:rsidRPr="00A668CE">
        <w:t xml:space="preserve">Placeholder citations still to resolve: (1) this FDA roadmap and NAM guidance bracket, plus Mehta 2025 and NIH Common Fund 2026; (2) PK-Sim v12 modular approach (Methods); (3) expression database paper (Methods); (4) </w:t>
      </w:r>
      <w:proofErr w:type="spellStart"/>
      <w:r w:rsidR="00A668CE" w:rsidRPr="00A668CE">
        <w:t>esqlabsR</w:t>
      </w:r>
      <w:proofErr w:type="spellEnd"/>
      <w:r w:rsidR="00A668CE" w:rsidRPr="00A668CE">
        <w:t xml:space="preserve"> and </w:t>
      </w:r>
      <w:proofErr w:type="spellStart"/>
      <w:r w:rsidR="00A668CE" w:rsidRPr="00A668CE">
        <w:t>ospsuite</w:t>
      </w:r>
      <w:proofErr w:type="spellEnd"/>
      <w:r w:rsidR="00A668CE" w:rsidRPr="00A668CE">
        <w:t xml:space="preserve"> packages (Methods); (5) FcRn KD meta-analysis (Discussion); (6) refs to be added for platform and expression databases (Discussion). See the separate Methods comment for suggested OSP citations.</w:t>
      </w:r>
    </w:p>
    <w:p w14:paraId="325C35C2" w14:textId="77777777" w:rsidR="00B4707C" w:rsidRDefault="00B4707C"/>
    <w:p w14:paraId="2638D617" w14:textId="46316F35" w:rsidR="00CE2673" w:rsidRPr="00CE2673" w:rsidRDefault="00CE2673">
      <w:pPr>
        <w:rPr>
          <w:color w:val="0070C0"/>
        </w:rPr>
      </w:pPr>
      <w:r w:rsidRPr="00CE2673">
        <w:rPr>
          <w:color w:val="0070C0"/>
        </w:rPr>
        <w:t xml:space="preserve">For a NAM and </w:t>
      </w:r>
      <w:proofErr w:type="gramStart"/>
      <w:r w:rsidRPr="00CE2673">
        <w:rPr>
          <w:color w:val="0070C0"/>
        </w:rPr>
        <w:t>reproducibility oriented</w:t>
      </w:r>
      <w:proofErr w:type="gramEnd"/>
      <w:r w:rsidRPr="00CE2673">
        <w:rPr>
          <w:color w:val="0070C0"/>
        </w:rPr>
        <w:t xml:space="preserve"> paper, please report software versions: PK-Sim and </w:t>
      </w:r>
      <w:proofErr w:type="spellStart"/>
      <w:r w:rsidRPr="00CE2673">
        <w:rPr>
          <w:color w:val="0070C0"/>
        </w:rPr>
        <w:t>MoBi</w:t>
      </w:r>
      <w:proofErr w:type="spellEnd"/>
      <w:r w:rsidRPr="00CE2673">
        <w:rPr>
          <w:color w:val="0070C0"/>
        </w:rPr>
        <w:t xml:space="preserve"> (OSP Suite) version, </w:t>
      </w:r>
      <w:proofErr w:type="spellStart"/>
      <w:r w:rsidRPr="00CE2673">
        <w:rPr>
          <w:color w:val="0070C0"/>
        </w:rPr>
        <w:t>ospsuite</w:t>
      </w:r>
      <w:proofErr w:type="spellEnd"/>
      <w:r w:rsidRPr="00CE2673">
        <w:rPr>
          <w:color w:val="0070C0"/>
        </w:rPr>
        <w:t xml:space="preserve">, </w:t>
      </w:r>
      <w:proofErr w:type="spellStart"/>
      <w:r w:rsidRPr="00CE2673">
        <w:rPr>
          <w:color w:val="0070C0"/>
        </w:rPr>
        <w:t>esqlabsR</w:t>
      </w:r>
      <w:proofErr w:type="spellEnd"/>
      <w:r w:rsidRPr="00CE2673">
        <w:rPr>
          <w:color w:val="0070C0"/>
        </w:rPr>
        <w:t xml:space="preserve">, nlmixr2, and R. Make the code citable with a tagged release or commit hash of the GitHub repository, ideally archived with a DOI (for example via </w:t>
      </w:r>
      <w:proofErr w:type="spellStart"/>
      <w:r w:rsidRPr="00CE2673">
        <w:rPr>
          <w:color w:val="0070C0"/>
        </w:rPr>
        <w:t>Zenodo</w:t>
      </w:r>
      <w:proofErr w:type="spellEnd"/>
      <w:r w:rsidRPr="00CE2673">
        <w:rPr>
          <w:color w:val="0070C0"/>
        </w:rPr>
        <w:t>).</w:t>
      </w:r>
    </w:p>
    <w:sectPr w:rsidR="00CE2673" w:rsidRPr="00CE26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07C"/>
    <w:rsid w:val="00013D85"/>
    <w:rsid w:val="004A1BF3"/>
    <w:rsid w:val="004A2484"/>
    <w:rsid w:val="005768AD"/>
    <w:rsid w:val="00587022"/>
    <w:rsid w:val="00596865"/>
    <w:rsid w:val="005F6D54"/>
    <w:rsid w:val="00607A71"/>
    <w:rsid w:val="006C73EF"/>
    <w:rsid w:val="007208E0"/>
    <w:rsid w:val="007B07A0"/>
    <w:rsid w:val="007C34CB"/>
    <w:rsid w:val="008657D6"/>
    <w:rsid w:val="008869CA"/>
    <w:rsid w:val="00950609"/>
    <w:rsid w:val="009A5A18"/>
    <w:rsid w:val="00A668CE"/>
    <w:rsid w:val="00B2345F"/>
    <w:rsid w:val="00B314EC"/>
    <w:rsid w:val="00B4707C"/>
    <w:rsid w:val="00CE2673"/>
    <w:rsid w:val="00D7032F"/>
    <w:rsid w:val="00D95848"/>
    <w:rsid w:val="00E95D48"/>
    <w:rsid w:val="00F259E8"/>
    <w:rsid w:val="00F32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9DB8E"/>
  <w15:chartTrackingRefBased/>
  <w15:docId w15:val="{D448FCC0-CAB1-4F38-B8B1-47905BAC1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0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0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0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0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0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0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0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0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07C"/>
    <w:rPr>
      <w:rFonts w:eastAsiaTheme="majorEastAsia" w:cstheme="majorBidi"/>
      <w:color w:val="272727" w:themeColor="text1" w:themeTint="D8"/>
    </w:rPr>
  </w:style>
  <w:style w:type="paragraph" w:styleId="Title">
    <w:name w:val="Title"/>
    <w:basedOn w:val="Normal"/>
    <w:next w:val="Normal"/>
    <w:link w:val="TitleChar"/>
    <w:uiPriority w:val="10"/>
    <w:qFormat/>
    <w:rsid w:val="00B47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07C"/>
    <w:pPr>
      <w:spacing w:before="160"/>
      <w:jc w:val="center"/>
    </w:pPr>
    <w:rPr>
      <w:i/>
      <w:iCs/>
      <w:color w:val="404040" w:themeColor="text1" w:themeTint="BF"/>
    </w:rPr>
  </w:style>
  <w:style w:type="character" w:customStyle="1" w:styleId="QuoteChar">
    <w:name w:val="Quote Char"/>
    <w:basedOn w:val="DefaultParagraphFont"/>
    <w:link w:val="Quote"/>
    <w:uiPriority w:val="29"/>
    <w:rsid w:val="00B4707C"/>
    <w:rPr>
      <w:i/>
      <w:iCs/>
      <w:color w:val="404040" w:themeColor="text1" w:themeTint="BF"/>
    </w:rPr>
  </w:style>
  <w:style w:type="paragraph" w:styleId="ListParagraph">
    <w:name w:val="List Paragraph"/>
    <w:basedOn w:val="Normal"/>
    <w:uiPriority w:val="34"/>
    <w:qFormat/>
    <w:rsid w:val="00B4707C"/>
    <w:pPr>
      <w:ind w:left="720"/>
      <w:contextualSpacing/>
    </w:pPr>
  </w:style>
  <w:style w:type="character" w:styleId="IntenseEmphasis">
    <w:name w:val="Intense Emphasis"/>
    <w:basedOn w:val="DefaultParagraphFont"/>
    <w:uiPriority w:val="21"/>
    <w:qFormat/>
    <w:rsid w:val="00B4707C"/>
    <w:rPr>
      <w:i/>
      <w:iCs/>
      <w:color w:val="0F4761" w:themeColor="accent1" w:themeShade="BF"/>
    </w:rPr>
  </w:style>
  <w:style w:type="paragraph" w:styleId="IntenseQuote">
    <w:name w:val="Intense Quote"/>
    <w:basedOn w:val="Normal"/>
    <w:next w:val="Normal"/>
    <w:link w:val="IntenseQuoteChar"/>
    <w:uiPriority w:val="30"/>
    <w:qFormat/>
    <w:rsid w:val="00B47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07C"/>
    <w:rPr>
      <w:i/>
      <w:iCs/>
      <w:color w:val="0F4761" w:themeColor="accent1" w:themeShade="BF"/>
    </w:rPr>
  </w:style>
  <w:style w:type="character" w:styleId="IntenseReference">
    <w:name w:val="Intense Reference"/>
    <w:basedOn w:val="DefaultParagraphFont"/>
    <w:uiPriority w:val="32"/>
    <w:qFormat/>
    <w:rsid w:val="00B470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1427</Words>
  <Characters>8134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Krina Mehta</dc:creator>
  <cp:keywords/>
  <dc:description/>
  <cp:lastModifiedBy>Krina Mehta</cp:lastModifiedBy>
  <cp:revision>17</cp:revision>
  <dcterms:created xsi:type="dcterms:W3CDTF">2026-07-16T22:30:00Z</dcterms:created>
  <dcterms:modified xsi:type="dcterms:W3CDTF">2026-07-18T13:48:00Z</dcterms:modified>
</cp:coreProperties>
</file>