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0A82" w14:textId="0A35D505" w:rsidR="00780AEE" w:rsidRDefault="00801E6A">
      <w:pPr>
        <w:pStyle w:val="Title"/>
      </w:pPr>
      <w:r w:rsidRPr="00801E6A">
        <w:t>Physiologically-based Pharmacokinetic – Informed New Approach Methodology Framework for Monoclonal Antibodies</w:t>
      </w:r>
      <w:r>
        <w:t xml:space="preserve">  </w:t>
      </w:r>
    </w:p>
    <w:p w14:paraId="4492DFEA" w14:textId="77777777" w:rsidR="00780AEE" w:rsidRDefault="00000000">
      <w:pPr>
        <w:rPr>
          <w:vertAlign w:val="superscript"/>
        </w:rPr>
      </w:pPr>
      <w:r>
        <w:t>Krina Mehta</w:t>
      </w:r>
      <w:r>
        <w:rPr>
          <w:vertAlign w:val="superscript"/>
        </w:rPr>
        <w:t xml:space="preserve">1,2, </w:t>
      </w:r>
      <w:r>
        <w:t>Akshat Shah</w:t>
      </w:r>
      <w:r>
        <w:rPr>
          <w:vertAlign w:val="superscript"/>
        </w:rPr>
        <w:t>1,3</w:t>
      </w:r>
      <w:r>
        <w:t>, Stephan Schaller</w:t>
      </w:r>
      <w:r>
        <w:rPr>
          <w:vertAlign w:val="superscript"/>
        </w:rPr>
        <w:t>4</w:t>
      </w:r>
    </w:p>
    <w:p w14:paraId="51A4E0D0" w14:textId="77777777" w:rsidR="00780AEE" w:rsidRDefault="00000000">
      <w:r>
        <w:rPr>
          <w:vertAlign w:val="superscript"/>
        </w:rPr>
        <w:t xml:space="preserve">1 </w:t>
      </w:r>
      <w:proofErr w:type="spellStart"/>
      <w:r>
        <w:t>NAMLink</w:t>
      </w:r>
      <w:proofErr w:type="spellEnd"/>
      <w:r>
        <w:t>, Cypress, CA, USA</w:t>
      </w:r>
    </w:p>
    <w:p w14:paraId="3D515D03" w14:textId="77777777" w:rsidR="00780AEE" w:rsidRDefault="00000000">
      <w:r>
        <w:rPr>
          <w:rFonts w:ascii="Roboto" w:hAnsi="Roboto"/>
          <w:color w:val="151515"/>
          <w:sz w:val="18"/>
          <w:szCs w:val="18"/>
          <w:shd w:val="clear" w:color="auto" w:fill="FFFFFF"/>
          <w:vertAlign w:val="superscript"/>
        </w:rPr>
        <w:t>2</w:t>
      </w:r>
      <w:r>
        <w:rPr>
          <w:rFonts w:ascii="Roboto" w:hAnsi="Roboto"/>
          <w:color w:val="151515"/>
          <w:sz w:val="18"/>
          <w:szCs w:val="18"/>
          <w:shd w:val="clear" w:color="auto" w:fill="FFFFFF"/>
        </w:rPr>
        <w:t xml:space="preserve"> </w:t>
      </w:r>
      <w:r>
        <w:t>Enveda Therapeutics Inc., Boulder, CO, USA</w:t>
      </w:r>
    </w:p>
    <w:p w14:paraId="756A0092" w14:textId="77777777" w:rsidR="00780AEE" w:rsidRDefault="00000000">
      <w:pPr>
        <w:rPr>
          <w:vertAlign w:val="superscript"/>
        </w:rPr>
      </w:pPr>
      <w:r>
        <w:rPr>
          <w:vertAlign w:val="superscript"/>
        </w:rPr>
        <w:t>3</w:t>
      </w:r>
      <w:r>
        <w:t>Aivaura, Bhavnagar, Gujarat, India</w:t>
      </w:r>
    </w:p>
    <w:p w14:paraId="7EA4E1FD" w14:textId="77777777" w:rsidR="00780AEE" w:rsidRDefault="00000000">
      <w:r>
        <w:rPr>
          <w:vertAlign w:val="superscript"/>
        </w:rPr>
        <w:t xml:space="preserve">4 </w:t>
      </w:r>
      <w:proofErr w:type="spellStart"/>
      <w:r>
        <w:t>ESQlabs</w:t>
      </w:r>
      <w:proofErr w:type="spellEnd"/>
      <w:r>
        <w:t xml:space="preserve"> GmbH, 26683 </w:t>
      </w:r>
      <w:proofErr w:type="spellStart"/>
      <w:r>
        <w:t>Saterland</w:t>
      </w:r>
      <w:proofErr w:type="spellEnd"/>
      <w:r>
        <w:t xml:space="preserve">, Germany </w:t>
      </w:r>
    </w:p>
    <w:p w14:paraId="64863EFA" w14:textId="52F3CEB4" w:rsidR="00993202" w:rsidRDefault="00993202" w:rsidP="00993202">
      <w:pPr>
        <w:jc w:val="left"/>
        <w:rPr>
          <w:rStyle w:val="Heading1Char"/>
        </w:rPr>
      </w:pPr>
      <w:r>
        <w:rPr>
          <w:rStyle w:val="Heading1Char"/>
        </w:rPr>
        <w:t>Funding</w:t>
      </w:r>
    </w:p>
    <w:p w14:paraId="37E5C5A1" w14:textId="03F56D8B" w:rsidR="00993202" w:rsidRPr="00993202" w:rsidRDefault="00993202" w:rsidP="00993202">
      <w:pPr>
        <w:jc w:val="left"/>
        <w:rPr>
          <w:bCs/>
        </w:rPr>
      </w:pPr>
      <w:r w:rsidRPr="00993202">
        <w:rPr>
          <w:bCs/>
        </w:rPr>
        <w:t>No funding was received for this work.</w:t>
      </w:r>
    </w:p>
    <w:p w14:paraId="12D901C8" w14:textId="1BF6C23C" w:rsidR="00993202" w:rsidRDefault="00993202" w:rsidP="00993202">
      <w:pPr>
        <w:jc w:val="left"/>
      </w:pPr>
      <w:r>
        <w:rPr>
          <w:rStyle w:val="Heading1Char"/>
        </w:rPr>
        <w:t>Use of Artificial Intelligence</w:t>
      </w:r>
      <w:r>
        <w:rPr>
          <w:rStyle w:val="Heading1Char"/>
        </w:rPr>
        <w:br/>
      </w:r>
      <w:r>
        <w:t>OpenAI ChatGPT/GPT-5.5 was used to assist with language editing, manuscript organization, and generation/refinement of Figure 4. Codex/GPT-5.5 was used as a coding assistant, especially to write codes for figures and tables generation. The authors reviewed and edited all AI-assisted content. The authors take full responsibility for the accuracy, integrity, and final content of the manuscript.</w:t>
      </w:r>
    </w:p>
    <w:p w14:paraId="353AA260" w14:textId="54210C12" w:rsidR="00993202" w:rsidRDefault="00993202">
      <w:pPr>
        <w:spacing w:after="0" w:line="240" w:lineRule="auto"/>
        <w:jc w:val="left"/>
        <w:rPr>
          <w:rFonts w:asciiTheme="majorHAnsi" w:eastAsiaTheme="majorEastAsia" w:hAnsiTheme="majorHAnsi" w:cstheme="majorBidi"/>
          <w:b/>
          <w:sz w:val="40"/>
          <w:szCs w:val="40"/>
        </w:rPr>
      </w:pPr>
    </w:p>
    <w:p w14:paraId="124FD6F9" w14:textId="77777777" w:rsidR="00993202" w:rsidRDefault="00993202">
      <w:pPr>
        <w:spacing w:after="0" w:line="240" w:lineRule="auto"/>
        <w:jc w:val="left"/>
        <w:rPr>
          <w:rFonts w:asciiTheme="majorHAnsi" w:eastAsiaTheme="majorEastAsia" w:hAnsiTheme="majorHAnsi" w:cstheme="majorBidi"/>
          <w:b/>
          <w:sz w:val="40"/>
          <w:szCs w:val="40"/>
        </w:rPr>
      </w:pPr>
      <w:r>
        <w:br w:type="page"/>
      </w:r>
    </w:p>
    <w:p w14:paraId="167E97FB" w14:textId="2A261712" w:rsidR="00780AEE" w:rsidRDefault="00000000">
      <w:pPr>
        <w:pStyle w:val="Heading1"/>
      </w:pPr>
      <w:r>
        <w:lastRenderedPageBreak/>
        <w:t>Abstract</w:t>
      </w:r>
    </w:p>
    <w:p w14:paraId="3CBC7D9A" w14:textId="69D1040A" w:rsidR="00780AEE" w:rsidRDefault="00000000">
      <w:r>
        <w:t xml:space="preserve">Monoclonal antibody (mAb) pharmacokinetics (PK) </w:t>
      </w:r>
      <w:proofErr w:type="gramStart"/>
      <w:r>
        <w:t>is</w:t>
      </w:r>
      <w:proofErr w:type="gramEnd"/>
      <w:r>
        <w:t xml:space="preserve"> governed by mechanistic</w:t>
      </w:r>
      <w:r w:rsidR="00CE546C">
        <w:t xml:space="preserve"> </w:t>
      </w:r>
      <w:r>
        <w:t xml:space="preserve">processes </w:t>
      </w:r>
      <w:r w:rsidR="00CE546C">
        <w:t xml:space="preserve">and </w:t>
      </w:r>
      <w:r>
        <w:t>physiologically based pharmacokinetic (PBPK) model</w:t>
      </w:r>
      <w:r w:rsidR="00CE546C">
        <w:t>s are</w:t>
      </w:r>
      <w:r>
        <w:t xml:space="preserve"> well suited for </w:t>
      </w:r>
      <w:proofErr w:type="spellStart"/>
      <w:r w:rsidR="00CE546C">
        <w:t>mAb’s</w:t>
      </w:r>
      <w:proofErr w:type="spellEnd"/>
      <w:r w:rsidR="00CE546C">
        <w:t xml:space="preserve"> </w:t>
      </w:r>
      <w:r>
        <w:t>human PK prediction. We evaluated whether in vitro-informed “a priori” PBPK modeling could predict first-in-human mAb PK and support reduced monkey PK study designs as a new approach methodology (NAM).</w:t>
      </w:r>
      <w:r w:rsidR="00CE546C">
        <w:t xml:space="preserve"> </w:t>
      </w:r>
      <w:r>
        <w:t>A semi-automated PK-Sim/</w:t>
      </w:r>
      <w:proofErr w:type="spellStart"/>
      <w:r>
        <w:t>MoBi</w:t>
      </w:r>
      <w:proofErr w:type="spellEnd"/>
      <w:r>
        <w:t xml:space="preserve">–R workflow integrated species physiology with FcRn-binding and target-mediated disposition inputs. Intravenous single-dose PK data for eight </w:t>
      </w:r>
      <w:proofErr w:type="spellStart"/>
      <w:r>
        <w:t>mAbs</w:t>
      </w:r>
      <w:proofErr w:type="spellEnd"/>
      <w:r>
        <w:t xml:space="preserve"> across five targets were evaluated retrospectively. “A priori” predictions, generated without fitting to monkey PK data, were compared with observed AUC</w:t>
      </w:r>
      <w:r>
        <w:rPr>
          <w:vertAlign w:val="subscript"/>
        </w:rPr>
        <w:t>0–28d</w:t>
      </w:r>
      <w:r>
        <w:t xml:space="preserve">, </w:t>
      </w:r>
      <w:proofErr w:type="spellStart"/>
      <w:r w:rsidR="00CE546C">
        <w:t>Cmax</w:t>
      </w:r>
      <w:proofErr w:type="spellEnd"/>
      <w:r w:rsidR="00CE546C">
        <w:t xml:space="preserve">, </w:t>
      </w:r>
      <w:r>
        <w:t>and clearance</w:t>
      </w:r>
      <w:r w:rsidR="00CE546C">
        <w:t xml:space="preserve"> </w:t>
      </w:r>
      <w:r>
        <w:t>and with predictions from monkey-fitted top-down models translated to humans. Reduced study designs were evaluated using simulations.</w:t>
      </w:r>
    </w:p>
    <w:p w14:paraId="262B481A" w14:textId="18260029" w:rsidR="00780AEE" w:rsidRDefault="00000000">
      <w:r>
        <w:t xml:space="preserve">For human PK, 83.3%, </w:t>
      </w:r>
      <w:r w:rsidR="00CE546C">
        <w:t xml:space="preserve">96.7%, </w:t>
      </w:r>
      <w:r>
        <w:t>and 76.7% of “a priori” AUC</w:t>
      </w:r>
      <w:r w:rsidRPr="00CE546C">
        <w:rPr>
          <w:vertAlign w:val="subscript"/>
        </w:rPr>
        <w:t>0–28d</w:t>
      </w:r>
      <w:r>
        <w:t>,</w:t>
      </w:r>
      <w:r w:rsidR="00CE546C">
        <w:t xml:space="preserve"> </w:t>
      </w:r>
      <w:proofErr w:type="spellStart"/>
      <w:r w:rsidR="00CE546C">
        <w:t>Cmax</w:t>
      </w:r>
      <w:proofErr w:type="spellEnd"/>
      <w:r w:rsidR="00CE546C">
        <w:t xml:space="preserve">, </w:t>
      </w:r>
      <w:r>
        <w:t xml:space="preserve">and clearance predictions, respectively, were within two-fold of observed values, compared with 86.7%, </w:t>
      </w:r>
      <w:r w:rsidR="00CE546C">
        <w:t xml:space="preserve">90.0%, </w:t>
      </w:r>
      <w:r>
        <w:t>and 93.3% for top-down translation. A two</w:t>
      </w:r>
      <w:r w:rsidR="00CE546C">
        <w:t xml:space="preserve"> </w:t>
      </w:r>
      <w:r>
        <w:t>dose</w:t>
      </w:r>
      <w:r w:rsidR="00CE546C">
        <w:t xml:space="preserve"> groups</w:t>
      </w:r>
      <w:r>
        <w:t xml:space="preserve"> design with three animals per group</w:t>
      </w:r>
      <w:r w:rsidR="00CE546C">
        <w:t xml:space="preserve"> (total n=6)</w:t>
      </w:r>
      <w:r>
        <w:t xml:space="preserve"> </w:t>
      </w:r>
      <w:r w:rsidR="00CE546C">
        <w:t xml:space="preserve">suggested a success probability of </w:t>
      </w:r>
      <w:r>
        <w:t>99.4–10</w:t>
      </w:r>
      <w:r w:rsidR="00CE546C">
        <w:t>0</w:t>
      </w:r>
      <w:r>
        <w:t>% under 30% parameter variability</w:t>
      </w:r>
      <w:r w:rsidR="00CE546C">
        <w:t xml:space="preserve"> and estimated uncertainty. The predicted success probability </w:t>
      </w:r>
      <w:r>
        <w:t>declin</w:t>
      </w:r>
      <w:r w:rsidR="00CE546C">
        <w:t>ed</w:t>
      </w:r>
      <w:r>
        <w:t xml:space="preserve"> to 90.0–98.1% </w:t>
      </w:r>
      <w:r w:rsidR="00CE546C">
        <w:t>with 50</w:t>
      </w:r>
      <w:r>
        <w:t>% variability</w:t>
      </w:r>
      <w:r w:rsidR="00CE546C">
        <w:t xml:space="preserve"> assumption</w:t>
      </w:r>
      <w:r>
        <w:t>.</w:t>
      </w:r>
    </w:p>
    <w:p w14:paraId="6579C80A" w14:textId="372EB091" w:rsidR="00780AEE" w:rsidRDefault="00000000">
      <w:r>
        <w:t>These findings support further evaluation of “a priori” PBPK model</w:t>
      </w:r>
      <w:r w:rsidR="00993202">
        <w:t>s informed</w:t>
      </w:r>
      <w:r>
        <w:t xml:space="preserve"> NAM </w:t>
      </w:r>
      <w:r w:rsidR="00993202">
        <w:t xml:space="preserve">workflow </w:t>
      </w:r>
      <w:r>
        <w:t xml:space="preserve">for first-in-human mAb PK prediction. Predictive performance of the “a priori” approach was broadly comparable to monkey-to-human translation, although clearance predictions were sensitive to </w:t>
      </w:r>
      <w:r w:rsidR="00993202">
        <w:t>uncertainties in parameters and in available data</w:t>
      </w:r>
      <w:r>
        <w:t>. Under the stated assumptions, the reduced design required six rather than at least 15 animals, a 60% reduction at the individual PK-study level and suggests prospective validation.</w:t>
      </w:r>
    </w:p>
    <w:p w14:paraId="6F8A33D1" w14:textId="77777777" w:rsidR="00993202" w:rsidRDefault="00993202">
      <w:pPr>
        <w:spacing w:after="0" w:line="240" w:lineRule="auto"/>
        <w:jc w:val="left"/>
        <w:rPr>
          <w:rFonts w:asciiTheme="majorHAnsi" w:eastAsiaTheme="majorEastAsia" w:hAnsiTheme="majorHAnsi" w:cstheme="majorBidi"/>
          <w:b/>
          <w:sz w:val="40"/>
          <w:szCs w:val="40"/>
        </w:rPr>
      </w:pPr>
      <w:r>
        <w:br w:type="page"/>
      </w:r>
    </w:p>
    <w:p w14:paraId="0BFC0320" w14:textId="25740901" w:rsidR="00780AEE" w:rsidRDefault="00000000">
      <w:pPr>
        <w:pStyle w:val="Heading1"/>
      </w:pPr>
      <w:r>
        <w:lastRenderedPageBreak/>
        <w:t>Introduction</w:t>
      </w:r>
    </w:p>
    <w:p w14:paraId="5E108DC8" w14:textId="77777777" w:rsidR="00780AEE" w:rsidRDefault="00000000">
      <w: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w:t>
      </w:r>
      <w:proofErr w:type="spellStart"/>
      <w:r>
        <w:t>mAbs</w:t>
      </w:r>
      <w:proofErr w:type="spellEnd"/>
      <w:r>
        <w:t xml:space="preserve">)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w:t>
      </w:r>
      <w:proofErr w:type="spellStart"/>
      <w:r>
        <w:t>mAbs</w:t>
      </w:r>
      <w:proofErr w:type="spellEnd"/>
      <w:r>
        <w:t xml:space="preserve">,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 3, 4]. Overall, extensive work on PBPK models for </w:t>
      </w:r>
      <w:proofErr w:type="spellStart"/>
      <w:r>
        <w:t>mAbs</w:t>
      </w:r>
      <w:proofErr w:type="spellEnd"/>
      <w:r>
        <w:t xml:space="preserve"> has already established a robust scientific foundation, enabled reliable characterization of their PK, and supported their regulatory acceptance.</w:t>
      </w:r>
    </w:p>
    <w:p w14:paraId="3C1C2379" w14:textId="7AE2F7DA" w:rsidR="00780AEE" w:rsidRDefault="00000000">
      <w:r>
        <w:t xml:space="preserve">Momentum for new approach methodologies (NAMs) has increased exponentially since the FDA's April 2025 Roadmap to Reducing Animal Testing in Preclinical Safety Studies [5, 6, 7, 8, 9]. Within this evolving regulatory infrastructure, current NAM-focused investment has focused on establishing context-of-use (COU) frameworks, advancing complex in vitro systems (organoids, </w:t>
      </w:r>
      <w:proofErr w:type="spellStart"/>
      <w:r>
        <w:t>microphysiological</w:t>
      </w:r>
      <w:proofErr w:type="spellEnd"/>
      <w:r>
        <w:t xml:space="preserve">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w:t>
      </w:r>
      <w:proofErr w:type="spellStart"/>
      <w:r>
        <w:t>microphysiological</w:t>
      </w:r>
      <w:proofErr w:type="spellEnd"/>
      <w:r>
        <w:t xml:space="preserve"> systems can be contextualized through predicted human concentration-time profiles, exposure margins, and time above biologically active or adverse effect thresholds [10, 11].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unclear [12]. By contrast, mechanistic modeling approaches, such as, PBPK, quantitative systems pharmacology (QSP), and quantitative systems toxicology (QST), despite an </w:t>
      </w:r>
      <w:r>
        <w:lastRenderedPageBreak/>
        <w:t xml:space="preserve">established and steadily growing regulatory submission record under the parallel model-informed drug development (MIDD) paradigm and demonstrated translational utility [8, 13], have received comparatively limited dedicated attention within the emerging NAM ecosystem, representing both a gap and an opportunity. Overall, the emerging NAM ecosystem presents a significant opportunity for greater integration of mechanistic modeling approaches. </w:t>
      </w:r>
    </w:p>
    <w:p w14:paraId="1E89AF6D" w14:textId="2B7A8DEA" w:rsidR="00780AEE" w:rsidRDefault="00000000">
      <w:r>
        <w:t xml:space="preserve">Focusing on mAb PK characterization and the role of mechanistic PK modeling, although a scientific framework for mAb PBPK exists,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[14, 15]; however, these frameworks did not incorporate target-mAb interactions governing nonlinear, target-mediated clearance. Although some </w:t>
      </w:r>
      <w:proofErr w:type="spellStart"/>
      <w:r>
        <w:t>mAbs</w:t>
      </w:r>
      <w:proofErr w:type="spellEnd"/>
      <w:r>
        <w:t xml:space="preserve"> exhibit linear PK at dose range of interest, target-mediated drug disposition is inherent to therapeutic antibodies. For example, at high doses, even </w:t>
      </w:r>
      <w:proofErr w:type="spellStart"/>
      <w:r>
        <w:t>mAbs</w:t>
      </w:r>
      <w:proofErr w:type="spellEnd"/>
      <w:r>
        <w:t xml:space="preserve"> known to exhibit non-linear PK can appear linear upon target saturation, and at low doses, even </w:t>
      </w:r>
      <w:proofErr w:type="spellStart"/>
      <w:r>
        <w:t>mAbs</w:t>
      </w:r>
      <w:proofErr w:type="spellEnd"/>
      <w:r>
        <w:t xml:space="preserve"> known as linear may show nonlinearity. Overall, extending “a priori” PBPK</w:t>
      </w:r>
      <w:r w:rsidR="00993202">
        <w:t xml:space="preserve"> </w:t>
      </w:r>
      <w:r>
        <w:t>frameworks to incorporate target-mediated disposition is therefore important for their broader application as NAMs with the potential to reduce preclinical monkey studies across the full range of mAb PK profiles.</w:t>
      </w:r>
      <w:r>
        <w:rPr>
          <w:rFonts w:cs="Times New Roman"/>
        </w:rPr>
        <w:t xml:space="preserve"> </w:t>
      </w:r>
    </w:p>
    <w:p w14:paraId="231BB39A" w14:textId="4A129D01" w:rsidR="00780AEE" w:rsidRDefault="00000000">
      <w:r>
        <w:rPr>
          <w:rFonts w:cs="Times New Roman"/>
        </w:rPr>
        <w:t xml:space="preserve">While complete replacement of monkey PK studies is not yet scientifically justifiable, model-informed optimization of study design offers a pragmatic reduction strategy. Prior knowledge of the mechanistic determinants of mAb disposition, PBPK predictions, and in vitro data can inform the selection of dose groups, animals, and sampling times needed to address specific PK uncertainties, complementing approaches such as cassette dosing, </w:t>
      </w:r>
      <w:proofErr w:type="spellStart"/>
      <w:r>
        <w:rPr>
          <w:rFonts w:cs="Times New Roman"/>
        </w:rPr>
        <w:t>microsampling</w:t>
      </w:r>
      <w:proofErr w:type="spellEnd"/>
      <w:r>
        <w:rPr>
          <w:rFonts w:cs="Times New Roman"/>
        </w:rPr>
        <w:t>, animal reuse, and integration of PK/PD endpoints into existing studies [16-18]. Because regulatory expectations and molecule-specific uncertainty vary, simulations should inform rather than independently define the minimum acceptable study size.</w:t>
      </w:r>
    </w:p>
    <w:p w14:paraId="78C5EDF6" w14:textId="77777777" w:rsidR="00780AEE" w:rsidRDefault="00000000">
      <w:pPr>
        <w:rPr>
          <w:rFonts w:eastAsiaTheme="majorEastAsia" w:cstheme="majorBidi"/>
          <w:b/>
          <w:sz w:val="32"/>
          <w:szCs w:val="32"/>
        </w:rPr>
      </w:pPr>
      <w:r>
        <w:rPr>
          <w:rFonts w:cs="Times New Roman"/>
        </w:rPr>
        <w:t xml:space="preserve">The objectives of the current analysis were (1) to retrospectively evaluate “a priori” PBPK modeling as a NAM for predicting human PK of intravenously administered </w:t>
      </w:r>
      <w:proofErr w:type="spellStart"/>
      <w:r>
        <w:rPr>
          <w:rFonts w:cs="Times New Roman"/>
        </w:rPr>
        <w:t>mAbs</w:t>
      </w:r>
      <w:proofErr w:type="spellEnd"/>
      <w:r>
        <w:rPr>
          <w:rFonts w:cs="Times New Roman"/>
        </w:rPr>
        <w:t xml:space="preserve"> and (2) to </w:t>
      </w:r>
      <w:r>
        <w:rPr>
          <w:rFonts w:cs="Times New Roman"/>
        </w:rPr>
        <w:lastRenderedPageBreak/>
        <w:t>conduct a model-conditional precision analysis of reduced exploratory single-dose monkey PK study designs with fewer dose groups and animals per group.</w:t>
      </w:r>
    </w:p>
    <w:p w14:paraId="5C470075" w14:textId="77777777" w:rsidR="00780AEE" w:rsidRDefault="00000000">
      <w:pPr>
        <w:pStyle w:val="Heading1"/>
      </w:pPr>
      <w:r>
        <w:t>Methods</w:t>
      </w:r>
    </w:p>
    <w:p w14:paraId="2AE97FB7" w14:textId="77777777" w:rsidR="00780AEE" w:rsidRDefault="00000000">
      <w:pPr>
        <w:pStyle w:val="Heading2"/>
      </w:pPr>
      <w:r>
        <w:t>Data</w:t>
      </w:r>
    </w:p>
    <w:p w14:paraId="5AD568F2" w14:textId="77777777" w:rsidR="00780AEE" w:rsidRDefault="00000000">
      <w:r>
        <w:t xml:space="preserve">Pharmacokinetic profiles for eight monoclonal antibodies, spanning across 5 different targets, following intravenous dosing in monkeys and in humans were digitized from literature using </w:t>
      </w:r>
      <w:proofErr w:type="spellStart"/>
      <w:r>
        <w:t>webplotdigitizer</w:t>
      </w:r>
      <w:proofErr w:type="spellEnd"/>
      <w:r>
        <w:t xml:space="preserve"> tool [https://automeris.io/]. For most of the monoclonal antibodies included in the analysis, the literature sources did not specify whether the digitized concentration data represented free or total antibody.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Supplementary material 2</w:t>
      </w:r>
      <w:r>
        <w:t xml:space="preserve">. </w:t>
      </w:r>
    </w:p>
    <w:p w14:paraId="4827E11B" w14:textId="77777777" w:rsidR="00780AEE" w:rsidRDefault="00000000">
      <w:pPr>
        <w:pStyle w:val="Heading2"/>
      </w:pPr>
      <w:r>
        <w:t>“A priori” PBPK Approach</w:t>
      </w:r>
    </w:p>
    <w:p w14:paraId="3CF3B6CE" w14:textId="4ECF0608" w:rsidR="00780AEE" w:rsidRDefault="00000000">
      <w:r>
        <w:t xml:space="preserve">The large molecule structural model was first incorporated </w:t>
      </w:r>
      <w:proofErr w:type="gramStart"/>
      <w:r>
        <w:t>in</w:t>
      </w:r>
      <w:proofErr w:type="gramEnd"/>
      <w:r>
        <w:t xml:space="preserve"> PK-Sim, including its binding to FcRn and to a generic target [4]. The model was exported to </w:t>
      </w:r>
      <w:proofErr w:type="spellStart"/>
      <w:r>
        <w:t>MoBi</w:t>
      </w:r>
      <w:proofErr w:type="spellEnd"/>
      <w:r>
        <w:t xml:space="preserve"> and TMDD processes were added using a modular approach [19]. Next, we created target expression profiles in monkeys and humans for each of the targets including relevant localization using PK-Sim’s expression database [20, 21]. The expression database provides relative abundance of target expressions across various tissues. Absolute reference concentrations for each of the targets, i.e., concentrations of the target in the tissue with the highest expression, were set to literature derived values and are provided in S1.3. Next, PKML simulation files containing generic large molecule PK model and target expressions, one file per target and species (monkey or human), were exported [19]. Intravenous single-dose simulations were run programmatically, and </w:t>
      </w:r>
      <w:proofErr w:type="spellStart"/>
      <w:r>
        <w:t>Cmax</w:t>
      </w:r>
      <w:proofErr w:type="spellEnd"/>
      <w:r>
        <w:t>, AUC</w:t>
      </w:r>
      <w:r>
        <w:rPr>
          <w:vertAlign w:val="subscript"/>
        </w:rPr>
        <w:t>0-28d</w:t>
      </w:r>
      <w:r>
        <w:t xml:space="preserve">, clearance, and fold errors were calculated for each molecule-dose pair with observed data. </w:t>
      </w:r>
      <w:proofErr w:type="spellStart"/>
      <w:r>
        <w:t>Cmax</w:t>
      </w:r>
      <w:proofErr w:type="spellEnd"/>
      <w:r>
        <w:t xml:space="preserve"> and AUC</w:t>
      </w:r>
      <w:r>
        <w:rPr>
          <w:vertAlign w:val="subscript"/>
        </w:rPr>
        <w:t>0-28d</w:t>
      </w:r>
      <w:r>
        <w:t xml:space="preserve"> were used as exposure metrics. Clearance was calculated as dose divided by AUCinf and represents total systemic clearance; at target-saturating doses it is expected to be dominated by linear clearance rather than serving as a specific marker of nonlinear target-mediated elimination. The percentage of AUCinf extrapolated was calculated as 100 × (Clast/</w:t>
      </w:r>
      <w:proofErr w:type="spellStart"/>
      <w:r>
        <w:t>λz</w:t>
      </w:r>
      <w:proofErr w:type="spellEnd"/>
      <w:r>
        <w:t xml:space="preserve">)/AUCinf, equivalent to 100 × (AUCinf − </w:t>
      </w:r>
      <w:proofErr w:type="spellStart"/>
      <w:r>
        <w:t>AUClast</w:t>
      </w:r>
      <w:proofErr w:type="spellEnd"/>
      <w:r>
        <w:t xml:space="preserve">)/AUCinf, and values greater than 20% were flagged in the separate analysis tables. Because AUC0-28d contributes to AUCinf and clearance is calculated from AUCinf, AUC0-28d and clearance are mathematically related and were not interpreted as independent endpoints. The workflow </w:t>
      </w:r>
      <w:r>
        <w:lastRenderedPageBreak/>
        <w:t xml:space="preserve">used PK-Sim 12.2, </w:t>
      </w:r>
      <w:proofErr w:type="spellStart"/>
      <w:r>
        <w:t>MoBi</w:t>
      </w:r>
      <w:proofErr w:type="spellEnd"/>
      <w:r>
        <w:t xml:space="preserve"> 12.2, R 4.5.1, </w:t>
      </w:r>
      <w:proofErr w:type="spellStart"/>
      <w:r>
        <w:t>esqlabsR</w:t>
      </w:r>
      <w:proofErr w:type="spellEnd"/>
      <w:r>
        <w:t xml:space="preserve"> 5.6.0, and OSP Suite 12.4.2 [22-24]. Full workflow details, input files, and code are provided in Supplementary Material 2.</w:t>
      </w:r>
    </w:p>
    <w:p w14:paraId="6CB8C92F" w14:textId="77777777" w:rsidR="00780AEE" w:rsidRDefault="00000000">
      <w:pPr>
        <w:pStyle w:val="Heading2"/>
      </w:pPr>
      <w:r>
        <w:t xml:space="preserve">Top-Down TMDD Approach </w:t>
      </w:r>
    </w:p>
    <w:p w14:paraId="080B13CD" w14:textId="77777777" w:rsidR="00780AEE" w:rsidRDefault="00000000">
      <w:r>
        <w:t>In the top-down approach, a quasi-steady-state (QSS) TMDD model was fitted separately to the monkey PK profiles for each molecule in R 4.5.1 using nlmixr2 5.0.0 and rxode2 5.1.4. Clearance (CL), central volume (V1), intercompartmental clearance (Q), peripheral volume (V2), and proportional and additive residual-error terms were estimated when supported by the data. Molecule-specific TMDD parameters, including target reference concentration, binding kinetics, target degradation rate (kdeg), and internalization rate constant (kint), were fixed to literature-derived monkey inputs. The same molecule-specific inputs were used in the “a priori” monkey PBPK simulations and the top-down monkey fits.</w:t>
      </w:r>
    </w:p>
    <w:p w14:paraId="2C035F8A" w14:textId="50DF6930" w:rsidR="00780AEE" w:rsidRDefault="00000000">
      <w:r>
        <w:t xml:space="preserve">Human PK predictions were generated by translating the final Run 4 monkey TMDD model to humans. Monkey CL and Q estimates were allometrically scaled with an exponent of 0.85, while </w:t>
      </w:r>
      <w:proofErr w:type="spellStart"/>
      <w:r>
        <w:t>Vc</w:t>
      </w:r>
      <w:proofErr w:type="spellEnd"/>
      <w:r>
        <w:t xml:space="preserve"> and </w:t>
      </w:r>
      <w:proofErr w:type="spellStart"/>
      <w:r>
        <w:t>Vp</w:t>
      </w:r>
      <w:proofErr w:type="spellEnd"/>
      <w:r>
        <w:t xml:space="preserve"> were scaled with an exponent of 1.0. All molecule-specific TMDD inputs used in the human simulations, including target reference concentration, binding affinity (KD), dissociation rate (</w:t>
      </w:r>
      <w:proofErr w:type="spellStart"/>
      <w:r>
        <w:t>koff</w:t>
      </w:r>
      <w:proofErr w:type="spellEnd"/>
      <w:r>
        <w:t xml:space="preserve">), target degradation rate (kdeg), and internalization rate constant (kint)—were obtained from the human parameter dataset, and the human QSS binding constant was recalculated from the human kinetic inputs. Simulated monkey and human </w:t>
      </w:r>
      <w:proofErr w:type="spellStart"/>
      <w:r>
        <w:t>Cmax</w:t>
      </w:r>
      <w:proofErr w:type="spellEnd"/>
      <w:r>
        <w:t>, AUC</w:t>
      </w:r>
      <w:r>
        <w:rPr>
          <w:vertAlign w:val="subscript"/>
        </w:rPr>
        <w:t>0-28d</w:t>
      </w:r>
      <w:r>
        <w:t>, and clearance values were compared with observed values, and fold-errors were calculated.</w:t>
      </w:r>
    </w:p>
    <w:p w14:paraId="1874F03A" w14:textId="77777777" w:rsidR="00780AEE" w:rsidRDefault="00000000">
      <w:pPr>
        <w:rPr>
          <w:rFonts w:asciiTheme="majorHAnsi" w:eastAsiaTheme="majorEastAsia" w:hAnsiTheme="majorHAnsi" w:cstheme="majorBidi"/>
          <w:b/>
          <w:sz w:val="32"/>
          <w:szCs w:val="32"/>
        </w:rPr>
      </w:pPr>
      <w:r>
        <w:rPr>
          <w:rFonts w:asciiTheme="majorHAnsi" w:eastAsiaTheme="majorEastAsia" w:hAnsiTheme="majorHAnsi" w:cstheme="majorBidi"/>
          <w:b/>
          <w:sz w:val="32"/>
          <w:szCs w:val="32"/>
        </w:rPr>
        <w:t xml:space="preserve">Simulations-based Evaluations of Reduced Monkey PK Study Designs  </w:t>
      </w:r>
    </w:p>
    <w:p w14:paraId="5930924C" w14:textId="76599EFC" w:rsidR="00780AEE" w:rsidRDefault="00000000">
      <w:r>
        <w:t xml:space="preserve">For molecules with at least one “a priori” monkey exposure prediction outside the two-fold criterion, reduced-study simulations were performed as an explicitly model-conditional precision analysis. Because individual-level observed monkey PK data were unavailable, the observed-data-informed top-down model served as both the data-generating model and the retrospective reference. For each molecule, 100 virtual individuals were generated using the final Run 4 CL, V1, Q, and V2 estimates and their RSEs; 40% parameter uncertainty was assigned when a fixed structural parameter had no fitted RSE </w:t>
      </w:r>
      <w:r>
        <w:rPr>
          <w:b/>
          <w:bCs/>
        </w:rPr>
        <w:t>(S1.4)</w:t>
      </w:r>
      <w:r>
        <w:t xml:space="preserve">. Independent lognormal 30% interindividual variability was applied to CL, V1, Q, and V2, while the fixed TMDD parameters were unchanged. One thousand replicate studies sampled 2-4 animals per dose group with replacement at 0.25, 1, 2, 4, and 8 hours and days 1, 2, 6, 10, 14, 21, and 28. Two-dose (0.3 and 10 mg/kg) and three-dose (0.3, 3, and 10 mg/kg) designs were evaluated. The arithmetic mean </w:t>
      </w:r>
      <w:proofErr w:type="spellStart"/>
      <w:r>
        <w:t>Cmax</w:t>
      </w:r>
      <w:proofErr w:type="spellEnd"/>
      <w:r>
        <w:t>, AUC</w:t>
      </w:r>
      <w:r>
        <w:rPr>
          <w:vertAlign w:val="subscript"/>
        </w:rPr>
        <w:t>0-28d</w:t>
      </w:r>
      <w:r>
        <w:t xml:space="preserve">, and clearance in each reduced study was divided by the corresponding arithmetic mean from the richly </w:t>
      </w:r>
      <w:r>
        <w:lastRenderedPageBreak/>
        <w:t>sampled 100-animal population. A design-level endpoint was successful only when all selected doses were within 0.5- to 2-fold of the reference. In a post hoc sensitivity analysis, additional independent lognormal variability was applied to CL, V1, Q, and V2 so that the total across-individual CV of each structural parameter was at least 50%; 10,000 reduced studies were resampled per scenario.</w:t>
      </w:r>
    </w:p>
    <w:p w14:paraId="37695469" w14:textId="77777777" w:rsidR="00780AEE" w:rsidRDefault="00000000">
      <w:pPr>
        <w:pStyle w:val="Heading1"/>
      </w:pPr>
      <w:r>
        <w:t>Results</w:t>
      </w:r>
    </w:p>
    <w:p w14:paraId="5ED82213" w14:textId="77777777" w:rsidR="00780AEE" w:rsidRDefault="00000000">
      <w:pPr>
        <w:pStyle w:val="Heading2"/>
      </w:pPr>
      <w:r>
        <w:t>Evaluation of “A Priori” PBPK Predictions of Monkey and Human PK</w:t>
      </w:r>
    </w:p>
    <w:p w14:paraId="24A01C41" w14:textId="78EF03BF" w:rsidR="00780AEE" w:rsidRDefault="00000000">
      <w:r>
        <w:t>First, both “a priori” PBPK and top-down TMDD approaches were compared to evaluate how well each workflow reproduced the monkey PK data. Across the 8 drugs and 14 dose levels evaluated, the “a priori” PBPK predictions produced 8/14 AUC</w:t>
      </w:r>
      <w:r>
        <w:rPr>
          <w:vertAlign w:val="subscript"/>
        </w:rPr>
        <w:t>0-28d</w:t>
      </w:r>
      <w:r>
        <w:t xml:space="preserve"> (accuracy 0.57), </w:t>
      </w:r>
      <w:r w:rsidR="00993202">
        <w:t xml:space="preserve">13/14 </w:t>
      </w:r>
      <w:proofErr w:type="spellStart"/>
      <w:r w:rsidR="00993202">
        <w:t>Cmax</w:t>
      </w:r>
      <w:proofErr w:type="spellEnd"/>
      <w:r w:rsidR="00993202">
        <w:t xml:space="preserve"> (accuracy 0.93), </w:t>
      </w:r>
      <w:r>
        <w:t xml:space="preserve">and 8/14 clearance (accuracy 0.57) within two-fold of the observed </w:t>
      </w:r>
      <w:r>
        <w:rPr>
          <w:b/>
          <w:bCs/>
        </w:rPr>
        <w:t xml:space="preserve">(S1.1A, S1.2). </w:t>
      </w:r>
      <w:r>
        <w:t xml:space="preserve">As a benchmark comparison, with top-down approach, as expected, fitting a </w:t>
      </w:r>
      <w:proofErr w:type="spellStart"/>
      <w:r>
        <w:t>quasi steady</w:t>
      </w:r>
      <w:proofErr w:type="spellEnd"/>
      <w:r>
        <w:t>-state (QSS) TMDD model to monkey PK data while fixing molecule-specific TMDD parameters produced all AUC</w:t>
      </w:r>
      <w:r>
        <w:rPr>
          <w:vertAlign w:val="subscript"/>
        </w:rPr>
        <w:t>0-28d</w:t>
      </w:r>
      <w:r>
        <w:t xml:space="preserve">, </w:t>
      </w:r>
      <w:proofErr w:type="spellStart"/>
      <w:r w:rsidR="00993202">
        <w:t>Cmax</w:t>
      </w:r>
      <w:proofErr w:type="spellEnd"/>
      <w:r w:rsidR="00993202">
        <w:t xml:space="preserve">, </w:t>
      </w:r>
      <w:r>
        <w:t xml:space="preserve">and clearance values within two-fold of the observed data (accuracy 1.00 for each metric). CL and </w:t>
      </w:r>
      <w:proofErr w:type="spellStart"/>
      <w:r>
        <w:t>Vc</w:t>
      </w:r>
      <w:proofErr w:type="spellEnd"/>
      <w:r>
        <w:t xml:space="preserve"> were estimated for all molecules. Intercompartmental clearance was fixed to a typical cynomolgus-monkey mAb value for five molecules for which it could not be estimated with acceptable precision; peripheral volume was additionally fixed for adalimumab [25]. All remaining estimated structural parameters had RSEs &lt;40%, and the covariance step completed successfully for all final Run 4 fits </w:t>
      </w:r>
      <w:r>
        <w:rPr>
          <w:b/>
          <w:bCs/>
        </w:rPr>
        <w:t>(S1.4)</w:t>
      </w:r>
      <w:r>
        <w:t>.</w:t>
      </w:r>
    </w:p>
    <w:p w14:paraId="2D68ABED" w14:textId="2C50C991" w:rsidR="00780AEE" w:rsidRDefault="00000000">
      <w:r>
        <w:t>Next, both “a priori” PBPK and monkey-informed top-down TMDD approaches were compared to evaluate how well each workflow predicted human PK data. Across the 8 drugs and 30 dose levels evaluated, the “a priori” PBPK predictions produced 25/30 AUC</w:t>
      </w:r>
      <w:r>
        <w:rPr>
          <w:vertAlign w:val="subscript"/>
        </w:rPr>
        <w:t>0-28d</w:t>
      </w:r>
      <w:r>
        <w:t xml:space="preserve"> (accuracy 0.83), </w:t>
      </w:r>
      <w:r w:rsidR="00993202">
        <w:t xml:space="preserve">29/30 </w:t>
      </w:r>
      <w:proofErr w:type="spellStart"/>
      <w:r w:rsidR="00993202">
        <w:t>Cmax</w:t>
      </w:r>
      <w:proofErr w:type="spellEnd"/>
      <w:r w:rsidR="00993202">
        <w:t xml:space="preserve"> (accuracy 0.97), </w:t>
      </w:r>
      <w:r>
        <w:t xml:space="preserve">and 23/30 clearance values (accuracy 0.77) within two-fold of the observed data </w:t>
      </w:r>
      <w:r>
        <w:rPr>
          <w:b/>
          <w:bCs/>
        </w:rPr>
        <w:t>(Figure 1, Figure 2)</w:t>
      </w:r>
      <w:r>
        <w:t>. With the top-down approach, translation of the monkey-fitted QSS TMDD models to humans produced 26/30 AUC</w:t>
      </w:r>
      <w:r>
        <w:rPr>
          <w:vertAlign w:val="subscript"/>
        </w:rPr>
        <w:t>0-28d</w:t>
      </w:r>
      <w:r>
        <w:t xml:space="preserve"> (accuracy 0.87), </w:t>
      </w:r>
      <w:r w:rsidR="00993202">
        <w:t xml:space="preserve">27/30 </w:t>
      </w:r>
      <w:proofErr w:type="spellStart"/>
      <w:r w:rsidR="00993202">
        <w:t>Cmax</w:t>
      </w:r>
      <w:proofErr w:type="spellEnd"/>
      <w:r w:rsidR="00993202">
        <w:t xml:space="preserve"> (accuracy 0.90), </w:t>
      </w:r>
      <w:r>
        <w:t xml:space="preserve">and 28/30 clearance (accuracy 0.93) within two-fold </w:t>
      </w:r>
      <w:r>
        <w:rPr>
          <w:b/>
          <w:bCs/>
        </w:rPr>
        <w:t>(Figure 1, Figure 2)</w:t>
      </w:r>
      <w:r>
        <w:t xml:space="preserve">.  </w:t>
      </w:r>
    </w:p>
    <w:p w14:paraId="2398736C" w14:textId="7DABB858" w:rsidR="00780AEE" w:rsidRDefault="00000000">
      <w:r>
        <w:t xml:space="preserve">The “a priori” PBPK framework predicted </w:t>
      </w:r>
      <w:r w:rsidR="00993202">
        <w:t>AUC</w:t>
      </w:r>
      <w:r w:rsidR="00993202" w:rsidRPr="00993202">
        <w:rPr>
          <w:vertAlign w:val="subscript"/>
        </w:rPr>
        <w:t>0-28d</w:t>
      </w:r>
      <w:r w:rsidR="00993202">
        <w:t xml:space="preserve"> and </w:t>
      </w:r>
      <w:proofErr w:type="spellStart"/>
      <w:r w:rsidR="00993202">
        <w:t>Cmax</w:t>
      </w:r>
      <w:proofErr w:type="spellEnd"/>
      <w:r w:rsidR="00993202">
        <w:t xml:space="preserve"> for 3/8 molecules, and </w:t>
      </w:r>
      <w:r>
        <w:t>all three exposure markers for 4/8 molecules across all doses evaluated. Compared with the top-down approach, the “a priori” approach provided</w:t>
      </w:r>
      <w:r w:rsidR="00993202">
        <w:t xml:space="preserve"> comparable accuracy for AUC</w:t>
      </w:r>
      <w:r w:rsidR="00993202" w:rsidRPr="00993202">
        <w:rPr>
          <w:vertAlign w:val="subscript"/>
        </w:rPr>
        <w:t>0-28d</w:t>
      </w:r>
      <w:r w:rsidR="00993202">
        <w:t xml:space="preserve"> and </w:t>
      </w:r>
      <w:proofErr w:type="spellStart"/>
      <w:r w:rsidR="00993202">
        <w:t>Camx</w:t>
      </w:r>
      <w:proofErr w:type="spellEnd"/>
      <w:r w:rsidR="00993202">
        <w:t xml:space="preserve">; but </w:t>
      </w:r>
      <w:r>
        <w:t>lower accuracy for clearance (0.77 versus 0.93). The molecules for which human clearance was predicted outside the two-fold criterion by the “a priori” approach were avelumab (anti-PD-L1 mAb), pembrolizumab (anti-PD-1 mAb), and golimumab (anti-</w:t>
      </w:r>
      <w:r>
        <w:lastRenderedPageBreak/>
        <w:t xml:space="preserve">TNFα mAb). For these molecules, all </w:t>
      </w:r>
      <w:proofErr w:type="spellStart"/>
      <w:r>
        <w:t>Cmax</w:t>
      </w:r>
      <w:proofErr w:type="spellEnd"/>
      <w:r>
        <w:t xml:space="preserve"> predictions were within two-fold of the observed values across the evaluated doses. AUC</w:t>
      </w:r>
      <w:r>
        <w:rPr>
          <w:vertAlign w:val="subscript"/>
        </w:rPr>
        <w:t xml:space="preserve">0–28d </w:t>
      </w:r>
      <w:r>
        <w:t xml:space="preserve">predictions were also within two-fold for both pembrolizumab dose levels and five of the six golimumab dose levels, but for only one of the four avelumab dose levels. Thus, the prediction discrepancies were concentrated in clearance-related metrics rather than </w:t>
      </w:r>
      <w:proofErr w:type="spellStart"/>
      <w:r>
        <w:t>Cmax</w:t>
      </w:r>
      <w:proofErr w:type="spellEnd"/>
      <w:r>
        <w:t>, with the greatest AUC</w:t>
      </w:r>
      <w:r>
        <w:rPr>
          <w:vertAlign w:val="subscript"/>
        </w:rPr>
        <w:t>0–28d</w:t>
      </w:r>
      <w:r>
        <w:t xml:space="preserve"> discrepancy observed for avelumab. For some molecules in the dataset, several key target-system parameters, including target reference concentration, internalization rate (kint), and target degradation rate (kdeg), were not available from direct in vitro measurements and were instead obtained from prior modeling studies. These inputs introduce uncertainty</w:t>
      </w:r>
      <w:r w:rsidR="00E9155B">
        <w:t xml:space="preserve"> </w:t>
      </w:r>
      <w:r w:rsidR="00E9155B" w:rsidRPr="00E9155B">
        <w:rPr>
          <w:b/>
          <w:bCs/>
        </w:rPr>
        <w:t>(S1.6)</w:t>
      </w:r>
      <w:r w:rsidRPr="00E9155B">
        <w:rPr>
          <w:b/>
          <w:bCs/>
        </w:rPr>
        <w:t xml:space="preserve"> </w:t>
      </w:r>
      <w:r>
        <w:t xml:space="preserve">because their values may depend on the model structure, assumptions, and estimation approach used in those studies. </w:t>
      </w:r>
      <w:r w:rsidR="00E9155B" w:rsidRPr="00E9155B">
        <w:t>Additionally, the observed concentration–time data through 28 days post-dose may not have adequately characterized the terminal phase, limiting the reliability of the observed clearance estimates, as the extrapolated fraction of AUC</w:t>
      </w:r>
      <w:r w:rsidR="00E9155B" w:rsidRPr="00E9155B">
        <w:rPr>
          <w:vertAlign w:val="subscript"/>
        </w:rPr>
        <w:t>inf</w:t>
      </w:r>
      <w:r w:rsidR="00E9155B" w:rsidRPr="00E9155B">
        <w:t xml:space="preserve"> exceeded 30% for s</w:t>
      </w:r>
      <w:r w:rsidR="00E9155B">
        <w:t>everal</w:t>
      </w:r>
      <w:r w:rsidR="00E9155B" w:rsidRPr="00E9155B">
        <w:t xml:space="preserve"> </w:t>
      </w:r>
      <w:r w:rsidR="00E9155B">
        <w:t>molecules</w:t>
      </w:r>
      <w:r w:rsidR="00E9155B" w:rsidRPr="00E9155B">
        <w:t xml:space="preserve"> </w:t>
      </w:r>
      <w:r w:rsidR="00E9155B" w:rsidRPr="00E9155B">
        <w:rPr>
          <w:b/>
          <w:bCs/>
        </w:rPr>
        <w:t>(S1.</w:t>
      </w:r>
      <w:r w:rsidR="00E9155B" w:rsidRPr="00E9155B">
        <w:rPr>
          <w:b/>
          <w:bCs/>
        </w:rPr>
        <w:t>5</w:t>
      </w:r>
      <w:r w:rsidR="00E9155B" w:rsidRPr="00E9155B">
        <w:rPr>
          <w:b/>
          <w:bCs/>
        </w:rPr>
        <w:t>)</w:t>
      </w:r>
      <w:r w:rsidR="00E9155B" w:rsidRPr="00E9155B">
        <w:t>.</w:t>
      </w:r>
      <w:r w:rsidR="00993202">
        <w:t xml:space="preserve"> Moreover</w:t>
      </w:r>
      <w:r>
        <w:t xml:space="preserve">, the observed human PK data for oncology </w:t>
      </w:r>
      <w:proofErr w:type="spellStart"/>
      <w:r>
        <w:t>mAbs</w:t>
      </w:r>
      <w:proofErr w:type="spellEnd"/>
      <w:r>
        <w:t>, including avelumab, pembrolizumab, and nivolumab, were obtained from patients who may have substantial variability in target expression, introducing further uncertainty in PK predictions with both approaches. Overall, the “a priori” approach predicted</w:t>
      </w:r>
      <w:r w:rsidR="00E9155B">
        <w:t xml:space="preserve"> </w:t>
      </w:r>
      <w:r>
        <w:t xml:space="preserve">mechanisms of </w:t>
      </w:r>
      <w:proofErr w:type="spellStart"/>
      <w:r>
        <w:t>mAbs</w:t>
      </w:r>
      <w:proofErr w:type="spellEnd"/>
      <w:r>
        <w:t xml:space="preserve"> </w:t>
      </w:r>
      <w:r w:rsidR="00E9155B">
        <w:t xml:space="preserve">distribution and elimination </w:t>
      </w:r>
      <w:r>
        <w:t xml:space="preserve">in humans reasonably well. </w:t>
      </w:r>
    </w:p>
    <w:p w14:paraId="2A90C549" w14:textId="77777777" w:rsidR="00780AEE" w:rsidRDefault="00000000">
      <w:pPr>
        <w:pStyle w:val="Heading2"/>
      </w:pPr>
      <w:r>
        <w:t xml:space="preserve">Simulations-based Evaluations of Reduced Monkey PK Study Designs  </w:t>
      </w:r>
    </w:p>
    <w:p w14:paraId="0EED4D33" w14:textId="77777777" w:rsidR="00780AEE" w:rsidRDefault="00000000">
      <w:r>
        <w:t>Atezolizumab, avelumab, nivolumab, and pembrolizumab were included in the reduced-study analysis because at least one “a priori” monkey exposure prediction was outside the prespecified two-fold criterion. For each molecule, the observed-data-informed top-down model generated a richly sampled reference population of 100 virtual individuals. The primary 1,000-replicate analysis incorporated fitted structural-parameter uncertainty and 30% interindividual variability in CL, V1, Q, and V2; fixed TMDD parameters were not varied.</w:t>
      </w:r>
    </w:p>
    <w:p w14:paraId="40B76289" w14:textId="22AB33F4" w:rsidR="00780AEE" w:rsidRDefault="00000000">
      <w:r>
        <w:t>Across the two-dose-group (0.3 and 10 mg/kg) and three-dose-group (0.3, 3, and 10 mg/kg) designs with 2-4 animals per group, reduced-study-to-reference fold errors for AUC</w:t>
      </w:r>
      <w:r>
        <w:rPr>
          <w:vertAlign w:val="subscript"/>
        </w:rPr>
        <w:t>0-28d</w:t>
      </w:r>
      <w:r>
        <w:t xml:space="preserve">, </w:t>
      </w:r>
      <w:proofErr w:type="spellStart"/>
      <w:r>
        <w:t>Cmax</w:t>
      </w:r>
      <w:proofErr w:type="spellEnd"/>
      <w:r w:rsidR="00E9155B">
        <w:t xml:space="preserve">, and </w:t>
      </w:r>
      <w:r w:rsidR="00E9155B">
        <w:t>clearance</w:t>
      </w:r>
      <w:r w:rsidR="00E9155B">
        <w:t xml:space="preserve"> </w:t>
      </w:r>
      <w:r>
        <w:t xml:space="preserve">were centered near 1 </w:t>
      </w:r>
      <w:r>
        <w:rPr>
          <w:b/>
          <w:bCs/>
        </w:rPr>
        <w:t>(Figure 3</w:t>
      </w:r>
      <w:r>
        <w:t xml:space="preserve">). For the illustrative two-dose-group design with three animals per group (six animals total), the model-conditional probability that all three PK endpoints at both doses were within two-fold of the rich-population reference ranged from 99.4% to 100.0% across the four molecules. The 5th-95th percentile fold-error intervals also remained within the prespecified range. A fourth animal per group provided only modest additional narrowing, and adding a third dose group did not improve precision under the evaluated assumptions. The results were sensitive to greater </w:t>
      </w:r>
      <w:r>
        <w:lastRenderedPageBreak/>
        <w:t xml:space="preserve">variability: for the same six-animal design, the joint success probability decreased to 90.0–98.1% when total structural-parameter variability was increased to 50% CV. Overall, these findings support the feasibility of a reduced two-dose, total six-animal study design for collecting relevant data to support model-based characterization of IV </w:t>
      </w:r>
      <w:proofErr w:type="spellStart"/>
      <w:r>
        <w:t>mAbs</w:t>
      </w:r>
      <w:proofErr w:type="spellEnd"/>
      <w:r>
        <w:t xml:space="preserve"> PK in monkeys to support first-in-human PK predictions.</w:t>
      </w:r>
    </w:p>
    <w:p w14:paraId="564C06C6" w14:textId="77777777" w:rsidR="00780AEE" w:rsidRDefault="00000000">
      <w:pPr>
        <w:pStyle w:val="Heading1"/>
      </w:pPr>
      <w:r>
        <w:t>Discussion</w:t>
      </w:r>
    </w:p>
    <w:p w14:paraId="3DACAE13" w14:textId="39DB6959" w:rsidR="00780AEE" w:rsidRDefault="00000000">
      <w:r>
        <w:t>In this retrospective analysis, the in vitro-informed “a priori” PBPK approach provided human PK predictions broadly comparable to monkey-informed top-down TMDD translation, particularly for AUC</w:t>
      </w:r>
      <w:r w:rsidRPr="00E9155B">
        <w:rPr>
          <w:vertAlign w:val="subscript"/>
        </w:rPr>
        <w:t>0–28d</w:t>
      </w:r>
      <w:r w:rsidR="00E9155B">
        <w:rPr>
          <w:vertAlign w:val="subscript"/>
        </w:rPr>
        <w:t xml:space="preserve"> </w:t>
      </w:r>
      <w:r w:rsidR="00E9155B" w:rsidRPr="00E9155B">
        <w:t xml:space="preserve">and </w:t>
      </w:r>
      <w:proofErr w:type="spellStart"/>
      <w:r w:rsidR="00E9155B" w:rsidRPr="00E9155B">
        <w:t>Cma</w:t>
      </w:r>
      <w:r w:rsidR="00E9155B" w:rsidRPr="00E9155B">
        <w:t>x</w:t>
      </w:r>
      <w:proofErr w:type="spellEnd"/>
      <w:r>
        <w:t xml:space="preserve">. Clearance accuracy was lower with the “a priori” approach, with 23/30 predictions within two-fold of observed values compared with 28/30 for the top-down approach. Notably, target concentrations, </w:t>
      </w:r>
      <m:oMath>
        <m:sSub>
          <m:sSubPr>
            <m:ctrlPr>
              <w:rPr>
                <w:rFonts w:ascii="Cambria Math" w:hAnsi="Cambria Math"/>
              </w:rPr>
            </m:ctrlPr>
          </m:sSubPr>
          <m:e>
            <m:r>
              <w:rPr>
                <w:rFonts w:ascii="Cambria Math" w:hAnsi="Cambria Math"/>
              </w:rPr>
              <m:t>k</m:t>
            </m:r>
          </m:e>
          <m:sub>
            <m:r>
              <w:rPr>
                <w:rFonts w:ascii="Cambria Math" w:hAnsi="Cambria Math"/>
              </w:rPr>
              <m:t xml:space="preserve">int </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deg</m:t>
            </m:r>
          </m:sub>
        </m:sSub>
      </m:oMath>
      <w:r>
        <w:t xml:space="preserve"> for pembrolizumab, nivolumab, and avelumab were obtained from prior models rather than molecule-specific in vitro measurements, suggesting that robust in vitro characterization of these parameters could further improve “a priori” predictions of clearance</w:t>
      </w:r>
      <w:r w:rsidR="00E9155B">
        <w:t xml:space="preserve"> </w:t>
      </w:r>
      <w:r w:rsidR="00E9155B" w:rsidRPr="00E9155B">
        <w:rPr>
          <w:b/>
          <w:bCs/>
        </w:rPr>
        <w:t>(S1.</w:t>
      </w:r>
      <w:r w:rsidR="00E9155B" w:rsidRPr="00E9155B">
        <w:rPr>
          <w:b/>
          <w:bCs/>
        </w:rPr>
        <w:t>6</w:t>
      </w:r>
      <w:r w:rsidR="00E9155B" w:rsidRPr="00E9155B">
        <w:rPr>
          <w:b/>
          <w:bCs/>
        </w:rPr>
        <w:t>)</w:t>
      </w:r>
      <w:r w:rsidR="00E9155B">
        <w:t>.</w:t>
      </w:r>
      <w:r>
        <w:t xml:space="preserve"> The proposed “a priori” PBPK modeling as NAM approach is feasible when robust in vitro experimental data for mechanistic parameters are available. In our retrospective analysis, in vitro parameters were derived from literature search (Supplementary material 2). Drug–target binding affinity was available from experimental binding assays for all included molecules, either from equilibrium binding or SPR/</w:t>
      </w:r>
      <w:proofErr w:type="spellStart"/>
      <w:r>
        <w:t>Biacore</w:t>
      </w:r>
      <w:proofErr w:type="spellEnd"/>
      <w:r>
        <w:t xml:space="preserve"> assays. FcRn binding affinity was available from SPR/</w:t>
      </w:r>
      <w:proofErr w:type="spellStart"/>
      <w:r>
        <w:t>Biacore</w:t>
      </w:r>
      <w:proofErr w:type="spellEnd"/>
      <w:r>
        <w:t xml:space="preserve"> for only atezolizumab and pembrolizumab while a common model-based FcRn KD estimate from a published analysis of 50 </w:t>
      </w:r>
      <w:proofErr w:type="spellStart"/>
      <w:r>
        <w:t>mAbs</w:t>
      </w:r>
      <w:proofErr w:type="spellEnd"/>
      <w:r>
        <w:t xml:space="preserve"> was used for several other </w:t>
      </w:r>
      <w:proofErr w:type="spellStart"/>
      <w:r>
        <w:t>mAbs</w:t>
      </w:r>
      <w:proofErr w:type="spellEnd"/>
      <w:r>
        <w:t xml:space="preserve"> where molecule-specific FcRn binding data were not available [27].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w:t>
      </w:r>
      <w:proofErr w:type="spellStart"/>
      <w:r>
        <w:t>mAbs</w:t>
      </w:r>
      <w:proofErr w:type="spellEnd"/>
      <w:r>
        <w:t xml:space="preserve"> would further strengthen prospective PBPK-based NAM workflows. </w:t>
      </w:r>
    </w:p>
    <w:p w14:paraId="249EE812" w14:textId="1ADFF494" w:rsidR="00780AEE" w:rsidRDefault="00000000">
      <w:r>
        <w:t xml:space="preserve">The reduced-study simulations provide quantitative support for the feasibility of a focused two-dose, six-animal exploratory monkey PK study. Under the primary assumptions of fitted structural-parameter uncertainty and 30% interindividual variability in CL, V1, Q, and V2, a design with three animals at each of two dose levels recovered </w:t>
      </w:r>
      <w:proofErr w:type="spellStart"/>
      <w:r>
        <w:t>Cmax</w:t>
      </w:r>
      <w:proofErr w:type="spellEnd"/>
      <w:r>
        <w:t>, AUC</w:t>
      </w:r>
      <w:r>
        <w:rPr>
          <w:vertAlign w:val="subscript"/>
        </w:rPr>
        <w:t>0–28d</w:t>
      </w:r>
      <w:r>
        <w:t xml:space="preserve">, and clearance within two-fold of the rich-population reference in 99.4–100.0% of replicate </w:t>
      </w:r>
      <w:r>
        <w:lastRenderedPageBreak/>
        <w:t xml:space="preserve">studies across the four </w:t>
      </w:r>
      <w:proofErr w:type="spellStart"/>
      <w:r>
        <w:t>mAbs</w:t>
      </w:r>
      <w:proofErr w:type="spellEnd"/>
      <w:r>
        <w:t xml:space="preserve">. The design remained robust when total structural-parameter variability was increased to 50% CV, with success rates of 90.0–98.1%. These findings should be interpreted as evidence of model-conditional precision rather than a validation of the reduced design. Prospective confirmation and molecule-specific assessment would therefore be needed, particularly when TMDD is pronounced or its determinants are uncertain. Overall, relative to the prespecified exploratory single-dose design of five dose groups with three animals per group, the illustrative six-animal design represents a 60% reduction in animal use </w:t>
      </w:r>
      <w:r>
        <w:rPr>
          <w:b/>
          <w:bCs/>
        </w:rPr>
        <w:t>(Figure 4)</w:t>
      </w:r>
      <w:r>
        <w:t>. Importantly, this estimate applies at the individual PK-study level and should not be interpreted as a percent reduction in animal use across the overall preclinical development program or as a reduction in animals used for repeat-dose toxicology or other studies.</w:t>
      </w:r>
    </w:p>
    <w:p w14:paraId="7F39B3DB" w14:textId="289E7AC5" w:rsidR="00780AEE" w:rsidRDefault="00000000">
      <w:r>
        <w:t xml:space="preserve">The analysis focused on IV single-dose mAb PK, an appropriate initial context because the principal disposition processes are comparatively well characterized. Single-dose data and mechanistic models can support projection of repeat-dose exposure and accumulation, and published examples show successful translation for selected </w:t>
      </w:r>
      <w:proofErr w:type="spellStart"/>
      <w:r>
        <w:t>mAbs</w:t>
      </w:r>
      <w:proofErr w:type="spellEnd"/>
      <w:r>
        <w:t xml:space="preserve"> [28, 29]. However, these examples do not establish that a dedicated repeat-dose PK study can be omitted for every molecule. When scientifically and operationally appropriate, PK/TK sampling embedded in dose-range-finding or GLP repeat-dose toxicology studies may provide repeat-dose exposure information without a separate PK study [30], but the toxicology studies and their animal use remain outside the scope of the present analysis. The framework could subsequently be extended to subcutaneous </w:t>
      </w:r>
      <w:proofErr w:type="spellStart"/>
      <w:r>
        <w:t>mAbs</w:t>
      </w:r>
      <w:proofErr w:type="spellEnd"/>
      <w:r>
        <w:t xml:space="preserve"> by incorporating lymphatic uptake, pre-systemic catabolism, bioavailability, and formulation- and injection-site-dependent absorption. Lessons from </w:t>
      </w:r>
      <w:proofErr w:type="spellStart"/>
      <w:r>
        <w:t>mAbs</w:t>
      </w:r>
      <w:proofErr w:type="spellEnd"/>
      <w:r>
        <w:t xml:space="preserve"> may also inform PBPK or hybrid PBPK-QSP workflows for more complex modalities, but each extension will require its own context-of-use definition and validation.</w:t>
      </w:r>
    </w:p>
    <w:p w14:paraId="63B5D709" w14:textId="77777777" w:rsidR="00780AEE" w:rsidRDefault="00000000">
      <w:r>
        <w:t xml:space="preserve">This study was a small retrospective proof-of-concept analysis constrained by the availability of public monkey PK, human PK, and mechanistic input data. Several target-system inputs, including target reference concentration, kint, and kdeg, were taken from prior modeling studies rather than direct in vitro measurements. Because some of those values may have been selected with knowledge of the observed PK, the inputs are not fully independent and may make retrospective performance appear optimistic. Human PK for the oncology </w:t>
      </w:r>
      <w:proofErr w:type="spellStart"/>
      <w:r>
        <w:t>mAbs</w:t>
      </w:r>
      <w:proofErr w:type="spellEnd"/>
      <w:r>
        <w:t xml:space="preserve"> was obtained from patients with potentially variable and high tumor-target burden rather than first-in-human healthy volunteers; disease-related target expression and patient-versus-healthy-population differences are therefore plausible contributors to prediction error. The generic target representation also did not distinguish soluble from membrane target or explicitly represent shedding, despite differences among soluble and transmembrane TNF, soluble VEGF, soluble and membrane IL-6R, and </w:t>
      </w:r>
      <w:r>
        <w:lastRenderedPageBreak/>
        <w:t>membrane PD-1/PD-L1. This level of granularity was not required for the initial context of use—evaluating exposure prediction and the conditional precision of a reduced design—but it limits mechanistic interpretation and generalizability.</w:t>
      </w:r>
    </w:p>
    <w:p w14:paraId="5207657C" w14:textId="77777777" w:rsidR="00780AEE" w:rsidRDefault="00000000">
      <w:r>
        <w:t>Alternative empirical TMDD approximations, including a Michaelis-Menten model, were not evaluated. Estimation of Vmax and Km together with the structural PK parameters would have been poorly supported for molecules represented by only one monkey dose level. Larger retrospective datasets and prospective pilot studies should therefore generate standardized in vitro inputs, lock “a priori” models before observing in vivo PK, prespecify quantitative success criteria, include adequate individual-level data, and evaluate target representations and model structures appropriate to each molecule. Such evidence is needed to define a defensible context of use and build regulatory confidence in PBPK-informed reduction of preclinical monkey PK studies.</w:t>
      </w:r>
    </w:p>
    <w:p w14:paraId="00CD3180" w14:textId="7659F0D5" w:rsidR="00780AEE" w:rsidRDefault="00000000">
      <w:r>
        <w:t>PK-Sim/</w:t>
      </w:r>
      <w:proofErr w:type="spellStart"/>
      <w:r>
        <w:t>MoBi</w:t>
      </w:r>
      <w:proofErr w:type="spellEnd"/>
      <w:r>
        <w:t xml:space="preserve"> and the R packages OSP Suite and </w:t>
      </w:r>
      <w:proofErr w:type="spellStart"/>
      <w:r>
        <w:t>esqlabsR</w:t>
      </w:r>
      <w:proofErr w:type="spellEnd"/>
      <w:r>
        <w:t xml:space="preserve"> provided a practical open-source framework for a reproducible, semi-automated workflow [22-24]. The platform combines physiologically structured PBPK models with curated species-specific physiology and expression databases, allowing target-expression profiles to be defined consistently across monkeys and humans [20, 21]. Export to </w:t>
      </w:r>
      <w:proofErr w:type="spellStart"/>
      <w:r>
        <w:t>MoBi</w:t>
      </w:r>
      <w:proofErr w:type="spellEnd"/>
      <w:r>
        <w:t xml:space="preserve"> and programmatic simulation in R also enable scalable evaluation across molecules, targets, species, and dose levels. This reproducibility is important for prospective PBPK-based NAM workflows, in which model generation, parameter updates, simulations, and exposure-metric extraction should be prespecified and independently traceable.</w:t>
      </w:r>
    </w:p>
    <w:p w14:paraId="5AF09ABE" w14:textId="77777777" w:rsidR="00780AEE" w:rsidRDefault="00000000">
      <w:pPr>
        <w:pStyle w:val="Heading1"/>
      </w:pPr>
      <w:r>
        <w:t>Conclusions</w:t>
      </w:r>
    </w:p>
    <w:p w14:paraId="5B6D6169" w14:textId="4F94E100" w:rsidR="00780AEE" w:rsidRDefault="00000000">
      <w:r>
        <w:t>This retrospective analysis supports further evaluation of “a priori” PBPK modeling as a NAM for first-in-human mAb PK prediction. Predictive performance of “a priori” approach for human PK predictions was broadly comparable to monkey-to-human top-down translation for the evaluated dataset, although clearance-related predictions were sensitive to uncertainty in target-system inputs</w:t>
      </w:r>
      <w:r w:rsidR="00E9155B">
        <w:t xml:space="preserve"> as well as observed data</w:t>
      </w:r>
      <w:r>
        <w:t>. The reduced-study simulations support an illustrative, model-informed exploratory single-dose design of two dose groups with three animals per group, corresponding to 6 rather than at least 15 animals (a 60% reduction) under the stated assumptions. This finding supports prospective validation of “a priori” PBPK modeling and reduced monkey PK study designs as a NAM for first-in-human PK predictions.</w:t>
      </w:r>
    </w:p>
    <w:p w14:paraId="0E3EDE27" w14:textId="77777777" w:rsidR="00780AEE" w:rsidRDefault="00000000">
      <w:pPr>
        <w:pStyle w:val="Heading1"/>
      </w:pPr>
      <w:r>
        <w:lastRenderedPageBreak/>
        <w:t>References</w:t>
      </w:r>
    </w:p>
    <w:p w14:paraId="1CDD2BF4" w14:textId="77777777" w:rsidR="00780AEE" w:rsidRDefault="00000000">
      <w:r>
        <w:t xml:space="preserve">1. Sun D, Gao W, Hu H, Zhou S. Why </w:t>
      </w:r>
      <w:proofErr w:type="gramStart"/>
      <w:r>
        <w:t>90</w:t>
      </w:r>
      <w:proofErr w:type="gramEnd"/>
      <w:r>
        <w:t xml:space="preserve">% of clinical drug development </w:t>
      </w:r>
      <w:proofErr w:type="gramStart"/>
      <w:r>
        <w:t>fails</w:t>
      </w:r>
      <w:proofErr w:type="gramEnd"/>
      <w:r>
        <w:t xml:space="preserve"> and how to improve </w:t>
      </w:r>
      <w:proofErr w:type="gramStart"/>
      <w:r>
        <w:t>it?.</w:t>
      </w:r>
      <w:proofErr w:type="gramEnd"/>
      <w:r>
        <w:t xml:space="preserve"> Acta Pharmaceutica Sinica B. 2022;12(7):3049-3062. </w:t>
      </w:r>
      <w:proofErr w:type="gramStart"/>
      <w:r>
        <w:t>doi:10.1016/j.apsb</w:t>
      </w:r>
      <w:proofErr w:type="gramEnd"/>
      <w:r>
        <w:t>.2022.02.002.</w:t>
      </w:r>
    </w:p>
    <w:p w14:paraId="6BEBE271" w14:textId="77777777" w:rsidR="00780AEE" w:rsidRDefault="00000000">
      <w:r>
        <w:t>2. Garg A, Balthasar JP. Physiologically-based pharmacokinetic (PBPK) model to predict IgG tissue kinetics in wild-type and FcRn-knockout mice. Journal of Pharmacokinetics and Pharmacodynamics. 2007;34(5):687-709. doi:10.1007/s10928-007-9065-1.</w:t>
      </w:r>
    </w:p>
    <w:p w14:paraId="535AE8BC" w14:textId="77777777" w:rsidR="00780AEE" w:rsidRDefault="00000000">
      <w:r>
        <w:t>3. Shah DK, Betts A. Towards a platform PBPK model to characterize the plasma and tissue disposition of monoclonal antibodies in preclinical species and human. Journal of Pharmacokinetics and Pharmacodynamics. 2011;39(1):67-86. doi:10.1007/s10928-011-9232-2.</w:t>
      </w:r>
    </w:p>
    <w:p w14:paraId="619F4C7C" w14:textId="77777777" w:rsidR="00780AEE" w:rsidRDefault="00000000">
      <w:r>
        <w:t xml:space="preserve">4. </w:t>
      </w:r>
      <w:proofErr w:type="spellStart"/>
      <w:r>
        <w:t>Niederalt</w:t>
      </w:r>
      <w:proofErr w:type="spellEnd"/>
      <w:r>
        <w:t xml:space="preserve"> C, Kuepfer L, </w:t>
      </w:r>
      <w:proofErr w:type="spellStart"/>
      <w:r>
        <w:t>Solodenko</w:t>
      </w:r>
      <w:proofErr w:type="spellEnd"/>
      <w:r>
        <w:t xml:space="preserve"> J, </w:t>
      </w:r>
      <w:proofErr w:type="spellStart"/>
      <w:r>
        <w:t>Eißing</w:t>
      </w:r>
      <w:proofErr w:type="spellEnd"/>
      <w:r>
        <w:t xml:space="preserve"> T, Siegmund H, Block MS, et al. A generic whole body physiologically based pharmacokinetic model for therapeutic proteins in PK-Sim. Journal of Pharmacokinetics and Pharmacodynamics. 2018;45(2):235-257. doi:10.1007/s10928-017-9559-4.</w:t>
      </w:r>
    </w:p>
    <w:p w14:paraId="3746293C" w14:textId="77777777" w:rsidR="00780AEE" w:rsidRDefault="00000000">
      <w:r>
        <w:t>5. US Food and Drug Administration. Roadmap to Reducing Animal Testing in Preclinical Safety Studies. Silver Spring, MD: FDA; April 2025. Available from: https://www.fda.gov/media/186092/download (accessed July 26, 2026).</w:t>
      </w:r>
    </w:p>
    <w:p w14:paraId="19A8A3C3" w14:textId="77777777" w:rsidR="00780AEE" w:rsidRDefault="00000000">
      <w:r>
        <w:t>6. US Food and Drug Administration. General Considerations for the Use of New Approach Methodologies in Drug Development. Draft Guidance for Industry. March 2026. Docket FDA-2025-D-6131. Available from: https://www.fda.gov/regulatory-information/search-fda-guidance-documents/general-considerations-use-new-approach-methodologies-drug-development (accessed July 26, 2026).</w:t>
      </w:r>
    </w:p>
    <w:p w14:paraId="759F35D2" w14:textId="77777777" w:rsidR="00780AEE" w:rsidRDefault="00000000">
      <w:r>
        <w:t>7. US Food and Drug Administration. Reducing Animal Testing in Nonclinical Studies: Year One Progress and the Path Forward. April 2026. Available from: https://www.fda.gov/media/191986/download (accessed July 26, 2026).</w:t>
      </w:r>
    </w:p>
    <w:p w14:paraId="77E0AC27" w14:textId="77777777" w:rsidR="00780AEE" w:rsidRDefault="00000000">
      <w:r>
        <w:t xml:space="preserve">8. Mehta K, </w:t>
      </w:r>
      <w:proofErr w:type="spellStart"/>
      <w:r>
        <w:t>Maaß</w:t>
      </w:r>
      <w:proofErr w:type="spellEnd"/>
      <w:r>
        <w:t xml:space="preserve"> C, </w:t>
      </w:r>
      <w:proofErr w:type="spellStart"/>
      <w:r>
        <w:t>Cucurull</w:t>
      </w:r>
      <w:proofErr w:type="spellEnd"/>
      <w:r>
        <w:t>-Sanchez L, Pichardo‐Almarza C, Subramanian K, Androulakis IP, et al. Modernizing Preclinical Drug Development: The Role of New Approach Methodologies. ACS Pharmacology &amp; Translational Science. 2025;8(6):1513-1525. doi:10.1021/acsptsci.5c00162.</w:t>
      </w:r>
    </w:p>
    <w:p w14:paraId="01393F8B" w14:textId="77777777" w:rsidR="00780AEE" w:rsidRDefault="00000000">
      <w:r>
        <w:t xml:space="preserve">9. National Institutes of Health Common Fund. NIH invests $150 million in human-based research to reduce use of animal models. March 18, 2026. Available from: </w:t>
      </w:r>
      <w:r>
        <w:lastRenderedPageBreak/>
        <w:t>https://commonfund.nih.gov/complementarie/news/nih-invests-150-million-human-based-research-reduce-use-animal-models (accessed July 26, 2026).</w:t>
      </w:r>
    </w:p>
    <w:p w14:paraId="0C477637" w14:textId="1493E10D" w:rsidR="00780AEE" w:rsidRDefault="00000000">
      <w:pPr>
        <w:rPr>
          <w:lang w:val="de-DE"/>
        </w:rPr>
      </w:pPr>
      <w:r>
        <w:t xml:space="preserve">10. </w:t>
      </w:r>
      <w:proofErr w:type="spellStart"/>
      <w:r>
        <w:t>Sillé</w:t>
      </w:r>
      <w:proofErr w:type="spellEnd"/>
      <w:r>
        <w:t xml:space="preserve"> FC, </w:t>
      </w:r>
      <w:proofErr w:type="spellStart"/>
      <w:r>
        <w:t>Härtung</w:t>
      </w:r>
      <w:proofErr w:type="spellEnd"/>
      <w:r>
        <w:t xml:space="preserve"> T. Metabolomics in Preclinical Drug Safety Assessment: Current Status and Future Trends. </w:t>
      </w:r>
      <w:r>
        <w:rPr>
          <w:lang w:val="de-DE"/>
        </w:rPr>
        <w:t>Metabolites. 2024;14(2):98. doi:10.3390/metabo14020098.</w:t>
      </w:r>
    </w:p>
    <w:p w14:paraId="2C8ED0BC" w14:textId="089C2602" w:rsidR="00780AEE" w:rsidRDefault="00000000">
      <w:r>
        <w:rPr>
          <w:lang w:val="de-DE"/>
        </w:rPr>
        <w:t xml:space="preserve">11. Kreutz A, Chang X, Högberg HT, Wetmore BA. </w:t>
      </w:r>
      <w:r>
        <w:t>Advancing understanding of human variability through toxicokinetic modeling, in vitro-in vivo extrapolation, and new approach methodologies. Human Genomics. 2024;18(1):129. doi:10.1186/s40246-024-00691-9.</w:t>
      </w:r>
    </w:p>
    <w:p w14:paraId="7DEA767A" w14:textId="77777777" w:rsidR="00780AEE" w:rsidRDefault="00000000">
      <w:r>
        <w:t xml:space="preserve">12. Dao T, </w:t>
      </w:r>
      <w:proofErr w:type="spellStart"/>
      <w:r>
        <w:t>Sadrieh</w:t>
      </w:r>
      <w:proofErr w:type="spellEnd"/>
      <w:r>
        <w:t xml:space="preserve"> N. A CDER perspective: Landscape of New Approach Methodologies (NAMs) submitted in drug development programs. Regulatory Toxicology and Pharmacology. </w:t>
      </w:r>
      <w:proofErr w:type="gramStart"/>
      <w:r>
        <w:t>2025;165:106007</w:t>
      </w:r>
      <w:proofErr w:type="gramEnd"/>
      <w:r>
        <w:t xml:space="preserve">. </w:t>
      </w:r>
      <w:proofErr w:type="gramStart"/>
      <w:r>
        <w:t>doi:10.1016/j.yrtph</w:t>
      </w:r>
      <w:proofErr w:type="gramEnd"/>
      <w:r>
        <w:t>.2025.106007.</w:t>
      </w:r>
    </w:p>
    <w:p w14:paraId="26D01507" w14:textId="77777777" w:rsidR="00780AEE" w:rsidRDefault="00000000">
      <w:r>
        <w:t>13. Bai JPF, Liu G, Zhao M, Wang J, Xiong Y, Truong TM, et al. Landscape of regulatory quantitative systems pharmacology submissions to the U.S. Food and Drug Administration: An update report. CPT Pharmacometrics &amp;amp; Systems Pharmacology. 2024;13(12):2102-2110. doi:10.1002/psp4.13208.</w:t>
      </w:r>
    </w:p>
    <w:p w14:paraId="17C38297" w14:textId="77777777" w:rsidR="00780AEE" w:rsidRDefault="00000000">
      <w:r>
        <w:t xml:space="preserve">14. Jones HM, Zhang Z, Jasper P, Luo H, Avery LB, King LE, et al. A Physiologically‐Based Pharmacokinetic Model for the Prediction of Monoclonal Antibody Pharmacokinetics </w:t>
      </w:r>
      <w:proofErr w:type="spellStart"/>
      <w:r>
        <w:t>FromIn</w:t>
      </w:r>
      <w:proofErr w:type="spellEnd"/>
      <w:r>
        <w:t xml:space="preserve"> </w:t>
      </w:r>
      <w:proofErr w:type="spellStart"/>
      <w:r>
        <w:t>VitroData</w:t>
      </w:r>
      <w:proofErr w:type="spellEnd"/>
      <w:r>
        <w:t>. CPT Pharmacometrics &amp;amp; Systems Pharmacology. 2019;8(10):738-747. doi:10.1002/psp4.12461.</w:t>
      </w:r>
    </w:p>
    <w:p w14:paraId="4275948D" w14:textId="77777777" w:rsidR="00780AEE" w:rsidRDefault="00000000">
      <w:r>
        <w:t xml:space="preserve">15. Hu S, Datta‐Mannan A, </w:t>
      </w:r>
      <w:proofErr w:type="spellStart"/>
      <w:r>
        <w:t>D’Argenio</w:t>
      </w:r>
      <w:proofErr w:type="spellEnd"/>
      <w:r>
        <w:t xml:space="preserve"> DZ. Physiologically Based Modeling to Predict Monoclonal Antibody Pharmacokinetics in Humans from in vitro Physiochemical Properties. </w:t>
      </w:r>
      <w:proofErr w:type="spellStart"/>
      <w:r>
        <w:t>mAbs</w:t>
      </w:r>
      <w:proofErr w:type="spellEnd"/>
      <w:r>
        <w:t>. 2022;14(1):2056944. doi:10.1080/19420862.2022.2056944.</w:t>
      </w:r>
    </w:p>
    <w:p w14:paraId="33D0B9D1" w14:textId="77777777" w:rsidR="00780AEE" w:rsidRDefault="00000000">
      <w:r>
        <w:t xml:space="preserve">16. </w:t>
      </w:r>
      <w:proofErr w:type="spellStart"/>
      <w:r>
        <w:t>Germovsek</w:t>
      </w:r>
      <w:proofErr w:type="spellEnd"/>
      <w:r>
        <w:t xml:space="preserve"> E, Cheng M, </w:t>
      </w:r>
      <w:proofErr w:type="spellStart"/>
      <w:r>
        <w:t>Giragossian</w:t>
      </w:r>
      <w:proofErr w:type="spellEnd"/>
      <w:r>
        <w:t xml:space="preserve"> C. Allometric Scaling of Therapeutic Monoclonal Antibodies in Preclinical and Clinical Settings. </w:t>
      </w:r>
      <w:proofErr w:type="spellStart"/>
      <w:r>
        <w:rPr>
          <w:i/>
          <w:iCs/>
        </w:rPr>
        <w:t>mAbs</w:t>
      </w:r>
      <w:proofErr w:type="spellEnd"/>
      <w:r>
        <w:t xml:space="preserve">. 2021;13(1):1964935. doi:10.1080/19420862.2021.1964935. </w:t>
      </w:r>
    </w:p>
    <w:p w14:paraId="69756389" w14:textId="77777777" w:rsidR="00780AEE" w:rsidRDefault="00000000">
      <w:r>
        <w:t xml:space="preserve">17. </w:t>
      </w:r>
      <w:proofErr w:type="spellStart"/>
      <w:r>
        <w:t>Ménochet</w:t>
      </w:r>
      <w:proofErr w:type="spellEnd"/>
      <w:r>
        <w:t xml:space="preserve"> K, Yu H, Wang B, Tibbitts J, Hsu CP, Kamath AV, Richter WF, Baumann A. Non-human Primates in the PKPD Evaluation of Biologics: Needs and Options to Reduce, Refine, and Replace. A </w:t>
      </w:r>
      <w:proofErr w:type="spellStart"/>
      <w:r>
        <w:t>BioSafe</w:t>
      </w:r>
      <w:proofErr w:type="spellEnd"/>
      <w:r>
        <w:t xml:space="preserve"> White Paper. </w:t>
      </w:r>
      <w:proofErr w:type="spellStart"/>
      <w:r>
        <w:rPr>
          <w:i/>
          <w:iCs/>
        </w:rPr>
        <w:t>mAbs</w:t>
      </w:r>
      <w:proofErr w:type="spellEnd"/>
      <w:r>
        <w:t xml:space="preserve">. 2022;14(1):2145997. doi:10.1080/19420862.2022.2145997. </w:t>
      </w:r>
    </w:p>
    <w:p w14:paraId="57786C17" w14:textId="77777777" w:rsidR="00780AEE" w:rsidRDefault="00000000">
      <w:r>
        <w:t xml:space="preserve">18. </w:t>
      </w:r>
      <w:proofErr w:type="spellStart"/>
      <w:r>
        <w:t>Nagayasu</w:t>
      </w:r>
      <w:proofErr w:type="spellEnd"/>
      <w:r>
        <w:t xml:space="preserve"> M, Ozeki K. Combination of Cassette-Dosing and </w:t>
      </w:r>
      <w:proofErr w:type="spellStart"/>
      <w:r>
        <w:t>Microsampling</w:t>
      </w:r>
      <w:proofErr w:type="spellEnd"/>
      <w:r>
        <w:t xml:space="preserve"> for Reduced Animal Usage for Antibody Pharmacokinetics in Cynomolgus Monkeys, Wild-Type Mice, and Human FcRn Transgenic Mice. </w:t>
      </w:r>
      <w:r>
        <w:rPr>
          <w:i/>
          <w:iCs/>
        </w:rPr>
        <w:t>Pharmaceutical Research</w:t>
      </w:r>
      <w:r>
        <w:t>. 2021;38(4):583–592. doi:10.1007/s11095-021-03028-6.</w:t>
      </w:r>
    </w:p>
    <w:p w14:paraId="41D788B8" w14:textId="77777777" w:rsidR="00780AEE" w:rsidRDefault="00000000">
      <w:r>
        <w:lastRenderedPageBreak/>
        <w:t>19. Open Systems Pharmacology. Modularization concept. Open Systems Pharmacology Suite documentation, version 12. Available from: https://docs.open-systems-pharmacology.org/v12/working-with-mobi/mobi-documentation/modularization-concept (accessed July 26, 2026).</w:t>
      </w:r>
    </w:p>
    <w:p w14:paraId="04A4D6EF" w14:textId="77777777" w:rsidR="00780AEE" w:rsidRDefault="00000000">
      <w:r>
        <w:t xml:space="preserve">20. Meyer M, </w:t>
      </w:r>
      <w:proofErr w:type="spellStart"/>
      <w:r>
        <w:t>Schneckener</w:t>
      </w:r>
      <w:proofErr w:type="spellEnd"/>
      <w:r>
        <w:t xml:space="preserve"> S, Ludewig B, Kuepfer L, Lippert J. Using Expression Data for Quantification of Active Processes in Physiologically Based Pharmacokinetic Modeling. Drug Metabolism and Disposition. 2012;40(5):892-901. doi:10.1124/dmd.111.043174.</w:t>
      </w:r>
    </w:p>
    <w:p w14:paraId="42D64B5E" w14:textId="77777777" w:rsidR="00780AEE" w:rsidRDefault="00000000">
      <w:r>
        <w:t>21. Cordes H, Rapp H. Gene expression databases for physiologically based pharmacokinetic modeling of humans and animal species. CPT Pharmacometrics &amp;amp; Systems Pharmacology. 2023;12(3):311-319. doi:10.1002/psp4.12904.</w:t>
      </w:r>
    </w:p>
    <w:p w14:paraId="321625FF" w14:textId="77777777" w:rsidR="00780AEE" w:rsidRDefault="00000000">
      <w:r>
        <w:t xml:space="preserve">22. Lippert J, </w:t>
      </w:r>
      <w:proofErr w:type="spellStart"/>
      <w:r>
        <w:t>Burghaus</w:t>
      </w:r>
      <w:proofErr w:type="spellEnd"/>
      <w:r>
        <w:t xml:space="preserve"> R, Edginton AN, </w:t>
      </w:r>
      <w:proofErr w:type="spellStart"/>
      <w:r>
        <w:t>Frechen</w:t>
      </w:r>
      <w:proofErr w:type="spellEnd"/>
      <w:r>
        <w:t xml:space="preserve"> S, Karlsson MO, Kovar A, et al. Open Systems Pharmacology Community—An Open Access, Open Source, Open Science Approach to Modeling and Simulation in Pharmaceutical Sciences. CPT Pharmacometrics &amp;amp; Systems Pharmacology. 2019;8(12):878-882. doi:10.1002/psp4.12473.</w:t>
      </w:r>
    </w:p>
    <w:p w14:paraId="16BC811B" w14:textId="77777777" w:rsidR="00780AEE" w:rsidRDefault="00000000">
      <w:r>
        <w:t xml:space="preserve">23. </w:t>
      </w:r>
      <w:proofErr w:type="spellStart"/>
      <w:r>
        <w:t>esqLABS</w:t>
      </w:r>
      <w:proofErr w:type="spellEnd"/>
      <w:r>
        <w:t xml:space="preserve"> GmbH. </w:t>
      </w:r>
      <w:proofErr w:type="spellStart"/>
      <w:r>
        <w:t>esqlabsR</w:t>
      </w:r>
      <w:proofErr w:type="spellEnd"/>
      <w:r>
        <w:t xml:space="preserve">: Utility Functions for Modelling and Simulation Workflows within </w:t>
      </w:r>
      <w:proofErr w:type="spellStart"/>
      <w:r>
        <w:t>ESQlabs</w:t>
      </w:r>
      <w:proofErr w:type="spellEnd"/>
      <w:r>
        <w:t xml:space="preserve"> Organization. R package version 5.6.0. Released March 31, 2026. Available from: https://github.com/esqLABS/esqlabsR/releases/tag/v5.6.0 (accessed July 26, 2026).</w:t>
      </w:r>
    </w:p>
    <w:p w14:paraId="58B197A3" w14:textId="77777777" w:rsidR="00780AEE" w:rsidRDefault="00000000">
      <w:r>
        <w:t>24. Open Systems Pharmacology. OSP Suite: R Interface to the Open Systems Pharmacology Suite. R package version 12.4.2. Released April 8, 2026. Available from: https://github.com/Open-Systems-Pharmacology/OSPSuite-R/releases/tag/v12.4.2 (accessed July 26, 2026).</w:t>
      </w:r>
    </w:p>
    <w:p w14:paraId="30133636" w14:textId="77777777" w:rsidR="00780AEE" w:rsidRDefault="00000000">
      <w:r>
        <w:t xml:space="preserve">25. Betts A, </w:t>
      </w:r>
      <w:proofErr w:type="spellStart"/>
      <w:r>
        <w:t>Keunecke</w:t>
      </w:r>
      <w:proofErr w:type="spellEnd"/>
      <w:r>
        <w:t xml:space="preserve"> A, van Steeg TJ, van der Graaf PH, Avery LB, Jones H, Berkhout J. Linear pharmacokinetic parameters for monoclonal antibodies are similar within a species </w:t>
      </w:r>
    </w:p>
    <w:p w14:paraId="6C1381F7" w14:textId="77777777" w:rsidR="00780AEE" w:rsidRDefault="00000000">
      <w:r>
        <w:t xml:space="preserve">26. Gosselin RD. Guidelines on statistics for researchers using laboratory animals: the essentials. </w:t>
      </w:r>
      <w:r>
        <w:rPr>
          <w:i/>
          <w:iCs/>
        </w:rPr>
        <w:t>Laboratory Animals</w:t>
      </w:r>
      <w:r>
        <w:t>. 2019;53(1):28–42. doi:10.1177/0023677218783223.</w:t>
      </w:r>
    </w:p>
    <w:p w14:paraId="436DE474" w14:textId="77777777" w:rsidR="00780AEE" w:rsidRDefault="00000000">
      <w:r>
        <w:t xml:space="preserve">27. Benamara S, Sjögren E, </w:t>
      </w:r>
      <w:proofErr w:type="spellStart"/>
      <w:r>
        <w:t>Gattacceca</w:t>
      </w:r>
      <w:proofErr w:type="spellEnd"/>
      <w:r>
        <w:t xml:space="preserve"> F, Chenel M, Deslandes A, Nguyen L, </w:t>
      </w:r>
      <w:proofErr w:type="spellStart"/>
      <w:r>
        <w:t>Teutonico</w:t>
      </w:r>
      <w:proofErr w:type="spellEnd"/>
      <w:r>
        <w:t xml:space="preserve"> D. Prediction of Monoclonal Antibodies Pharmacokinetics in Human: Identification of a Reference Neonatal Fc Receptor (FcRn) Binding Affinity Using Physiologically Based Pharmacokinetic (PBPK) Modeling. ACS Pharmacology &amp;amp; Translational Science. </w:t>
      </w:r>
      <w:proofErr w:type="gramStart"/>
      <w:r>
        <w:t>2026;9:177</w:t>
      </w:r>
      <w:proofErr w:type="gramEnd"/>
      <w:r>
        <w:t>-190. doi:10.1021/acsptsci.5c00674.</w:t>
      </w:r>
    </w:p>
    <w:p w14:paraId="69E21C91" w14:textId="77777777" w:rsidR="00780AEE" w:rsidRDefault="00000000">
      <w:r>
        <w:t xml:space="preserve">28. Deng R, Iyer S, Theil F, Mortensen DL, Fielder PJ, Prabhu S. Projecting human pharmacokinetics of therapeutic antibodies from nonclinical data. </w:t>
      </w:r>
      <w:proofErr w:type="spellStart"/>
      <w:r>
        <w:t>mAbs</w:t>
      </w:r>
      <w:proofErr w:type="spellEnd"/>
      <w:r>
        <w:t>. 2011;3(1):61-66. doi:10.4161/mabs.3.1.13799.</w:t>
      </w:r>
    </w:p>
    <w:p w14:paraId="226ECC21" w14:textId="77777777" w:rsidR="00780AEE" w:rsidRDefault="00000000">
      <w:r>
        <w:lastRenderedPageBreak/>
        <w:t>29. Dong J, Salinger DH, Endres CJ, Gibbs JP, Hsu C, Stouch B, et al. Quantitative Prediction of Human Pharmacokinetics for Monoclonal Antibodies. Clinical Pharmacokinetics. 2011;50(2):131-142. doi:10.2165/11537430-000000000-00000.</w:t>
      </w:r>
    </w:p>
    <w:p w14:paraId="0F99E595" w14:textId="77777777" w:rsidR="00780AEE" w:rsidRDefault="00000000">
      <w:r>
        <w:t xml:space="preserve">30. Chapman K, Holzgrefe HH, Black LE, Brown MJ, Chellman GJ, Copeman C, et al. </w:t>
      </w:r>
      <w:proofErr w:type="gramStart"/>
      <w:r>
        <w:t>Pharmaceutical</w:t>
      </w:r>
      <w:proofErr w:type="gramEnd"/>
      <w:r>
        <w:t xml:space="preserve"> toxicology: Designing studies to reduce animal use, while maximizing human translation. Regulatory Toxicology and Pharmacology. 2013;66(1):88-103. </w:t>
      </w:r>
      <w:proofErr w:type="gramStart"/>
      <w:r>
        <w:t>doi:10.1016/j.yrtph</w:t>
      </w:r>
      <w:proofErr w:type="gramEnd"/>
      <w:r>
        <w:t>.2013.03.001.</w:t>
      </w:r>
    </w:p>
    <w:p w14:paraId="16BA37A7" w14:textId="77777777" w:rsidR="00780AEE" w:rsidRDefault="00000000">
      <w:r>
        <w:br w:type="page"/>
      </w:r>
    </w:p>
    <w:p w14:paraId="00F5CC9A" w14:textId="77777777" w:rsidR="00780AEE" w:rsidRDefault="00000000">
      <w:pPr>
        <w:pStyle w:val="Heading1"/>
        <w:spacing w:before="0"/>
      </w:pPr>
      <w:r>
        <w:lastRenderedPageBreak/>
        <w:t>Figures</w:t>
      </w:r>
    </w:p>
    <w:p w14:paraId="70B6D5A2" w14:textId="77777777" w:rsidR="00780AEE" w:rsidRDefault="00000000">
      <w:pPr>
        <w:rPr>
          <w:b/>
          <w:bCs/>
        </w:rPr>
      </w:pPr>
      <w:r>
        <w:rPr>
          <w:b/>
          <w:bCs/>
        </w:rPr>
        <w:t>Figure 1. (A) Observed and “a priori” PBPK-predicted human plasma concentration-time profiles across molecules and dose levels, (B) Observed and predicted human plasma concentration-time profiles from monkey-to-human translation of the top-down QSS TMDD approach.</w:t>
      </w:r>
    </w:p>
    <w:p w14:paraId="312E8FB4" w14:textId="77777777" w:rsidR="00780AEE" w:rsidRDefault="00000000">
      <w:pPr>
        <w:rPr>
          <w:b/>
          <w:bCs/>
        </w:rPr>
      </w:pPr>
      <w:r>
        <w:rPr>
          <w:b/>
          <w:bCs/>
        </w:rPr>
        <w:t>(A)</w:t>
      </w:r>
    </w:p>
    <w:p w14:paraId="624BC853" w14:textId="77777777" w:rsidR="00780AEE" w:rsidRDefault="00000000">
      <w:r>
        <w:rPr>
          <w:noProof/>
        </w:rPr>
        <w:drawing>
          <wp:inline distT="0" distB="0" distL="0" distR="0" wp14:anchorId="5D5AA3CE" wp14:editId="794B0926">
            <wp:extent cx="6610350" cy="4131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t="6250"/>
                    <a:stretch>
                      <a:fillRect/>
                    </a:stretch>
                  </pic:blipFill>
                  <pic:spPr bwMode="auto">
                    <a:xfrm>
                      <a:off x="0" y="0"/>
                      <a:ext cx="6610350" cy="4131310"/>
                    </a:xfrm>
                    <a:prstGeom prst="rect">
                      <a:avLst/>
                    </a:prstGeom>
                  </pic:spPr>
                </pic:pic>
              </a:graphicData>
            </a:graphic>
          </wp:inline>
        </w:drawing>
      </w:r>
    </w:p>
    <w:p w14:paraId="1051137D" w14:textId="77777777" w:rsidR="00780AEE" w:rsidRDefault="00000000">
      <w:pPr>
        <w:spacing w:after="0" w:line="240" w:lineRule="auto"/>
        <w:jc w:val="left"/>
        <w:rPr>
          <w:b/>
          <w:bCs/>
        </w:rPr>
      </w:pPr>
      <w:r>
        <w:br w:type="page"/>
      </w:r>
    </w:p>
    <w:p w14:paraId="11655524" w14:textId="77777777" w:rsidR="00780AEE" w:rsidRDefault="00000000">
      <w:pPr>
        <w:rPr>
          <w:b/>
          <w:bCs/>
        </w:rPr>
      </w:pPr>
      <w:r>
        <w:rPr>
          <w:b/>
          <w:bCs/>
        </w:rPr>
        <w:lastRenderedPageBreak/>
        <w:t xml:space="preserve">(B) </w:t>
      </w:r>
    </w:p>
    <w:p w14:paraId="777FF86D" w14:textId="77777777" w:rsidR="00780AEE" w:rsidRDefault="00000000">
      <w:pPr>
        <w:rPr>
          <w:b/>
          <w:bCs/>
        </w:rPr>
      </w:pPr>
      <w:r>
        <w:rPr>
          <w:noProof/>
        </w:rPr>
        <w:drawing>
          <wp:inline distT="0" distB="0" distL="0" distR="0" wp14:anchorId="4EAAE58C" wp14:editId="0D3517AF">
            <wp:extent cx="6661150" cy="415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t="6417"/>
                    <a:stretch>
                      <a:fillRect/>
                    </a:stretch>
                  </pic:blipFill>
                  <pic:spPr bwMode="auto">
                    <a:xfrm>
                      <a:off x="0" y="0"/>
                      <a:ext cx="6661150" cy="4156075"/>
                    </a:xfrm>
                    <a:prstGeom prst="rect">
                      <a:avLst/>
                    </a:prstGeom>
                  </pic:spPr>
                </pic:pic>
              </a:graphicData>
            </a:graphic>
          </wp:inline>
        </w:drawing>
      </w:r>
    </w:p>
    <w:p w14:paraId="036A7034" w14:textId="77777777" w:rsidR="00780AEE" w:rsidRDefault="00780AEE">
      <w:pPr>
        <w:rPr>
          <w:b/>
          <w:bCs/>
        </w:rPr>
      </w:pPr>
    </w:p>
    <w:p w14:paraId="255F1F15" w14:textId="77777777" w:rsidR="00780AEE" w:rsidRDefault="00780AEE">
      <w:pPr>
        <w:rPr>
          <w:b/>
          <w:bCs/>
        </w:rPr>
      </w:pPr>
    </w:p>
    <w:p w14:paraId="4D383834" w14:textId="77777777" w:rsidR="00780AEE" w:rsidRDefault="00000000">
      <w:pPr>
        <w:rPr>
          <w:b/>
          <w:bCs/>
        </w:rPr>
      </w:pPr>
      <w:r>
        <w:br w:type="page"/>
      </w:r>
    </w:p>
    <w:p w14:paraId="00D0F8FD" w14:textId="66CD5BCE" w:rsidR="00780AEE" w:rsidRDefault="00000000">
      <w:r>
        <w:rPr>
          <w:b/>
          <w:bCs/>
        </w:rPr>
        <w:lastRenderedPageBreak/>
        <w:t xml:space="preserve">Figure 2. Fold-error comparison for human clearance, AUC0-28d, and </w:t>
      </w:r>
      <w:proofErr w:type="spellStart"/>
      <w:r>
        <w:rPr>
          <w:b/>
          <w:bCs/>
        </w:rPr>
        <w:t>Cmax</w:t>
      </w:r>
      <w:proofErr w:type="spellEnd"/>
      <w:r>
        <w:rPr>
          <w:b/>
          <w:bCs/>
        </w:rPr>
        <w:t xml:space="preserve"> predicted using “a priori” PBPK and monkey-fitted top-down TMDD translation.</w:t>
      </w:r>
      <w:r>
        <w:t xml:space="preserve"> (A) AUC0-28d; (</w:t>
      </w:r>
      <w:r w:rsidR="00CE546C">
        <w:t>B</w:t>
      </w:r>
      <w:r>
        <w:t xml:space="preserve">) </w:t>
      </w:r>
      <w:proofErr w:type="spellStart"/>
      <w:r>
        <w:t>Cmax</w:t>
      </w:r>
      <w:proofErr w:type="spellEnd"/>
      <w:r w:rsidR="00CE546C">
        <w:t xml:space="preserve">, and (C) </w:t>
      </w:r>
      <w:r w:rsidR="00CE546C">
        <w:t>Clearance, calculated as dose/AUCinf and representing total systemic clearance;</w:t>
      </w:r>
      <w:r>
        <w:t xml:space="preserve"> At target-saturating doses, clearance is expected to be dominated by linear clearance. Fold error equals predicted divided by observed; bars extend from 1 on a base-2 logarithmic scale, and the shaded region and dashed lines indicate the 0.5- to 2-fold interval.</w:t>
      </w:r>
    </w:p>
    <w:p w14:paraId="6BECAA12" w14:textId="77777777" w:rsidR="00780AEE" w:rsidRDefault="00000000">
      <w:pPr>
        <w:rPr>
          <w:b/>
        </w:rPr>
      </w:pPr>
      <w:r>
        <w:rPr>
          <w:b/>
        </w:rPr>
        <w:t>(A)</w:t>
      </w:r>
    </w:p>
    <w:p w14:paraId="7B352DB9" w14:textId="77777777" w:rsidR="00780AEE" w:rsidRDefault="00000000">
      <w:pPr>
        <w:rPr>
          <w:b/>
          <w:bCs/>
        </w:rPr>
      </w:pPr>
      <w:r>
        <w:rPr>
          <w:noProof/>
        </w:rPr>
        <w:drawing>
          <wp:inline distT="0" distB="0" distL="0" distR="0" wp14:anchorId="32BE60C3" wp14:editId="4C92E365">
            <wp:extent cx="6559550" cy="486156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9"/>
                    <a:srcRect t="5660"/>
                    <a:stretch>
                      <a:fillRect/>
                    </a:stretch>
                  </pic:blipFill>
                  <pic:spPr bwMode="auto">
                    <a:xfrm>
                      <a:off x="0" y="0"/>
                      <a:ext cx="6559550" cy="4861560"/>
                    </a:xfrm>
                    <a:prstGeom prst="rect">
                      <a:avLst/>
                    </a:prstGeom>
                  </pic:spPr>
                </pic:pic>
              </a:graphicData>
            </a:graphic>
          </wp:inline>
        </w:drawing>
      </w:r>
    </w:p>
    <w:p w14:paraId="4228181B" w14:textId="77777777" w:rsidR="00780AEE" w:rsidRDefault="00000000">
      <w:pPr>
        <w:spacing w:after="0" w:line="240" w:lineRule="auto"/>
        <w:jc w:val="left"/>
        <w:rPr>
          <w:b/>
          <w:bCs/>
        </w:rPr>
      </w:pPr>
      <w:r>
        <w:br w:type="page"/>
      </w:r>
    </w:p>
    <w:p w14:paraId="17318E11" w14:textId="131BAF50" w:rsidR="00780AEE" w:rsidRDefault="00000000">
      <w:pPr>
        <w:rPr>
          <w:b/>
          <w:bCs/>
        </w:rPr>
      </w:pPr>
      <w:r>
        <w:rPr>
          <w:b/>
          <w:bCs/>
        </w:rPr>
        <w:lastRenderedPageBreak/>
        <w:t>(</w:t>
      </w:r>
      <w:r w:rsidR="00CE546C">
        <w:rPr>
          <w:b/>
          <w:bCs/>
        </w:rPr>
        <w:t>B</w:t>
      </w:r>
      <w:r>
        <w:rPr>
          <w:b/>
          <w:bCs/>
        </w:rPr>
        <w:t>)</w:t>
      </w:r>
    </w:p>
    <w:p w14:paraId="6323D5E0" w14:textId="77777777" w:rsidR="00780AEE" w:rsidRDefault="00000000">
      <w:pPr>
        <w:rPr>
          <w:b/>
          <w:bCs/>
        </w:rPr>
      </w:pPr>
      <w:r>
        <w:rPr>
          <w:noProof/>
        </w:rPr>
        <w:drawing>
          <wp:inline distT="0" distB="0" distL="0" distR="0" wp14:anchorId="3A2A6944" wp14:editId="5866AD40">
            <wp:extent cx="6350600" cy="470916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10"/>
                    <a:srcRect t="5611"/>
                    <a:stretch>
                      <a:fillRect/>
                    </a:stretch>
                  </pic:blipFill>
                  <pic:spPr bwMode="auto">
                    <a:xfrm>
                      <a:off x="0" y="0"/>
                      <a:ext cx="6350600" cy="4709160"/>
                    </a:xfrm>
                    <a:prstGeom prst="rect">
                      <a:avLst/>
                    </a:prstGeom>
                  </pic:spPr>
                </pic:pic>
              </a:graphicData>
            </a:graphic>
          </wp:inline>
        </w:drawing>
      </w:r>
    </w:p>
    <w:p w14:paraId="13A6FFC0" w14:textId="77777777" w:rsidR="00CE546C" w:rsidRDefault="00CE546C">
      <w:pPr>
        <w:spacing w:after="0" w:line="240" w:lineRule="auto"/>
        <w:jc w:val="left"/>
      </w:pPr>
      <w:r>
        <w:br w:type="page"/>
      </w:r>
    </w:p>
    <w:p w14:paraId="1F3CF5E7" w14:textId="76116044" w:rsidR="00CE546C" w:rsidRDefault="00CE546C">
      <w:pPr>
        <w:spacing w:after="0" w:line="240" w:lineRule="auto"/>
        <w:jc w:val="left"/>
      </w:pPr>
      <w:r>
        <w:lastRenderedPageBreak/>
        <w:t>(C)</w:t>
      </w:r>
    </w:p>
    <w:p w14:paraId="5588CB13" w14:textId="62E16067" w:rsidR="00CE546C" w:rsidRDefault="00CE546C">
      <w:pPr>
        <w:spacing w:after="0" w:line="240" w:lineRule="auto"/>
        <w:jc w:val="left"/>
      </w:pPr>
      <w:r>
        <w:rPr>
          <w:noProof/>
        </w:rPr>
        <w:drawing>
          <wp:inline distT="0" distB="0" distL="0" distR="0" wp14:anchorId="7B3C3192" wp14:editId="56D9F1EC">
            <wp:extent cx="5943600" cy="4430487"/>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rcRect t="5132"/>
                    <a:stretch>
                      <a:fillRect/>
                    </a:stretch>
                  </pic:blipFill>
                  <pic:spPr bwMode="auto">
                    <a:xfrm>
                      <a:off x="0" y="0"/>
                      <a:ext cx="5943600" cy="4430487"/>
                    </a:xfrm>
                    <a:prstGeom prst="rect">
                      <a:avLst/>
                    </a:prstGeom>
                  </pic:spPr>
                </pic:pic>
              </a:graphicData>
            </a:graphic>
          </wp:inline>
        </w:drawing>
      </w:r>
    </w:p>
    <w:p w14:paraId="632A252F" w14:textId="77777777" w:rsidR="00CE546C" w:rsidRPr="00CE546C" w:rsidRDefault="00CE546C">
      <w:pPr>
        <w:spacing w:after="0" w:line="240" w:lineRule="auto"/>
        <w:jc w:val="left"/>
      </w:pPr>
    </w:p>
    <w:p w14:paraId="1B9D21D0" w14:textId="77777777" w:rsidR="00CE546C" w:rsidRDefault="00CE546C">
      <w:pPr>
        <w:spacing w:after="0" w:line="240" w:lineRule="auto"/>
        <w:jc w:val="left"/>
        <w:rPr>
          <w:b/>
          <w:bCs/>
        </w:rPr>
      </w:pPr>
      <w:r>
        <w:rPr>
          <w:b/>
          <w:bCs/>
        </w:rPr>
        <w:br w:type="page"/>
      </w:r>
    </w:p>
    <w:p w14:paraId="171FD5AB" w14:textId="08AE23B9" w:rsidR="00780AEE" w:rsidRDefault="00000000">
      <w:pPr>
        <w:spacing w:after="80"/>
        <w:rPr>
          <w:b/>
          <w:bCs/>
        </w:rPr>
      </w:pPr>
      <w:r>
        <w:rPr>
          <w:b/>
          <w:bCs/>
        </w:rPr>
        <w:lastRenderedPageBreak/>
        <w:t xml:space="preserve">Figure 3. Model-conditional fold-error distributions for reduced monkey PK study designs. </w:t>
      </w:r>
      <w:r>
        <w:t>Fold error is the reduced-study arithmetic mean divided by the richly sampled top-down population arithmetic mean. The primary analysis applies 30% interindividual variability to CL, V1, Q, and V2; fixed TMDD parameters are unchanged. The shaded interval indicates the prespecified 0.5- to 2-fold criterion.</w:t>
      </w:r>
    </w:p>
    <w:p w14:paraId="3B54D079" w14:textId="77777777" w:rsidR="00780AEE" w:rsidRDefault="00000000">
      <w:pPr>
        <w:rPr>
          <w:b/>
          <w:bCs/>
        </w:rPr>
      </w:pPr>
      <w:r>
        <w:rPr>
          <w:noProof/>
        </w:rPr>
        <w:drawing>
          <wp:inline distT="0" distB="0" distL="0" distR="0" wp14:anchorId="2F3DFFA3" wp14:editId="7884D179">
            <wp:extent cx="6363970" cy="394335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2"/>
                    <a:srcRect t="7059"/>
                    <a:stretch>
                      <a:fillRect/>
                    </a:stretch>
                  </pic:blipFill>
                  <pic:spPr bwMode="auto">
                    <a:xfrm>
                      <a:off x="0" y="0"/>
                      <a:ext cx="6363970" cy="3943350"/>
                    </a:xfrm>
                    <a:prstGeom prst="rect">
                      <a:avLst/>
                    </a:prstGeom>
                  </pic:spPr>
                </pic:pic>
              </a:graphicData>
            </a:graphic>
          </wp:inline>
        </w:drawing>
      </w:r>
      <w:r>
        <w:br w:type="page"/>
      </w:r>
    </w:p>
    <w:p w14:paraId="3FCE7325" w14:textId="77777777" w:rsidR="00780AEE" w:rsidRDefault="00000000">
      <w:r>
        <w:rPr>
          <w:b/>
          <w:bCs/>
        </w:rPr>
        <w:lastRenderedPageBreak/>
        <w:t xml:space="preserve">Figure 4. Proposed “a priori” PBPK workflow for monoclonal antibody PK translation as a NAM. </w:t>
      </w:r>
      <w:r>
        <w:t>Molecule- and target-specific in vitro data are integrated into “a priori” PBPK models before in vivo PK testing. When residual uncertainty warrants an in vivo study, PBPK predictions can inform a targeted exploratory single-dose design, and the resulting data can support model refinement and human exposure prediction. The illustrated reduction applies to single-dose PK and does not apply to toxicology studies. FIH = first-in-human; PBPK = physiologically based pharmacokinetics. Figure generated with GPT-5.5.</w:t>
      </w:r>
    </w:p>
    <w:p w14:paraId="6E242D54" w14:textId="77777777" w:rsidR="00780AEE" w:rsidRDefault="00000000">
      <w:r>
        <w:rPr>
          <w:noProof/>
        </w:rPr>
        <w:drawing>
          <wp:inline distT="0" distB="0" distL="0" distR="0" wp14:anchorId="1A65172E" wp14:editId="3336FBE1">
            <wp:extent cx="6292850" cy="290131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3"/>
                    <a:stretch>
                      <a:fillRect/>
                    </a:stretch>
                  </pic:blipFill>
                  <pic:spPr bwMode="auto">
                    <a:xfrm>
                      <a:off x="0" y="0"/>
                      <a:ext cx="6292850" cy="2901315"/>
                    </a:xfrm>
                    <a:prstGeom prst="rect">
                      <a:avLst/>
                    </a:prstGeom>
                  </pic:spPr>
                </pic:pic>
              </a:graphicData>
            </a:graphic>
          </wp:inline>
        </w:drawing>
      </w:r>
    </w:p>
    <w:p w14:paraId="7CEBD604" w14:textId="77777777" w:rsidR="00780AEE" w:rsidRDefault="00000000">
      <w:pPr>
        <w:spacing w:after="0" w:line="240" w:lineRule="auto"/>
        <w:jc w:val="left"/>
        <w:rPr>
          <w:rFonts w:asciiTheme="majorHAnsi" w:eastAsiaTheme="majorEastAsia" w:hAnsiTheme="majorHAnsi" w:cstheme="majorBidi"/>
          <w:b/>
          <w:sz w:val="40"/>
          <w:szCs w:val="40"/>
        </w:rPr>
      </w:pPr>
      <w:r>
        <w:br w:type="page"/>
      </w:r>
    </w:p>
    <w:p w14:paraId="7E7E43DF" w14:textId="77777777" w:rsidR="00780AEE" w:rsidRDefault="00000000">
      <w:pPr>
        <w:pStyle w:val="Heading1"/>
        <w:spacing w:before="0"/>
      </w:pPr>
      <w:r>
        <w:lastRenderedPageBreak/>
        <w:t>Supplementary Materials</w:t>
      </w:r>
    </w:p>
    <w:p w14:paraId="4CFEBBEB" w14:textId="2E0826C3" w:rsidR="00780AEE" w:rsidRDefault="00000000">
      <w:r>
        <w:rPr>
          <w:b/>
          <w:bCs/>
        </w:rPr>
        <w:t xml:space="preserve">Supplementary Material S1. </w:t>
      </w:r>
      <w:r>
        <w:t xml:space="preserve">(S1.1) Observed and predicted monkey plasma concentration-time profiles for the “a priori” PBPK approach, and (B) the top-down QSS TMDD approach, (S1.2) Fold-error comparison for monkey clearance, AUC0-28d, and </w:t>
      </w:r>
      <w:proofErr w:type="spellStart"/>
      <w:r>
        <w:t>Cmax</w:t>
      </w:r>
      <w:proofErr w:type="spellEnd"/>
      <w:r>
        <w:t xml:space="preserve"> predicted using “a priori” PBPK and monkey-fitted top-down TMDD translation, (S1.3) Parameters Used in A Priori and Top-Down Simulations</w:t>
      </w:r>
    </w:p>
    <w:p w14:paraId="637C1497" w14:textId="77777777" w:rsidR="00780AEE" w:rsidRDefault="00000000">
      <w:pPr>
        <w:rPr>
          <w:b/>
          <w:bCs/>
        </w:rPr>
      </w:pPr>
      <w:r>
        <w:rPr>
          <w:b/>
          <w:bCs/>
        </w:rPr>
        <w:t>Supplementary Material 2.</w:t>
      </w:r>
      <w:r>
        <w:t xml:space="preserve"> </w:t>
      </w:r>
      <w:proofErr w:type="spellStart"/>
      <w:r>
        <w:t>Github</w:t>
      </w:r>
      <w:proofErr w:type="spellEnd"/>
      <w:r>
        <w:t xml:space="preserve"> link to full project codes: </w:t>
      </w:r>
      <w:hyperlink r:id="rId14">
        <w:r w:rsidR="00780AEE">
          <w:rPr>
            <w:rStyle w:val="Hyperlink"/>
          </w:rPr>
          <w:t>https://github.com/namlink-org/APriori_PBPK_mAb</w:t>
        </w:r>
      </w:hyperlink>
      <w:r>
        <w:rPr>
          <w:b/>
          <w:bCs/>
        </w:rPr>
        <w:t xml:space="preserve"> </w:t>
      </w:r>
    </w:p>
    <w:p w14:paraId="2A2EC61D" w14:textId="77777777" w:rsidR="00780AEE" w:rsidRDefault="00780AEE"/>
    <w:sectPr w:rsidR="00780AEE">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DD78" w14:textId="77777777" w:rsidR="00654703" w:rsidRDefault="00654703">
      <w:pPr>
        <w:spacing w:after="0" w:line="240" w:lineRule="auto"/>
      </w:pPr>
      <w:r>
        <w:separator/>
      </w:r>
    </w:p>
  </w:endnote>
  <w:endnote w:type="continuationSeparator" w:id="0">
    <w:p w14:paraId="353D6EA2" w14:textId="77777777" w:rsidR="00654703" w:rsidRDefault="00654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Roboto">
    <w:panose1 w:val="02000000000000000000"/>
    <w:charset w:val="00"/>
    <w:family w:val="auto"/>
    <w:pitch w:val="variable"/>
    <w:sig w:usb0="E00002E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56F4" w14:textId="77777777" w:rsidR="00780AEE" w:rsidRDefault="00780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A0849" w14:textId="77777777" w:rsidR="00780AEE" w:rsidRDefault="00780A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0C0A" w14:textId="77777777" w:rsidR="00780AEE" w:rsidRDefault="00780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3880" w14:textId="77777777" w:rsidR="00654703" w:rsidRDefault="00654703">
      <w:pPr>
        <w:spacing w:after="0" w:line="240" w:lineRule="auto"/>
      </w:pPr>
      <w:r>
        <w:separator/>
      </w:r>
    </w:p>
  </w:footnote>
  <w:footnote w:type="continuationSeparator" w:id="0">
    <w:p w14:paraId="5498F774" w14:textId="77777777" w:rsidR="00654703" w:rsidRDefault="00654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0EEE" w14:textId="77777777" w:rsidR="00780AEE" w:rsidRDefault="00780A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AF20" w14:textId="77777777" w:rsidR="00780AEE" w:rsidRDefault="00780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4C55" w14:textId="77777777" w:rsidR="00780AEE" w:rsidRDefault="00780A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EE"/>
    <w:rsid w:val="00162700"/>
    <w:rsid w:val="00654703"/>
    <w:rsid w:val="00780AEE"/>
    <w:rsid w:val="00801E6A"/>
    <w:rsid w:val="00993202"/>
    <w:rsid w:val="00CE546C"/>
    <w:rsid w:val="00E9155B"/>
    <w:rsid w:val="00E95981"/>
    <w:rsid w:val="00ED71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788B"/>
  <w15:docId w15:val="{0EAF569D-BDC3-425E-B5D3-BF7168DA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spacing w:after="160" w:line="276" w:lineRule="auto"/>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qFormat/>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qFormat/>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qFormat/>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764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764AC"/>
    <w:rPr>
      <w:rFonts w:asciiTheme="majorHAnsi" w:eastAsiaTheme="majorEastAsia" w:hAnsiTheme="majorHAnsi" w:cstheme="majorBidi"/>
      <w:b/>
      <w:spacing w:val="-10"/>
      <w:kern w:val="2"/>
      <w:sz w:val="44"/>
      <w:szCs w:val="56"/>
    </w:rPr>
  </w:style>
  <w:style w:type="character" w:customStyle="1" w:styleId="SubtitleChar">
    <w:name w:val="Subtitle Char"/>
    <w:basedOn w:val="DefaultParagraphFont"/>
    <w:link w:val="Subtitle"/>
    <w:uiPriority w:val="11"/>
    <w:qFormat/>
    <w:rsid w:val="00A764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764AC"/>
    <w:rPr>
      <w:i/>
      <w:iCs/>
      <w:color w:val="404040" w:themeColor="text1" w:themeTint="BF"/>
    </w:rPr>
  </w:style>
  <w:style w:type="character" w:styleId="IntenseEmphasis">
    <w:name w:val="Intense Emphasis"/>
    <w:basedOn w:val="DefaultParagraphFont"/>
    <w:uiPriority w:val="21"/>
    <w:qFormat/>
    <w:rsid w:val="00A764AC"/>
    <w:rPr>
      <w:i/>
      <w:iCs/>
      <w:color w:val="0F4761" w:themeColor="accent1" w:themeShade="BF"/>
    </w:rPr>
  </w:style>
  <w:style w:type="character" w:customStyle="1" w:styleId="IntenseQuoteChar">
    <w:name w:val="Intense Quote Char"/>
    <w:basedOn w:val="DefaultParagraphFont"/>
    <w:link w:val="IntenseQuote"/>
    <w:uiPriority w:val="30"/>
    <w:qFormat/>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 w:type="character" w:styleId="Hyperlink">
    <w:name w:val="Hyperlink"/>
    <w:basedOn w:val="DefaultParagraphFont"/>
    <w:uiPriority w:val="99"/>
    <w:unhideWhenUsed/>
    <w:rsid w:val="000C05B2"/>
    <w:rPr>
      <w:color w:val="467886" w:themeColor="hyperlink"/>
      <w:u w:val="single"/>
    </w:rPr>
  </w:style>
  <w:style w:type="character" w:styleId="UnresolvedMention">
    <w:name w:val="Unresolved Mention"/>
    <w:basedOn w:val="DefaultParagraphFont"/>
    <w:uiPriority w:val="99"/>
    <w:semiHidden/>
    <w:unhideWhenUsed/>
    <w:qFormat/>
    <w:rsid w:val="000C05B2"/>
    <w:rPr>
      <w:color w:val="605E5C"/>
      <w:shd w:val="clear" w:color="auto" w:fill="E1DFDD"/>
    </w:rPr>
  </w:style>
  <w:style w:type="character" w:styleId="FollowedHyperlink">
    <w:name w:val="FollowedHyperlink"/>
    <w:basedOn w:val="DefaultParagraphFont"/>
    <w:uiPriority w:val="99"/>
    <w:semiHidden/>
    <w:unhideWhenUsed/>
    <w:rsid w:val="000C05B2"/>
    <w:rPr>
      <w:color w:val="96607D" w:themeColor="followedHyperlink"/>
      <w:u w:val="single"/>
    </w:rPr>
  </w:style>
  <w:style w:type="character" w:styleId="CommentReference">
    <w:name w:val="annotation reference"/>
    <w:basedOn w:val="DefaultParagraphFont"/>
    <w:uiPriority w:val="99"/>
    <w:semiHidden/>
    <w:unhideWhenUsed/>
    <w:qFormat/>
    <w:rsid w:val="00903B21"/>
    <w:rPr>
      <w:sz w:val="16"/>
      <w:szCs w:val="16"/>
    </w:rPr>
  </w:style>
  <w:style w:type="character" w:customStyle="1" w:styleId="CommentTextChar">
    <w:name w:val="Comment Text Char"/>
    <w:basedOn w:val="DefaultParagraphFont"/>
    <w:link w:val="CommentText"/>
    <w:uiPriority w:val="99"/>
    <w:qFormat/>
    <w:rsid w:val="00903B21"/>
    <w:rPr>
      <w:sz w:val="20"/>
      <w:szCs w:val="20"/>
    </w:rPr>
  </w:style>
  <w:style w:type="character" w:customStyle="1" w:styleId="CommentSubjectChar">
    <w:name w:val="Comment Subject Char"/>
    <w:basedOn w:val="CommentTextChar"/>
    <w:link w:val="CommentSubject"/>
    <w:uiPriority w:val="99"/>
    <w:semiHidden/>
    <w:qFormat/>
    <w:rsid w:val="00903B21"/>
    <w:rPr>
      <w:b/>
      <w:bCs/>
      <w:sz w:val="20"/>
      <w:szCs w:val="20"/>
    </w:rPr>
  </w:style>
  <w:style w:type="character" w:customStyle="1" w:styleId="HeaderChar">
    <w:name w:val="Header Char"/>
    <w:basedOn w:val="DefaultParagraphFont"/>
    <w:link w:val="Header"/>
    <w:uiPriority w:val="99"/>
    <w:qFormat/>
    <w:rsid w:val="004A5681"/>
  </w:style>
  <w:style w:type="character" w:customStyle="1" w:styleId="FooterChar">
    <w:name w:val="Footer Char"/>
    <w:basedOn w:val="DefaultParagraphFont"/>
    <w:link w:val="Footer"/>
    <w:uiPriority w:val="99"/>
    <w:qFormat/>
    <w:rsid w:val="004A5681"/>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customStyle="1" w:styleId="caption11">
    <w:name w:val="caption11"/>
    <w:basedOn w:val="Normal"/>
    <w:qFormat/>
    <w:pPr>
      <w:suppressLineNumbers/>
      <w:spacing w:before="120" w:after="120"/>
    </w:pPr>
    <w:rPr>
      <w:rFonts w:cs="Lucida Sans"/>
      <w:i/>
      <w:iCs/>
    </w:rPr>
  </w:style>
  <w:style w:type="paragraph" w:customStyle="1" w:styleId="caption11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sz w:val="44"/>
      <w:szCs w:val="56"/>
    </w:rPr>
  </w:style>
  <w:style w:type="paragraph" w:styleId="Subtitle">
    <w:name w:val="Subtitle"/>
    <w:basedOn w:val="Normal"/>
    <w:next w:val="Normal"/>
    <w:link w:val="SubtitleChar"/>
    <w:uiPriority w:val="11"/>
    <w:qFormat/>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paragraph" w:styleId="ListParagraph">
    <w:name w:val="List Paragraph"/>
    <w:basedOn w:val="Normal"/>
    <w:uiPriority w:val="34"/>
    <w:qFormat/>
    <w:rsid w:val="00A764AC"/>
    <w:pPr>
      <w:ind w:left="720"/>
      <w:contextualSpacing/>
    </w:p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CommentText">
    <w:name w:val="annotation text"/>
    <w:basedOn w:val="Normal"/>
    <w:link w:val="CommentTextChar"/>
    <w:uiPriority w:val="99"/>
    <w:unhideWhenUsed/>
    <w:qFormat/>
    <w:rsid w:val="00903B2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03B21"/>
    <w:rPr>
      <w:b/>
      <w:bCs/>
    </w:rPr>
  </w:style>
  <w:style w:type="paragraph" w:styleId="NormalWeb">
    <w:name w:val="Normal (Web)"/>
    <w:basedOn w:val="Normal"/>
    <w:uiPriority w:val="99"/>
    <w:semiHidden/>
    <w:unhideWhenUsed/>
    <w:qFormat/>
    <w:rsid w:val="006E0738"/>
    <w:rPr>
      <w:rFonts w:ascii="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5681"/>
    <w:pPr>
      <w:tabs>
        <w:tab w:val="center" w:pos="4680"/>
        <w:tab w:val="right" w:pos="9360"/>
      </w:tabs>
      <w:spacing w:after="0" w:line="240" w:lineRule="auto"/>
    </w:pPr>
  </w:style>
  <w:style w:type="paragraph" w:styleId="Footer">
    <w:name w:val="footer"/>
    <w:basedOn w:val="Normal"/>
    <w:link w:val="FooterChar"/>
    <w:uiPriority w:val="99"/>
    <w:unhideWhenUsed/>
    <w:rsid w:val="004A5681"/>
    <w:pPr>
      <w:tabs>
        <w:tab w:val="center" w:pos="4680"/>
        <w:tab w:val="right" w:pos="9360"/>
      </w:tabs>
      <w:spacing w:after="0" w:line="240" w:lineRule="auto"/>
    </w:pPr>
  </w:style>
  <w:style w:type="paragraph" w:styleId="Revision">
    <w:name w:val="Revision"/>
    <w:uiPriority w:val="99"/>
    <w:semiHidden/>
    <w:qFormat/>
    <w:rsid w:val="006D33E4"/>
    <w:pPr>
      <w:suppressAutoHyphens w:val="0"/>
    </w:pPr>
  </w:style>
  <w:style w:type="table" w:styleId="TableGrid">
    <w:name w:val="Table Grid"/>
    <w:basedOn w:val="TableGrid1"/>
    <w:uiPriority w:val="39"/>
    <w:rsid w:val="00484E1C"/>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namlink-org/APriori_PBPK_mAb"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8270-41D2-4D1A-92DF-79C03717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5132</Words>
  <Characters>33307</Characters>
  <Application>Microsoft Office Word</Application>
  <DocSecurity>0</DocSecurity>
  <Lines>520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dc:description/>
  <cp:lastModifiedBy>Krina Mehta</cp:lastModifiedBy>
  <cp:revision>240</cp:revision>
  <dcterms:created xsi:type="dcterms:W3CDTF">2026-01-06T17:11:00Z</dcterms:created>
  <dcterms:modified xsi:type="dcterms:W3CDTF">2026-07-31T20:06:00Z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8cef2354-d381-4692-a8cc-69bbde1a937c</vt:lpwstr>
  </property>
</Properties>
</file>