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Physiologically-based Pharmacokinetic Modeling as a New Approach Methodology for Monoclonal Antibodies</w:t>
      </w:r>
    </w:p>
    <w:p>
      <w:pPr>
        <w:pStyle w:val="Normal"/>
        <w:rPr/>
      </w:pPr>
      <w:r>
        <w:rPr/>
        <w:t>Akshat Shah</w:t>
      </w:r>
      <w:r>
        <w:rPr>
          <w:vertAlign w:val="superscript"/>
        </w:rPr>
        <w:t>1,2</w:t>
      </w:r>
      <w:r>
        <w:rPr/>
        <w:t>, Krina Mehta</w:t>
      </w:r>
      <w:r>
        <w:rPr>
          <w:vertAlign w:val="superscript"/>
        </w:rPr>
        <w:t>2,3</w:t>
      </w:r>
    </w:p>
    <w:p>
      <w:pPr>
        <w:pStyle w:val="Normal"/>
        <w:rPr>
          <w:vertAlign w:val="superscript"/>
        </w:rPr>
      </w:pPr>
      <w:r>
        <w:rPr>
          <w:vertAlign w:val="superscript"/>
        </w:rPr>
        <w:t xml:space="preserve">1 </w:t>
      </w:r>
      <w:r>
        <w:rPr/>
        <w:t>Aivaura, Bhavnagar, Gujarat, India</w:t>
      </w:r>
    </w:p>
    <w:p>
      <w:pPr>
        <w:pStyle w:val="Normal"/>
        <w:rPr/>
      </w:pPr>
      <w:r>
        <w:rPr>
          <w:vertAlign w:val="superscript"/>
        </w:rPr>
        <w:t xml:space="preserve">2 </w:t>
      </w:r>
      <w:r>
        <w:rPr/>
        <w:t>NAMLink, Cypress, CA, USA</w:t>
      </w:r>
    </w:p>
    <w:p>
      <w:pPr>
        <w:pStyle w:val="Normal"/>
        <w:rPr/>
      </w:pPr>
      <w:r>
        <w:rPr>
          <w:vertAlign w:val="superscript"/>
        </w:rPr>
        <w:t xml:space="preserve">3 </w:t>
      </w:r>
      <w:r>
        <w:rPr/>
        <w:t>Enveda Therapeutics Inc., Boulder, CO, USA</w:t>
      </w:r>
    </w:p>
    <w:p>
      <w:pPr>
        <w:pStyle w:val="Heading1"/>
        <w:rPr/>
      </w:pPr>
      <w:r>
        <w:rPr/>
        <w:t>Abstract</w:t>
      </w:r>
    </w:p>
    <w:p>
      <w:pPr>
        <w:pStyle w:val="Normal"/>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Introduction</w:t>
      </w:r>
    </w:p>
    <w:p>
      <w:pPr>
        <w:pStyle w:val="Normal"/>
        <w:rPr/>
      </w:pPr>
      <w:r>
        <w:rPr/>
        <w:t>Adequate characterization of pharmacokinetics (PK) is crucial for a successful drug development program because it is the quantitative link between administered dose, systemic and tissue exposure, target engagement, pharmacodynamic (PD) response, and safety [PMIDs: 35865092]. For monoclonal antibodies (mAbs)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mAbs,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[PMIDs: 17636457, 22143261, 29234936]. Overall, extensive work on PBPK models for mAbs has already established a robust scientific foundation, enabled reliable characterization of their PK, and supported their regulatory acceptance.</w:t>
      </w:r>
    </w:p>
    <w:p>
      <w:pPr>
        <w:pStyle w:val="Normal"/>
        <w:rPr/>
      </w:pPr>
      <w:r>
        <w:rPr/>
        <w:t xml:space="preserve">Momentum for new approach methodologies (NAMs) has increased exponentially since the FDA's April 2025 Roadmap to Reducing Animal Testing in Preclinical Safety Studies [ref: FDA roadmap and other NAM related guidance from 2025 and 2026; Mehta et al., 2025; NIH Common Fund, 2026]. Within this evolving regulatory infrastructure, current NAM-focused investment has focused on establishing context-of-use (COU) frameworks, advancing complex in vitro systems (organoids, microphysiological systems, organ-on-chip platforms), and AI/ML-based computational toxicology tools. On the other hand, preclinical evaluations are increasingly being framed around whether human-relevant biological pathways are perturbed at clinically meaningful plasma and tissue exposure levels. Plasma and tissue exposures therefore provide a common quantitative measure for integrating in vitro dose-response data, in silico simulations, prior clinical knowledge, biomarkers, and safety thresholds. For example, in vitro findings from cell-based or microphysiological systems can be contextualized through predicted human concentration-time profiles, exposure margins, and time above biologically active or adverse effect thresholds [PMIDs: 38392990, 39574200, 40462462, 38201394]. In this context, mechanistic PBPK models are uniquely positioned to bridge NAM-derived biological observations with quantitative predictions of human plasma and tissue exposure. A recent FDA/CDER landscape analysis of 15 years of NAM-related submissions found that 93% fell into the in vitro and in silico categories broadly, though this landscape analysis does not break out mechanistic PK/PD/safety modeling, such as PBPK, as distinct categories, leaving their specific representation within the NAM submission landscape unclear [PMID: 41360337]. By contrast, mechanistic modeling approaches, such as, PBPK, quantitative systems pharmacology (QSP), and quantitative systems toxicology (QST), despite an established and steadily growing regulatory submission record under the parallel model-informed drug development (MIDD) paradigm and demonstrated translational utility [PMID: 40567279, PMID: 39423143], have received comparatively limited dedicated attention within the emerging NAM ecosystem, representing both a gap and an opportunity. Overall, the emerging NAM ecosystem presents a significant opportunity for greater integration of mechanistic modeling approaches. </w:t>
      </w:r>
    </w:p>
    <w:p>
      <w:pPr>
        <w:pStyle w:val="Normal"/>
        <w:rPr/>
      </w:pPr>
      <w:r>
        <w:rPr/>
        <w:t>Focusing on mAb PK characterization and the role of mechanistic PK modeling, although scientific framework for mAb PBPK is there, preclinical PK characterization mostly relies on PK studies in monkeys (often cynomolgus monkeys). A traditional mAb development program typically includes preclinical PK evaluations in at least two studies: an exploratory single-dose PK study (n =12-18 monkeys) and a definitive repeat-dose PK study (n = 12-24 monkeys). Together, these studies generally require a minimum of 24–42 monkeys per mAb development program. The scientific maturity of mAb PBPK modeling has advanced to the point where ““a priori”” PK predictions based on in vitro data can be considered for prospective evaluation in preclinical development workflows, as NAMs. Published examples have shown that mAb-specific in vitro measurements, together with species physiology and FcRn-mAb interaction-related parameters, can support prediction of mAb linear PK without in vivo data [PMIDs: 31464379, 35491902]; however, these frameworks did not incorporate target-mAb interactions governing nonlinear, target-mediated clearance. Although some mAbs exhibit linear PK at dose range of interest, target-mediated drug disposition is inherent to therapeutic antibodies. For example, at high doses, even mAbs known to exhibit non-linear PK can appear linear upon target saturation, and at low doses, even mAbs known as linear may show nonlinearity. Overall, extending “a priori” PBPK frameworks to incorporate target-mediated disposition is therefore important for their broader application as NAMs with the potential to reduce preclinical monkey studies across the full range of mAb PK profiles.</w:t>
      </w:r>
    </w:p>
    <w:p>
      <w:pPr>
        <w:pStyle w:val="Normal"/>
        <w:rPr/>
      </w:pPr>
      <w:r>
        <w:rPr/>
        <w:t>The objectives of this manuscript were, (1) to perform a retrospective, proof-of-concept analysis of “a priori” PBPK modeling as a NAM to support human PK predictions for mAbs, (2) to perform population simulations of preclinical monkey study designs to investigate sample size – power relationship to guide reduction in number of monkeys to use for PK studies, (3) to demonstrate a semi-automated workflow to run “a priori” PBPK simulations for mAbs other than the ones included in the current study.</w:t>
      </w:r>
    </w:p>
    <w:p>
      <w:pPr>
        <w:pStyle w:val="Heading1"/>
        <w:rPr/>
      </w:pPr>
      <w:r>
        <w:rPr/>
        <w:t>Methods</w:t>
      </w:r>
    </w:p>
    <w:p>
      <w:pPr>
        <w:pStyle w:val="Heading2"/>
        <w:rPr/>
      </w:pPr>
      <w:r>
        <w:rPr/>
        <w:t>Data</w:t>
      </w:r>
    </w:p>
    <w:p>
      <w:pPr>
        <w:pStyle w:val="Normal"/>
        <w:rPr/>
      </w:pPr>
      <w:r>
        <w:rPr/>
        <w:t xml:space="preserve">Pharmacokinetic profiles for eight monoclonal antibodies, spanning across 5 different targets, following intravenous dosing in monkeys and in humans were digitized from literature using webplotdigitizer tool [https://automeris.io/]. In vitro experimental parameters relevant to drug-FcRn binding, drug-target binding, drug-target complex internalization rate, and target reference concentrations were obtained through literature search. Digitized data, parameter values, measurement methods, assumptions, and source references are provided in </w:t>
      </w:r>
      <w:r>
        <w:rPr>
          <w:bCs/>
        </w:rPr>
        <w:t>Supplementary material 2</w:t>
      </w:r>
      <w:r>
        <w:rPr/>
        <w:t xml:space="preserve">. </w:t>
      </w:r>
    </w:p>
    <w:p>
      <w:pPr>
        <w:pStyle w:val="Normal"/>
        <w:rPr>
          <w:rFonts w:ascii="Aptos Display" w:hAnsi="Aptos Display" w:eastAsia="" w:cs="" w:asciiTheme="majorHAnsi" w:cstheme="majorBidi" w:eastAsiaTheme="majorEastAsia" w:hAnsiTheme="majorHAnsi"/>
          <w:b/>
          <w:sz w:val="32"/>
          <w:szCs w:val="32"/>
        </w:rPr>
      </w:pPr>
      <w:r>
        <w:rPr>
          <w:rFonts w:eastAsia="" w:cs="" w:ascii="Aptos Display" w:hAnsi="Aptos Display" w:asciiTheme="majorHAnsi" w:cstheme="majorBidi" w:eastAsiaTheme="majorEastAsia" w:hAnsiTheme="majorHAnsi"/>
          <w:b/>
          <w:sz w:val="32"/>
          <w:szCs w:val="32"/>
        </w:rPr>
        <w:t>“</w:t>
      </w:r>
      <w:r>
        <w:rPr>
          <w:rFonts w:eastAsia="" w:cs="" w:ascii="Aptos Display" w:hAnsi="Aptos Display" w:asciiTheme="majorHAnsi" w:cstheme="majorBidi" w:eastAsiaTheme="majorEastAsia" w:hAnsiTheme="majorHAnsi"/>
          <w:b/>
          <w:sz w:val="32"/>
          <w:szCs w:val="32"/>
        </w:rPr>
        <w:t>A priori” PBPK Approach</w:t>
      </w:r>
    </w:p>
    <w:p>
      <w:pPr>
        <w:pStyle w:val="Normal"/>
        <w:rPr/>
      </w:pPr>
      <w:r>
        <w:rPr/>
        <w:t>A large molecule structural model was first incorporated in PK-Sim, including its binding to FcRn and to a generic target. The model was exported to Mobi and TMDD processes were added using a modular approach [PMIDs: ref to PK-Sim V12 modular approach paper/poster]. Next, we created target expressions profiles in monkeys and humans for each of the targets including relevant localization. PKML simulations files containing generic large molecule PK model and target expressions, one file per target and species (monkey or human), were exported [PMIDs: ref to expression database paper by OSPS]. IV single dose simulations were performed using R scripts using esqlabsr and ospsuite packages [PMIDs: ref]. Exposure metrics (Cmax, AUC</w:t>
      </w:r>
      <w:r>
        <w:rPr>
          <w:sz w:val="22"/>
          <w:szCs w:val="22"/>
          <w:vertAlign w:val="subscript"/>
        </w:rPr>
        <w:t>0-28d</w:t>
      </w:r>
      <w:r>
        <w:rPr/>
        <w:t>) and fold errors were calculated for each molecule and dose level, where observed data were available. Full details of the workflow and all files and codes are provided in</w:t>
      </w:r>
      <w:r>
        <w:rPr>
          <w:bCs/>
        </w:rPr>
        <w:t xml:space="preserve"> Supplementary material 2</w:t>
      </w:r>
      <w:r>
        <w:rPr/>
        <w:t xml:space="preserve">. </w:t>
      </w:r>
    </w:p>
    <w:p>
      <w:pPr>
        <w:pStyle w:val="Heading2"/>
        <w:rPr/>
      </w:pPr>
      <w:r>
        <w:rPr/>
        <w:t>Top-Down TMDD Approach for Comparison</w:t>
      </w:r>
    </w:p>
    <w:p>
      <w:pPr>
        <w:pStyle w:val="Normal"/>
        <w:rPr/>
      </w:pPr>
      <w:r>
        <w:rPr/>
        <w:t xml:space="preserve">In top-down TMDD modeling approach, quasi-steady-state (QSS) TMDD model was fitted to monkey PK profiles for each molecule using nlmxir2 package in R. Target concentration and binding affinity were fixed to literature-derived in vitro measured values. The same values that were used per molecule in “a priori” approach were used in this approach. Two parameters, clearance (CL) and internalization rate constant (kint) were estimated by model fitting. Other alternative models estimating target concentrations, target degradation rate (kdeg), etc were also evaluated. Given limited dose levels data available for fitting TMDD, fitting of minimal number of parameters was considered. Final model structure was selected based on objective function values (OFV). </w:t>
      </w:r>
    </w:p>
    <w:p>
      <w:pPr>
        <w:pStyle w:val="Normal"/>
        <w:rPr/>
      </w:pPr>
      <w:r>
        <w:rPr/>
        <w:t>Human PK predictions were generated by translating the final monkey TMDD model to humans. Linear clearance was scaled using standard allometric scaling with an exponent of 0.85, while distribution volumes were scaled proportionally to body weight. The internalization rate constant (kint) and binding affinity (KD) were assumed to be conserved across species and fixed to the monkey estimates. Human target concentrations were obtained from literature sources and remained same across both “a priori” and top-down approach. Simulated monkey and human exposures, Cmax, AUC, were compared against the observed and fold-errors were calculated.</w:t>
      </w:r>
    </w:p>
    <w:p>
      <w:pPr>
        <w:pStyle w:val="Heading2"/>
        <w:rPr/>
      </w:pPr>
      <w:r>
        <w:rPr/>
        <w:t>Preclinical PK Study Simulations to Support Sample Size and Dosing Groups Selections</w:t>
      </w:r>
    </w:p>
    <w:p>
      <w:pPr>
        <w:pStyle w:val="Normal"/>
        <w:rPr/>
      </w:pPr>
      <w:r>
        <w:rPr/>
        <w:t>PBPK→Power Bridge: Extract individual-level AUC/Cmax from PBPK virtual populations (n = 1,000/species). Replace generic log-normal CL assumptions in the Jones 2019 power_sim function with molecule-specific PBPK-derived AUC distributions. Generate PBPK-informed power curves for n = 3–15 animals/group for all 8 mAbs. Benchmark against traditional sample sizes (n = 5–6) to quantify the power gain per animal.</w:t>
      </w:r>
    </w:p>
    <w:p>
      <w:pPr>
        <w:pStyle w:val="Normal"/>
        <w:rPr/>
      </w:pPr>
      <w:r>
        <w:rPr/>
        <w:t>Dose Selection: Using PBPK-derived AUC distributions (no E-R model or therapeutic margins required), compare statistical power of 2- vs. 3-dose-group designs via Z-test on the log-AUC ratio—already implemented in the sparse-sampling evaluator. Evaluate under (A) fixed n/group (total animal cost differs) and (B) fixed total animals (fairest comparison). Due to TMDD, AUC ratios between doses are nonlinear, making dose-pair selection critical and justifiable only through PBPK simulation.</w:t>
      </w:r>
    </w:p>
    <w:p>
      <w:pPr>
        <w:pStyle w:val="Normal"/>
        <w:rPr/>
      </w:pPr>
      <w:r>
        <w:rPr/>
        <w:t>Tentative: 1000-iteration Monte Carlo comparing: (A) Traditional design [5 animals × 3 doses × 2 species = 30 animals] vs. (B) PBPK-optimized [3 animals × 2 doses × 1 species = 6 animals]. Report % animal reduction (with 95% CI), study duration, and direct cost savings.</w:t>
      </w:r>
    </w:p>
    <w:p>
      <w:pPr>
        <w:pStyle w:val="Heading1"/>
        <w:rPr/>
      </w:pPr>
      <w:r>
        <w:rPr/>
        <w:t>Results</w:t>
      </w:r>
    </w:p>
    <w:p>
      <w:pPr>
        <w:pStyle w:val="Heading2"/>
        <w:rPr/>
      </w:pPr>
      <w:r>
        <w:rPr/>
        <w:t xml:space="preserve">Comparing “a priori” PBPK with Top-Down TMDD Approach for Human PK Predictions </w:t>
      </w:r>
    </w:p>
    <w:p>
      <w:pPr>
        <w:pStyle w:val="Normal"/>
        <w:rPr>
          <w:b/>
        </w:rPr>
      </w:pPr>
      <w:r>
        <w:rPr/>
        <w:t xml:space="preserve">Both “a priori” PBPK and top-down TMDD approaches were first compared in monkeys to evaluate how well each workflow reproduced the PK data </w:t>
      </w:r>
      <w:r>
        <w:rPr>
          <w:b/>
          <w:bCs/>
        </w:rPr>
        <w:t>(Table 1)</w:t>
      </w:r>
      <w:r>
        <w:rPr/>
        <w:t>. Across the 8 drugs and 14 dose levels evaluated, “a priori” PBPK predictions captured Cmax well, with 13 of 14 Cmax values within two-fold of observed data (accuracy 0.92). AUC predictions were more variable, with 8 of 14 values within two-fold (accuracy 0.58). As expected, in top-down TMDD approach, in which monkey PK data were fitted by estimating CL and kint, all AUC values were within two</w:t>
      </w:r>
      <w:r>
        <w:rPr>
          <w:b/>
        </w:rPr>
        <w:t>-</w:t>
      </w:r>
      <w:r>
        <w:rPr/>
        <w:t xml:space="preserve">fold, and 13 of 14 Cmax values were within two-fold. Human PK predictions were then compared to priori PBPK workflow performance compared to translation from monkeys </w:t>
      </w:r>
      <w:r>
        <w:rPr>
          <w:b/>
          <w:bCs/>
        </w:rPr>
        <w:t>(Table 2).</w:t>
      </w:r>
      <w:r>
        <w:rPr/>
        <w:t xml:space="preserve"> Overall, both approaches provided comparable human prediction accuracy. </w:t>
      </w:r>
      <w:r>
        <w:rPr>
          <w:bCs/>
        </w:rPr>
        <w:t>F</w:t>
      </w:r>
      <w:r>
        <w:rPr/>
        <w:t>or AUC, both approaches showed similar overall performance, with 23 of 28 human dose levels within two-fold (accuracy 0.82). For Cmax, 27 of 28 human dose levels were within two-fold for both “a priori” PBPK and top-down TMDD predictions (accuracy 0.96). Taken together, these results indicate that “a priori” PBPK provided human PK predictions that were broadly comparable to those translated from monkey-fitted top-down TMDD approach. Although top-down fitting improved recovery of monkey PK data, it did not provide a consistent advantage for human prediction across molecules.  Given that empirical fitting to monkey PK did not consistently improve human predictions compared to “a priori” approach, these findings support that the “a priori” PBPK framework captures the major mechanistic determinants of human mAb disposition sufficiently well.</w:t>
      </w:r>
    </w:p>
    <w:p>
      <w:pPr>
        <w:pStyle w:val="Heading2"/>
        <w:rPr/>
      </w:pPr>
      <w:r>
        <w:rPr/>
        <w:t>Preclinical PK Study Simulations to Support Sample Size and Dosing Groups Selection</w:t>
      </w:r>
    </w:p>
    <w:p>
      <w:pPr>
        <w:pStyle w:val="Normal"/>
        <w:rPr/>
      </w:pPr>
      <w:r>
        <w:rPr/>
      </w:r>
    </w:p>
    <w:p>
      <w:pPr>
        <w:pStyle w:val="Normal"/>
        <w:rPr/>
      </w:pPr>
      <w:r>
        <w:rPr>
          <w:highlight w:val="yellow"/>
        </w:rPr>
        <w:t>Using the prespecified illustrative study-design comparison, the PBPK-informed workflow was estimated to substantially reduce the animal use required for preclinical PK characterization. A conventional design consisting of 5 animals per dose group, 3 dose groups, and 2 species would require 30 animals, whereas a PBPK-optimized design using 3 animals per dose group, 2 dose groups, and 1 species would require 6 animals. This corresponds to an 80% reduction in animal use for the simulated PK study design. When benchmarked against the broader conventional mAb PK characterization strategy described above, which typically includes an exploratory single-dose PK study and a definitive repeat-dose PK study requiring approximately 24–42 monkeys per program, a reduced 6-animal confirmatory design would correspond to avoidance of approximately 18–36 monkeys, or a 75–86% reduction in monkey use. In addition to reducing animal use, the PBPK-informed strategy shifts key dose-selection and exposure-translation decisions earlier in development, allowing NHP studies, when still needed, to be designed as targeted confirmatory studies rather than empirical screening studies. Direct cost and timeline savings are therefore expected to scale with the reduction in animal numbers, dose groups, species, and repeat experimental iterations, although sponsor- and CRO-specific costs should be used for program-level budget estimates.</w:t>
      </w:r>
    </w:p>
    <w:p>
      <w:pPr>
        <w:pStyle w:val="Heading1"/>
        <w:rPr/>
      </w:pPr>
      <w:r>
        <w:rPr/>
        <w:t>Discussion</w:t>
      </w:r>
    </w:p>
    <w:p>
      <w:pPr>
        <w:pStyle w:val="Normal"/>
        <w:rPr/>
      </w:pPr>
      <w:r>
        <w:rPr/>
        <w:t>In this retrospective, proof-of-concept analysis, the “a priori” PBPK approach achieved similar human predictive performance as compared to top-down monkey to human translation approach. The results support the feasibility of using mechanistic PBPK approach, informed by in vitro parameters as an early translational tool for human mAb PK prediction and as a basis for reducing reliance on conventional monkey preclinical PK studies.</w:t>
      </w:r>
    </w:p>
    <w:p>
      <w:pPr>
        <w:pStyle w:val="Normal"/>
        <w:rPr/>
      </w:pPr>
      <w:r>
        <w:rPr>
          <w:rFonts w:eastAsia="Aptos" w:cs="" w:cstheme="minorBidi" w:eastAsiaTheme="minorHAnsi"/>
          <w:shd w:fill="FFFF00" w:val="clear"/>
          <w14:ligatures w14:val="standardContextual"/>
        </w:rPr>
        <w:t xml:space="preserve">Strengths  - proof of concept, first analysis of PBPK as NAM  - combined with AI and robust in vitro data package. Our study proof-of-concept and retrospective due to limitation of readily available datasets available in literature; focus on value added; first evals of PBPK as </w:t>
      </w:r>
      <w:r>
        <w:rPr>
          <w:highlight w:val="yellow"/>
        </w:rPr>
        <w:t>NAMs larger scale retrospective analysis and prospective pilot program warranted for appropriate validation</w:t>
      </w:r>
    </w:p>
    <w:p>
      <w:pPr>
        <w:pStyle w:val="Normal"/>
        <w:rPr/>
      </w:pPr>
      <w:r>
        <w:rPr>
          <w:highlight w:val="yellow"/>
        </w:rPr>
        <w:t>Discussion about PK-Sim and esqlabsr as tools: Benefits open source, expression database available for multiple species, R packages such as esqlabsr and ospsuite allow automation of workflows</w:t>
      </w:r>
    </w:p>
    <w:p>
      <w:pPr>
        <w:pStyle w:val="Normal"/>
        <w:rPr/>
      </w:pPr>
      <w:r>
        <w:rPr/>
        <w:t xml:space="preserve">The “a priori” PBPK modeling as NAM approach is feasible when robust in vitro experimental data for mechanistic parameters are available. In our retrospective analysis, in vitro parameters were derived from literature search (Supplementary Material 2). Drug–target binding affinity was available from experimental binding assays for all included molecules, either from equilibrium binding or SPR/Biacore assays. FcRn binding affinity was available from SPR/Biacore for only atezolizumab and pembrolizumab while a common model-based FcRn KD estimate from a published meta-analysis was used for several other mAbs where molecule-specific FcRn binding data were not available [ref.]. Drug-target complex internalization rate from flow-cytometry–based internalization assay was available for only two molecules, whereas for other molecules this parameter was assumed same as target degradation rate. Target reference concentrations represented the least standardized component of the input parameters. VEGF-A and IL-6R reference concentrations and target degradation rates were available from quantitative fluorescence or ligand-binding receptor assay data or were estimated in prior analyses. Overall, the compiled input parameters highlight the limitation of standardized in vitro experimental methods. Thus, standardization of experimental package for mAbs would further strengthen prospective PBPK-based NAM workflows. </w:t>
      </w:r>
    </w:p>
    <w:p>
      <w:pPr>
        <w:pStyle w:val="Normal"/>
        <w:rPr/>
      </w:pPr>
      <w:r>
        <w:rPr/>
        <w:t>Our analysis focused on IV single-dose PK evaluations for mAbs, which represent an appropriate starting point for “a priori” PBPK workflow evaluation because their disposition is comparatively well understood relative to many newer therapeutic modalities. Although TMDD, FcRn binding, and tissue-specific target expression can introduce complexity, the major processes governing systemic mAb PK are mechanistically defined and can often be parameterized using in vitro measurements, prior knowledge from other mAbs, “a priori” PBPK modeling, and reduced-design single-dose in vivo data. Unlike oral small molecules, where bioavailability, absorption, first-pass metabolism, and metabolic induction can make single-dose behavior less predictive of steady-state exposure, IV mAb PK is generally more amenable to extrapolation from single-dose characterization. Once dose-dependent clearance, relevant mechanistic parameters, and single-dose exposures are adequately characterized, steady-state exposures and accumulation ratios under repeat-dose regimens can be predicted by simulation without requiring a separate multi-dose PK study. This is supported by preclinical and clinical evidence showing that mAb PK parameters estimated from single ascending IV doses in cynomolgus monkeys can accurately predict multi-dose exposure profiles, with clearance at target-saturating concentrations translating reliably to humans [PMIDs: 20962582, 21241072]. Within a PBPK framework incorporating the key mechanistic determinants of mAb PK, a well-characterized single-dose dataset can therefore provide a mechanistically sufficient basis for projecting repeat-dose PK in monkeys. This strategy is also complementary to other animal-use reduction approaches in preclinical mAb development; for example, PK/TK sampling embedded within GLP repeat-dose toxicology studies can provide repeat-dose exposure characterization without a dedicated standalone PK study [PMID: 23524271], further compressing the preclinical package while preserving scientific rigor. Once IV PK is adequately characterized, the same framework can be extended to subcutaneous mAb predictions by incorporating absorption-related processes such as lymphatic uptake, pre-systemic catabolism, bioavailability, and formulation- or injection-site–dependent absorption kinetics. Lessons learned from mAbs can subsequently inform analogous PBPK, or hybrid PBPK-QSP, workflows for other modalities, including bispecific antibodies, antibody-drug conjugates, fusion proteins, and gene or cell therapy platforms, where PK, biodistribution, target engagement, and safety are tightly linked. Together, these considerations support IV single-dose mAb PBPK evaluation as a scientifically justified and animal-sparing foundation for predicting repeat-dose exposure and informing broader “a priori” NAM-based workflows across therapeutic modalities.</w:t>
      </w:r>
    </w:p>
    <w:p>
      <w:pPr>
        <w:pStyle w:val="Heading1"/>
        <w:rPr/>
      </w:pPr>
      <w:r>
        <w:rPr/>
        <w:t>Conclusions</w:t>
      </w:r>
    </w:p>
    <w:p>
      <w:pPr>
        <w:pStyle w:val="Heading1"/>
        <w:rPr/>
      </w:pPr>
      <w:r>
        <w:rPr/>
        <w:t>References</w:t>
      </w:r>
    </w:p>
    <w:p>
      <w:pPr>
        <w:pStyle w:val="Normal"/>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Figures</w:t>
      </w:r>
    </w:p>
    <w:p>
      <w:pPr>
        <w:pStyle w:val="Normal"/>
        <w:rPr/>
      </w:pPr>
      <w:r>
        <w:rPr>
          <w:b/>
          <w:bCs/>
        </w:rPr>
        <w:t xml:space="preserve">Figure X. Proposed “a priori” PBPK workflow for monoclonal antibody PK translation as a NAM. </w:t>
      </w:r>
      <w:r>
        <w:rPr/>
        <w:t xml:space="preserve">The conventional workflow relies on exploratory and definitive monkey PK/TK studies before model-based first-in-human exposure prediction. In the proposed workflow, molecule- and target-specific in vitro data are integrated into “a priori” PBPK models before in vivo PK testing. Then, data from reduced PK studies along with PBPK models can be used to optimize any additional monkey PK studies (only if needed), support human PK/exposure prediction while reducing reliance on empirical preclinical species to human translation. FIH = first-in-human; PBPK = physiologically based pharmacokinetics. Figure generated with GPT-5.5. </w:t>
      </w:r>
    </w:p>
    <w:p>
      <w:pPr>
        <w:pStyle w:val="Normal"/>
        <w:rPr>
          <w:rFonts w:ascii="Aptos Display" w:hAnsi="Aptos Display" w:eastAsia="" w:cs="" w:asciiTheme="majorHAnsi" w:cstheme="majorBidi" w:eastAsiaTheme="majorEastAsia" w:hAnsiTheme="majorHAnsi"/>
          <w:b/>
          <w:sz w:val="40"/>
          <w:szCs w:val="40"/>
        </w:rPr>
      </w:pPr>
      <w:r>
        <w:rPr/>
        <w:drawing>
          <wp:inline distT="0" distB="0" distL="0" distR="0">
            <wp:extent cx="6656070" cy="33337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656070" cy="3333750"/>
                    </a:xfrm>
                    <a:prstGeom prst="rect">
                      <a:avLst/>
                    </a:prstGeom>
                  </pic:spPr>
                </pic:pic>
              </a:graphicData>
            </a:graphic>
          </wp:inline>
        </w:drawing>
      </w:r>
    </w:p>
    <w:p>
      <w:pPr>
        <w:pStyle w:val="Normal"/>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p>
    <w:p>
      <w:pPr>
        <w:pStyle w:val="Normal"/>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Normal"/>
        <w:spacing w:before="0" w:after="160"/>
        <w:rPr>
          <w:rFonts w:ascii="Aptos Display" w:hAnsi="Aptos Display" w:eastAsia="" w:cs="" w:asciiTheme="majorHAnsi" w:cstheme="majorBidi" w:eastAsiaTheme="majorEastAsia" w:hAnsiTheme="majorHAnsi"/>
          <w:b/>
          <w:sz w:val="40"/>
          <w:szCs w:val="40"/>
        </w:rPr>
      </w:pPr>
      <w:r>
        <w:rPr>
          <w:rFonts w:eastAsia="Aptos" w:cs="" w:cstheme="minorBidi" w:eastAsiaTheme="minorHAnsi"/>
          <w:b/>
          <w:bCs/>
          <w:color w:val="auto"/>
          <w:kern w:val="2"/>
          <w:sz w:val="24"/>
          <w:szCs w:val="24"/>
          <w:lang w:val="en-US" w:eastAsia="en-US" w:bidi="ar-SA"/>
          <w14:ligatures w14:val="standardContextual"/>
        </w:rPr>
        <w:t>Figure X.</w:t>
      </w:r>
      <w:r>
        <w:rPr>
          <w:rFonts w:eastAsia="" w:cs="" w:ascii="Aptos Display" w:hAnsi="Aptos Display" w:asciiTheme="majorHAnsi" w:cstheme="majorBidi" w:eastAsiaTheme="majorEastAsia" w:hAnsiTheme="majorHAnsi"/>
          <w:b/>
          <w:bCs/>
          <w:sz w:val="40"/>
          <w:szCs w:val="40"/>
        </w:rPr>
        <w:t xml:space="preserve"> </w:t>
      </w:r>
    </w:p>
    <w:p>
      <w:pPr>
        <w:pStyle w:val="Normal"/>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Tables</w:t>
      </w:r>
    </w:p>
    <w:p>
      <w:pPr>
        <w:pStyle w:val="Normal"/>
        <w:rPr/>
      </w:pPr>
      <w:r>
        <w:rPr>
          <w:b/>
        </w:rPr>
        <w:t xml:space="preserve">Table 1. Monkey Cmax and AUC fold-error by modeling approach. </w:t>
      </w:r>
      <w:r>
        <w:rPr>
          <w:bCs/>
        </w:rPr>
        <w:t>Fold-</w:t>
      </w:r>
      <w:r>
        <w:rPr/>
        <w:t>error is reported as predicted/observed. Green indicates within twofold (0.50–2.00); red indicates outside twofold.</w:t>
      </w:r>
    </w:p>
    <w:tbl>
      <w:tblPr>
        <w:tblW w:w="10255" w:type="dxa"/>
        <w:jc w:val="left"/>
        <w:tblInd w:w="85" w:type="dxa"/>
        <w:tblLayout w:type="fixed"/>
        <w:tblCellMar>
          <w:top w:w="60" w:type="dxa"/>
          <w:left w:w="80" w:type="dxa"/>
          <w:bottom w:w="60" w:type="dxa"/>
          <w:right w:w="80" w:type="dxa"/>
        </w:tblCellMar>
        <w:tblLook w:firstRow="1" w:noVBand="1" w:lastRow="0" w:firstColumn="1" w:lastColumn="0" w:noHBand="0" w:val="04a0"/>
      </w:tblPr>
      <w:tblGrid>
        <w:gridCol w:w="1975"/>
        <w:gridCol w:w="1170"/>
        <w:gridCol w:w="1709"/>
        <w:gridCol w:w="1711"/>
        <w:gridCol w:w="1893"/>
        <w:gridCol w:w="1796"/>
      </w:tblGrid>
      <w:tr>
        <w:trPr>
          <w:tblHeader w:val="true"/>
          <w:trHeight w:val="144" w:hRule="atLeast"/>
        </w:trPr>
        <w:tc>
          <w:tcPr>
            <w:tcW w:w="197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Molecule</w:t>
            </w:r>
          </w:p>
        </w:tc>
        <w:tc>
          <w:tcPr>
            <w:tcW w:w="1170"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Dose (mg/kg)</w:t>
            </w:r>
          </w:p>
        </w:tc>
        <w:tc>
          <w:tcPr>
            <w:tcW w:w="342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Cmax fold-error</w:t>
            </w:r>
          </w:p>
        </w:tc>
        <w:tc>
          <w:tcPr>
            <w:tcW w:w="3689"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AUC fold-error</w:t>
            </w:r>
          </w:p>
        </w:tc>
      </w:tr>
      <w:tr>
        <w:trPr>
          <w:tblHeader w:val="true"/>
          <w:trHeight w:val="461" w:hRule="atLeast"/>
        </w:trPr>
        <w:tc>
          <w:tcPr>
            <w:tcW w:w="197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r>
          </w:p>
        </w:tc>
        <w:tc>
          <w:tcPr>
            <w:tcW w:w="1170"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r>
          </w:p>
        </w:tc>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w:t>
            </w:r>
            <w:r>
              <w:rPr>
                <w:b/>
                <w:bCs/>
              </w:rPr>
              <w:t>a priori”</w:t>
            </w:r>
          </w:p>
        </w:tc>
        <w:tc>
          <w:tcPr>
            <w:tcW w:w="17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Top-down (Fitted)</w:t>
            </w:r>
          </w:p>
        </w:tc>
        <w:tc>
          <w:tcPr>
            <w:tcW w:w="18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w:t>
            </w:r>
            <w:r>
              <w:rPr>
                <w:b/>
                <w:bCs/>
              </w:rPr>
              <w:t>a priori”</w:t>
            </w:r>
          </w:p>
        </w:tc>
        <w:tc>
          <w:tcPr>
            <w:tcW w:w="17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Top-down (Fitted)</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Adalimumab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1.21</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0.99</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1.22</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1.20</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0.5</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1.42</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1.30</w:t>
            </w:r>
          </w:p>
        </w:tc>
        <w:tc>
          <w:tcPr>
            <w:tcW w:w="189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2.27</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1.70</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5</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1.09</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0.99</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1.11</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1.19</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20</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0.86</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0.78</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0.87</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0.96</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Avelumab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5</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1.30</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0.96</w:t>
            </w:r>
          </w:p>
        </w:tc>
        <w:tc>
          <w:tcPr>
            <w:tcW w:w="189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2.80</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1.20</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Bevacizumab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4</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1.14</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0.89</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0.64</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0.71</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Bevacizumab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5</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1.35</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1.08</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1.48</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1.60</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0.80</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1.00</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1.00</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1.21</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0.97</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1.27</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0.62</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1.34</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0.74</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0.73</w:t>
            </w:r>
          </w:p>
        </w:tc>
        <w:tc>
          <w:tcPr>
            <w:tcW w:w="189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0.49</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0.96</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Pembrolizumab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0.3</w:t>
            </w:r>
          </w:p>
        </w:tc>
        <w:tc>
          <w:tcPr>
            <w:tcW w:w="1709"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0.40</w:t>
            </w:r>
          </w:p>
        </w:tc>
        <w:tc>
          <w:tcPr>
            <w:tcW w:w="1711"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0.39</w:t>
            </w:r>
          </w:p>
        </w:tc>
        <w:tc>
          <w:tcPr>
            <w:tcW w:w="189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2.39</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0.87</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Pembrolizumab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0.99</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0.95</w:t>
            </w:r>
          </w:p>
        </w:tc>
        <w:tc>
          <w:tcPr>
            <w:tcW w:w="189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2.88</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1.01</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Pembrolizumab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30</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1.05</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0.97</w:t>
            </w:r>
          </w:p>
        </w:tc>
        <w:tc>
          <w:tcPr>
            <w:tcW w:w="189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3.23</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1.08</w:t>
            </w:r>
          </w:p>
        </w:tc>
      </w:tr>
      <w:tr>
        <w:trPr>
          <w:trHeight w:val="144" w:hRule="atLeast"/>
        </w:trPr>
        <w:tc>
          <w:tcPr>
            <w:tcW w:w="1975"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Tocilizumab</w:t>
            </w:r>
          </w:p>
        </w:tc>
        <w:tc>
          <w:tcPr>
            <w:tcW w:w="1170"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709"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1.06</w:t>
            </w:r>
          </w:p>
        </w:tc>
        <w:tc>
          <w:tcPr>
            <w:tcW w:w="1711"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0.98</w:t>
            </w:r>
          </w:p>
        </w:tc>
        <w:tc>
          <w:tcPr>
            <w:tcW w:w="189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1.80</w:t>
            </w:r>
          </w:p>
        </w:tc>
        <w:tc>
          <w:tcPr>
            <w:tcW w:w="1796"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1.00</w:t>
            </w:r>
          </w:p>
        </w:tc>
      </w:tr>
    </w:tbl>
    <w:p>
      <w:pPr>
        <w:pStyle w:val="Normal"/>
        <w:rPr/>
      </w:pPr>
      <w:r>
        <w:rPr/>
      </w:r>
      <w:r>
        <w:br w:type="page"/>
      </w:r>
    </w:p>
    <w:p>
      <w:pPr>
        <w:pStyle w:val="Normal"/>
        <w:spacing w:before="0" w:after="160"/>
        <w:rPr/>
      </w:pPr>
      <w:r>
        <w:rPr>
          <w:b/>
          <w:bCs/>
        </w:rPr>
        <w:t>Table 2. Human Cmax and AUC fold-error by modeling approach.</w:t>
      </w:r>
      <w:r>
        <w:rPr/>
        <w:t xml:space="preserve"> Fold-error is reported as predicted/observed. Green indicates within twofold (0.50–2.00); red indicates outside twofold.</w:t>
      </w:r>
    </w:p>
    <w:tbl>
      <w:tblPr>
        <w:tblW w:w="10158" w:type="dxa"/>
        <w:jc w:val="left"/>
        <w:tblInd w:w="-28" w:type="dxa"/>
        <w:tblLayout w:type="fixed"/>
        <w:tblCellMar>
          <w:top w:w="60" w:type="dxa"/>
          <w:left w:w="80" w:type="dxa"/>
          <w:bottom w:w="60" w:type="dxa"/>
          <w:right w:w="80" w:type="dxa"/>
        </w:tblCellMar>
        <w:tblLook w:firstRow="1" w:noVBand="1" w:lastRow="0" w:firstColumn="1" w:lastColumn="0" w:noHBand="0" w:val="04a0"/>
      </w:tblPr>
      <w:tblGrid>
        <w:gridCol w:w="2173"/>
        <w:gridCol w:w="1529"/>
        <w:gridCol w:w="1613"/>
        <w:gridCol w:w="1614"/>
        <w:gridCol w:w="1613"/>
        <w:gridCol w:w="1615"/>
      </w:tblGrid>
      <w:tr>
        <w:trPr>
          <w:tblHeader w:val="true"/>
          <w:trHeight w:val="497" w:hRule="atLeast"/>
        </w:trPr>
        <w:tc>
          <w:tcPr>
            <w:tcW w:w="217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Molecule</w:t>
            </w:r>
          </w:p>
        </w:tc>
        <w:tc>
          <w:tcPr>
            <w:tcW w:w="1529" w:type="dxa"/>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Dose (mg/kg)</w:t>
            </w:r>
          </w:p>
        </w:tc>
        <w:tc>
          <w:tcPr>
            <w:tcW w:w="322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Cmax fold-error</w:t>
            </w:r>
          </w:p>
        </w:tc>
        <w:tc>
          <w:tcPr>
            <w:tcW w:w="322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AUC fold-error</w:t>
            </w:r>
          </w:p>
        </w:tc>
      </w:tr>
      <w:tr>
        <w:trPr>
          <w:tblHeader w:val="true"/>
          <w:trHeight w:val="497" w:hRule="atLeast"/>
        </w:trPr>
        <w:tc>
          <w:tcPr>
            <w:tcW w:w="2173"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r>
          </w:p>
        </w:tc>
        <w:tc>
          <w:tcPr>
            <w:tcW w:w="1529"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r>
          </w:p>
        </w:tc>
        <w:tc>
          <w:tcPr>
            <w:tcW w:w="16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w:t>
            </w:r>
            <w:r>
              <w:rPr>
                <w:b/>
                <w:bCs/>
              </w:rPr>
              <w:t>a priori”</w:t>
            </w:r>
          </w:p>
        </w:tc>
        <w:tc>
          <w:tcPr>
            <w:tcW w:w="16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Top-down</w:t>
            </w:r>
          </w:p>
        </w:tc>
        <w:tc>
          <w:tcPr>
            <w:tcW w:w="16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w:t>
            </w:r>
            <w:r>
              <w:rPr>
                <w:b/>
                <w:bCs/>
              </w:rPr>
              <w:t>a priori”</w:t>
            </w:r>
          </w:p>
        </w:tc>
        <w:tc>
          <w:tcPr>
            <w:tcW w:w="16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b/>
                <w:bCs/>
              </w:rPr>
              <w:t>Top-down</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Adalimumab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0.5</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0.98</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1.05</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1.28</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1.06</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Adalimumab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0.93</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0.99</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1.50</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1.25</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Adalimumab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1.02</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1.09</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1.50</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1.24</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Adalimumab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5</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0.75</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1.12</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0.93</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Adalimumab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0.83</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0.89</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1.08</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0.90</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1.10</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1.09</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1.34</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1.26</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0.83</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0.82</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1.13</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1.09</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1.02</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1.21</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1.19</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15</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1.03</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1.02</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1.29</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1.28</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Atezolizumab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20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0.86</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0.85</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1.15</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1.14</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Avelumab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1.27</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1.06</w:t>
            </w:r>
          </w:p>
        </w:tc>
        <w:tc>
          <w:tcPr>
            <w:tcW w:w="161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5.51</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1.69</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Avelumab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0.84</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0.70</w:t>
            </w:r>
          </w:p>
        </w:tc>
        <w:tc>
          <w:tcPr>
            <w:tcW w:w="161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2.46</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0.79</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Avelumab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0.91</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0.66</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1.47</w:t>
            </w:r>
          </w:p>
        </w:tc>
        <w:tc>
          <w:tcPr>
            <w:tcW w:w="1615"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0.35</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Avelumab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20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0.95</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0.79</w:t>
            </w:r>
          </w:p>
        </w:tc>
        <w:tc>
          <w:tcPr>
            <w:tcW w:w="161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2.05</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0.68</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Bevacizumab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15</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1.26</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1.09</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1.25</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0.95</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0.1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0.95</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1.27</w:t>
            </w:r>
          </w:p>
        </w:tc>
        <w:tc>
          <w:tcPr>
            <w:tcW w:w="161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2.13</w:t>
            </w:r>
          </w:p>
        </w:tc>
        <w:tc>
          <w:tcPr>
            <w:tcW w:w="1615"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2.01</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0.3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0.63</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0.84</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1.44</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1.36</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0.87</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1.17</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1.31</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1.24</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1.17</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1.57</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1.82</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1.73</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6</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0.94</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1.26</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1.52</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1.45</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Golimumab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1.11</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1.48</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1.78</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1.71</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1.00</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1.42</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1.09</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1.50</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1.17</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1.54</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1.38</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1.92</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4</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1.34</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1.94</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1.56</w:t>
            </w:r>
          </w:p>
        </w:tc>
        <w:tc>
          <w:tcPr>
            <w:tcW w:w="1615"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2.44</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6</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1.28</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1.86</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1.61</w:t>
            </w:r>
          </w:p>
        </w:tc>
        <w:tc>
          <w:tcPr>
            <w:tcW w:w="1615"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2.53</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10</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1.17</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1.49</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1.32</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1.82</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Nivolumab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20</w:t>
            </w:r>
          </w:p>
        </w:tc>
        <w:tc>
          <w:tcPr>
            <w:tcW w:w="161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2.39</w:t>
            </w:r>
          </w:p>
        </w:tc>
        <w:tc>
          <w:tcPr>
            <w:tcW w:w="1614"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3.46</w:t>
            </w:r>
          </w:p>
        </w:tc>
        <w:tc>
          <w:tcPr>
            <w:tcW w:w="1613"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2.11</w:t>
            </w:r>
          </w:p>
        </w:tc>
        <w:tc>
          <w:tcPr>
            <w:tcW w:w="1615" w:type="dxa"/>
            <w:tcBorders>
              <w:top w:val="single" w:sz="4" w:space="0" w:color="000000"/>
              <w:left w:val="single" w:sz="4" w:space="0" w:color="000000"/>
              <w:bottom w:val="single" w:sz="4" w:space="0" w:color="000000"/>
              <w:right w:val="single" w:sz="4" w:space="0" w:color="000000"/>
            </w:tcBorders>
            <w:shd w:color="auto" w:fill="F4CCCC" w:val="clear"/>
            <w:vAlign w:val="center"/>
          </w:tcPr>
          <w:p>
            <w:pPr>
              <w:pStyle w:val="Normal"/>
              <w:spacing w:before="0" w:after="160"/>
              <w:jc w:val="center"/>
              <w:rPr/>
            </w:pPr>
            <w:r>
              <w:rPr/>
              <w:t>3.37</w:t>
            </w:r>
          </w:p>
        </w:tc>
      </w:tr>
      <w:tr>
        <w:trPr>
          <w:trHeight w:val="497" w:hRule="atLeast"/>
        </w:trPr>
        <w:tc>
          <w:tcPr>
            <w:tcW w:w="2173"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TableContents"/>
              <w:spacing w:before="0" w:after="160"/>
              <w:ind w:hanging="0" w:left="0" w:right="0"/>
              <w:jc w:val="center"/>
              <w:rPr>
                <w:rFonts w:ascii="Arial" w:hAnsi="Arial"/>
                <w:sz w:val="20"/>
              </w:rPr>
            </w:pPr>
            <w:r>
              <w:rPr>
                <w:rFonts w:ascii="Arial" w:hAnsi="Arial"/>
                <w:sz w:val="20"/>
              </w:rPr>
              <w:t>Pembrolizumab</w:t>
            </w:r>
          </w:p>
        </w:tc>
        <w:tc>
          <w:tcPr>
            <w:tcW w:w="1529"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TableContents"/>
              <w:spacing w:before="0" w:after="160"/>
              <w:ind w:hanging="0" w:left="0" w:right="0"/>
              <w:jc w:val="center"/>
              <w:rPr>
                <w:rFonts w:ascii="Arial" w:hAnsi="Arial"/>
                <w:sz w:val="20"/>
              </w:rPr>
            </w:pPr>
            <w:r>
              <w:rPr>
                <w:rFonts w:ascii="Arial" w:hAnsi="Arial"/>
                <w:sz w:val="20"/>
              </w:rPr>
              <w:t>2</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1.03</w:t>
            </w:r>
          </w:p>
        </w:tc>
        <w:tc>
          <w:tcPr>
            <w:tcW w:w="1614"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1.13</w:t>
            </w:r>
          </w:p>
        </w:tc>
        <w:tc>
          <w:tcPr>
            <w:tcW w:w="1613"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1.27</w:t>
            </w:r>
          </w:p>
        </w:tc>
        <w:tc>
          <w:tcPr>
            <w:tcW w:w="1615" w:type="dxa"/>
            <w:tcBorders>
              <w:top w:val="single" w:sz="4" w:space="0" w:color="000000"/>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0.99</w:t>
            </w:r>
          </w:p>
        </w:tc>
      </w:tr>
      <w:tr>
        <w:trPr>
          <w:trHeight w:val="497" w:hRule="atLeast"/>
        </w:trPr>
        <w:tc>
          <w:tcPr>
            <w:tcW w:w="2173" w:type="dxa"/>
            <w:tcBorders>
              <w:left w:val="single" w:sz="4" w:space="0" w:color="000000"/>
              <w:bottom w:val="single" w:sz="4" w:space="0" w:color="000000"/>
              <w:right w:val="single" w:sz="4" w:space="0" w:color="000000"/>
            </w:tcBorders>
            <w:shd w:color="auto" w:fill="FFFFFF" w:val="clear"/>
            <w:vAlign w:val="center"/>
          </w:tcPr>
          <w:p>
            <w:pPr>
              <w:pStyle w:val="TableContents"/>
              <w:spacing w:before="0" w:after="160"/>
              <w:ind w:hanging="0" w:left="0" w:right="0"/>
              <w:jc w:val="center"/>
              <w:rPr>
                <w:rFonts w:ascii="Arial" w:hAnsi="Arial"/>
                <w:sz w:val="20"/>
              </w:rPr>
            </w:pPr>
            <w:r>
              <w:rPr>
                <w:rFonts w:ascii="Arial" w:hAnsi="Arial"/>
                <w:sz w:val="20"/>
              </w:rPr>
              <w:t>Pembrolizumab</w:t>
            </w:r>
          </w:p>
        </w:tc>
        <w:tc>
          <w:tcPr>
            <w:tcW w:w="1529" w:type="dxa"/>
            <w:tcBorders>
              <w:left w:val="single" w:sz="4" w:space="0" w:color="000000"/>
              <w:bottom w:val="single" w:sz="4" w:space="0" w:color="000000"/>
              <w:right w:val="single" w:sz="4" w:space="0" w:color="000000"/>
            </w:tcBorders>
            <w:shd w:color="auto" w:fill="FFFFFF" w:val="clear"/>
            <w:vAlign w:val="center"/>
          </w:tcPr>
          <w:p>
            <w:pPr>
              <w:pStyle w:val="TableContents"/>
              <w:spacing w:before="0" w:after="160"/>
              <w:ind w:hanging="0" w:left="0" w:right="0"/>
              <w:jc w:val="center"/>
              <w:rPr>
                <w:rFonts w:ascii="Arial" w:hAnsi="Arial"/>
                <w:sz w:val="20"/>
              </w:rPr>
            </w:pPr>
            <w:r>
              <w:rPr>
                <w:rFonts w:ascii="Arial" w:hAnsi="Arial"/>
                <w:sz w:val="20"/>
              </w:rPr>
              <w:t>10</w:t>
            </w:r>
          </w:p>
        </w:tc>
        <w:tc>
          <w:tcPr>
            <w:tcW w:w="1613" w:type="dxa"/>
            <w:tcBorders>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1.02</w:t>
            </w:r>
          </w:p>
        </w:tc>
        <w:tc>
          <w:tcPr>
            <w:tcW w:w="1614" w:type="dxa"/>
            <w:tcBorders>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1.11</w:t>
            </w:r>
          </w:p>
        </w:tc>
        <w:tc>
          <w:tcPr>
            <w:tcW w:w="1613" w:type="dxa"/>
            <w:tcBorders>
              <w:left w:val="single" w:sz="4" w:space="0" w:color="000000"/>
              <w:bottom w:val="single" w:sz="4" w:space="0" w:color="000000"/>
              <w:right w:val="single" w:sz="4" w:space="0" w:color="000000"/>
            </w:tcBorders>
            <w:shd w:color="auto" w:fill="E2F0D9" w:val="clear"/>
            <w:vAlign w:val="center"/>
          </w:tcPr>
          <w:p>
            <w:pPr>
              <w:pStyle w:val="TableContents"/>
              <w:spacing w:before="0" w:after="160"/>
              <w:ind w:hanging="0" w:left="0" w:right="0"/>
              <w:jc w:val="center"/>
              <w:rPr>
                <w:rFonts w:ascii="Arial" w:hAnsi="Arial"/>
                <w:sz w:val="20"/>
              </w:rPr>
            </w:pPr>
            <w:r>
              <w:rPr>
                <w:rFonts w:ascii="Arial" w:hAnsi="Arial"/>
                <w:sz w:val="20"/>
              </w:rPr>
              <w:t>1.41</w:t>
            </w:r>
          </w:p>
        </w:tc>
        <w:tc>
          <w:tcPr>
            <w:tcW w:w="1615" w:type="dxa"/>
            <w:tcBorders>
              <w:left w:val="single" w:sz="4" w:space="0" w:color="000000"/>
              <w:bottom w:val="single" w:sz="4" w:space="0" w:color="000000"/>
              <w:right w:val="single" w:sz="4" w:space="0" w:color="000000"/>
            </w:tcBorders>
            <w:shd w:color="auto" w:fill="E2F0D9" w:val="clear"/>
            <w:vAlign w:val="center"/>
          </w:tcPr>
          <w:p>
            <w:pPr>
              <w:pStyle w:val="TableContents"/>
              <w:spacing w:before="0" w:after="160"/>
              <w:jc w:val="center"/>
              <w:rPr>
                <w:rFonts w:ascii="Arial" w:hAnsi="Arial"/>
                <w:sz w:val="20"/>
              </w:rPr>
            </w:pPr>
            <w:r>
              <w:rPr>
                <w:rFonts w:ascii="Arial" w:hAnsi="Arial"/>
                <w:sz w:val="20"/>
              </w:rPr>
              <w:t>1.10</w:t>
            </w:r>
          </w:p>
        </w:tc>
      </w:tr>
      <w:tr>
        <w:trPr>
          <w:trHeight w:val="497" w:hRule="atLeast"/>
        </w:trPr>
        <w:tc>
          <w:tcPr>
            <w:tcW w:w="2173" w:type="dxa"/>
            <w:tcBorders>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Tocilizumab</w:t>
            </w:r>
          </w:p>
        </w:tc>
        <w:tc>
          <w:tcPr>
            <w:tcW w:w="1529" w:type="dxa"/>
            <w:tcBorders>
              <w:left w:val="single" w:sz="4" w:space="0" w:color="000000"/>
              <w:bottom w:val="single" w:sz="4" w:space="0" w:color="000000"/>
              <w:right w:val="single" w:sz="4" w:space="0" w:color="000000"/>
            </w:tcBorders>
            <w:shd w:color="auto" w:fill="FFFFFF" w:val="clear"/>
            <w:vAlign w:val="center"/>
          </w:tcPr>
          <w:p>
            <w:pPr>
              <w:pStyle w:val="Normal"/>
              <w:spacing w:before="0" w:after="160"/>
              <w:jc w:val="center"/>
              <w:rPr/>
            </w:pPr>
            <w:r>
              <w:rPr/>
              <w:t>8</w:t>
            </w:r>
          </w:p>
        </w:tc>
        <w:tc>
          <w:tcPr>
            <w:tcW w:w="1613" w:type="dxa"/>
            <w:tcBorders>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0.51</w:t>
            </w:r>
          </w:p>
        </w:tc>
        <w:tc>
          <w:tcPr>
            <w:tcW w:w="1614" w:type="dxa"/>
            <w:tcBorders>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0.61</w:t>
            </w:r>
          </w:p>
        </w:tc>
        <w:tc>
          <w:tcPr>
            <w:tcW w:w="1613" w:type="dxa"/>
            <w:tcBorders>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0.71</w:t>
            </w:r>
          </w:p>
        </w:tc>
        <w:tc>
          <w:tcPr>
            <w:tcW w:w="1615" w:type="dxa"/>
            <w:tcBorders>
              <w:left w:val="single" w:sz="4" w:space="0" w:color="000000"/>
              <w:bottom w:val="single" w:sz="4" w:space="0" w:color="000000"/>
              <w:right w:val="single" w:sz="4" w:space="0" w:color="000000"/>
            </w:tcBorders>
            <w:shd w:color="auto" w:fill="E2F0D9" w:val="clear"/>
            <w:vAlign w:val="center"/>
          </w:tcPr>
          <w:p>
            <w:pPr>
              <w:pStyle w:val="Normal"/>
              <w:spacing w:before="0" w:after="160"/>
              <w:jc w:val="center"/>
              <w:rPr/>
            </w:pPr>
            <w:r>
              <w:rPr/>
              <w:t>0.57</w:t>
            </w:r>
          </w:p>
        </w:tc>
      </w:tr>
    </w:tbl>
    <w:p>
      <w:pPr>
        <w:pStyle w:val="Normal"/>
        <w:rPr/>
      </w:pPr>
      <w:r>
        <w:rPr/>
      </w:r>
    </w:p>
    <w:p>
      <w:pPr>
        <w:pStyle w:val="Normal"/>
        <w:spacing w:lineRule="auto" w:line="240" w:before="0" w:after="0"/>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p>
    <w:p>
      <w:pPr>
        <w:pStyle w:val="Normal"/>
        <w:spacing w:lineRule="auto" w:line="240" w:before="0" w:after="0"/>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Supplementary Materials</w:t>
      </w:r>
    </w:p>
    <w:p>
      <w:pPr>
        <w:pStyle w:val="Normal"/>
        <w:rPr/>
      </w:pPr>
      <w:r>
        <w:rPr/>
        <w:t>Supplementary Material 1. See attached</w:t>
      </w:r>
    </w:p>
    <w:p>
      <w:pPr>
        <w:pStyle w:val="Normal"/>
        <w:widowControl/>
        <w:suppressAutoHyphens w:val="true"/>
        <w:bidi w:val="0"/>
        <w:spacing w:lineRule="auto" w:line="276" w:before="0" w:after="160"/>
        <w:jc w:val="both"/>
        <w:rPr/>
      </w:pPr>
      <w:r>
        <w:rPr/>
        <w:t>Supplementary Material 2. Github link to full project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Arial">
    <w:charset w:val="00"/>
    <w:family w:val="roman"/>
    <w:pitch w:val="variable"/>
  </w:font>
</w:fonts>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26181"/>
    <w:pPr>
      <w:widowControl/>
      <w:suppressAutoHyphens w:val="true"/>
      <w:bidi w:val="0"/>
      <w:spacing w:lineRule="auto" w:line="276" w:before="0" w:after="160"/>
      <w:jc w:val="both"/>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5b7c2f"/>
    <w:pPr>
      <w:keepNext w:val="true"/>
      <w:keepLines/>
      <w:spacing w:before="360" w:after="80"/>
      <w:outlineLvl w:val="0"/>
    </w:pPr>
    <w:rPr>
      <w:rFonts w:ascii="Aptos Display" w:hAnsi="Aptos Display" w:eastAsia="" w:cs="" w:asciiTheme="majorHAnsi" w:cstheme="majorBidi" w:eastAsiaTheme="majorEastAsia" w:hAnsiTheme="majorHAnsi"/>
      <w:b/>
      <w:sz w:val="40"/>
      <w:szCs w:val="40"/>
    </w:rPr>
  </w:style>
  <w:style w:type="paragraph" w:styleId="Heading2">
    <w:name w:val="Heading 2"/>
    <w:basedOn w:val="Heading1"/>
    <w:next w:val="Normal"/>
    <w:link w:val="Heading2Char"/>
    <w:uiPriority w:val="9"/>
    <w:unhideWhenUsed/>
    <w:qFormat/>
    <w:rsid w:val="00ad212e"/>
    <w:pPr>
      <w:spacing w:before="160" w:after="8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764a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764a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764a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764a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764a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b7c2f"/>
    <w:rPr>
      <w:rFonts w:ascii="Aptos Display" w:hAnsi="Aptos Display" w:eastAsia="" w:cs="" w:asciiTheme="majorHAnsi" w:cstheme="majorBidi" w:eastAsiaTheme="majorEastAsia" w:hAnsiTheme="majorHAnsi"/>
      <w:b/>
      <w:sz w:val="40"/>
      <w:szCs w:val="40"/>
    </w:rPr>
  </w:style>
  <w:style w:type="character" w:styleId="Heading2Char" w:customStyle="1">
    <w:name w:val="Heading 2 Char"/>
    <w:basedOn w:val="DefaultParagraphFont"/>
    <w:link w:val="Heading2"/>
    <w:uiPriority w:val="9"/>
    <w:qFormat/>
    <w:rsid w:val="00ad212e"/>
    <w:rPr>
      <w:rFonts w:ascii="Aptos Display" w:hAnsi="Aptos Display" w:eastAsia="" w:cs="" w:asciiTheme="majorHAnsi" w:cstheme="majorBidi" w:eastAsiaTheme="majorEastAsia" w:hAnsiTheme="majorHAnsi"/>
      <w:b/>
      <w:sz w:val="32"/>
      <w:szCs w:val="32"/>
    </w:rPr>
  </w:style>
  <w:style w:type="character" w:styleId="Heading3Char" w:customStyle="1">
    <w:name w:val="Heading 3 Char"/>
    <w:basedOn w:val="DefaultParagraphFont"/>
    <w:link w:val="Heading3"/>
    <w:uiPriority w:val="9"/>
    <w:qFormat/>
    <w:rsid w:val="00df2092"/>
    <w:rPr>
      <w:rFonts w:ascii="Aptos Display" w:hAnsi="Aptos Display" w:eastAsia="" w:cs="" w:asciiTheme="majorHAnsi" w:cstheme="majorBidi" w:eastAsiaTheme="majorEastAsia" w:hAnsiTheme="majorHAnsi"/>
      <w:b/>
      <w:sz w:val="28"/>
      <w:szCs w:val="28"/>
    </w:rPr>
  </w:style>
  <w:style w:type="character" w:styleId="Heading4Char" w:customStyle="1">
    <w:name w:val="Heading 4 Char"/>
    <w:basedOn w:val="DefaultParagraphFont"/>
    <w:link w:val="Heading4"/>
    <w:uiPriority w:val="9"/>
    <w:semiHidden/>
    <w:qFormat/>
    <w:rsid w:val="00a764a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764a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764a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764a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764a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764a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764ac"/>
    <w:rPr>
      <w:rFonts w:ascii="Aptos Display" w:hAnsi="Aptos Display" w:eastAsia="" w:cs="" w:asciiTheme="majorHAnsi" w:cstheme="majorBidi" w:eastAsiaTheme="majorEastAsia" w:hAnsiTheme="majorHAnsi"/>
      <w:b/>
      <w:spacing w:val="-10"/>
      <w:kern w:val="2"/>
      <w:sz w:val="44"/>
      <w:szCs w:val="56"/>
    </w:rPr>
  </w:style>
  <w:style w:type="character" w:styleId="SubtitleChar" w:customStyle="1">
    <w:name w:val="Subtitle Char"/>
    <w:basedOn w:val="DefaultParagraphFont"/>
    <w:link w:val="Subtitle"/>
    <w:uiPriority w:val="11"/>
    <w:qFormat/>
    <w:rsid w:val="00a764a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764ac"/>
    <w:rPr>
      <w:i/>
      <w:iCs/>
      <w:color w:themeColor="text1" w:themeTint="bf" w:val="404040"/>
    </w:rPr>
  </w:style>
  <w:style w:type="character" w:styleId="IntenseEmphasis">
    <w:name w:val="Intense Emphasis"/>
    <w:basedOn w:val="DefaultParagraphFont"/>
    <w:uiPriority w:val="21"/>
    <w:qFormat/>
    <w:rsid w:val="00a764ac"/>
    <w:rPr>
      <w:i/>
      <w:iCs/>
      <w:color w:themeColor="accent1" w:themeShade="bf" w:val="0F4761"/>
    </w:rPr>
  </w:style>
  <w:style w:type="character" w:styleId="IntenseQuoteChar" w:customStyle="1">
    <w:name w:val="Intense Quote Char"/>
    <w:basedOn w:val="DefaultParagraphFont"/>
    <w:link w:val="IntenseQuote"/>
    <w:uiPriority w:val="30"/>
    <w:qFormat/>
    <w:rsid w:val="00a764ac"/>
    <w:rPr>
      <w:i/>
      <w:iCs/>
      <w:color w:themeColor="accent1" w:themeShade="bf" w:val="0F4761"/>
    </w:rPr>
  </w:style>
  <w:style w:type="character" w:styleId="IntenseReference">
    <w:name w:val="Intense Reference"/>
    <w:basedOn w:val="DefaultParagraphFont"/>
    <w:uiPriority w:val="32"/>
    <w:qFormat/>
    <w:rsid w:val="00a764ac"/>
    <w:rPr>
      <w:b/>
      <w:bCs/>
      <w:smallCaps/>
      <w:color w:themeColor="accent1" w:themeShade="bf" w:val="0F4761"/>
      <w:spacing w:val="5"/>
    </w:rPr>
  </w:style>
  <w:style w:type="character" w:styleId="Hyperlink">
    <w:name w:val="Hyperlink"/>
    <w:basedOn w:val="DefaultParagraphFont"/>
    <w:uiPriority w:val="99"/>
    <w:unhideWhenUsed/>
    <w:rsid w:val="000c05b2"/>
    <w:rPr>
      <w:color w:themeColor="hyperlink" w:val="467886"/>
      <w:u w:val="single"/>
    </w:rPr>
  </w:style>
  <w:style w:type="character" w:styleId="UnresolvedMention">
    <w:name w:val="Unresolved Mention"/>
    <w:basedOn w:val="DefaultParagraphFont"/>
    <w:uiPriority w:val="99"/>
    <w:semiHidden/>
    <w:unhideWhenUsed/>
    <w:qFormat/>
    <w:rsid w:val="000c05b2"/>
    <w:rPr>
      <w:color w:val="605E5C"/>
      <w:shd w:fill="E1DFDD" w:val="clear"/>
    </w:rPr>
  </w:style>
  <w:style w:type="character" w:styleId="FollowedHyperlink">
    <w:name w:val="FollowedHyperlink"/>
    <w:basedOn w:val="DefaultParagraphFont"/>
    <w:uiPriority w:val="99"/>
    <w:semiHidden/>
    <w:unhideWhenUsed/>
    <w:rsid w:val="000c05b2"/>
    <w:rPr>
      <w:color w:themeColor="followedHyperlink" w:val="96607D"/>
      <w:u w:val="single"/>
    </w:rPr>
  </w:style>
  <w:style w:type="character" w:styleId="Annotationreference">
    <w:name w:val="annotation reference"/>
    <w:basedOn w:val="DefaultParagraphFont"/>
    <w:uiPriority w:val="99"/>
    <w:semiHidden/>
    <w:unhideWhenUsed/>
    <w:qFormat/>
    <w:rsid w:val="00903b21"/>
    <w:rPr>
      <w:sz w:val="16"/>
      <w:szCs w:val="16"/>
    </w:rPr>
  </w:style>
  <w:style w:type="character" w:styleId="CommentTextChar" w:customStyle="1">
    <w:name w:val="Comment Text Char"/>
    <w:basedOn w:val="DefaultParagraphFont"/>
    <w:link w:val="Annotationtext"/>
    <w:uiPriority w:val="99"/>
    <w:qFormat/>
    <w:rsid w:val="00903b21"/>
    <w:rPr>
      <w:sz w:val="20"/>
      <w:szCs w:val="20"/>
    </w:rPr>
  </w:style>
  <w:style w:type="character" w:styleId="CommentSubjectChar" w:customStyle="1">
    <w:name w:val="Comment Subject Char"/>
    <w:basedOn w:val="CommentTextChar"/>
    <w:link w:val="Annotationsubject"/>
    <w:uiPriority w:val="99"/>
    <w:semiHidden/>
    <w:qFormat/>
    <w:rsid w:val="00903b21"/>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lineRule="auto" w:line="240" w:before="0" w:after="80"/>
      <w:contextualSpacing/>
    </w:pPr>
    <w:rPr>
      <w:rFonts w:ascii="Aptos Display" w:hAnsi="Aptos Display" w:eastAsia="" w:cs="" w:asciiTheme="majorHAnsi" w:cstheme="majorBidi" w:eastAsiaTheme="majorEastAsia" w:hAnsiTheme="majorHAnsi"/>
      <w:b/>
      <w:spacing w:val="-10"/>
      <w:sz w:val="44"/>
      <w:szCs w:val="56"/>
    </w:rPr>
  </w:style>
  <w:style w:type="paragraph" w:styleId="Subtitle">
    <w:name w:val="Subtitle"/>
    <w:basedOn w:val="Normal"/>
    <w:next w:val="Normal"/>
    <w:link w:val="SubtitleChar"/>
    <w:uiPriority w:val="11"/>
    <w:qFormat/>
    <w:rsid w:val="00a764a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764ac"/>
    <w:pPr>
      <w:spacing w:before="160" w:after="160"/>
      <w:jc w:val="center"/>
    </w:pPr>
    <w:rPr>
      <w:i/>
      <w:iCs/>
      <w:color w:themeColor="text1" w:themeTint="bf" w:val="404040"/>
    </w:rPr>
  </w:style>
  <w:style w:type="paragraph" w:styleId="ListParagraph">
    <w:name w:val="List Paragraph"/>
    <w:basedOn w:val="Normal"/>
    <w:uiPriority w:val="34"/>
    <w:qFormat/>
    <w:rsid w:val="00a764ac"/>
    <w:pPr>
      <w:spacing w:before="0" w:after="160"/>
      <w:ind w:left="720"/>
      <w:contextualSpacing/>
    </w:pPr>
    <w:r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Annotationtext">
    <w:name w:val="annotation text"/>
    <w:basedOn w:val="Normal"/>
    <w:link w:val="CommentTextChar"/>
    <w:uiPriority w:val="99"/>
    <w:unhideWhenUsed/>
    <w:qFormat/>
    <w:rsid w:val="00903b21"/>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903b21"/>
    <w:pPr/>
    <w:rPr>
      <w:b/>
      <w:bCs/>
    </w:rPr>
  </w:style>
  <w:style w:type="paragraph" w:styleId="NormalWeb">
    <w:name w:val="Normal (Web)"/>
    <w:basedOn w:val="Normal"/>
    <w:uiPriority w:val="99"/>
    <w:semiHidden/>
    <w:unhideWhenUsed/>
    <w:qFormat/>
    <w:rsid w:val="006e0738"/>
    <w:pPr/>
    <w:rPr>
      <w:rFonts w:ascii="Times New Roman" w:hAnsi="Times New Roman" w:cs="Times New Roma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Grid1"/>
    <w:uiPriority w:val="39"/>
    <w:rsid w:val="00484e1c"/>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84e1c"/>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2261</TotalTime>
  <Application>LibreOffice/7.6.7.2$Windows_X86_64 LibreOffice_project/dd47e4b30cb7dab30588d6c79c651f218165e3c5</Application>
  <AppVersion>15.0000</AppVersion>
  <Pages>14</Pages>
  <Words>3068</Words>
  <Characters>18854</Characters>
  <CharactersWithSpaces>21597</CharactersWithSpaces>
  <Paragraphs>326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2026-01-06T17:11:00Z</dcterms:created>
  <dc:creator>Krina Mehta</dc:creator>
  <dc:description/>
  <dc:language>en-US</dc:language>
  <cp:lastModifiedBy/>
  <dcterms:modified xsi:type="dcterms:W3CDTF">2026-06-28T11:43:54Z</dcterms:modified>
  <cp:revision>157</cp:revision>
  <dc:subject/>
  <dc:title/>
</cp:coreProperties>
</file>

<file path=docProps/custom.xml><?xml version="1.0" encoding="utf-8"?>
<Properties xmlns="http://schemas.openxmlformats.org/officeDocument/2006/custom-properties" xmlns:vt="http://schemas.openxmlformats.org/officeDocument/2006/docPropsVTypes"/>
</file>