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D523" w14:textId="77777777" w:rsidR="00ED6A83" w:rsidRDefault="00000000">
      <w:pPr>
        <w:pStyle w:val="Title"/>
      </w:pPr>
      <w:r>
        <w:t>Physiologically-based Pharmacokinetic Modeling as a New Approach Methodology for Monoclonal Antibodies</w:t>
      </w:r>
    </w:p>
    <w:p w14:paraId="3B8372E3" w14:textId="77777777" w:rsidR="00ED6A83" w:rsidRDefault="00000000">
      <w:r>
        <w:t>Akshat Shah</w:t>
      </w:r>
      <w:r>
        <w:rPr>
          <w:vertAlign w:val="superscript"/>
        </w:rPr>
        <w:t>1,2</w:t>
      </w:r>
      <w:r>
        <w:t>, Krina Mehta</w:t>
      </w:r>
      <w:r>
        <w:rPr>
          <w:vertAlign w:val="superscript"/>
        </w:rPr>
        <w:t>2,3</w:t>
      </w:r>
    </w:p>
    <w:p w14:paraId="3CDB39C5" w14:textId="77777777" w:rsidR="00ED6A83" w:rsidRDefault="00000000">
      <w:pPr>
        <w:rPr>
          <w:vertAlign w:val="superscript"/>
        </w:rPr>
      </w:pPr>
      <w:r>
        <w:rPr>
          <w:vertAlign w:val="superscript"/>
        </w:rPr>
        <w:t xml:space="preserve">1 </w:t>
      </w:r>
      <w:proofErr w:type="spellStart"/>
      <w:r>
        <w:t>Aivaura</w:t>
      </w:r>
      <w:proofErr w:type="spellEnd"/>
      <w:r>
        <w:t>, Bhavnagar, Gujarat, India</w:t>
      </w:r>
    </w:p>
    <w:p w14:paraId="41440319" w14:textId="77777777" w:rsidR="00ED6A83" w:rsidRDefault="00000000">
      <w:r>
        <w:rPr>
          <w:vertAlign w:val="superscript"/>
        </w:rPr>
        <w:t xml:space="preserve">2 </w:t>
      </w:r>
      <w:proofErr w:type="spellStart"/>
      <w:r>
        <w:t>NAMLink</w:t>
      </w:r>
      <w:proofErr w:type="spellEnd"/>
      <w:r>
        <w:t>, Cypress, CA, USA</w:t>
      </w:r>
    </w:p>
    <w:p w14:paraId="6937A953" w14:textId="77777777" w:rsidR="00ED6A83" w:rsidRDefault="00000000">
      <w:r>
        <w:rPr>
          <w:vertAlign w:val="superscript"/>
        </w:rPr>
        <w:t xml:space="preserve">3 </w:t>
      </w:r>
      <w:r>
        <w:t>Enveda Therapeutics Inc., Boulder, CO, USA</w:t>
      </w:r>
    </w:p>
    <w:p w14:paraId="1767CDCA" w14:textId="3B328A7F" w:rsidR="00ED6A83" w:rsidRPr="00F203AD" w:rsidRDefault="00000000" w:rsidP="00F203AD">
      <w:pPr>
        <w:pStyle w:val="Heading1"/>
      </w:pPr>
      <w:r>
        <w:t>Abstract</w:t>
      </w:r>
    </w:p>
    <w:p w14:paraId="404DD7AD" w14:textId="160C177C" w:rsidR="00AA3ADA" w:rsidRPr="00AA3ADA" w:rsidRDefault="00AA3ADA" w:rsidP="00AA3ADA">
      <w:r w:rsidRPr="00AA3ADA">
        <w:t>Monoclonal antibody (mAb) pharmacokinetics (PK) is governed by mechanistically well-characterized processes, making physiologically based pharmacokinetic (PBPK) modeling well suited to support human PK prediction. We evaluated whether in vitro-informed “a priori” PBPK modeling can predict first-in-human mAb PK and serve as a new approach methodology (NAM) to reduce reliance on monkey PK studies.</w:t>
      </w:r>
    </w:p>
    <w:p w14:paraId="0557E909" w14:textId="77777777" w:rsidR="00AA3ADA" w:rsidRPr="00AA3ADA" w:rsidRDefault="00AA3ADA" w:rsidP="00AA3ADA">
      <w:r w:rsidRPr="00AA3ADA">
        <w:t>A semi-automated PK-Sim/</w:t>
      </w:r>
      <w:proofErr w:type="spellStart"/>
      <w:r w:rsidRPr="00AA3ADA">
        <w:t>MoBi</w:t>
      </w:r>
      <w:proofErr w:type="spellEnd"/>
      <w:r w:rsidRPr="00AA3ADA">
        <w:t xml:space="preserve">–R workflow integrated molecule-specific FcRn binding, target binding, target expression/turnover, and internalization with monkey and human physiology. Intravenous single-dose PK data for eight </w:t>
      </w:r>
      <w:proofErr w:type="spellStart"/>
      <w:r w:rsidRPr="00AA3ADA">
        <w:t>mAbs</w:t>
      </w:r>
      <w:proofErr w:type="spellEnd"/>
      <w:r w:rsidRPr="00AA3ADA">
        <w:t xml:space="preserve"> across five targets were used for retrospective evaluation. PBPK simulations were performed without fitting </w:t>
      </w:r>
      <w:proofErr w:type="gramStart"/>
      <w:r w:rsidRPr="00AA3ADA">
        <w:t>to</w:t>
      </w:r>
      <w:proofErr w:type="gramEnd"/>
      <w:r w:rsidRPr="00AA3ADA">
        <w:t xml:space="preserve"> monkey PK data and compared with observed exposures. As a benchmark, monkey-fitted quasi-steady-state TMDD models were translated to humans. For </w:t>
      </w:r>
      <w:proofErr w:type="spellStart"/>
      <w:r w:rsidRPr="00AA3ADA">
        <w:t>mAbs</w:t>
      </w:r>
      <w:proofErr w:type="spellEnd"/>
      <w:r w:rsidRPr="00AA3ADA">
        <w:t xml:space="preserve"> with at least one “a priori” monkey AUC prediction outside two-fold criteria, reduced monkey PK designs were evaluated using virtual population simulations with top-down models as the reference.</w:t>
      </w:r>
    </w:p>
    <w:p w14:paraId="72B83958" w14:textId="048C7B67" w:rsidR="00AA3ADA" w:rsidRPr="00AA3ADA" w:rsidRDefault="00AA3ADA" w:rsidP="00AA3ADA">
      <w:r w:rsidRPr="00AA3ADA">
        <w:t xml:space="preserve">“A priori” PBPK predicted 8/14 monkey AUC values and 23/28 human AUC values within two-fold of observed data. Human prediction performance matched monkey-fitted TMDD translation, which also predicted 23/28 human AUC values within two-fold, indicating no </w:t>
      </w:r>
      <w:r>
        <w:t xml:space="preserve">added </w:t>
      </w:r>
      <w:r w:rsidRPr="00AA3ADA">
        <w:t xml:space="preserve">advantage from empirical monkey PK fitting. Four </w:t>
      </w:r>
      <w:proofErr w:type="spellStart"/>
      <w:r w:rsidRPr="00AA3ADA">
        <w:t>mAbs</w:t>
      </w:r>
      <w:proofErr w:type="spellEnd"/>
      <w:r w:rsidRPr="00AA3ADA">
        <w:t xml:space="preserve"> </w:t>
      </w:r>
      <w:r>
        <w:t>where “a priori” approach did not meet prespecified criteria for at least one dose level,</w:t>
      </w:r>
      <w:r w:rsidRPr="00AA3ADA">
        <w:t xml:space="preserve"> reduced-study simulations</w:t>
      </w:r>
      <w:r>
        <w:t>,</w:t>
      </w:r>
      <w:r w:rsidRPr="00AA3ADA">
        <w:t xml:space="preserve"> designs with two animals per dose group and two dose groups</w:t>
      </w:r>
      <w:r>
        <w:t>,</w:t>
      </w:r>
      <w:r w:rsidRPr="00AA3ADA">
        <w:t xml:space="preserve"> recovered reference AUC within two-fold</w:t>
      </w:r>
      <w:r>
        <w:t xml:space="preserve"> in 100% of replicates, suggesting feasibility of reduced monkey PK studies for </w:t>
      </w:r>
      <w:proofErr w:type="spellStart"/>
      <w:r>
        <w:t>mAbs</w:t>
      </w:r>
      <w:proofErr w:type="spellEnd"/>
      <w:r>
        <w:t xml:space="preserve"> PK characterization</w:t>
      </w:r>
      <w:r w:rsidRPr="00AA3ADA">
        <w:t>.</w:t>
      </w:r>
      <w:r>
        <w:t xml:space="preserve"> </w:t>
      </w:r>
      <w:r w:rsidRPr="00AA3ADA">
        <w:t>These findings support “a priori” PBPK as a practical NAM for mAb PK translation and for targeted reduction of monkey PK studies.</w:t>
      </w:r>
    </w:p>
    <w:p w14:paraId="4221DCE7" w14:textId="47E51FC6" w:rsidR="00A960CF" w:rsidRPr="00A960CF" w:rsidRDefault="00A960CF" w:rsidP="00A960CF">
      <w:pPr>
        <w:pStyle w:val="Heading1"/>
      </w:pPr>
      <w:r>
        <w:lastRenderedPageBreak/>
        <w:t>Introduction</w:t>
      </w:r>
    </w:p>
    <w:p w14:paraId="3AC8D9E6" w14:textId="77777777" w:rsidR="00ED6A83" w:rsidRDefault="00000000">
      <w:r>
        <w:t>Adequate characterization of pharmacokinetics (PK) is crucial for a successful drug development program because it is the quantitative link between administered dose, systemic and tissue exposure, target engagement, pharmacodynamic (PD) response, and safety [PMIDs: 35865092]. For monoclonal antibodies (</w:t>
      </w:r>
      <w:proofErr w:type="spellStart"/>
      <w:r>
        <w:t>mAbs</w:t>
      </w:r>
      <w:proofErr w:type="spellEnd"/>
      <w:r>
        <w:t xml:space="preserve">)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w:t>
      </w:r>
      <w:proofErr w:type="spellStart"/>
      <w:r>
        <w:t>mAbs</w:t>
      </w:r>
      <w:proofErr w:type="spellEnd"/>
      <w:r>
        <w:t xml:space="preserve">,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[PMIDs: 17636457, 22143261, 29234936]. Overall, extensive work on PBPK models for </w:t>
      </w:r>
      <w:proofErr w:type="spellStart"/>
      <w:r>
        <w:t>mAbs</w:t>
      </w:r>
      <w:proofErr w:type="spellEnd"/>
      <w:r>
        <w:t xml:space="preserve"> has already established a robust scientific foundation, enabled reliable characterization of their PK, and supported their regulatory acceptance.</w:t>
      </w:r>
    </w:p>
    <w:p w14:paraId="465C22B9" w14:textId="77777777" w:rsidR="00ED6A83" w:rsidRDefault="00000000">
      <w:r>
        <w:t xml:space="preserve">Momentum for new approach methodologies (NAMs) has increased exponentially since the FDA's April 2025 Roadmap to Reducing Animal Testing in Preclinical Safety Studies [ref: FDA roadmap and other NAM related guidance from 2025 and 2026; Mehta et al., 2025; NIH Common Fund, 2026]. Within this evolving regulatory infrastructure, current NAM-focused investment has focused on establishing context-of-use (COU) frameworks, advancing complex in vitro systems (organoids, </w:t>
      </w:r>
      <w:proofErr w:type="spellStart"/>
      <w:r>
        <w:t>microphysiological</w:t>
      </w:r>
      <w:proofErr w:type="spellEnd"/>
      <w:r>
        <w:t xml:space="preserve">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w:t>
      </w:r>
      <w:proofErr w:type="spellStart"/>
      <w:r>
        <w:t>microphysiological</w:t>
      </w:r>
      <w:proofErr w:type="spellEnd"/>
      <w:r>
        <w:t xml:space="preserve"> systems can be contextualized through predicted human concentration-time profiles, exposure margins, and time above biologically active or adverse effect thresholds [PMIDs: 38392990, 39574200, 40462462, 38201394].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w:t>
      </w:r>
      <w:r>
        <w:lastRenderedPageBreak/>
        <w:t xml:space="preserve">unclear [PMID: 41360337].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[PMID: 40567279, PMID: 39423143], have received comparatively limited dedicated attention within the emerging NAM ecosystem, representing both a gap and an opportunity. Overall, the emerging NAM ecosystem presents a significant opportunity for greater integration of mechanistic modeling approaches. </w:t>
      </w:r>
    </w:p>
    <w:p w14:paraId="57ACE8B3" w14:textId="77777777" w:rsidR="00ED6A83" w:rsidRDefault="00000000">
      <w:r>
        <w:t xml:space="preserve">Focusing on mAb PK characterization and the role of mechanistic PK modeling, although scientific framework for mAb PBPK is there,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[PMIDs: 31464379, 35491902]; however, these frameworks did not incorporate target-mAb interactions governing nonlinear, target-mediated clearance. Although some </w:t>
      </w:r>
      <w:proofErr w:type="spellStart"/>
      <w:r>
        <w:t>mAbs</w:t>
      </w:r>
      <w:proofErr w:type="spellEnd"/>
      <w:r>
        <w:t xml:space="preserve"> exhibit linear PK at dose range of interest, target-mediated drug disposition is inherent to therapeutic antibodies. For example, at high doses, even </w:t>
      </w:r>
      <w:proofErr w:type="spellStart"/>
      <w:r>
        <w:t>mAbs</w:t>
      </w:r>
      <w:proofErr w:type="spellEnd"/>
      <w:r>
        <w:t xml:space="preserve"> known to exhibit non-linear PK can appear linear upon target saturation, and at low doses, even </w:t>
      </w:r>
      <w:proofErr w:type="spellStart"/>
      <w:r>
        <w:t>mAbs</w:t>
      </w:r>
      <w:proofErr w:type="spellEnd"/>
      <w:r>
        <w:t xml:space="preserve">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14:paraId="1F67FE89" w14:textId="036F4850" w:rsidR="00ED6A83" w:rsidRDefault="00000000">
      <w:r>
        <w:t xml:space="preserve">The objectives of this manuscript were, (1) to perform a retrospective, proof-of-concept analysis of “a priori” PBPK modeling as a NAM to support human PK predictions for </w:t>
      </w:r>
      <w:proofErr w:type="spellStart"/>
      <w:r>
        <w:t>mAbs</w:t>
      </w:r>
      <w:proofErr w:type="spellEnd"/>
      <w:r>
        <w:t xml:space="preserve">, (2) to perform population simulations of preclinical monkey study designs to investigate </w:t>
      </w:r>
      <w:r w:rsidR="00A96216">
        <w:t xml:space="preserve">feasibility of reduced sample size and number of dosing groups to characterize </w:t>
      </w:r>
      <w:proofErr w:type="spellStart"/>
      <w:r w:rsidR="00A96216">
        <w:t>mAbs</w:t>
      </w:r>
      <w:proofErr w:type="spellEnd"/>
      <w:r w:rsidR="00A96216">
        <w:t xml:space="preserve"> PK.</w:t>
      </w:r>
    </w:p>
    <w:p w14:paraId="739C89A2" w14:textId="77777777" w:rsidR="00ED6A83" w:rsidRDefault="00000000">
      <w:pPr>
        <w:pStyle w:val="Heading1"/>
      </w:pPr>
      <w:r>
        <w:lastRenderedPageBreak/>
        <w:t>Methods</w:t>
      </w:r>
    </w:p>
    <w:p w14:paraId="57591113" w14:textId="77777777" w:rsidR="00ED6A83" w:rsidRDefault="00000000">
      <w:pPr>
        <w:pStyle w:val="Heading2"/>
      </w:pPr>
      <w:r>
        <w:t>Data</w:t>
      </w:r>
    </w:p>
    <w:p w14:paraId="0EF0DE3F" w14:textId="496BE933" w:rsidR="00ED6A83" w:rsidRDefault="00000000">
      <w:r>
        <w:t xml:space="preserve">Pharmacokinetic profiles for eight monoclonal antibodies, spanning across 5 different targets, following intravenous dosing in monkeys and in humans were digitized from literature using </w:t>
      </w:r>
      <w:proofErr w:type="spellStart"/>
      <w:r>
        <w:t>webplotdigitizer</w:t>
      </w:r>
      <w:proofErr w:type="spellEnd"/>
      <w:r>
        <w:t xml:space="preserve"> tool [https://automeris.io/].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 xml:space="preserve">Supplementary material </w:t>
      </w:r>
      <w:r w:rsidR="00B12073">
        <w:rPr>
          <w:bCs/>
        </w:rPr>
        <w:t>1</w:t>
      </w:r>
      <w:r>
        <w:t xml:space="preserve">. </w:t>
      </w:r>
    </w:p>
    <w:p w14:paraId="498AD048" w14:textId="77777777" w:rsidR="00ED6A83" w:rsidRDefault="00000000">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“A priori” PBPK Approach</w:t>
      </w:r>
    </w:p>
    <w:p w14:paraId="6D65393D" w14:textId="22FCEA76" w:rsidR="00ED6A83" w:rsidRDefault="00000000">
      <w:r>
        <w:t xml:space="preserve">A large molecule structural model was first incorporated in PK-Sim, including its binding to FcRn and to a generic target. The model was exported to Mobi and TMDD processes were added using a modular approach [PMIDs: ref to PK-Sim V12 modular approach paper/poster]. Next, we created target expressions profiles in monkeys and humans for each of the targets including relevant localization. PKML simulations files containing generic large molecule PK model and target expressions, one file per target and species (monkey or human), were exported [PMIDs: ref to expression database paper by OSPS]. IV single dose simulations were performed using R scripts using </w:t>
      </w:r>
      <w:proofErr w:type="spellStart"/>
      <w:r>
        <w:t>esqlabsr</w:t>
      </w:r>
      <w:proofErr w:type="spellEnd"/>
      <w:r>
        <w:t xml:space="preserve"> and </w:t>
      </w:r>
      <w:proofErr w:type="spellStart"/>
      <w:r>
        <w:t>ospsuite</w:t>
      </w:r>
      <w:proofErr w:type="spellEnd"/>
      <w:r>
        <w:t xml:space="preserve"> packages [PMIDs: ref]. Exposure metrics (</w:t>
      </w:r>
      <w:proofErr w:type="spellStart"/>
      <w:r>
        <w:t>Cmax</w:t>
      </w:r>
      <w:proofErr w:type="spellEnd"/>
      <w:r>
        <w:t>, AUC</w:t>
      </w:r>
      <w:r>
        <w:rPr>
          <w:sz w:val="22"/>
          <w:szCs w:val="22"/>
          <w:vertAlign w:val="subscript"/>
        </w:rPr>
        <w:t>0-28d</w:t>
      </w:r>
      <w:r>
        <w:t>) and fold errors were calculated for each molecule and dose level, where observed data were available. Full details of the workflow and all files and codes are provided in</w:t>
      </w:r>
      <w:r>
        <w:rPr>
          <w:bCs/>
        </w:rPr>
        <w:t xml:space="preserve"> Supplementary material </w:t>
      </w:r>
      <w:r w:rsidR="00B12073">
        <w:rPr>
          <w:bCs/>
        </w:rPr>
        <w:t>1</w:t>
      </w:r>
      <w:r>
        <w:t xml:space="preserve">. </w:t>
      </w:r>
    </w:p>
    <w:p w14:paraId="5F51C641" w14:textId="77777777" w:rsidR="00ED6A83" w:rsidRDefault="00000000">
      <w:pPr>
        <w:pStyle w:val="Heading2"/>
      </w:pPr>
      <w:r>
        <w:t>Top-Down TMDD Approach for Comparison</w:t>
      </w:r>
    </w:p>
    <w:p w14:paraId="5F2F976F" w14:textId="77777777" w:rsidR="00ED6A83" w:rsidRDefault="00000000">
      <w:r>
        <w:t xml:space="preserve">In top-down TMDD modeling approach, quasi-steady-state (QSS) TMDD model was fitted to monkey PK profiles for each molecule using nlmxir2 package in R. Target concentration and binding affinity were fixed to literature-derived in vitro measured values. The same values that were used per molecule in “a priori” approach were used in this approach. Two parameters, clearance (CL) and internalization rate constant (kint) were estimated by model fitting. Other alternative models estimating target concentrations, target degradation rate (kdeg), </w:t>
      </w:r>
      <w:proofErr w:type="spellStart"/>
      <w:r>
        <w:t>etc</w:t>
      </w:r>
      <w:proofErr w:type="spellEnd"/>
      <w:r>
        <w:t xml:space="preserve"> were also evaluated. Given limited dose levels data available for fitting TMDD, fitting of minimal number of parameters was considered. Final model structure was selected based on objective function values (OFV). </w:t>
      </w:r>
    </w:p>
    <w:p w14:paraId="3FD165C6" w14:textId="77777777" w:rsidR="00ED6A83" w:rsidRDefault="00000000">
      <w:r>
        <w:t xml:space="preserve">Human PK predictions were generated by translating the final monkey TMDD model to humans. Linear clearance was scaled using standard allometric scaling with an exponent of 0.85, while distribution volumes were scaled proportionally to body weight. The </w:t>
      </w:r>
      <w:r>
        <w:lastRenderedPageBreak/>
        <w:t xml:space="preserve">internalization rate constant (kint) and binding affinity (KD) were assumed to be conserved across species and fixed to the monkey estimates. Human target concentrations were obtained from literature sources and remained same across both “a priori” and top-down approach. Simulated monkey and human exposures, </w:t>
      </w:r>
      <w:proofErr w:type="spellStart"/>
      <w:r>
        <w:t>Cmax</w:t>
      </w:r>
      <w:proofErr w:type="spellEnd"/>
      <w:r>
        <w:t>, AUC, were compared against the observed and fold-errors were calculated.</w:t>
      </w:r>
    </w:p>
    <w:p w14:paraId="4074D1BA" w14:textId="505A1DE0" w:rsidR="00EA3ACE" w:rsidRDefault="00EA3ACE" w:rsidP="005145D8">
      <w:pPr>
        <w:rPr>
          <w:rFonts w:asciiTheme="majorHAnsi" w:eastAsiaTheme="majorEastAsia" w:hAnsiTheme="majorHAnsi" w:cstheme="majorBidi"/>
          <w:b/>
          <w:sz w:val="32"/>
          <w:szCs w:val="32"/>
        </w:rPr>
      </w:pPr>
      <w:r w:rsidRPr="00EA3ACE">
        <w:rPr>
          <w:rFonts w:asciiTheme="majorHAnsi" w:eastAsiaTheme="majorEastAsia" w:hAnsiTheme="majorHAnsi" w:cstheme="majorBidi"/>
          <w:b/>
          <w:sz w:val="32"/>
          <w:szCs w:val="32"/>
        </w:rPr>
        <w:t>Evaluating Reduced Monkey PK Study Designs Using</w:t>
      </w:r>
      <w:r>
        <w:rPr>
          <w:rFonts w:asciiTheme="majorHAnsi" w:eastAsiaTheme="majorEastAsia" w:hAnsiTheme="majorHAnsi" w:cstheme="majorBidi"/>
          <w:b/>
          <w:sz w:val="32"/>
          <w:szCs w:val="32"/>
        </w:rPr>
        <w:t xml:space="preserve"> Simulations</w:t>
      </w:r>
    </w:p>
    <w:p w14:paraId="0D3BAFB8" w14:textId="345C6FF0" w:rsidR="005145D8" w:rsidRDefault="005145D8" w:rsidP="005145D8">
      <w:r>
        <w:t xml:space="preserve">To </w:t>
      </w:r>
      <w:r w:rsidR="00DB362F">
        <w:t xml:space="preserve">evaluate appropriateness of reduced </w:t>
      </w:r>
      <w:r w:rsidR="00EA3ACE">
        <w:t>PK studies (</w:t>
      </w:r>
      <w:r w:rsidR="00DB362F">
        <w:t xml:space="preserve">sample size and </w:t>
      </w:r>
      <w:r w:rsidR="00EA3ACE">
        <w:t>dose</w:t>
      </w:r>
      <w:r w:rsidR="00DB362F">
        <w:t xml:space="preserve"> </w:t>
      </w:r>
      <w:r w:rsidR="00EA3ACE">
        <w:t>groups) in case “a priori” PBPK predictions fall out of 2-fold, monkey PK study simulations were performed. M</w:t>
      </w:r>
      <w:r w:rsidRPr="005145D8">
        <w:t xml:space="preserve">olecules with at least one a priori AUC fold-error outside the 2-fold interval were considered cases where a reduced monkey PK study would be </w:t>
      </w:r>
      <w:r>
        <w:t>needed</w:t>
      </w:r>
      <w:r w:rsidRPr="005145D8">
        <w:t xml:space="preserve">. </w:t>
      </w:r>
      <w:r>
        <w:t>For these</w:t>
      </w:r>
      <w:r w:rsidRPr="005145D8">
        <w:t xml:space="preserve"> molecules, the observed-informed top-down monkey model was used as the retrospective reference for true monkey PK. </w:t>
      </w:r>
      <w:r>
        <w:t>A virtual population of 100 monkeys was generated by sampling body weights using a normal distribution (</w:t>
      </w:r>
      <w:r w:rsidR="00DB362F">
        <w:t xml:space="preserve">mean 4 kg, </w:t>
      </w:r>
      <w:proofErr w:type="spellStart"/>
      <w:r w:rsidR="00DB362F">
        <w:t>sd</w:t>
      </w:r>
      <w:proofErr w:type="spellEnd"/>
      <w:r w:rsidR="00DB362F">
        <w:t xml:space="preserve"> 0.8</w:t>
      </w:r>
      <w:r>
        <w:t>)</w:t>
      </w:r>
      <w:r w:rsidR="00DB362F">
        <w:t xml:space="preserve"> and parameters of top-down models for the selected molecules incorporating 30% inter-individual variability</w:t>
      </w:r>
      <w:r w:rsidR="00EA3ACE">
        <w:t xml:space="preserve"> in all parameters (estimated and fixed in top-down simulations above)</w:t>
      </w:r>
      <w:r w:rsidR="00DB362F">
        <w:t>.</w:t>
      </w:r>
      <w:r>
        <w:t xml:space="preserve"> </w:t>
      </w:r>
      <w:r w:rsidRPr="005145D8">
        <w:t>Reduced PK studies were simulated by sampling small group</w:t>
      </w:r>
      <w:r>
        <w:t>s (2, 3, 4, and 5)</w:t>
      </w:r>
      <w:r w:rsidRPr="005145D8">
        <w:t xml:space="preserve"> of animals</w:t>
      </w:r>
      <w:r w:rsidR="00DB362F">
        <w:t xml:space="preserve"> and practical sampling timepoints (</w:t>
      </w:r>
      <w:proofErr w:type="spellStart"/>
      <w:r w:rsidR="00DB362F">
        <w:t>hrs</w:t>
      </w:r>
      <w:proofErr w:type="spellEnd"/>
      <w:r w:rsidR="00DB362F">
        <w:t xml:space="preserve"> 0.25, 1, 2, 4, 8</w:t>
      </w:r>
      <w:r w:rsidR="00B12073">
        <w:t>;</w:t>
      </w:r>
      <w:r w:rsidR="00DB362F">
        <w:t xml:space="preserve"> day 1, 2, 6, 10, 14, 21, 28)</w:t>
      </w:r>
      <w:r w:rsidRPr="005145D8">
        <w:t xml:space="preserve"> from </w:t>
      </w:r>
      <w:r>
        <w:t>a</w:t>
      </w:r>
      <w:r w:rsidRPr="005145D8">
        <w:t xml:space="preserve"> virtual population</w:t>
      </w:r>
      <w:r w:rsidR="00DB362F">
        <w:t xml:space="preserve">. </w:t>
      </w:r>
      <w:r w:rsidR="00E1688E">
        <w:t xml:space="preserve">Two (0.3, 3, and 10 mg/kg) and three (0.3 and 10 mg/kg) dose groups were simulated for all molecules. </w:t>
      </w:r>
      <w:r w:rsidR="00DB362F">
        <w:t>Simulated</w:t>
      </w:r>
      <w:r w:rsidRPr="005145D8">
        <w:t xml:space="preserve"> study geometric mean AUC</w:t>
      </w:r>
      <w:r w:rsidR="00DB362F">
        <w:t xml:space="preserve"> were compared</w:t>
      </w:r>
      <w:r w:rsidRPr="005145D8">
        <w:t xml:space="preserve"> with the full top-down population geometric mean AUC</w:t>
      </w:r>
      <w:r w:rsidR="00E900D1">
        <w:t xml:space="preserve"> calculated using rich sampling timepoints</w:t>
      </w:r>
      <w:r w:rsidR="00940FC2">
        <w:t xml:space="preserve"> (</w:t>
      </w:r>
      <w:proofErr w:type="spellStart"/>
      <w:r w:rsidR="00C37431">
        <w:t>hrs</w:t>
      </w:r>
      <w:proofErr w:type="spellEnd"/>
      <w:r w:rsidR="00C37431">
        <w:t xml:space="preserve"> 0.25, 0.5, 1, then </w:t>
      </w:r>
      <w:r w:rsidR="00940FC2">
        <w:t>once every hour</w:t>
      </w:r>
      <w:r w:rsidR="00D4233D">
        <w:t xml:space="preserve"> </w:t>
      </w:r>
      <w:proofErr w:type="spellStart"/>
      <w:proofErr w:type="gramStart"/>
      <w:r w:rsidR="00D4233D">
        <w:t>upto</w:t>
      </w:r>
      <w:proofErr w:type="spellEnd"/>
      <w:proofErr w:type="gramEnd"/>
      <w:r w:rsidR="00D4233D">
        <w:t xml:space="preserve"> 28 days</w:t>
      </w:r>
      <w:r w:rsidR="00940FC2">
        <w:t>)</w:t>
      </w:r>
      <w:r w:rsidR="00E900D1">
        <w:t xml:space="preserve"> and sample size of 100</w:t>
      </w:r>
      <w:r w:rsidRPr="005145D8">
        <w:t>.</w:t>
      </w:r>
    </w:p>
    <w:p w14:paraId="3C9D75CB" w14:textId="2AA168BC" w:rsidR="00ED6A83" w:rsidRDefault="00000000">
      <w:pPr>
        <w:pStyle w:val="Heading1"/>
      </w:pPr>
      <w:r>
        <w:t>Results</w:t>
      </w:r>
    </w:p>
    <w:p w14:paraId="7FBCC947" w14:textId="77777777" w:rsidR="00ED6A83" w:rsidRDefault="00000000">
      <w:pPr>
        <w:pStyle w:val="Heading2"/>
      </w:pPr>
      <w:r>
        <w:t xml:space="preserve">Comparing “a priori” PBPK with Top-Down TMDD Approach for Human PK Predictions </w:t>
      </w:r>
    </w:p>
    <w:p w14:paraId="0882B583" w14:textId="473874B0" w:rsidR="00ED6A83" w:rsidRDefault="00000000">
      <w:pPr>
        <w:rPr>
          <w:b/>
        </w:rPr>
      </w:pPr>
      <w:r>
        <w:t xml:space="preserve">Both “a priori” PBPK and top-down TMDD approaches were first compared in monkeys to evaluate how well each workflow reproduced the PK data </w:t>
      </w:r>
      <w:r>
        <w:rPr>
          <w:b/>
          <w:bCs/>
        </w:rPr>
        <w:t>(Table 1)</w:t>
      </w:r>
      <w:r>
        <w:t xml:space="preserve">. Across the 8 drugs and 14 dose levels evaluated, “a priori” PBPK predictions captured </w:t>
      </w:r>
      <w:proofErr w:type="spellStart"/>
      <w:r>
        <w:t>Cmax</w:t>
      </w:r>
      <w:proofErr w:type="spellEnd"/>
      <w:r>
        <w:t xml:space="preserve"> well, with 13 of 14 </w:t>
      </w:r>
      <w:proofErr w:type="spellStart"/>
      <w:r>
        <w:t>Cmax</w:t>
      </w:r>
      <w:proofErr w:type="spellEnd"/>
      <w:r>
        <w:t xml:space="preserve"> values within two-fold of observed data (accuracy 0.92). AUC predictions were more variable, with 8 of 14 values within two-fold (accuracy 0.58). As expected, in top-down TMDD approach, in which monkey PK data were fitted by estimating CL and kint, all AUC values were within two</w:t>
      </w:r>
      <w:r>
        <w:rPr>
          <w:b/>
        </w:rPr>
        <w:t>-</w:t>
      </w:r>
      <w:r>
        <w:t xml:space="preserve">fold, and 13 of 14 </w:t>
      </w:r>
      <w:proofErr w:type="spellStart"/>
      <w:r>
        <w:t>Cmax</w:t>
      </w:r>
      <w:proofErr w:type="spellEnd"/>
      <w:r>
        <w:t xml:space="preserve"> values were within two-fold. Human PK predictions were then compared to priori PBPK workflow performance compared to translation from monkeys </w:t>
      </w:r>
      <w:r>
        <w:rPr>
          <w:b/>
          <w:bCs/>
        </w:rPr>
        <w:t>(</w:t>
      </w:r>
      <w:r w:rsidR="00B12073">
        <w:rPr>
          <w:b/>
          <w:bCs/>
        </w:rPr>
        <w:t xml:space="preserve">Figure 1, Figure 2, </w:t>
      </w:r>
      <w:r>
        <w:rPr>
          <w:b/>
          <w:bCs/>
        </w:rPr>
        <w:t xml:space="preserve">Table </w:t>
      </w:r>
      <w:r w:rsidR="00B12073">
        <w:rPr>
          <w:b/>
          <w:bCs/>
        </w:rPr>
        <w:t>1, Table 2</w:t>
      </w:r>
      <w:r>
        <w:rPr>
          <w:b/>
          <w:bCs/>
        </w:rPr>
        <w:t>).</w:t>
      </w:r>
      <w:r>
        <w:t xml:space="preserve"> Overall, both approaches provided comparable human prediction accuracy. </w:t>
      </w:r>
      <w:r>
        <w:rPr>
          <w:bCs/>
        </w:rPr>
        <w:t>F</w:t>
      </w:r>
      <w:r>
        <w:t xml:space="preserve">or AUC, both approaches showed </w:t>
      </w:r>
      <w:r>
        <w:lastRenderedPageBreak/>
        <w:t xml:space="preserve">similar overall performance, with 23 of 28 human dose levels within two-fold (accuracy 0.82). For </w:t>
      </w:r>
      <w:proofErr w:type="spellStart"/>
      <w:r>
        <w:t>Cmax</w:t>
      </w:r>
      <w:proofErr w:type="spellEnd"/>
      <w:r>
        <w:t>, 27 of 28 human dose levels were within two-fold for both “a priori” PBPK and top-down TMDD predictions (accuracy 0.96). Taken together, these results indicate that “a priori” PBPK provided human PK predictions that were broadly comparable to those translated from monkey-fitted top-down TMDD approach. Although top-down fitting improved recovery of monkey PK data, it did not provide a consistent advantage for human prediction across molecules.  Given that empirical fitting to monkey PK did not consistently improve human predictions compared to “a priori” approach, these findings support that the “a priori” PBPK framework captures the major mechanistic determinants of human mAb disposition sufficiently well.</w:t>
      </w:r>
    </w:p>
    <w:p w14:paraId="33EB7AF3" w14:textId="77777777" w:rsidR="00EA3ACE" w:rsidRDefault="00EA3ACE" w:rsidP="00EA3ACE">
      <w:pPr>
        <w:rPr>
          <w:rFonts w:asciiTheme="majorHAnsi" w:eastAsiaTheme="majorEastAsia" w:hAnsiTheme="majorHAnsi" w:cstheme="majorBidi"/>
          <w:b/>
          <w:sz w:val="32"/>
          <w:szCs w:val="32"/>
        </w:rPr>
      </w:pPr>
      <w:r w:rsidRPr="00EA3ACE">
        <w:rPr>
          <w:rFonts w:asciiTheme="majorHAnsi" w:eastAsiaTheme="majorEastAsia" w:hAnsiTheme="majorHAnsi" w:cstheme="majorBidi"/>
          <w:b/>
          <w:sz w:val="32"/>
          <w:szCs w:val="32"/>
        </w:rPr>
        <w:t>Evaluating Reduced Monkey PK Study Designs Using</w:t>
      </w:r>
      <w:r>
        <w:rPr>
          <w:rFonts w:asciiTheme="majorHAnsi" w:eastAsiaTheme="majorEastAsia" w:hAnsiTheme="majorHAnsi" w:cstheme="majorBidi"/>
          <w:b/>
          <w:sz w:val="32"/>
          <w:szCs w:val="32"/>
        </w:rPr>
        <w:t xml:space="preserve"> Simulations</w:t>
      </w:r>
    </w:p>
    <w:p w14:paraId="5141F261" w14:textId="30718AF5" w:rsidR="00B12073" w:rsidRPr="00B12073" w:rsidRDefault="00B12073" w:rsidP="00B12073">
      <w:r w:rsidRPr="00B12073">
        <w:t xml:space="preserve">Based on the “a priori” PBPK simulations, four of the eight evaluated </w:t>
      </w:r>
      <w:proofErr w:type="spellStart"/>
      <w:r w:rsidRPr="00B12073">
        <w:t>mAbs</w:t>
      </w:r>
      <w:proofErr w:type="spellEnd"/>
      <w:r w:rsidR="00E219CE">
        <w:t xml:space="preserve">, </w:t>
      </w:r>
      <w:r w:rsidRPr="00B12073">
        <w:t>atezolizumab, avelumab, nivolumab, and pembrolizumab</w:t>
      </w:r>
      <w:r w:rsidR="00E219CE">
        <w:t xml:space="preserve">, </w:t>
      </w:r>
      <w:r w:rsidRPr="00B12073">
        <w:t>had at least one dose level with an AUC prediction outside the prespecified two-fold criterion. These molecules were therefore carried forward into the reduced-study simulation analysis. Across the four molecules and simulated dose levels, reduced-study designs robustly recovered the reference AUC derived from the full top-down virtual population</w:t>
      </w:r>
      <w:r w:rsidR="00940FC2">
        <w:t xml:space="preserve"> with rich sampling</w:t>
      </w:r>
      <w:r w:rsidRPr="00B12073">
        <w:t>. For sample sizes of 2 to 5 animals per dose group, evaluated using both two-dose and three-dose designs, the probability that the reduced-study geometric mean AUC remained within two-fold of the full-population</w:t>
      </w:r>
      <w:r w:rsidR="00940FC2">
        <w:t xml:space="preserve"> true </w:t>
      </w:r>
      <w:r w:rsidRPr="00B12073">
        <w:t xml:space="preserve">geometric mean AUC was 100% across all molecules and dose levels </w:t>
      </w:r>
      <w:r w:rsidRPr="00B12073">
        <w:rPr>
          <w:b/>
          <w:bCs/>
        </w:rPr>
        <w:t xml:space="preserve">(Figure </w:t>
      </w:r>
      <w:r w:rsidR="00AF5181">
        <w:rPr>
          <w:b/>
          <w:bCs/>
        </w:rPr>
        <w:t>3</w:t>
      </w:r>
      <w:r w:rsidRPr="00B12073">
        <w:rPr>
          <w:b/>
          <w:bCs/>
        </w:rPr>
        <w:t>)</w:t>
      </w:r>
      <w:r w:rsidRPr="00B12073">
        <w:t>. The 5th–95th percentile fold-error intervals also remained well within the two-fold interval, further supporting the adequacy of the reduced PK design under the simulated variability assumptions.</w:t>
      </w:r>
    </w:p>
    <w:p w14:paraId="69FC64E7" w14:textId="603C83DF" w:rsidR="00B12073" w:rsidRPr="00B12073" w:rsidRDefault="00B12073" w:rsidP="00B12073">
      <w:r w:rsidRPr="00B12073">
        <w:t>Both the two-dose and three-dose designs achieved 100% success across all simulated replicates and evaluated sample sizes. Therefore, increasing the sample size beyond two animals per dose group or adding a third dose group did not improve performance against the prespecified AUC recovery criterion in these simulations. Overall, these results support a reduced, PBPK-informed monkey PK study design</w:t>
      </w:r>
      <w:r w:rsidR="00940FC2">
        <w:t xml:space="preserve">, </w:t>
      </w:r>
      <w:r w:rsidRPr="00B12073">
        <w:t>for example, two dose groups with two animals per group</w:t>
      </w:r>
      <w:r w:rsidR="00940FC2">
        <w:t xml:space="preserve">, </w:t>
      </w:r>
      <w:r w:rsidRPr="00B12073">
        <w:t>as a practical confirmatory strategy</w:t>
      </w:r>
      <w:r w:rsidR="00940FC2">
        <w:t>.</w:t>
      </w:r>
    </w:p>
    <w:p w14:paraId="05E3FEFD" w14:textId="77777777" w:rsidR="00ED6A83" w:rsidRDefault="00000000">
      <w:pPr>
        <w:pStyle w:val="Heading1"/>
      </w:pPr>
      <w:r>
        <w:t>Discussion</w:t>
      </w:r>
    </w:p>
    <w:p w14:paraId="22A42846" w14:textId="183AABF2" w:rsidR="00EA3ACE" w:rsidRDefault="00000000" w:rsidP="00EA3ACE">
      <w:r>
        <w:t xml:space="preserve">In this retrospective, proof-of-concept analysis, the “a priori” PBPK approach </w:t>
      </w:r>
      <w:r w:rsidR="00B439ED">
        <w:t xml:space="preserve">showcased </w:t>
      </w:r>
      <w:r>
        <w:t>similar human predictive performance as compared to top-down monkey to human translation approach</w:t>
      </w:r>
      <w:r w:rsidR="00B439ED">
        <w:t xml:space="preserve"> for first-in-human PK prediction of </w:t>
      </w:r>
      <w:proofErr w:type="spellStart"/>
      <w:r w:rsidR="00B439ED">
        <w:t>mAbs</w:t>
      </w:r>
      <w:proofErr w:type="spellEnd"/>
      <w:r>
        <w:t xml:space="preserve">. </w:t>
      </w:r>
      <w:r w:rsidR="00AF5181">
        <w:t xml:space="preserve">Whereas the conventional workflow relies on multiple monkey PK studies before model-based first-in-human </w:t>
      </w:r>
      <w:r w:rsidR="00AF5181">
        <w:lastRenderedPageBreak/>
        <w:t xml:space="preserve">exposure prediction, the proposed workflow integrates molecule- and target-specific in vitro data into “a priori” PBPK models before in vivo PK testing; data from reduced PK studies together with these PBPK models can then be used to optimize any additional monkey PK studies, only if needed, and to support human PK/exposure prediction while reducing reliance on empirical preclinical species-to-human translation </w:t>
      </w:r>
      <w:r w:rsidR="00AF5181" w:rsidRPr="00AF5181">
        <w:rPr>
          <w:b/>
          <w:bCs/>
        </w:rPr>
        <w:t>(Figure 4)</w:t>
      </w:r>
      <w:r w:rsidR="00AF5181">
        <w:t xml:space="preserve">. </w:t>
      </w:r>
      <w:r>
        <w:t>The results support the feasibility of using mechanistic PBPK approach, informed by in vitro parameters as an early translational tool for human mAb PK prediction and as a basis for reducing reliance on conventional monkey preclinical PK studies.</w:t>
      </w:r>
      <w:r w:rsidR="00EE38FB">
        <w:t xml:space="preserve"> </w:t>
      </w:r>
      <w:r w:rsidR="00EA3ACE" w:rsidRPr="00626125">
        <w:t xml:space="preserve">Using the prespecified illustrative study-design comparison, the </w:t>
      </w:r>
      <w:r w:rsidR="00EE38FB">
        <w:t>proposed</w:t>
      </w:r>
      <w:r w:rsidR="00EA3ACE" w:rsidRPr="00626125">
        <w:t xml:space="preserve"> workflow was estimated to substantially reduce the animal use required for </w:t>
      </w:r>
      <w:proofErr w:type="spellStart"/>
      <w:r w:rsidR="00EE38FB">
        <w:t>mAbs’</w:t>
      </w:r>
      <w:proofErr w:type="spellEnd"/>
      <w:r w:rsidR="00EA3ACE" w:rsidRPr="00626125">
        <w:t xml:space="preserve"> PK characterization. A conventional </w:t>
      </w:r>
      <w:r w:rsidR="00415714">
        <w:t xml:space="preserve">single-dose </w:t>
      </w:r>
      <w:r w:rsidR="00EE38FB">
        <w:t xml:space="preserve">preclinical PK study </w:t>
      </w:r>
      <w:r w:rsidR="00EA3ACE" w:rsidRPr="00626125">
        <w:t xml:space="preserve">design consisting of </w:t>
      </w:r>
      <w:r w:rsidR="00EE38FB">
        <w:t>at least 3</w:t>
      </w:r>
      <w:r w:rsidR="00EA3ACE" w:rsidRPr="00626125">
        <w:t xml:space="preserve"> animals per dose group</w:t>
      </w:r>
      <w:r w:rsidR="00415714">
        <w:t xml:space="preserve"> and </w:t>
      </w:r>
      <w:r w:rsidR="00EE38FB">
        <w:t>5</w:t>
      </w:r>
      <w:r w:rsidR="00EA3ACE" w:rsidRPr="00626125">
        <w:t xml:space="preserve"> dose groups</w:t>
      </w:r>
      <w:r w:rsidR="00EE38FB">
        <w:t xml:space="preserve"> </w:t>
      </w:r>
      <w:r w:rsidR="00EA3ACE" w:rsidRPr="00626125">
        <w:t xml:space="preserve">would require </w:t>
      </w:r>
      <w:r w:rsidR="00415714">
        <w:t xml:space="preserve">at least </w:t>
      </w:r>
      <w:r w:rsidR="00EE38FB">
        <w:t xml:space="preserve">15 </w:t>
      </w:r>
      <w:r w:rsidR="00EA3ACE" w:rsidRPr="00626125">
        <w:t>animals</w:t>
      </w:r>
      <w:r w:rsidR="00415714">
        <w:t xml:space="preserve"> for single-dose PK study</w:t>
      </w:r>
      <w:r w:rsidR="00EA3ACE" w:rsidRPr="00626125">
        <w:t xml:space="preserve">, whereas </w:t>
      </w:r>
      <w:r w:rsidR="00415714">
        <w:t>the reduced design</w:t>
      </w:r>
      <w:r w:rsidR="00EA3ACE" w:rsidRPr="00626125">
        <w:t xml:space="preserve"> would require </w:t>
      </w:r>
      <w:r w:rsidR="00415714">
        <w:t>only 4-</w:t>
      </w:r>
      <w:r w:rsidR="00EA3ACE" w:rsidRPr="00626125">
        <w:t>6 animals</w:t>
      </w:r>
      <w:r w:rsidR="00415714">
        <w:t>, corresponding to 6</w:t>
      </w:r>
      <w:r w:rsidR="00EA3ACE" w:rsidRPr="00626125">
        <w:t xml:space="preserve">0% reduction in animal use </w:t>
      </w:r>
      <w:r w:rsidR="00415714">
        <w:t xml:space="preserve">for the single-dose PK study design. </w:t>
      </w:r>
      <w:r w:rsidR="00EA3ACE" w:rsidRPr="00626125">
        <w:t xml:space="preserve">In addition to reducing animal use, the PBPK-informed strategy shifts key dose-selection and exposure-translation decisions earlier in development, allowing NHP studies, when still needed, to be designed as targeted confirmatory studies rather than empirical screening studies. </w:t>
      </w:r>
    </w:p>
    <w:p w14:paraId="5411932D" w14:textId="34E98C4F" w:rsidR="00415714" w:rsidRDefault="00415714" w:rsidP="00415714">
      <w:r>
        <w:t xml:space="preserve">Our analysis focused on IV single-dose PK evaluations for </w:t>
      </w:r>
      <w:proofErr w:type="spellStart"/>
      <w:r>
        <w:t>mAbs</w:t>
      </w:r>
      <w:proofErr w:type="spellEnd"/>
      <w:r>
        <w:t xml:space="preserve">,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w:t>
      </w:r>
      <w:proofErr w:type="spellStart"/>
      <w:r>
        <w:t>mAbs</w:t>
      </w:r>
      <w:proofErr w:type="spellEnd"/>
      <w:r>
        <w:t>,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[PMIDs: 20962582, 21241072].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dose-</w:t>
      </w:r>
      <w:r>
        <w:lastRenderedPageBreak/>
        <w:t xml:space="preserve">range finding toxicology or GLP repeat-dose toxicology studies can provide repeat-dose exposure characterization without a dedicated standalone PK study [PMID: 23524271],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absorption kinetics. Lessons learned from </w:t>
      </w:r>
      <w:proofErr w:type="spellStart"/>
      <w:r>
        <w:t>mAbs</w:t>
      </w:r>
      <w:proofErr w:type="spellEnd"/>
      <w:r>
        <w:t xml:space="preserve">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and reduction in animal use foundation for predicting repeat-dose exposure and informing broader “a priori” NAM-based workflows across therapeutic modalities.</w:t>
      </w:r>
    </w:p>
    <w:p w14:paraId="29CF4E66" w14:textId="51C2E3F4" w:rsidR="00ED6A83" w:rsidRDefault="00000000">
      <w:r w:rsidRPr="00626125">
        <w:t xml:space="preserve">The </w:t>
      </w:r>
      <w:r w:rsidR="00415714">
        <w:t xml:space="preserve">proposed </w:t>
      </w:r>
      <w:r w:rsidRPr="00626125">
        <w:t>“a priori” PBPK modeling as NAM approach is feasible when robust in vitro experimental data for mechanistic parameters are available. In our retrospective analysis</w:t>
      </w:r>
      <w:proofErr w:type="gramStart"/>
      <w:r w:rsidRPr="00626125">
        <w:t>, in</w:t>
      </w:r>
      <w:proofErr w:type="gramEnd"/>
      <w:r w:rsidRPr="00626125">
        <w:t xml:space="preserve"> vitro parameters were derived from literature search (Supplementary Material </w:t>
      </w:r>
      <w:r w:rsidR="00B12073" w:rsidRPr="00626125">
        <w:t>1</w:t>
      </w:r>
      <w:r w:rsidRPr="00626125">
        <w:t>). Drug–target binding affinity was available from experimental binding assays for all included molecules, either from equilibrium binding or SPR/</w:t>
      </w:r>
      <w:proofErr w:type="spellStart"/>
      <w:r w:rsidRPr="00626125">
        <w:t>Biacore</w:t>
      </w:r>
      <w:proofErr w:type="spellEnd"/>
      <w:r w:rsidRPr="00626125">
        <w:t xml:space="preserve"> assays. FcRn binding affinity was available from SPR/</w:t>
      </w:r>
      <w:proofErr w:type="spellStart"/>
      <w:r w:rsidRPr="00626125">
        <w:t>Biacore</w:t>
      </w:r>
      <w:proofErr w:type="spellEnd"/>
      <w:r w:rsidRPr="00626125">
        <w:t xml:space="preserve"> for only atezolizumab and pembrolizumab while a common model-based FcRn KD estimate from a published meta-analysis was used for several other </w:t>
      </w:r>
      <w:proofErr w:type="spellStart"/>
      <w:r w:rsidRPr="00626125">
        <w:t>mAbs</w:t>
      </w:r>
      <w:proofErr w:type="spellEnd"/>
      <w:r w:rsidRPr="00626125">
        <w:t xml:space="preserve"> where molecule-specific FcRn binding data were not available [ref.]. Drug-target complex internalization rate from flow-cytometry–based internalization assay</w:t>
      </w:r>
      <w:r>
        <w:t xml:space="preserve">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w:t>
      </w:r>
      <w:proofErr w:type="spellStart"/>
      <w:r>
        <w:t>mAbs</w:t>
      </w:r>
      <w:proofErr w:type="spellEnd"/>
      <w:r>
        <w:t xml:space="preserve"> would further strengthen prospective PBPK-based NAM workflows. </w:t>
      </w:r>
    </w:p>
    <w:p w14:paraId="7A6CBBC6" w14:textId="3A2D6F04" w:rsidR="00AB0F92" w:rsidRPr="00AB0F92" w:rsidRDefault="00AB0F92" w:rsidP="00AB0F92">
      <w:r w:rsidRPr="00AB0F92">
        <w:t xml:space="preserve">Our </w:t>
      </w:r>
      <w:r>
        <w:t xml:space="preserve">was </w:t>
      </w:r>
      <w:r w:rsidRPr="00AB0F92">
        <w:t>a retrospective, proof-of-concept analysis, constrained by the limited availability of public datasets that included monkey PK, human PK, and sufficient in vitro parameters for mechanistic PBPK modeling. The dataset was therefore modest in size and included heterogeneous literature-derived inputs, with some parameters requiring assumptions or use of prior values. Nevertheless, the analysis provides an important initial evaluation of PBPK as a NAM for mAb PK characterization. In this framework</w:t>
      </w:r>
      <w:r>
        <w:t xml:space="preserve">, we propose </w:t>
      </w:r>
      <w:r w:rsidRPr="00AB0F92">
        <w:t xml:space="preserve">monkey studies, when still needed, </w:t>
      </w:r>
      <w:r>
        <w:t xml:space="preserve">to </w:t>
      </w:r>
      <w:r w:rsidRPr="00AB0F92">
        <w:t xml:space="preserve">be designed to address specific uncertainty rather than to </w:t>
      </w:r>
      <w:r w:rsidRPr="00AB0F92">
        <w:lastRenderedPageBreak/>
        <w:t>broadly characterize PK.</w:t>
      </w:r>
      <w:r>
        <w:t xml:space="preserve"> </w:t>
      </w:r>
      <w:r w:rsidRPr="00AB0F92">
        <w:t xml:space="preserve">Larger-scale retrospective analyses and prospective pilot programs </w:t>
      </w:r>
      <w:r>
        <w:t>can</w:t>
      </w:r>
      <w:r w:rsidRPr="00AB0F92">
        <w:t xml:space="preserve"> further validate and refine this workflow. Future studies should include a broader set of </w:t>
      </w:r>
      <w:proofErr w:type="spellStart"/>
      <w:r w:rsidRPr="00AB0F92">
        <w:t>mAbs</w:t>
      </w:r>
      <w:proofErr w:type="spellEnd"/>
      <w:r w:rsidRPr="00AB0F92">
        <w:t xml:space="preserve"> across different targets, PK behaviors, target-expression patterns, and degrees of species cross-reactivity. Ideally, prospective evaluations should generate standardized in vitro input data, perform “a priori” PBPK simulations before in vivo PK data are available, prespecify quantitative success criteria, and then compare predictions with observed monkey and human PK outcomes. This evidence base </w:t>
      </w:r>
      <w:r>
        <w:t>can help</w:t>
      </w:r>
      <w:r w:rsidRPr="00AB0F92">
        <w:t xml:space="preserve"> define an appropriate context of use for PBPK as a NAM and to support regulatory confidence in PBPK-informed reduction of preclinical monkey PK studies.</w:t>
      </w:r>
    </w:p>
    <w:p w14:paraId="30974D1B" w14:textId="13E12E6D" w:rsidR="00AB0F92" w:rsidRDefault="00AB0F92" w:rsidP="00AB0F92">
      <w:pPr>
        <w:rPr>
          <w:b/>
        </w:rPr>
      </w:pPr>
      <w:r>
        <w:t xml:space="preserve">In our study, </w:t>
      </w:r>
      <w:r w:rsidRPr="00AB0F92">
        <w:t>PK-Si</w:t>
      </w:r>
      <w:r>
        <w:t>m/Mobi</w:t>
      </w:r>
      <w:r w:rsidRPr="00AB0F92">
        <w:t xml:space="preserve"> together with the R packages </w:t>
      </w:r>
      <w:proofErr w:type="spellStart"/>
      <w:r w:rsidRPr="00AB0F92">
        <w:t>ospsuite</w:t>
      </w:r>
      <w:proofErr w:type="spellEnd"/>
      <w:r w:rsidRPr="00AB0F92">
        <w:t xml:space="preserve"> and </w:t>
      </w:r>
      <w:proofErr w:type="spellStart"/>
      <w:r w:rsidRPr="00AB0F92">
        <w:t>esqlabsR</w:t>
      </w:r>
      <w:proofErr w:type="spellEnd"/>
      <w:r w:rsidRPr="00AB0F92">
        <w:t xml:space="preserve">, provided a practical open-source framework for implementing </w:t>
      </w:r>
      <w:r>
        <w:t>reproducible, semi-automated</w:t>
      </w:r>
      <w:r w:rsidRPr="00AB0F92">
        <w:t xml:space="preserve"> workflow. A key advantage of this platform is that it combines physiologically structured PBPK models with curated species-specific physiology and expression databases, enabling target-expression profiles to be defined across monkeys and humans in a consistent manner</w:t>
      </w:r>
      <w:r>
        <w:t xml:space="preserve"> [refs to be added]</w:t>
      </w:r>
      <w:r w:rsidRPr="00AB0F92">
        <w:t xml:space="preserve">. In addition, the ability to export models, modify them in </w:t>
      </w:r>
      <w:proofErr w:type="spellStart"/>
      <w:r w:rsidRPr="00AB0F92">
        <w:t>MoBi</w:t>
      </w:r>
      <w:proofErr w:type="spellEnd"/>
      <w:r>
        <w:t xml:space="preserve"> in structured manner</w:t>
      </w:r>
      <w:r w:rsidRPr="00AB0F92">
        <w:t>, and run simulations programmatically in R allows scalable and reproducible evaluation of multiple molecules, targets, species, and dose levels. This is particularly important for prospective PBPK-based NAM workflows, where standardized model generation, parameter updates, simulation execution, and exposure-metric extraction will be needed to support larger retrospective analyses and future prospective validation studies.</w:t>
      </w:r>
    </w:p>
    <w:p w14:paraId="32E4E557" w14:textId="6F948AA2" w:rsidR="00ED6A83" w:rsidRDefault="00000000">
      <w:pPr>
        <w:pStyle w:val="Heading1"/>
      </w:pPr>
      <w:r>
        <w:t>Conclusions</w:t>
      </w:r>
    </w:p>
    <w:p w14:paraId="5D3432BD" w14:textId="396626DB" w:rsidR="00EF0827" w:rsidRPr="00EF0827" w:rsidRDefault="00EF0827" w:rsidP="00EF0827">
      <w:r w:rsidRPr="00EF0827">
        <w:t xml:space="preserve">This retrospective proof-of-concept analysis supports the feasibility of “a priori” PBPK modeling as a NAM for </w:t>
      </w:r>
      <w:proofErr w:type="spellStart"/>
      <w:r>
        <w:t>mAbs’</w:t>
      </w:r>
      <w:proofErr w:type="spellEnd"/>
      <w:r w:rsidRPr="00EF0827">
        <w:t xml:space="preserve"> </w:t>
      </w:r>
      <w:r>
        <w:t xml:space="preserve">to support first-in-human </w:t>
      </w:r>
      <w:r w:rsidRPr="00EF0827">
        <w:t xml:space="preserve">PK </w:t>
      </w:r>
      <w:r>
        <w:t>characterization</w:t>
      </w:r>
      <w:r w:rsidRPr="00EF0827">
        <w:t xml:space="preserve">. Across the evaluated </w:t>
      </w:r>
      <w:proofErr w:type="spellStart"/>
      <w:r w:rsidRPr="00EF0827">
        <w:t>mAbs</w:t>
      </w:r>
      <w:proofErr w:type="spellEnd"/>
      <w:r w:rsidRPr="00EF0827">
        <w:t xml:space="preserve">, in vitro-informed PBPK predictions provided human </w:t>
      </w:r>
      <w:r>
        <w:t>PK prediction</w:t>
      </w:r>
      <w:r w:rsidRPr="00EF0827">
        <w:t xml:space="preserve"> performance broadly comparable to monkey</w:t>
      </w:r>
      <w:r>
        <w:t>-to-human</w:t>
      </w:r>
      <w:r w:rsidRPr="00EF0827">
        <w:t xml:space="preserve"> top-down translation, suggesting that the major mechanistic determinants of mAb disposition can be captured without empirical fitting to preclinical PK data in many cases. </w:t>
      </w:r>
      <w:r>
        <w:t>Moreover, model</w:t>
      </w:r>
      <w:r w:rsidRPr="00EF0827">
        <w:t>-guided reduced monkey PK studie</w:t>
      </w:r>
      <w:r>
        <w:t>s</w:t>
      </w:r>
      <w:r w:rsidRPr="00EF0827">
        <w:t xml:space="preserve"> can serve as a targeted confirmatory step rather than defaulting to conventional larger explorat</w:t>
      </w:r>
      <w:r>
        <w:t>ory</w:t>
      </w:r>
      <w:r w:rsidRPr="00EF0827">
        <w:t xml:space="preserve"> and repeat-dose PK programs.</w:t>
      </w:r>
      <w:r>
        <w:t xml:space="preserve"> </w:t>
      </w:r>
      <w:r w:rsidRPr="00EF0827">
        <w:t xml:space="preserve">Overall, the proposed workflow provides a practical framework to integrate standardized in vitro parameter generation, open-source PBPK modeling, and reduced in vivo </w:t>
      </w:r>
      <w:r>
        <w:t>pk studies</w:t>
      </w:r>
      <w:r w:rsidRPr="00EF0827">
        <w:t xml:space="preserve"> to support human exposure prediction while reducing animal use</w:t>
      </w:r>
      <w:r>
        <w:t xml:space="preserve"> by &gt;60%</w:t>
      </w:r>
      <w:r w:rsidRPr="00EF0827">
        <w:t xml:space="preserve">. </w:t>
      </w:r>
    </w:p>
    <w:p w14:paraId="123F0889" w14:textId="77777777" w:rsidR="00ED6A83" w:rsidRDefault="00000000">
      <w:pPr>
        <w:pStyle w:val="Heading1"/>
      </w:pPr>
      <w:r>
        <w:lastRenderedPageBreak/>
        <w:t>References</w:t>
      </w:r>
    </w:p>
    <w:p w14:paraId="17371FA7" w14:textId="77777777" w:rsidR="00ED6A83" w:rsidRDefault="00000000">
      <w:pPr>
        <w:jc w:val="left"/>
        <w:rPr>
          <w:rFonts w:asciiTheme="majorHAnsi" w:eastAsiaTheme="majorEastAsia" w:hAnsiTheme="majorHAnsi" w:cstheme="majorBidi"/>
          <w:b/>
          <w:sz w:val="40"/>
          <w:szCs w:val="40"/>
        </w:rPr>
      </w:pPr>
      <w:r>
        <w:br w:type="page"/>
      </w:r>
    </w:p>
    <w:p w14:paraId="38C5FFC4" w14:textId="77777777" w:rsidR="00ED6A83" w:rsidRDefault="00000000">
      <w:pPr>
        <w:pStyle w:val="Heading1"/>
        <w:spacing w:before="0"/>
      </w:pPr>
      <w:r>
        <w:lastRenderedPageBreak/>
        <w:t>Figures</w:t>
      </w:r>
    </w:p>
    <w:p w14:paraId="6288A844" w14:textId="273C30C4" w:rsidR="00B12073" w:rsidRDefault="00B12073" w:rsidP="00B12073">
      <w:r>
        <w:rPr>
          <w:b/>
          <w:bCs/>
        </w:rPr>
        <w:t xml:space="preserve">Figure </w:t>
      </w:r>
      <w:r w:rsidR="00AF5181">
        <w:rPr>
          <w:b/>
          <w:bCs/>
        </w:rPr>
        <w:t>1</w:t>
      </w:r>
      <w:r>
        <w:rPr>
          <w:b/>
          <w:bCs/>
        </w:rPr>
        <w:t xml:space="preserve">. </w:t>
      </w:r>
      <w:r w:rsidR="00E219CE">
        <w:rPr>
          <w:b/>
          <w:bCs/>
        </w:rPr>
        <w:t>Observed vs. Predicted for “A Priori” PBPK Approach for (1) Monkeys, (2) Humans.</w:t>
      </w:r>
    </w:p>
    <w:p w14:paraId="2FAC28A6" w14:textId="3D3674CD" w:rsidR="00B12073" w:rsidRDefault="00B12073" w:rsidP="00B12073">
      <w:r>
        <w:rPr>
          <w:b/>
          <w:bCs/>
        </w:rPr>
        <w:t>(</w:t>
      </w:r>
      <w:proofErr w:type="spellStart"/>
      <w:r>
        <w:rPr>
          <w:b/>
          <w:bCs/>
        </w:rPr>
        <w:t>i</w:t>
      </w:r>
      <w:proofErr w:type="spellEnd"/>
      <w:r>
        <w:rPr>
          <w:b/>
          <w:bCs/>
        </w:rPr>
        <w:t>) Monkey</w:t>
      </w:r>
    </w:p>
    <w:p w14:paraId="7AA02A03" w14:textId="1EE7C9D3" w:rsidR="00B12073" w:rsidRDefault="00B12073" w:rsidP="00B12073">
      <w:r>
        <w:rPr>
          <w:noProof/>
        </w:rPr>
        <w:drawing>
          <wp:anchor distT="0" distB="0" distL="0" distR="0" simplePos="0" relativeHeight="251659264" behindDoc="0" locked="0" layoutInCell="0" allowOverlap="1" wp14:anchorId="11AD21CF" wp14:editId="728DC79D">
            <wp:simplePos x="0" y="0"/>
            <wp:positionH relativeFrom="column">
              <wp:posOffset>133350</wp:posOffset>
            </wp:positionH>
            <wp:positionV relativeFrom="paragraph">
              <wp:posOffset>86360</wp:posOffset>
            </wp:positionV>
            <wp:extent cx="5943600" cy="37426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t="5536"/>
                    <a:stretch>
                      <a:fillRect/>
                    </a:stretch>
                  </pic:blipFill>
                  <pic:spPr bwMode="auto">
                    <a:xfrm>
                      <a:off x="0" y="0"/>
                      <a:ext cx="5943600" cy="374269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(ii) Human</w:t>
      </w:r>
    </w:p>
    <w:p w14:paraId="6D78C0C1" w14:textId="77777777" w:rsidR="00B12073" w:rsidRDefault="00B12073" w:rsidP="00B12073">
      <w:pPr>
        <w:rPr>
          <w:b/>
          <w:bCs/>
        </w:rPr>
      </w:pPr>
      <w:r>
        <w:rPr>
          <w:b/>
          <w:bCs/>
          <w:noProof/>
        </w:rPr>
        <w:drawing>
          <wp:anchor distT="0" distB="0" distL="0" distR="0" simplePos="0" relativeHeight="251660288" behindDoc="0" locked="0" layoutInCell="0" allowOverlap="1" wp14:anchorId="4A8489EC" wp14:editId="59ABFE72">
            <wp:simplePos x="0" y="0"/>
            <wp:positionH relativeFrom="column">
              <wp:posOffset>342900</wp:posOffset>
            </wp:positionH>
            <wp:positionV relativeFrom="paragraph">
              <wp:posOffset>40640</wp:posOffset>
            </wp:positionV>
            <wp:extent cx="5943600" cy="37382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t="5649"/>
                    <a:stretch>
                      <a:fillRect/>
                    </a:stretch>
                  </pic:blipFill>
                  <pic:spPr bwMode="auto">
                    <a:xfrm>
                      <a:off x="0" y="0"/>
                      <a:ext cx="5943600" cy="3738245"/>
                    </a:xfrm>
                    <a:prstGeom prst="rect">
                      <a:avLst/>
                    </a:prstGeom>
                  </pic:spPr>
                </pic:pic>
              </a:graphicData>
            </a:graphic>
          </wp:anchor>
        </w:drawing>
      </w:r>
    </w:p>
    <w:p w14:paraId="4C879C21" w14:textId="77777777" w:rsidR="00B12073" w:rsidRDefault="00B12073" w:rsidP="00B12073">
      <w:pPr>
        <w:rPr>
          <w:b/>
          <w:bCs/>
        </w:rPr>
      </w:pPr>
    </w:p>
    <w:p w14:paraId="097D8D1C" w14:textId="77777777" w:rsidR="00B12073" w:rsidRDefault="00B12073" w:rsidP="00B12073">
      <w:pPr>
        <w:rPr>
          <w:b/>
          <w:bCs/>
        </w:rPr>
      </w:pPr>
    </w:p>
    <w:p w14:paraId="309B2CF6" w14:textId="77777777" w:rsidR="00B12073" w:rsidRDefault="00B12073" w:rsidP="00B12073">
      <w:pPr>
        <w:rPr>
          <w:b/>
          <w:bCs/>
        </w:rPr>
      </w:pPr>
    </w:p>
    <w:p w14:paraId="4C189F46" w14:textId="77777777" w:rsidR="00B12073" w:rsidRDefault="00B12073" w:rsidP="00B12073">
      <w:pPr>
        <w:rPr>
          <w:b/>
          <w:bCs/>
        </w:rPr>
      </w:pPr>
      <w:r>
        <w:br w:type="page"/>
      </w:r>
    </w:p>
    <w:p w14:paraId="556A5D39" w14:textId="46E3F257" w:rsidR="00B12073" w:rsidRDefault="00B12073" w:rsidP="00B12073">
      <w:pPr>
        <w:rPr>
          <w:b/>
          <w:bCs/>
        </w:rPr>
      </w:pPr>
      <w:r>
        <w:rPr>
          <w:b/>
          <w:bCs/>
        </w:rPr>
        <w:lastRenderedPageBreak/>
        <w:t xml:space="preserve">Figure </w:t>
      </w:r>
      <w:r w:rsidR="00AF5181">
        <w:rPr>
          <w:b/>
          <w:bCs/>
        </w:rPr>
        <w:t>2</w:t>
      </w:r>
      <w:r>
        <w:rPr>
          <w:b/>
          <w:bCs/>
        </w:rPr>
        <w:t>.</w:t>
      </w:r>
      <w:r w:rsidR="00E219CE" w:rsidRPr="00E219CE">
        <w:rPr>
          <w:b/>
          <w:bCs/>
        </w:rPr>
        <w:t xml:space="preserve"> </w:t>
      </w:r>
      <w:r w:rsidR="00E219CE">
        <w:rPr>
          <w:b/>
          <w:bCs/>
        </w:rPr>
        <w:t>Observed vs. Predicted for top-down PBPK Approach for (1) Monkeys, (2) Translation from Monkey Top-Down to Humans.</w:t>
      </w:r>
    </w:p>
    <w:p w14:paraId="79E85B91" w14:textId="226D47DB" w:rsidR="00B12073" w:rsidRDefault="00B12073" w:rsidP="00B12073">
      <w:r>
        <w:rPr>
          <w:b/>
          <w:bCs/>
        </w:rPr>
        <w:t>(</w:t>
      </w:r>
      <w:proofErr w:type="spellStart"/>
      <w:r>
        <w:rPr>
          <w:b/>
          <w:bCs/>
        </w:rPr>
        <w:t>i</w:t>
      </w:r>
      <w:proofErr w:type="spellEnd"/>
      <w:r>
        <w:rPr>
          <w:b/>
          <w:bCs/>
        </w:rPr>
        <w:t>) Monkey</w:t>
      </w:r>
    </w:p>
    <w:p w14:paraId="620DCDB3" w14:textId="77777777" w:rsidR="00B12073" w:rsidRDefault="00B12073" w:rsidP="00B12073">
      <w:r>
        <w:rPr>
          <w:b/>
          <w:bCs/>
          <w:noProof/>
        </w:rPr>
        <w:drawing>
          <wp:anchor distT="0" distB="0" distL="0" distR="0" simplePos="0" relativeHeight="251661312" behindDoc="0" locked="0" layoutInCell="0" allowOverlap="1" wp14:anchorId="364D41D8" wp14:editId="4CE3BA8F">
            <wp:simplePos x="0" y="0"/>
            <wp:positionH relativeFrom="column">
              <wp:posOffset>186055</wp:posOffset>
            </wp:positionH>
            <wp:positionV relativeFrom="paragraph">
              <wp:posOffset>149225</wp:posOffset>
            </wp:positionV>
            <wp:extent cx="5891530" cy="3657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t="6865"/>
                    <a:stretch>
                      <a:fillRect/>
                    </a:stretch>
                  </pic:blipFill>
                  <pic:spPr bwMode="auto">
                    <a:xfrm>
                      <a:off x="0" y="0"/>
                      <a:ext cx="5891530" cy="3657600"/>
                    </a:xfrm>
                    <a:prstGeom prst="rect">
                      <a:avLst/>
                    </a:prstGeom>
                  </pic:spPr>
                </pic:pic>
              </a:graphicData>
            </a:graphic>
          </wp:anchor>
        </w:drawing>
      </w:r>
      <w:r>
        <w:rPr>
          <w:b/>
          <w:bCs/>
        </w:rPr>
        <w:t>(ii) H</w:t>
      </w:r>
      <w:r>
        <w:rPr>
          <w:noProof/>
        </w:rPr>
        <w:drawing>
          <wp:anchor distT="0" distB="0" distL="0" distR="0" simplePos="0" relativeHeight="251662336" behindDoc="0" locked="0" layoutInCell="0" allowOverlap="1" wp14:anchorId="5778D78A" wp14:editId="51F1AFEF">
            <wp:simplePos x="0" y="0"/>
            <wp:positionH relativeFrom="column">
              <wp:posOffset>361950</wp:posOffset>
            </wp:positionH>
            <wp:positionV relativeFrom="paragraph">
              <wp:posOffset>4171950</wp:posOffset>
            </wp:positionV>
            <wp:extent cx="5943600" cy="37503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rcRect t="5349"/>
                    <a:stretch>
                      <a:fillRect/>
                    </a:stretch>
                  </pic:blipFill>
                  <pic:spPr bwMode="auto">
                    <a:xfrm>
                      <a:off x="0" y="0"/>
                      <a:ext cx="5943600" cy="3750310"/>
                    </a:xfrm>
                    <a:prstGeom prst="rect">
                      <a:avLst/>
                    </a:prstGeom>
                  </pic:spPr>
                </pic:pic>
              </a:graphicData>
            </a:graphic>
          </wp:anchor>
        </w:drawing>
      </w:r>
      <w:r>
        <w:rPr>
          <w:b/>
          <w:bCs/>
        </w:rPr>
        <w:t>uman</w:t>
      </w:r>
    </w:p>
    <w:p w14:paraId="469927F7" w14:textId="77777777" w:rsidR="00B12073" w:rsidRDefault="00B12073" w:rsidP="00B12073">
      <w:pPr>
        <w:rPr>
          <w:b/>
          <w:bCs/>
        </w:rPr>
      </w:pPr>
    </w:p>
    <w:p w14:paraId="7C9F03B2" w14:textId="77777777" w:rsidR="00B12073" w:rsidRDefault="00B12073" w:rsidP="00B12073">
      <w:pPr>
        <w:rPr>
          <w:b/>
          <w:bCs/>
        </w:rPr>
      </w:pPr>
    </w:p>
    <w:p w14:paraId="7B5DC31D" w14:textId="77777777" w:rsidR="00B12073" w:rsidRDefault="00B12073" w:rsidP="00B12073">
      <w:pPr>
        <w:pStyle w:val="Heading1"/>
      </w:pPr>
    </w:p>
    <w:p w14:paraId="57132EB0" w14:textId="77777777" w:rsidR="00B12073" w:rsidRDefault="00B12073" w:rsidP="00B12073">
      <w:pPr>
        <w:spacing w:before="360" w:after="80"/>
      </w:pPr>
    </w:p>
    <w:p w14:paraId="15F2F938" w14:textId="77777777" w:rsidR="00B12073" w:rsidRDefault="00B12073" w:rsidP="00B12073">
      <w:pPr>
        <w:spacing w:before="360" w:after="80"/>
      </w:pPr>
    </w:p>
    <w:p w14:paraId="254FA6AC" w14:textId="77777777" w:rsidR="00B12073" w:rsidRDefault="00B12073" w:rsidP="00B12073">
      <w:pPr>
        <w:spacing w:before="360" w:after="80"/>
      </w:pPr>
    </w:p>
    <w:p w14:paraId="7BB9D957" w14:textId="77777777" w:rsidR="00B12073" w:rsidRDefault="00B12073" w:rsidP="00B12073">
      <w:pPr>
        <w:spacing w:before="360" w:after="80"/>
      </w:pPr>
    </w:p>
    <w:p w14:paraId="22ED4112" w14:textId="495F1CAB" w:rsidR="00580E0F" w:rsidRPr="00B12073" w:rsidRDefault="00B12073" w:rsidP="00E219CE">
      <w:pPr>
        <w:spacing w:before="360" w:after="80"/>
        <w:rPr>
          <w:b/>
          <w:bCs/>
        </w:rPr>
      </w:pPr>
      <w:r>
        <w:br w:type="page"/>
      </w:r>
      <w:r w:rsidRPr="00B12073">
        <w:rPr>
          <w:b/>
          <w:bCs/>
        </w:rPr>
        <w:lastRenderedPageBreak/>
        <w:t>Figure</w:t>
      </w:r>
      <w:r w:rsidR="00580E0F" w:rsidRPr="00B12073">
        <w:rPr>
          <w:b/>
          <w:bCs/>
        </w:rPr>
        <w:t xml:space="preserve"> </w:t>
      </w:r>
      <w:r w:rsidR="00AF5181">
        <w:rPr>
          <w:b/>
          <w:bCs/>
        </w:rPr>
        <w:t>3</w:t>
      </w:r>
      <w:r w:rsidR="00580E0F" w:rsidRPr="00B12073">
        <w:rPr>
          <w:b/>
          <w:bCs/>
        </w:rPr>
        <w:t xml:space="preserve">. </w:t>
      </w:r>
      <w:r w:rsidR="002E5B4D" w:rsidRPr="002E5B4D">
        <w:rPr>
          <w:b/>
          <w:bCs/>
        </w:rPr>
        <w:t>Reduced Monkey PK Study Designs Maintain AUC Fold-Error Within Two-Fold Criteria</w:t>
      </w:r>
      <w:r w:rsidR="002E5B4D">
        <w:rPr>
          <w:b/>
          <w:bCs/>
        </w:rPr>
        <w:t xml:space="preserve">. </w:t>
      </w:r>
    </w:p>
    <w:p w14:paraId="2CAFA223" w14:textId="16168CD4" w:rsidR="00ED6A83" w:rsidRDefault="00000000" w:rsidP="00580E0F">
      <w:pPr>
        <w:rPr>
          <w:rFonts w:asciiTheme="majorHAnsi" w:eastAsiaTheme="majorEastAsia" w:hAnsiTheme="majorHAnsi" w:cstheme="majorBidi"/>
          <w:sz w:val="40"/>
          <w:szCs w:val="40"/>
        </w:rPr>
      </w:pPr>
      <w:r>
        <w:rPr>
          <w:rFonts w:asciiTheme="majorHAnsi" w:eastAsiaTheme="majorEastAsia" w:hAnsiTheme="majorHAnsi" w:cstheme="majorBidi"/>
          <w:sz w:val="40"/>
          <w:szCs w:val="40"/>
        </w:rPr>
        <w:t xml:space="preserve"> </w:t>
      </w:r>
      <w:r w:rsidR="002E5B4D">
        <w:rPr>
          <w:rFonts w:asciiTheme="majorHAnsi" w:eastAsiaTheme="majorEastAsia" w:hAnsiTheme="majorHAnsi" w:cstheme="majorBidi"/>
          <w:noProof/>
          <w:sz w:val="40"/>
          <w:szCs w:val="40"/>
        </w:rPr>
        <w:drawing>
          <wp:inline distT="0" distB="0" distL="0" distR="0" wp14:anchorId="7A254D38" wp14:editId="3065C60A">
            <wp:extent cx="6598416" cy="2834640"/>
            <wp:effectExtent l="0" t="0" r="0" b="0"/>
            <wp:docPr id="7146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0123" name="Picture 714610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7757" cy="2838653"/>
                    </a:xfrm>
                    <a:prstGeom prst="rect">
                      <a:avLst/>
                    </a:prstGeom>
                  </pic:spPr>
                </pic:pic>
              </a:graphicData>
            </a:graphic>
          </wp:inline>
        </w:drawing>
      </w:r>
    </w:p>
    <w:p w14:paraId="68EBD601" w14:textId="77777777" w:rsidR="00ED6A83" w:rsidRDefault="00000000" w:rsidP="00580E0F">
      <w:pPr>
        <w:rPr>
          <w:rFonts w:asciiTheme="majorHAnsi" w:eastAsiaTheme="majorEastAsia" w:hAnsiTheme="majorHAnsi" w:cstheme="majorBidi"/>
          <w:sz w:val="40"/>
          <w:szCs w:val="40"/>
        </w:rPr>
      </w:pPr>
      <w:r>
        <w:br w:type="page"/>
      </w:r>
    </w:p>
    <w:p w14:paraId="60DB9B8B" w14:textId="33A8D046" w:rsidR="00AF5181" w:rsidRDefault="00AF5181" w:rsidP="00AF5181">
      <w:r>
        <w:rPr>
          <w:b/>
          <w:bCs/>
        </w:rPr>
        <w:lastRenderedPageBreak/>
        <w:t xml:space="preserve">Figure </w:t>
      </w:r>
      <w:r>
        <w:rPr>
          <w:b/>
          <w:bCs/>
        </w:rPr>
        <w:t>4</w:t>
      </w:r>
      <w:r>
        <w:rPr>
          <w:b/>
          <w:bCs/>
        </w:rPr>
        <w:t xml:space="preserve">. Proposed “a priori” PBPK workflow for monoclonal antibody PK translation as a NAM. </w:t>
      </w:r>
      <w:r>
        <w:t xml:space="preserve">The conventional workflow relies on multiple monkey PK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14:paraId="63EB1203" w14:textId="2F9850BE" w:rsidR="00AF5181" w:rsidRDefault="00AF5181" w:rsidP="00AF5181">
      <w:pPr>
        <w:rPr>
          <w:rFonts w:asciiTheme="majorHAnsi" w:eastAsiaTheme="majorEastAsia" w:hAnsiTheme="majorHAnsi" w:cstheme="majorBidi"/>
          <w:b/>
          <w:sz w:val="40"/>
          <w:szCs w:val="40"/>
        </w:rPr>
      </w:pPr>
      <w:r w:rsidRPr="00AF5181">
        <w:rPr>
          <w:rFonts w:asciiTheme="majorHAnsi" w:eastAsiaTheme="majorEastAsia" w:hAnsiTheme="majorHAnsi" w:cstheme="majorBidi"/>
          <w:b/>
          <w:sz w:val="40"/>
          <w:szCs w:val="40"/>
        </w:rPr>
        <w:drawing>
          <wp:inline distT="0" distB="0" distL="0" distR="0" wp14:anchorId="015E42B9" wp14:editId="17CD3321">
            <wp:extent cx="6659069" cy="3327400"/>
            <wp:effectExtent l="0" t="0" r="0" b="0"/>
            <wp:docPr id="9445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2866" name=""/>
                    <pic:cNvPicPr/>
                  </pic:nvPicPr>
                  <pic:blipFill>
                    <a:blip r:embed="rId11"/>
                    <a:stretch>
                      <a:fillRect/>
                    </a:stretch>
                  </pic:blipFill>
                  <pic:spPr>
                    <a:xfrm>
                      <a:off x="0" y="0"/>
                      <a:ext cx="6662824" cy="3329276"/>
                    </a:xfrm>
                    <a:prstGeom prst="rect">
                      <a:avLst/>
                    </a:prstGeom>
                  </pic:spPr>
                </pic:pic>
              </a:graphicData>
            </a:graphic>
          </wp:inline>
        </w:drawing>
      </w:r>
    </w:p>
    <w:p w14:paraId="4C1EFA38" w14:textId="77777777" w:rsidR="00AF5181" w:rsidRDefault="00AF5181" w:rsidP="00AF5181">
      <w:pPr>
        <w:rPr>
          <w:rFonts w:asciiTheme="majorHAnsi" w:eastAsiaTheme="majorEastAsia" w:hAnsiTheme="majorHAnsi" w:cstheme="majorBidi"/>
          <w:b/>
          <w:sz w:val="40"/>
          <w:szCs w:val="40"/>
        </w:rPr>
      </w:pPr>
    </w:p>
    <w:p w14:paraId="5B721D38" w14:textId="77777777" w:rsidR="00AF5181" w:rsidRDefault="00AF5181" w:rsidP="00AF5181">
      <w:pPr>
        <w:rPr>
          <w:rFonts w:asciiTheme="majorHAnsi" w:eastAsiaTheme="majorEastAsia" w:hAnsiTheme="majorHAnsi" w:cstheme="majorBidi"/>
          <w:b/>
          <w:sz w:val="40"/>
          <w:szCs w:val="40"/>
        </w:rPr>
      </w:pPr>
      <w:r>
        <w:br w:type="page"/>
      </w:r>
    </w:p>
    <w:p w14:paraId="3A7DD488" w14:textId="63CFCCB8" w:rsidR="00ED6A83" w:rsidRDefault="00000000">
      <w:pPr>
        <w:pStyle w:val="Heading1"/>
        <w:spacing w:before="0"/>
      </w:pPr>
      <w:r>
        <w:lastRenderedPageBreak/>
        <w:t>Tables</w:t>
      </w:r>
    </w:p>
    <w:p w14:paraId="084F3C07" w14:textId="77777777" w:rsidR="00ED6A83" w:rsidRDefault="00000000">
      <w:r>
        <w:rPr>
          <w:b/>
        </w:rPr>
        <w:t xml:space="preserve">Table 1. Monkey </w:t>
      </w:r>
      <w:proofErr w:type="spellStart"/>
      <w:r>
        <w:rPr>
          <w:b/>
        </w:rPr>
        <w:t>Cmax</w:t>
      </w:r>
      <w:proofErr w:type="spellEnd"/>
      <w:r>
        <w:rPr>
          <w:b/>
        </w:rPr>
        <w:t xml:space="preserve"> and AUC fold-error by modeling approach. </w:t>
      </w:r>
      <w:r>
        <w:rPr>
          <w:bCs/>
        </w:rPr>
        <w:t>Fold-</w:t>
      </w:r>
      <w:r>
        <w:t>error is reported as predicted/observed. Green indicates within twofold (0.50–2.00); red indicates outside twofold.</w:t>
      </w:r>
    </w:p>
    <w:tbl>
      <w:tblPr>
        <w:tblW w:w="10255" w:type="dxa"/>
        <w:tblInd w:w="85" w:type="dxa"/>
        <w:tblLayout w:type="fixed"/>
        <w:tblCellMar>
          <w:top w:w="60" w:type="dxa"/>
          <w:left w:w="80" w:type="dxa"/>
          <w:bottom w:w="60" w:type="dxa"/>
          <w:right w:w="80" w:type="dxa"/>
        </w:tblCellMar>
        <w:tblLook w:val="04A0" w:firstRow="1" w:lastRow="0" w:firstColumn="1" w:lastColumn="0" w:noHBand="0" w:noVBand="1"/>
      </w:tblPr>
      <w:tblGrid>
        <w:gridCol w:w="1976"/>
        <w:gridCol w:w="1170"/>
        <w:gridCol w:w="1709"/>
        <w:gridCol w:w="1711"/>
        <w:gridCol w:w="1893"/>
        <w:gridCol w:w="1796"/>
      </w:tblGrid>
      <w:tr w:rsidR="00ED6A83" w14:paraId="13D0895B" w14:textId="77777777">
        <w:trPr>
          <w:trHeight w:val="144"/>
          <w:tblHeader/>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14:paraId="62BE8B1E" w14:textId="77777777" w:rsidR="00ED6A83" w:rsidRDefault="00000000">
            <w:pPr>
              <w:jc w:val="center"/>
              <w:rPr>
                <w:b/>
                <w:bCs/>
              </w:rPr>
            </w:pPr>
            <w:r>
              <w:rPr>
                <w:b/>
                <w:bCs/>
              </w:rPr>
              <w:t>Molecule</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42EBEF0A" w14:textId="77777777" w:rsidR="00ED6A83" w:rsidRDefault="00000000">
            <w:pPr>
              <w:jc w:val="center"/>
              <w:rPr>
                <w:b/>
                <w:bCs/>
              </w:rPr>
            </w:pPr>
            <w:r>
              <w:rPr>
                <w:b/>
                <w:bCs/>
              </w:rPr>
              <w:t>Dose (mg/kg)</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14:paraId="703E371C" w14:textId="77777777" w:rsidR="00ED6A83" w:rsidRDefault="00000000">
            <w:pPr>
              <w:jc w:val="center"/>
              <w:rPr>
                <w:b/>
                <w:bCs/>
              </w:rPr>
            </w:pPr>
            <w:proofErr w:type="spellStart"/>
            <w:r>
              <w:rPr>
                <w:b/>
                <w:bCs/>
              </w:rPr>
              <w:t>Cmax</w:t>
            </w:r>
            <w:proofErr w:type="spellEnd"/>
            <w:r>
              <w:rPr>
                <w:b/>
                <w:bCs/>
              </w:rPr>
              <w:t xml:space="preserve"> fold-error</w:t>
            </w:r>
          </w:p>
        </w:tc>
        <w:tc>
          <w:tcPr>
            <w:tcW w:w="3689" w:type="dxa"/>
            <w:gridSpan w:val="2"/>
            <w:tcBorders>
              <w:top w:val="single" w:sz="4" w:space="0" w:color="000000"/>
              <w:left w:val="single" w:sz="4" w:space="0" w:color="000000"/>
              <w:bottom w:val="single" w:sz="4" w:space="0" w:color="000000"/>
              <w:right w:val="single" w:sz="4" w:space="0" w:color="000000"/>
            </w:tcBorders>
            <w:vAlign w:val="center"/>
          </w:tcPr>
          <w:p w14:paraId="1DD51D44" w14:textId="77777777" w:rsidR="00ED6A83" w:rsidRDefault="00000000">
            <w:pPr>
              <w:jc w:val="center"/>
              <w:rPr>
                <w:b/>
                <w:bCs/>
              </w:rPr>
            </w:pPr>
            <w:r>
              <w:rPr>
                <w:b/>
                <w:bCs/>
              </w:rPr>
              <w:t>AUC fold-error</w:t>
            </w:r>
          </w:p>
        </w:tc>
      </w:tr>
      <w:tr w:rsidR="00ED6A83" w14:paraId="7FC60F14" w14:textId="77777777">
        <w:trPr>
          <w:trHeight w:val="461"/>
          <w:tblHeader/>
        </w:trPr>
        <w:tc>
          <w:tcPr>
            <w:tcW w:w="1975" w:type="dxa"/>
            <w:vMerge/>
            <w:tcBorders>
              <w:top w:val="single" w:sz="4" w:space="0" w:color="000000"/>
              <w:left w:val="single" w:sz="4" w:space="0" w:color="000000"/>
              <w:bottom w:val="single" w:sz="4" w:space="0" w:color="000000"/>
              <w:right w:val="single" w:sz="4" w:space="0" w:color="000000"/>
            </w:tcBorders>
            <w:vAlign w:val="center"/>
          </w:tcPr>
          <w:p w14:paraId="42321EC2" w14:textId="77777777" w:rsidR="00ED6A83" w:rsidRDefault="00ED6A83">
            <w:pPr>
              <w:jc w:val="center"/>
              <w:rPr>
                <w:b/>
                <w:bCs/>
              </w:rPr>
            </w:pP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17D2C2E2" w14:textId="77777777" w:rsidR="00ED6A83" w:rsidRDefault="00ED6A83">
            <w:pPr>
              <w:jc w:val="center"/>
              <w:rPr>
                <w:b/>
                <w:bCs/>
              </w:rPr>
            </w:pPr>
          </w:p>
        </w:tc>
        <w:tc>
          <w:tcPr>
            <w:tcW w:w="1709" w:type="dxa"/>
            <w:tcBorders>
              <w:top w:val="single" w:sz="4" w:space="0" w:color="000000"/>
              <w:left w:val="single" w:sz="4" w:space="0" w:color="000000"/>
              <w:bottom w:val="single" w:sz="4" w:space="0" w:color="000000"/>
              <w:right w:val="single" w:sz="4" w:space="0" w:color="000000"/>
            </w:tcBorders>
            <w:vAlign w:val="center"/>
          </w:tcPr>
          <w:p w14:paraId="0B8B19BE" w14:textId="77777777" w:rsidR="00ED6A83" w:rsidRDefault="00000000">
            <w:pPr>
              <w:jc w:val="center"/>
              <w:rPr>
                <w:b/>
                <w:bCs/>
              </w:rPr>
            </w:pPr>
            <w:r>
              <w:rPr>
                <w:b/>
                <w:bCs/>
              </w:rPr>
              <w:t>“a priori”</w:t>
            </w:r>
          </w:p>
        </w:tc>
        <w:tc>
          <w:tcPr>
            <w:tcW w:w="1711" w:type="dxa"/>
            <w:tcBorders>
              <w:top w:val="single" w:sz="4" w:space="0" w:color="000000"/>
              <w:left w:val="single" w:sz="4" w:space="0" w:color="000000"/>
              <w:bottom w:val="single" w:sz="4" w:space="0" w:color="000000"/>
              <w:right w:val="single" w:sz="4" w:space="0" w:color="000000"/>
            </w:tcBorders>
            <w:vAlign w:val="center"/>
          </w:tcPr>
          <w:p w14:paraId="726745FE" w14:textId="77777777" w:rsidR="00ED6A83" w:rsidRDefault="00000000">
            <w:pPr>
              <w:jc w:val="center"/>
              <w:rPr>
                <w:b/>
                <w:bCs/>
              </w:rPr>
            </w:pPr>
            <w:r>
              <w:rPr>
                <w:b/>
                <w:bCs/>
              </w:rPr>
              <w:t>Top-down (Fitted)</w:t>
            </w:r>
          </w:p>
        </w:tc>
        <w:tc>
          <w:tcPr>
            <w:tcW w:w="1893" w:type="dxa"/>
            <w:tcBorders>
              <w:top w:val="single" w:sz="4" w:space="0" w:color="000000"/>
              <w:left w:val="single" w:sz="4" w:space="0" w:color="000000"/>
              <w:bottom w:val="single" w:sz="4" w:space="0" w:color="000000"/>
              <w:right w:val="single" w:sz="4" w:space="0" w:color="000000"/>
            </w:tcBorders>
            <w:vAlign w:val="center"/>
          </w:tcPr>
          <w:p w14:paraId="7EF51569" w14:textId="77777777" w:rsidR="00ED6A83" w:rsidRDefault="00000000">
            <w:pPr>
              <w:jc w:val="center"/>
              <w:rPr>
                <w:b/>
                <w:bCs/>
              </w:rPr>
            </w:pPr>
            <w:r>
              <w:rPr>
                <w:b/>
                <w:bCs/>
              </w:rPr>
              <w:t>“a priori”</w:t>
            </w:r>
          </w:p>
        </w:tc>
        <w:tc>
          <w:tcPr>
            <w:tcW w:w="1796" w:type="dxa"/>
            <w:tcBorders>
              <w:top w:val="single" w:sz="4" w:space="0" w:color="000000"/>
              <w:left w:val="single" w:sz="4" w:space="0" w:color="000000"/>
              <w:bottom w:val="single" w:sz="4" w:space="0" w:color="000000"/>
              <w:right w:val="single" w:sz="4" w:space="0" w:color="000000"/>
            </w:tcBorders>
            <w:vAlign w:val="center"/>
          </w:tcPr>
          <w:p w14:paraId="1B434BF7" w14:textId="77777777" w:rsidR="00ED6A83" w:rsidRDefault="00000000">
            <w:pPr>
              <w:jc w:val="center"/>
              <w:rPr>
                <w:b/>
                <w:bCs/>
              </w:rPr>
            </w:pPr>
            <w:r>
              <w:rPr>
                <w:b/>
                <w:bCs/>
              </w:rPr>
              <w:t>Top-down (Fitted)</w:t>
            </w:r>
          </w:p>
        </w:tc>
      </w:tr>
      <w:tr w:rsidR="00ED6A83" w14:paraId="73695A6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D75FD" w14:textId="77777777" w:rsidR="00ED6A83" w:rsidRDefault="00000000">
            <w:pPr>
              <w:jc w:val="center"/>
            </w:pPr>
            <w:r>
              <w:t>Adalimumab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45157"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1135C5" w14:textId="77777777" w:rsidR="00ED6A83" w:rsidRDefault="00000000">
            <w:pPr>
              <w:jc w:val="center"/>
            </w:pPr>
            <w:r>
              <w:t>1.21</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48A520"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EF39F4F" w14:textId="77777777" w:rsidR="00ED6A83" w:rsidRDefault="00000000">
            <w:pPr>
              <w:jc w:val="center"/>
            </w:pPr>
            <w:r>
              <w:t>1.22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3355A4" w14:textId="77777777" w:rsidR="00ED6A83" w:rsidRDefault="00000000">
            <w:pPr>
              <w:jc w:val="center"/>
            </w:pPr>
            <w:r>
              <w:t>1.20</w:t>
            </w:r>
          </w:p>
        </w:tc>
      </w:tr>
      <w:tr w:rsidR="00ED6A83" w14:paraId="23DF3AB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E1BDA"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3F4C8B" w14:textId="77777777" w:rsidR="00ED6A83" w:rsidRDefault="00000000">
            <w:pPr>
              <w:jc w:val="center"/>
            </w:pPr>
            <w:r>
              <w:t>0.5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683BE1" w14:textId="77777777" w:rsidR="00ED6A83" w:rsidRDefault="00000000">
            <w:pPr>
              <w:jc w:val="center"/>
            </w:pPr>
            <w:r>
              <w:t>1.42</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CDCFE0" w14:textId="77777777" w:rsidR="00ED6A83" w:rsidRDefault="00000000">
            <w:pPr>
              <w:jc w:val="center"/>
            </w:pPr>
            <w:r>
              <w:t>1.30</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9AC9380" w14:textId="77777777" w:rsidR="00ED6A83" w:rsidRDefault="00000000">
            <w:pPr>
              <w:jc w:val="center"/>
            </w:pPr>
            <w:r>
              <w:t>2.27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6824" w14:textId="77777777" w:rsidR="00ED6A83" w:rsidRDefault="00000000">
            <w:pPr>
              <w:jc w:val="center"/>
            </w:pPr>
            <w:r>
              <w:t>1.70</w:t>
            </w:r>
          </w:p>
        </w:tc>
      </w:tr>
      <w:tr w:rsidR="00ED6A83" w14:paraId="485A65B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B7DD4"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70C94"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22A4615" w14:textId="77777777" w:rsidR="00ED6A83" w:rsidRDefault="00000000">
            <w:pPr>
              <w:jc w:val="center"/>
            </w:pPr>
            <w:r>
              <w:t>1.09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CF75EF" w14:textId="77777777" w:rsidR="00ED6A83" w:rsidRDefault="00000000">
            <w:pPr>
              <w:jc w:val="center"/>
            </w:pPr>
            <w:r>
              <w:t>0.99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EC37A7" w14:textId="77777777" w:rsidR="00ED6A83" w:rsidRDefault="00000000">
            <w:pPr>
              <w:jc w:val="center"/>
            </w:pPr>
            <w:r>
              <w:t>1.11</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1FD5D1" w14:textId="77777777" w:rsidR="00ED6A83" w:rsidRDefault="00000000">
            <w:pPr>
              <w:jc w:val="center"/>
            </w:pPr>
            <w:r>
              <w:t>1.19</w:t>
            </w:r>
          </w:p>
        </w:tc>
      </w:tr>
      <w:tr w:rsidR="00ED6A83" w14:paraId="2F7CE29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D7041" w14:textId="77777777" w:rsidR="00ED6A83" w:rsidRDefault="00000000">
            <w:pPr>
              <w:jc w:val="center"/>
            </w:pPr>
            <w:r>
              <w:t>Atezolizumab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845BA" w14:textId="77777777" w:rsidR="00ED6A83" w:rsidRDefault="00000000">
            <w:pPr>
              <w:jc w:val="center"/>
            </w:pPr>
            <w:r>
              <w:t>20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27E1C9" w14:textId="77777777" w:rsidR="00ED6A83" w:rsidRDefault="00000000">
            <w:pPr>
              <w:jc w:val="center"/>
            </w:pPr>
            <w:r>
              <w:t>0.86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E0DC78A" w14:textId="77777777" w:rsidR="00ED6A83" w:rsidRDefault="00000000">
            <w:pPr>
              <w:jc w:val="center"/>
            </w:pPr>
            <w:r>
              <w:t>0.78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CEC25" w14:textId="77777777" w:rsidR="00ED6A83" w:rsidRDefault="00000000">
            <w:pPr>
              <w:jc w:val="center"/>
            </w:pPr>
            <w:r>
              <w:t>0.87</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1EC40C1" w14:textId="77777777" w:rsidR="00ED6A83" w:rsidRDefault="00000000">
            <w:pPr>
              <w:jc w:val="center"/>
            </w:pPr>
            <w:r>
              <w:t>0.96</w:t>
            </w:r>
          </w:p>
        </w:tc>
      </w:tr>
      <w:tr w:rsidR="00ED6A83" w14:paraId="7D2122B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D705A" w14:textId="77777777" w:rsidR="00ED6A83" w:rsidRDefault="00000000">
            <w:pPr>
              <w:jc w:val="center"/>
            </w:pPr>
            <w:r>
              <w:t>Avelumab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C210F"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AD19A9" w14:textId="77777777" w:rsidR="00ED6A83" w:rsidRDefault="00000000">
            <w:pPr>
              <w:jc w:val="center"/>
            </w:pPr>
            <w:r>
              <w:t>1.30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BE40BD" w14:textId="77777777" w:rsidR="00ED6A83" w:rsidRDefault="00000000">
            <w:pPr>
              <w:jc w:val="center"/>
            </w:pPr>
            <w:r>
              <w:t>0.96</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7C64C0F" w14:textId="77777777" w:rsidR="00ED6A83" w:rsidRDefault="00000000">
            <w:pPr>
              <w:jc w:val="center"/>
            </w:pPr>
            <w:r>
              <w:t>2.80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60942B" w14:textId="77777777" w:rsidR="00ED6A83" w:rsidRDefault="00000000">
            <w:pPr>
              <w:jc w:val="center"/>
            </w:pPr>
            <w:r>
              <w:t>1.20</w:t>
            </w:r>
          </w:p>
        </w:tc>
      </w:tr>
      <w:tr w:rsidR="00ED6A83" w14:paraId="1C2F8F9A"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DB24D"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E1C80" w14:textId="77777777" w:rsidR="00ED6A83" w:rsidRDefault="00000000">
            <w:pPr>
              <w:jc w:val="center"/>
            </w:pPr>
            <w:r>
              <w:t>4</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C81CF6" w14:textId="77777777" w:rsidR="00ED6A83" w:rsidRDefault="00000000">
            <w:pPr>
              <w:jc w:val="center"/>
            </w:pPr>
            <w:r>
              <w:t>1.14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0BE7A0" w14:textId="77777777" w:rsidR="00ED6A83" w:rsidRDefault="00000000">
            <w:pPr>
              <w:jc w:val="center"/>
            </w:pPr>
            <w:r>
              <w:t>0.89</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C1D24C" w14:textId="77777777" w:rsidR="00ED6A83" w:rsidRDefault="00000000">
            <w:pPr>
              <w:jc w:val="center"/>
            </w:pPr>
            <w:r>
              <w:t>0.64</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AD7A09" w14:textId="77777777" w:rsidR="00ED6A83" w:rsidRDefault="00000000">
            <w:pPr>
              <w:jc w:val="center"/>
            </w:pPr>
            <w:r>
              <w:t>0.71</w:t>
            </w:r>
          </w:p>
        </w:tc>
      </w:tr>
      <w:tr w:rsidR="00ED6A83" w14:paraId="6A7C4DEF"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4C2BC" w14:textId="77777777" w:rsidR="00ED6A83" w:rsidRDefault="00000000">
            <w:pPr>
              <w:jc w:val="center"/>
            </w:pPr>
            <w:r>
              <w:t>Bevacizumab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FA48D" w14:textId="77777777" w:rsidR="00ED6A83" w:rsidRDefault="00000000">
            <w:pPr>
              <w:jc w:val="center"/>
            </w:pPr>
            <w:r>
              <w:t>5</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E89189" w14:textId="77777777" w:rsidR="00ED6A83" w:rsidRDefault="00000000">
            <w:pPr>
              <w:jc w:val="center"/>
            </w:pPr>
            <w:r>
              <w:t>1.35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3240638" w14:textId="77777777" w:rsidR="00ED6A83" w:rsidRDefault="00000000">
            <w:pPr>
              <w:jc w:val="center"/>
            </w:pPr>
            <w:r>
              <w:t>1.08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80F56D5" w14:textId="77777777" w:rsidR="00ED6A83" w:rsidRDefault="00000000">
            <w:pPr>
              <w:jc w:val="center"/>
            </w:pPr>
            <w:r>
              <w:t>1.48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82DD9A" w14:textId="77777777" w:rsidR="00ED6A83" w:rsidRDefault="00000000">
            <w:pPr>
              <w:jc w:val="center"/>
            </w:pPr>
            <w:r>
              <w:t>1.60</w:t>
            </w:r>
          </w:p>
        </w:tc>
      </w:tr>
      <w:tr w:rsidR="00ED6A83" w14:paraId="1A746C23"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6C6BB" w14:textId="77777777" w:rsidR="00ED6A83" w:rsidRDefault="00000000">
            <w:pPr>
              <w:jc w:val="center"/>
            </w:pPr>
            <w:r>
              <w:t>Golimumab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2C5E9"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2F242F" w14:textId="77777777" w:rsidR="00ED6A83" w:rsidRDefault="00000000">
            <w:pPr>
              <w:jc w:val="center"/>
            </w:pPr>
            <w:r>
              <w:t>0.80</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F8BDCD1" w14:textId="77777777" w:rsidR="00ED6A83" w:rsidRDefault="00000000">
            <w:pPr>
              <w:jc w:val="center"/>
            </w:pPr>
            <w:r>
              <w:t>1.00</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A30B2D" w14:textId="77777777" w:rsidR="00ED6A83" w:rsidRDefault="00000000">
            <w:pPr>
              <w:jc w:val="center"/>
            </w:pPr>
            <w:r>
              <w:t>1.00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0F0A19A" w14:textId="77777777" w:rsidR="00ED6A83" w:rsidRDefault="00000000">
            <w:pPr>
              <w:jc w:val="center"/>
            </w:pPr>
            <w:r>
              <w:t>1.21</w:t>
            </w:r>
          </w:p>
        </w:tc>
      </w:tr>
      <w:tr w:rsidR="00ED6A83" w14:paraId="3238CAD0"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5305C"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D3BB8" w14:textId="77777777" w:rsidR="00ED6A83" w:rsidRDefault="00000000">
            <w:pPr>
              <w:jc w:val="center"/>
            </w:pPr>
            <w:r>
              <w:t>1</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8E8FD3F" w14:textId="77777777" w:rsidR="00ED6A83" w:rsidRDefault="00000000">
            <w:pPr>
              <w:jc w:val="center"/>
            </w:pPr>
            <w:r>
              <w:t>0.97</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48604F" w14:textId="77777777" w:rsidR="00ED6A83" w:rsidRDefault="00000000">
            <w:pPr>
              <w:jc w:val="center"/>
            </w:pPr>
            <w:r>
              <w:t>1.27</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CA38B71" w14:textId="77777777" w:rsidR="00ED6A83" w:rsidRDefault="00000000">
            <w:pPr>
              <w:jc w:val="center"/>
            </w:pPr>
            <w:r>
              <w:t>0.62</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929589A" w14:textId="77777777" w:rsidR="00ED6A83" w:rsidRDefault="00000000">
            <w:pPr>
              <w:jc w:val="center"/>
            </w:pPr>
            <w:r>
              <w:t>1.34</w:t>
            </w:r>
          </w:p>
        </w:tc>
      </w:tr>
      <w:tr w:rsidR="00ED6A83" w14:paraId="7D3F4B7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95040" w14:textId="77777777" w:rsidR="00ED6A83" w:rsidRDefault="00000000">
            <w:pPr>
              <w:jc w:val="center"/>
            </w:pPr>
            <w:r>
              <w:t>Nivolumab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8740E"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28F787" w14:textId="77777777" w:rsidR="00ED6A83" w:rsidRDefault="00000000">
            <w:pPr>
              <w:jc w:val="center"/>
            </w:pPr>
            <w:r>
              <w:t>0.74</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8ACE9F5" w14:textId="77777777" w:rsidR="00ED6A83" w:rsidRDefault="00000000">
            <w:pPr>
              <w:jc w:val="center"/>
            </w:pPr>
            <w:r>
              <w:t>0.73</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C9835D9" w14:textId="77777777" w:rsidR="00ED6A83" w:rsidRDefault="00000000">
            <w:pPr>
              <w:jc w:val="center"/>
            </w:pPr>
            <w:r>
              <w:t>0.49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567124" w14:textId="77777777" w:rsidR="00ED6A83" w:rsidRDefault="00000000">
            <w:pPr>
              <w:jc w:val="center"/>
            </w:pPr>
            <w:r>
              <w:t>0.96</w:t>
            </w:r>
          </w:p>
        </w:tc>
      </w:tr>
      <w:tr w:rsidR="00ED6A83" w14:paraId="7E29145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08D3"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22C0C" w14:textId="77777777" w:rsidR="00ED6A83" w:rsidRDefault="00000000">
            <w:pPr>
              <w:jc w:val="center"/>
            </w:pPr>
            <w:r>
              <w:t>0.3</w:t>
            </w:r>
          </w:p>
        </w:tc>
        <w:tc>
          <w:tcPr>
            <w:tcW w:w="1709"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EA06DFA" w14:textId="77777777" w:rsidR="00ED6A83" w:rsidRDefault="00000000">
            <w:pPr>
              <w:jc w:val="center"/>
            </w:pPr>
            <w:r>
              <w:t>0.40</w:t>
            </w:r>
          </w:p>
        </w:tc>
        <w:tc>
          <w:tcPr>
            <w:tcW w:w="1711"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BA7D8B8" w14:textId="77777777" w:rsidR="00ED6A83" w:rsidRDefault="00000000">
            <w:pPr>
              <w:jc w:val="center"/>
            </w:pPr>
            <w:r>
              <w:t>0.39</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131CB48" w14:textId="77777777" w:rsidR="00ED6A83" w:rsidRDefault="00000000">
            <w:pPr>
              <w:jc w:val="center"/>
            </w:pPr>
            <w:r>
              <w:t>2.39</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506B16" w14:textId="77777777" w:rsidR="00ED6A83" w:rsidRDefault="00000000">
            <w:pPr>
              <w:jc w:val="center"/>
            </w:pPr>
            <w:r>
              <w:t>0.87</w:t>
            </w:r>
          </w:p>
        </w:tc>
      </w:tr>
      <w:tr w:rsidR="00ED6A83" w14:paraId="4BA4CDC2"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E3649"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5388F" w14:textId="77777777" w:rsidR="00ED6A83" w:rsidRDefault="00000000">
            <w:pPr>
              <w:jc w:val="center"/>
            </w:pPr>
            <w:r>
              <w:t>3</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B07759A" w14:textId="77777777" w:rsidR="00ED6A83" w:rsidRDefault="00000000">
            <w:pPr>
              <w:jc w:val="center"/>
            </w:pPr>
            <w:r>
              <w:t>0.99</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83782DD" w14:textId="77777777" w:rsidR="00ED6A83" w:rsidRDefault="00000000">
            <w:pPr>
              <w:jc w:val="center"/>
            </w:pPr>
            <w:r>
              <w:t>0.95</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4A4441C" w14:textId="77777777" w:rsidR="00ED6A83" w:rsidRDefault="00000000">
            <w:pPr>
              <w:jc w:val="center"/>
            </w:pPr>
            <w:r>
              <w:t>2.88</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D5A843" w14:textId="77777777" w:rsidR="00ED6A83" w:rsidRDefault="00000000">
            <w:pPr>
              <w:jc w:val="center"/>
            </w:pPr>
            <w:r>
              <w:t>1.01</w:t>
            </w:r>
          </w:p>
        </w:tc>
      </w:tr>
      <w:tr w:rsidR="00ED6A83" w14:paraId="5D7D8066"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666E4" w14:textId="77777777" w:rsidR="00ED6A83" w:rsidRDefault="00000000">
            <w:pPr>
              <w:jc w:val="center"/>
            </w:pPr>
            <w:r>
              <w:t>Pembrolizumab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60362" w14:textId="77777777" w:rsidR="00ED6A83" w:rsidRDefault="00000000">
            <w:pPr>
              <w:jc w:val="center"/>
            </w:pPr>
            <w:r>
              <w:t>30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CC962D" w14:textId="77777777" w:rsidR="00ED6A83" w:rsidRDefault="00000000">
            <w:pPr>
              <w:jc w:val="center"/>
            </w:pPr>
            <w:r>
              <w:t>1.05</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6AA1271" w14:textId="77777777" w:rsidR="00ED6A83" w:rsidRDefault="00000000">
            <w:pPr>
              <w:jc w:val="center"/>
            </w:pPr>
            <w:r>
              <w:t>0.97</w:t>
            </w:r>
          </w:p>
        </w:tc>
        <w:tc>
          <w:tcPr>
            <w:tcW w:w="189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5924793" w14:textId="77777777" w:rsidR="00ED6A83" w:rsidRDefault="00000000">
            <w:pPr>
              <w:jc w:val="center"/>
            </w:pPr>
            <w:r>
              <w:t>3.23</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D0BA07" w14:textId="77777777" w:rsidR="00ED6A83" w:rsidRDefault="00000000">
            <w:pPr>
              <w:jc w:val="center"/>
            </w:pPr>
            <w:r>
              <w:t>1.08</w:t>
            </w:r>
          </w:p>
        </w:tc>
      </w:tr>
      <w:tr w:rsidR="00ED6A83" w14:paraId="7FEE9237" w14:textId="77777777">
        <w:trPr>
          <w:trHeight w:val="144"/>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3AB70" w14:textId="77777777" w:rsidR="00ED6A83" w:rsidRDefault="00000000">
            <w:pPr>
              <w:jc w:val="center"/>
            </w:pPr>
            <w:r>
              <w:t>Tocilizumab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AE1F" w14:textId="77777777" w:rsidR="00ED6A83" w:rsidRDefault="00000000">
            <w:pPr>
              <w:jc w:val="center"/>
            </w:pPr>
            <w:r>
              <w:t>10</w:t>
            </w:r>
          </w:p>
        </w:tc>
        <w:tc>
          <w:tcPr>
            <w:tcW w:w="1709"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58AB35" w14:textId="77777777" w:rsidR="00ED6A83" w:rsidRDefault="00000000">
            <w:pPr>
              <w:jc w:val="center"/>
            </w:pPr>
            <w:r>
              <w:t>1.06</w:t>
            </w:r>
          </w:p>
        </w:tc>
        <w:tc>
          <w:tcPr>
            <w:tcW w:w="1711"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1AD0931" w14:textId="77777777" w:rsidR="00ED6A83" w:rsidRDefault="00000000">
            <w:pPr>
              <w:jc w:val="center"/>
            </w:pPr>
            <w:r>
              <w:t>0.98</w:t>
            </w:r>
          </w:p>
        </w:tc>
        <w:tc>
          <w:tcPr>
            <w:tcW w:w="189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4656B9" w14:textId="77777777" w:rsidR="00ED6A83" w:rsidRDefault="00000000">
            <w:pPr>
              <w:jc w:val="center"/>
            </w:pPr>
            <w:r>
              <w:t>1.80</w:t>
            </w:r>
          </w:p>
        </w:tc>
        <w:tc>
          <w:tcPr>
            <w:tcW w:w="1796"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379BA58" w14:textId="77777777" w:rsidR="00ED6A83" w:rsidRDefault="00000000">
            <w:pPr>
              <w:jc w:val="center"/>
            </w:pPr>
            <w:r>
              <w:t>1.00</w:t>
            </w:r>
          </w:p>
        </w:tc>
      </w:tr>
    </w:tbl>
    <w:p w14:paraId="7E6C366C" w14:textId="77777777" w:rsidR="00ED6A83" w:rsidRDefault="00000000">
      <w:r>
        <w:br w:type="page"/>
      </w:r>
    </w:p>
    <w:p w14:paraId="1870C38D" w14:textId="77777777" w:rsidR="00ED6A83" w:rsidRDefault="00000000">
      <w:r>
        <w:rPr>
          <w:b/>
          <w:bCs/>
        </w:rPr>
        <w:lastRenderedPageBreak/>
        <w:t xml:space="preserve">Table 2. Human </w:t>
      </w:r>
      <w:proofErr w:type="spellStart"/>
      <w:r>
        <w:rPr>
          <w:b/>
          <w:bCs/>
        </w:rPr>
        <w:t>Cmax</w:t>
      </w:r>
      <w:proofErr w:type="spellEnd"/>
      <w:r>
        <w:rPr>
          <w:b/>
          <w:bCs/>
        </w:rPr>
        <w:t xml:space="preserve"> and AUC fold-error by modeling approach.</w:t>
      </w:r>
      <w:r>
        <w:t xml:space="preserve"> Fold-error is reported as predicted/observed. Green indicates within twofold (0.50–2.00); red indicates outside twofold.</w:t>
      </w:r>
    </w:p>
    <w:tbl>
      <w:tblPr>
        <w:tblW w:w="10158" w:type="dxa"/>
        <w:tblInd w:w="-28" w:type="dxa"/>
        <w:tblLayout w:type="fixed"/>
        <w:tblCellMar>
          <w:top w:w="60" w:type="dxa"/>
          <w:left w:w="80" w:type="dxa"/>
          <w:bottom w:w="60" w:type="dxa"/>
          <w:right w:w="80" w:type="dxa"/>
        </w:tblCellMar>
        <w:tblLook w:val="04A0" w:firstRow="1" w:lastRow="0" w:firstColumn="1" w:lastColumn="0" w:noHBand="0" w:noVBand="1"/>
      </w:tblPr>
      <w:tblGrid>
        <w:gridCol w:w="2174"/>
        <w:gridCol w:w="1529"/>
        <w:gridCol w:w="1613"/>
        <w:gridCol w:w="1614"/>
        <w:gridCol w:w="1613"/>
        <w:gridCol w:w="1615"/>
      </w:tblGrid>
      <w:tr w:rsidR="00ED6A83" w14:paraId="18AEBD6A" w14:textId="77777777">
        <w:trPr>
          <w:trHeight w:val="497"/>
          <w:tblHeader/>
        </w:trPr>
        <w:tc>
          <w:tcPr>
            <w:tcW w:w="2173" w:type="dxa"/>
            <w:vMerge w:val="restart"/>
            <w:tcBorders>
              <w:top w:val="single" w:sz="4" w:space="0" w:color="000000"/>
              <w:left w:val="single" w:sz="4" w:space="0" w:color="000000"/>
              <w:bottom w:val="single" w:sz="4" w:space="0" w:color="000000"/>
              <w:right w:val="single" w:sz="4" w:space="0" w:color="000000"/>
            </w:tcBorders>
            <w:vAlign w:val="center"/>
          </w:tcPr>
          <w:p w14:paraId="390AA482" w14:textId="77777777" w:rsidR="00ED6A83" w:rsidRDefault="00000000">
            <w:pPr>
              <w:jc w:val="center"/>
              <w:rPr>
                <w:b/>
                <w:bCs/>
              </w:rPr>
            </w:pPr>
            <w:r>
              <w:rPr>
                <w:b/>
                <w:bCs/>
              </w:rPr>
              <w:t>Molecule</w:t>
            </w:r>
          </w:p>
        </w:tc>
        <w:tc>
          <w:tcPr>
            <w:tcW w:w="1529" w:type="dxa"/>
            <w:vMerge w:val="restart"/>
            <w:tcBorders>
              <w:top w:val="single" w:sz="4" w:space="0" w:color="000000"/>
              <w:left w:val="single" w:sz="4" w:space="0" w:color="000000"/>
              <w:bottom w:val="single" w:sz="4" w:space="0" w:color="000000"/>
              <w:right w:val="single" w:sz="4" w:space="0" w:color="000000"/>
            </w:tcBorders>
            <w:vAlign w:val="center"/>
          </w:tcPr>
          <w:p w14:paraId="6855D01D" w14:textId="77777777" w:rsidR="00ED6A83" w:rsidRDefault="00000000">
            <w:pPr>
              <w:jc w:val="center"/>
              <w:rPr>
                <w:b/>
                <w:bCs/>
              </w:rPr>
            </w:pPr>
            <w:r>
              <w:rPr>
                <w:b/>
                <w:bCs/>
              </w:rPr>
              <w:t>Dose (mg/kg)</w:t>
            </w:r>
          </w:p>
        </w:tc>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3F1DCDEA" w14:textId="77777777" w:rsidR="00ED6A83" w:rsidRDefault="00000000">
            <w:pPr>
              <w:jc w:val="center"/>
              <w:rPr>
                <w:b/>
                <w:bCs/>
              </w:rPr>
            </w:pPr>
            <w:proofErr w:type="spellStart"/>
            <w:r>
              <w:rPr>
                <w:b/>
                <w:bCs/>
              </w:rPr>
              <w:t>Cmax</w:t>
            </w:r>
            <w:proofErr w:type="spellEnd"/>
            <w:r>
              <w:rPr>
                <w:b/>
                <w:bCs/>
              </w:rPr>
              <w:t xml:space="preserve"> fold-error</w:t>
            </w:r>
          </w:p>
        </w:tc>
        <w:tc>
          <w:tcPr>
            <w:tcW w:w="3228" w:type="dxa"/>
            <w:gridSpan w:val="2"/>
            <w:tcBorders>
              <w:top w:val="single" w:sz="4" w:space="0" w:color="000000"/>
              <w:left w:val="single" w:sz="4" w:space="0" w:color="000000"/>
              <w:bottom w:val="single" w:sz="4" w:space="0" w:color="000000"/>
              <w:right w:val="single" w:sz="4" w:space="0" w:color="000000"/>
            </w:tcBorders>
            <w:vAlign w:val="center"/>
          </w:tcPr>
          <w:p w14:paraId="75715AA1" w14:textId="77777777" w:rsidR="00ED6A83" w:rsidRDefault="00000000">
            <w:pPr>
              <w:jc w:val="center"/>
              <w:rPr>
                <w:b/>
                <w:bCs/>
              </w:rPr>
            </w:pPr>
            <w:r>
              <w:rPr>
                <w:b/>
                <w:bCs/>
              </w:rPr>
              <w:t>AUC fold-error</w:t>
            </w:r>
          </w:p>
        </w:tc>
      </w:tr>
      <w:tr w:rsidR="00ED6A83" w14:paraId="2F012D3E" w14:textId="77777777">
        <w:trPr>
          <w:trHeight w:val="497"/>
          <w:tblHeader/>
        </w:trPr>
        <w:tc>
          <w:tcPr>
            <w:tcW w:w="2173" w:type="dxa"/>
            <w:vMerge/>
            <w:tcBorders>
              <w:top w:val="single" w:sz="4" w:space="0" w:color="000000"/>
              <w:left w:val="single" w:sz="4" w:space="0" w:color="000000"/>
              <w:bottom w:val="single" w:sz="4" w:space="0" w:color="000000"/>
              <w:right w:val="single" w:sz="4" w:space="0" w:color="000000"/>
            </w:tcBorders>
            <w:vAlign w:val="center"/>
          </w:tcPr>
          <w:p w14:paraId="02A546C8" w14:textId="77777777" w:rsidR="00ED6A83" w:rsidRDefault="00ED6A83">
            <w:pPr>
              <w:jc w:val="center"/>
              <w:rPr>
                <w:b/>
                <w:bCs/>
              </w:rPr>
            </w:pPr>
          </w:p>
        </w:tc>
        <w:tc>
          <w:tcPr>
            <w:tcW w:w="1529" w:type="dxa"/>
            <w:vMerge/>
            <w:tcBorders>
              <w:top w:val="single" w:sz="4" w:space="0" w:color="000000"/>
              <w:left w:val="single" w:sz="4" w:space="0" w:color="000000"/>
              <w:bottom w:val="single" w:sz="4" w:space="0" w:color="000000"/>
              <w:right w:val="single" w:sz="4" w:space="0" w:color="000000"/>
            </w:tcBorders>
            <w:vAlign w:val="center"/>
          </w:tcPr>
          <w:p w14:paraId="19990DC6" w14:textId="77777777" w:rsidR="00ED6A83" w:rsidRDefault="00ED6A83">
            <w:pPr>
              <w:jc w:val="center"/>
              <w:rPr>
                <w:b/>
                <w:bCs/>
              </w:rPr>
            </w:pPr>
          </w:p>
        </w:tc>
        <w:tc>
          <w:tcPr>
            <w:tcW w:w="1613" w:type="dxa"/>
            <w:tcBorders>
              <w:top w:val="single" w:sz="4" w:space="0" w:color="000000"/>
              <w:left w:val="single" w:sz="4" w:space="0" w:color="000000"/>
              <w:bottom w:val="single" w:sz="4" w:space="0" w:color="000000"/>
              <w:right w:val="single" w:sz="4" w:space="0" w:color="000000"/>
            </w:tcBorders>
            <w:vAlign w:val="center"/>
          </w:tcPr>
          <w:p w14:paraId="1FB2115E" w14:textId="77777777" w:rsidR="00ED6A83" w:rsidRDefault="00000000">
            <w:pPr>
              <w:jc w:val="center"/>
              <w:rPr>
                <w:b/>
                <w:bCs/>
              </w:rPr>
            </w:pPr>
            <w:r>
              <w:rPr>
                <w:b/>
                <w:bCs/>
              </w:rPr>
              <w:t>“a priori”</w:t>
            </w:r>
          </w:p>
        </w:tc>
        <w:tc>
          <w:tcPr>
            <w:tcW w:w="1614" w:type="dxa"/>
            <w:tcBorders>
              <w:top w:val="single" w:sz="4" w:space="0" w:color="000000"/>
              <w:left w:val="single" w:sz="4" w:space="0" w:color="000000"/>
              <w:bottom w:val="single" w:sz="4" w:space="0" w:color="000000"/>
              <w:right w:val="single" w:sz="4" w:space="0" w:color="000000"/>
            </w:tcBorders>
            <w:vAlign w:val="center"/>
          </w:tcPr>
          <w:p w14:paraId="0D51029E" w14:textId="77777777" w:rsidR="00ED6A83" w:rsidRDefault="00000000">
            <w:pPr>
              <w:jc w:val="center"/>
              <w:rPr>
                <w:b/>
                <w:bCs/>
              </w:rPr>
            </w:pPr>
            <w:r>
              <w:rPr>
                <w:b/>
                <w:bCs/>
              </w:rPr>
              <w:t>Top-down</w:t>
            </w:r>
          </w:p>
        </w:tc>
        <w:tc>
          <w:tcPr>
            <w:tcW w:w="1613" w:type="dxa"/>
            <w:tcBorders>
              <w:top w:val="single" w:sz="4" w:space="0" w:color="000000"/>
              <w:left w:val="single" w:sz="4" w:space="0" w:color="000000"/>
              <w:bottom w:val="single" w:sz="4" w:space="0" w:color="000000"/>
              <w:right w:val="single" w:sz="4" w:space="0" w:color="000000"/>
            </w:tcBorders>
            <w:vAlign w:val="center"/>
          </w:tcPr>
          <w:p w14:paraId="77DE151A" w14:textId="77777777" w:rsidR="00ED6A83" w:rsidRDefault="00000000">
            <w:pPr>
              <w:jc w:val="center"/>
              <w:rPr>
                <w:b/>
                <w:bCs/>
              </w:rPr>
            </w:pPr>
            <w:r>
              <w:rPr>
                <w:b/>
                <w:bCs/>
              </w:rPr>
              <w:t>“a priori”</w:t>
            </w:r>
          </w:p>
        </w:tc>
        <w:tc>
          <w:tcPr>
            <w:tcW w:w="1615" w:type="dxa"/>
            <w:tcBorders>
              <w:top w:val="single" w:sz="4" w:space="0" w:color="000000"/>
              <w:left w:val="single" w:sz="4" w:space="0" w:color="000000"/>
              <w:bottom w:val="single" w:sz="4" w:space="0" w:color="000000"/>
              <w:right w:val="single" w:sz="4" w:space="0" w:color="000000"/>
            </w:tcBorders>
            <w:vAlign w:val="center"/>
          </w:tcPr>
          <w:p w14:paraId="1DDC7F02" w14:textId="77777777" w:rsidR="00ED6A83" w:rsidRDefault="00000000">
            <w:pPr>
              <w:jc w:val="center"/>
              <w:rPr>
                <w:b/>
                <w:bCs/>
              </w:rPr>
            </w:pPr>
            <w:r>
              <w:rPr>
                <w:b/>
                <w:bCs/>
              </w:rPr>
              <w:t>Top-down</w:t>
            </w:r>
          </w:p>
        </w:tc>
      </w:tr>
      <w:tr w:rsidR="00ED6A83" w14:paraId="4719A05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1823B"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E020E" w14:textId="77777777" w:rsidR="00ED6A83" w:rsidRDefault="00000000">
            <w:pPr>
              <w:jc w:val="center"/>
            </w:pPr>
            <w:r>
              <w:t>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28186C9" w14:textId="77777777" w:rsidR="00ED6A83" w:rsidRDefault="00000000">
            <w:pPr>
              <w:jc w:val="center"/>
            </w:pPr>
            <w:r>
              <w:t>0.98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1CB399" w14:textId="77777777" w:rsidR="00ED6A83" w:rsidRDefault="00000000">
            <w:pPr>
              <w:jc w:val="center"/>
            </w:pPr>
            <w:r>
              <w:t>1.05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E22C19C" w14:textId="77777777" w:rsidR="00ED6A83" w:rsidRDefault="00000000">
            <w:pPr>
              <w:jc w:val="center"/>
            </w:pPr>
            <w:r>
              <w:t>1.28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66A4D05" w14:textId="77777777" w:rsidR="00ED6A83" w:rsidRDefault="00000000">
            <w:pPr>
              <w:jc w:val="center"/>
            </w:pPr>
            <w:r>
              <w:t>1.06</w:t>
            </w:r>
          </w:p>
        </w:tc>
      </w:tr>
      <w:tr w:rsidR="00ED6A83" w14:paraId="777FAA1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A1109"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C6CC6"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45ADFD" w14:textId="77777777" w:rsidR="00ED6A83" w:rsidRDefault="00000000">
            <w:pPr>
              <w:jc w:val="center"/>
            </w:pPr>
            <w:r>
              <w:t>0.93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309662" w14:textId="77777777" w:rsidR="00ED6A83" w:rsidRDefault="00000000">
            <w:pPr>
              <w:jc w:val="center"/>
            </w:pPr>
            <w:r>
              <w:t>0.99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F05EE6B"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9836EA" w14:textId="77777777" w:rsidR="00ED6A83" w:rsidRDefault="00000000">
            <w:pPr>
              <w:jc w:val="center"/>
            </w:pPr>
            <w:r>
              <w:t>1.25</w:t>
            </w:r>
          </w:p>
        </w:tc>
      </w:tr>
      <w:tr w:rsidR="00ED6A83" w14:paraId="05F9F6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E0528"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8BBA7"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C13D3B3"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D78A8"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CFA9DF8" w14:textId="77777777" w:rsidR="00ED6A83" w:rsidRDefault="00000000">
            <w:pPr>
              <w:jc w:val="center"/>
            </w:pPr>
            <w:r>
              <w:t>1.50</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8B243C" w14:textId="77777777" w:rsidR="00ED6A83" w:rsidRDefault="00000000">
            <w:pPr>
              <w:jc w:val="center"/>
            </w:pPr>
            <w:r>
              <w:t>1.24</w:t>
            </w:r>
          </w:p>
        </w:tc>
      </w:tr>
      <w:tr w:rsidR="00ED6A83" w14:paraId="0659B9D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9CB85"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1A354" w14:textId="77777777" w:rsidR="00ED6A83" w:rsidRDefault="00000000">
            <w:pPr>
              <w:jc w:val="center"/>
            </w:pPr>
            <w:r>
              <w:t>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D3AA93" w14:textId="77777777" w:rsidR="00ED6A83" w:rsidRDefault="00000000">
            <w:pPr>
              <w:jc w:val="center"/>
            </w:pPr>
            <w:r>
              <w:t>0.75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43BA2B" w14:textId="77777777" w:rsidR="00ED6A83" w:rsidRDefault="00000000">
            <w:pPr>
              <w:jc w:val="center"/>
            </w:pPr>
            <w:r>
              <w:t>0.81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9EBA0" w14:textId="77777777" w:rsidR="00ED6A83" w:rsidRDefault="00000000">
            <w:pPr>
              <w:jc w:val="center"/>
            </w:pPr>
            <w:r>
              <w:t>1.12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E11118" w14:textId="77777777" w:rsidR="00ED6A83" w:rsidRDefault="00000000">
            <w:pPr>
              <w:jc w:val="center"/>
            </w:pPr>
            <w:r>
              <w:t>0.93</w:t>
            </w:r>
          </w:p>
        </w:tc>
      </w:tr>
      <w:tr w:rsidR="00ED6A83" w14:paraId="20857D2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BF53A" w14:textId="77777777" w:rsidR="00ED6A83" w:rsidRDefault="00000000">
            <w:pPr>
              <w:jc w:val="center"/>
            </w:pPr>
            <w:r>
              <w:t>Adalimumab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B96C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7140891"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69965F7" w14:textId="77777777" w:rsidR="00ED6A83" w:rsidRDefault="00000000">
            <w:pPr>
              <w:jc w:val="center"/>
            </w:pPr>
            <w:r>
              <w:t>0.89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E96C8E" w14:textId="77777777" w:rsidR="00ED6A83" w:rsidRDefault="00000000">
            <w:pPr>
              <w:jc w:val="center"/>
            </w:pPr>
            <w:r>
              <w:t>1.08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F6436D" w14:textId="77777777" w:rsidR="00ED6A83" w:rsidRDefault="00000000">
            <w:pPr>
              <w:jc w:val="center"/>
            </w:pPr>
            <w:r>
              <w:t>0.90</w:t>
            </w:r>
          </w:p>
        </w:tc>
      </w:tr>
      <w:tr w:rsidR="00ED6A83" w14:paraId="05C90222"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ED865"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0805F"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F2982A5" w14:textId="77777777" w:rsidR="00ED6A83" w:rsidRDefault="00000000">
            <w:pPr>
              <w:jc w:val="center"/>
            </w:pPr>
            <w:r>
              <w:t>1.10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685CE61"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4B424B" w14:textId="77777777" w:rsidR="00ED6A83" w:rsidRDefault="00000000">
            <w:pPr>
              <w:jc w:val="center"/>
            </w:pPr>
            <w:r>
              <w:t>1.34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3B1608" w14:textId="77777777" w:rsidR="00ED6A83" w:rsidRDefault="00000000">
            <w:pPr>
              <w:jc w:val="center"/>
            </w:pPr>
            <w:r>
              <w:t>1.26</w:t>
            </w:r>
          </w:p>
        </w:tc>
      </w:tr>
      <w:tr w:rsidR="00ED6A83" w14:paraId="1C3451E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381EF"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C6E6B"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A203" w14:textId="77777777" w:rsidR="00ED6A83" w:rsidRDefault="00000000">
            <w:pPr>
              <w:jc w:val="center"/>
            </w:pPr>
            <w:r>
              <w:t>0.83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E82E32" w14:textId="77777777" w:rsidR="00ED6A83" w:rsidRDefault="00000000">
            <w:pPr>
              <w:jc w:val="center"/>
            </w:pPr>
            <w:r>
              <w:t>0.82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411D97" w14:textId="77777777" w:rsidR="00ED6A83" w:rsidRDefault="00000000">
            <w:pPr>
              <w:jc w:val="center"/>
            </w:pPr>
            <w:r>
              <w:t>1.13</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418F323" w14:textId="77777777" w:rsidR="00ED6A83" w:rsidRDefault="00000000">
            <w:pPr>
              <w:jc w:val="center"/>
            </w:pPr>
            <w:r>
              <w:t>1.09</w:t>
            </w:r>
          </w:p>
        </w:tc>
      </w:tr>
      <w:tr w:rsidR="00ED6A83" w14:paraId="7B93E61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3773CC"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22144"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A30478" w14:textId="77777777" w:rsidR="00ED6A83" w:rsidRDefault="00000000">
            <w:pPr>
              <w:jc w:val="center"/>
            </w:pPr>
            <w:r>
              <w:t>1.02</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EF5679" w14:textId="77777777" w:rsidR="00ED6A83" w:rsidRDefault="00000000">
            <w:pPr>
              <w:jc w:val="center"/>
            </w:pPr>
            <w:r>
              <w:t>1.01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D5227E" w14:textId="77777777" w:rsidR="00ED6A83" w:rsidRDefault="00000000">
            <w:pPr>
              <w:jc w:val="center"/>
            </w:pPr>
            <w:r>
              <w:t>1.21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6992100" w14:textId="77777777" w:rsidR="00ED6A83" w:rsidRDefault="00000000">
            <w:pPr>
              <w:jc w:val="center"/>
            </w:pPr>
            <w:r>
              <w:t>1.19</w:t>
            </w:r>
          </w:p>
        </w:tc>
      </w:tr>
      <w:tr w:rsidR="00ED6A83" w14:paraId="5EC84F8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02D64"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A5887"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F30EFC" w14:textId="77777777" w:rsidR="00ED6A83" w:rsidRDefault="00000000">
            <w:pPr>
              <w:jc w:val="center"/>
            </w:pPr>
            <w: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928828" w14:textId="77777777" w:rsidR="00ED6A83" w:rsidRDefault="00000000">
            <w:pPr>
              <w:jc w:val="center"/>
            </w:pPr>
            <w:r>
              <w:t>1.02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7E1943" w14:textId="77777777" w:rsidR="00ED6A83" w:rsidRDefault="00000000">
            <w:pPr>
              <w:jc w:val="center"/>
            </w:pPr>
            <w:r>
              <w:t>1.29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9BD1B0" w14:textId="77777777" w:rsidR="00ED6A83" w:rsidRDefault="00000000">
            <w:pPr>
              <w:jc w:val="center"/>
            </w:pPr>
            <w:r>
              <w:t>1.28</w:t>
            </w:r>
          </w:p>
        </w:tc>
      </w:tr>
      <w:tr w:rsidR="00ED6A83" w14:paraId="2336FB0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02BB0" w14:textId="77777777" w:rsidR="00ED6A83" w:rsidRDefault="00000000">
            <w:pPr>
              <w:jc w:val="center"/>
            </w:pPr>
            <w:r>
              <w:t>Atezolizumab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8CE83"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D74DAF" w14:textId="77777777" w:rsidR="00ED6A83" w:rsidRDefault="00000000">
            <w:pPr>
              <w:jc w:val="center"/>
            </w:pPr>
            <w:r>
              <w:t>0.86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6CC011A" w14:textId="77777777" w:rsidR="00ED6A83" w:rsidRDefault="00000000">
            <w:pPr>
              <w:jc w:val="center"/>
            </w:pPr>
            <w:r>
              <w:t>0.85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B5303B5" w14:textId="77777777" w:rsidR="00ED6A83" w:rsidRDefault="00000000">
            <w:pPr>
              <w:jc w:val="center"/>
            </w:pPr>
            <w:r>
              <w:t>1.15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C2189D" w14:textId="77777777" w:rsidR="00ED6A83" w:rsidRDefault="00000000">
            <w:pPr>
              <w:jc w:val="center"/>
            </w:pPr>
            <w:r>
              <w:t>1.14</w:t>
            </w:r>
          </w:p>
        </w:tc>
      </w:tr>
      <w:tr w:rsidR="00ED6A83" w14:paraId="4A09EA47"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A0E86"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BD444"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1AB0745" w14:textId="77777777" w:rsidR="00ED6A83" w:rsidRDefault="00000000">
            <w:pPr>
              <w:jc w:val="center"/>
            </w:pPr>
            <w:r>
              <w:t>1.27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942E8B6" w14:textId="77777777" w:rsidR="00ED6A83" w:rsidRDefault="00000000">
            <w:pPr>
              <w:jc w:val="center"/>
            </w:pPr>
            <w:r>
              <w:t>1.06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26E677B1" w14:textId="77777777" w:rsidR="00ED6A83" w:rsidRDefault="00000000">
            <w:pPr>
              <w:jc w:val="center"/>
            </w:pPr>
            <w:r>
              <w:t>5.51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28A9884" w14:textId="77777777" w:rsidR="00ED6A83" w:rsidRDefault="00000000">
            <w:pPr>
              <w:jc w:val="center"/>
            </w:pPr>
            <w:r>
              <w:t>1.69</w:t>
            </w:r>
          </w:p>
        </w:tc>
      </w:tr>
      <w:tr w:rsidR="00ED6A83" w14:paraId="6C900A3C"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D760A"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64C13"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B16B37" w14:textId="77777777" w:rsidR="00ED6A83" w:rsidRDefault="00000000">
            <w:pPr>
              <w:jc w:val="center"/>
            </w:pPr>
            <w:r>
              <w:t>0.84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AEFA0" w14:textId="77777777" w:rsidR="00ED6A83" w:rsidRDefault="00000000">
            <w:pPr>
              <w:jc w:val="center"/>
            </w:pPr>
            <w:r>
              <w:t>0.70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277B460" w14:textId="77777777" w:rsidR="00ED6A83" w:rsidRDefault="00000000">
            <w:pPr>
              <w:jc w:val="center"/>
            </w:pPr>
            <w:r>
              <w:t>2.46</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4FAC41" w14:textId="77777777" w:rsidR="00ED6A83" w:rsidRDefault="00000000">
            <w:pPr>
              <w:jc w:val="center"/>
            </w:pPr>
            <w:r>
              <w:t>0.79</w:t>
            </w:r>
          </w:p>
        </w:tc>
      </w:tr>
      <w:tr w:rsidR="00ED6A83" w14:paraId="4441A22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58AB8"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7967A"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72493DE" w14:textId="77777777" w:rsidR="00ED6A83" w:rsidRDefault="00000000">
            <w:pPr>
              <w:jc w:val="center"/>
            </w:pPr>
            <w:r>
              <w:t>0.91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149ABC8" w14:textId="77777777" w:rsidR="00ED6A83" w:rsidRDefault="00000000">
            <w:pPr>
              <w:jc w:val="center"/>
            </w:pPr>
            <w:r>
              <w:t>0.66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4FBC00" w14:textId="77777777" w:rsidR="00ED6A83" w:rsidRDefault="00000000">
            <w:pPr>
              <w:jc w:val="center"/>
            </w:pPr>
            <w:r>
              <w:t>1.47</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7EC0326" w14:textId="77777777" w:rsidR="00ED6A83" w:rsidRDefault="00000000">
            <w:pPr>
              <w:jc w:val="center"/>
            </w:pPr>
            <w:r>
              <w:t>0.35</w:t>
            </w:r>
          </w:p>
        </w:tc>
      </w:tr>
      <w:tr w:rsidR="00ED6A83" w14:paraId="6FC57CB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69F7E" w14:textId="77777777" w:rsidR="00ED6A83" w:rsidRDefault="00000000">
            <w:pPr>
              <w:jc w:val="center"/>
            </w:pPr>
            <w:r>
              <w:t>Avelumab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158C7"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FC78004"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386FC5D" w14:textId="77777777" w:rsidR="00ED6A83" w:rsidRDefault="00000000">
            <w:pPr>
              <w:jc w:val="center"/>
            </w:pPr>
            <w:r>
              <w:t>0.79</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C8C2644" w14:textId="77777777" w:rsidR="00ED6A83" w:rsidRDefault="00000000">
            <w:pPr>
              <w:jc w:val="center"/>
            </w:pPr>
            <w:r>
              <w:t>2.05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7A4FE88" w14:textId="77777777" w:rsidR="00ED6A83" w:rsidRDefault="00000000">
            <w:pPr>
              <w:jc w:val="center"/>
            </w:pPr>
            <w:r>
              <w:t>0.68</w:t>
            </w:r>
          </w:p>
        </w:tc>
      </w:tr>
      <w:tr w:rsidR="00ED6A83" w14:paraId="27A63701"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FA752" w14:textId="77777777" w:rsidR="00ED6A83" w:rsidRDefault="00000000">
            <w:pPr>
              <w:jc w:val="center"/>
            </w:pPr>
            <w:r>
              <w:t>Bevacizumab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2B90D" w14:textId="77777777" w:rsidR="00ED6A83" w:rsidRDefault="00000000">
            <w:pPr>
              <w:jc w:val="center"/>
            </w:pPr>
            <w:r>
              <w:t>15</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11ED69" w14:textId="77777777" w:rsidR="00ED6A83" w:rsidRDefault="00000000">
            <w:pPr>
              <w:jc w:val="center"/>
            </w:pPr>
            <w:r>
              <w:t>1.26</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CD85C6" w14:textId="77777777" w:rsidR="00ED6A83" w:rsidRDefault="00000000">
            <w:pPr>
              <w:jc w:val="center"/>
            </w:pPr>
            <w:r>
              <w:t>1.09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91D259" w14:textId="77777777" w:rsidR="00ED6A83" w:rsidRDefault="00000000">
            <w:pPr>
              <w:jc w:val="center"/>
            </w:pPr>
            <w:r>
              <w:t>1.25</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3F7CDF" w14:textId="77777777" w:rsidR="00ED6A83" w:rsidRDefault="00000000">
            <w:pPr>
              <w:jc w:val="center"/>
            </w:pPr>
            <w:r>
              <w:t>0.95</w:t>
            </w:r>
          </w:p>
        </w:tc>
      </w:tr>
      <w:tr w:rsidR="00ED6A83" w14:paraId="78F7BE8B"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8D97C"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C45C3" w14:textId="77777777" w:rsidR="00ED6A83" w:rsidRDefault="00000000">
            <w:pPr>
              <w:jc w:val="center"/>
            </w:pPr>
            <w:r>
              <w:t>0.1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6D09E7" w14:textId="77777777" w:rsidR="00ED6A83" w:rsidRDefault="00000000">
            <w:pPr>
              <w:jc w:val="center"/>
            </w:pPr>
            <w:r>
              <w:t>0.95</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321C85E" w14:textId="77777777" w:rsidR="00ED6A83" w:rsidRDefault="00000000">
            <w:pPr>
              <w:jc w:val="center"/>
            </w:pPr>
            <w:r>
              <w:t>1.27</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210BC40" w14:textId="77777777" w:rsidR="00ED6A83" w:rsidRDefault="00000000">
            <w:pPr>
              <w:jc w:val="center"/>
            </w:pPr>
            <w:r>
              <w:t>2.13</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12D811" w14:textId="77777777" w:rsidR="00ED6A83" w:rsidRDefault="00000000">
            <w:pPr>
              <w:jc w:val="center"/>
            </w:pPr>
            <w:r>
              <w:t>2.01</w:t>
            </w:r>
          </w:p>
        </w:tc>
      </w:tr>
      <w:tr w:rsidR="00ED6A83" w14:paraId="54DD71D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5C771" w14:textId="77777777" w:rsidR="00ED6A83" w:rsidRDefault="00000000">
            <w:pPr>
              <w:jc w:val="center"/>
            </w:pPr>
            <w:r>
              <w:lastRenderedPageBreak/>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11817" w14:textId="77777777" w:rsidR="00ED6A83" w:rsidRDefault="00000000">
            <w:pPr>
              <w:jc w:val="center"/>
            </w:pPr>
            <w:r>
              <w:t>0.3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95DC43" w14:textId="77777777" w:rsidR="00ED6A83" w:rsidRDefault="00000000">
            <w:pPr>
              <w:jc w:val="center"/>
            </w:pPr>
            <w:r>
              <w:t>0.63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C2FA8C4" w14:textId="77777777" w:rsidR="00ED6A83" w:rsidRDefault="00000000">
            <w:pPr>
              <w:jc w:val="center"/>
            </w:pPr>
            <w:r>
              <w:t>0.84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B6A4A69" w14:textId="77777777" w:rsidR="00ED6A83" w:rsidRDefault="00000000">
            <w:pPr>
              <w:jc w:val="center"/>
            </w:pPr>
            <w:r>
              <w:t>1.44</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7B56482" w14:textId="77777777" w:rsidR="00ED6A83" w:rsidRDefault="00000000">
            <w:pPr>
              <w:jc w:val="center"/>
            </w:pPr>
            <w:r>
              <w:t>1.36</w:t>
            </w:r>
          </w:p>
        </w:tc>
      </w:tr>
      <w:tr w:rsidR="00ED6A83" w14:paraId="60AA767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54229"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7FECE"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E6EB7E" w14:textId="77777777" w:rsidR="00ED6A83" w:rsidRDefault="00000000">
            <w:pPr>
              <w:jc w:val="center"/>
            </w:pPr>
            <w:r>
              <w:t>0.87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5E525A0" w14:textId="77777777" w:rsidR="00ED6A83" w:rsidRDefault="00000000">
            <w:pPr>
              <w:jc w:val="center"/>
            </w:pPr>
            <w:r>
              <w:t>1.17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2E157B3" w14:textId="77777777" w:rsidR="00ED6A83" w:rsidRDefault="00000000">
            <w:pPr>
              <w:jc w:val="center"/>
            </w:pPr>
            <w:r>
              <w:t>1.31</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9EE2913" w14:textId="77777777" w:rsidR="00ED6A83" w:rsidRDefault="00000000">
            <w:pPr>
              <w:jc w:val="center"/>
            </w:pPr>
            <w:r>
              <w:t>1.24</w:t>
            </w:r>
          </w:p>
        </w:tc>
      </w:tr>
      <w:tr w:rsidR="00ED6A83" w14:paraId="01019B56"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FF61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1C7E5"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FBE84B6"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AF6493B" w14:textId="77777777" w:rsidR="00ED6A83" w:rsidRDefault="00000000">
            <w:pPr>
              <w:jc w:val="center"/>
            </w:pPr>
            <w:r>
              <w:t>1.57</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56433DF" w14:textId="77777777" w:rsidR="00ED6A83" w:rsidRDefault="00000000">
            <w:pPr>
              <w:jc w:val="center"/>
            </w:pPr>
            <w:r>
              <w:t>1.82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026F13D" w14:textId="77777777" w:rsidR="00ED6A83" w:rsidRDefault="00000000">
            <w:pPr>
              <w:jc w:val="center"/>
            </w:pPr>
            <w:r>
              <w:t>1.73</w:t>
            </w:r>
          </w:p>
        </w:tc>
      </w:tr>
      <w:tr w:rsidR="00ED6A83" w14:paraId="26FC610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0F47B"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FDC0A"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C94A44" w14:textId="77777777" w:rsidR="00ED6A83" w:rsidRDefault="00000000">
            <w:pPr>
              <w:jc w:val="center"/>
            </w:pPr>
            <w:r>
              <w:t>0.94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832FC5B" w14:textId="77777777" w:rsidR="00ED6A83" w:rsidRDefault="00000000">
            <w:pPr>
              <w:jc w:val="center"/>
            </w:pPr>
            <w:r>
              <w:t>1.26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707E707" w14:textId="77777777" w:rsidR="00ED6A83" w:rsidRDefault="00000000">
            <w:pPr>
              <w:jc w:val="center"/>
            </w:pPr>
            <w:r>
              <w:t>1.52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536EBB0" w14:textId="77777777" w:rsidR="00ED6A83" w:rsidRDefault="00000000">
            <w:pPr>
              <w:jc w:val="center"/>
            </w:pPr>
            <w:r>
              <w:t>1.45</w:t>
            </w:r>
          </w:p>
        </w:tc>
      </w:tr>
      <w:tr w:rsidR="00ED6A83" w14:paraId="1CC54FAF"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33C2F" w14:textId="77777777" w:rsidR="00ED6A83" w:rsidRDefault="00000000">
            <w:pPr>
              <w:jc w:val="center"/>
            </w:pPr>
            <w:r>
              <w:t>Golimumab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8AD77"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AB398A2" w14:textId="77777777" w:rsidR="00ED6A83" w:rsidRDefault="00000000">
            <w:pPr>
              <w:jc w:val="center"/>
            </w:pPr>
            <w:r>
              <w:t>1.11</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6F32FA0" w14:textId="77777777" w:rsidR="00ED6A83" w:rsidRDefault="00000000">
            <w:pPr>
              <w:jc w:val="center"/>
            </w:pPr>
            <w:r>
              <w:t>1.48</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A7716D7" w14:textId="77777777" w:rsidR="00ED6A83" w:rsidRDefault="00000000">
            <w:pPr>
              <w:jc w:val="center"/>
            </w:pPr>
            <w:r>
              <w:t>1.78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5B430E9" w14:textId="77777777" w:rsidR="00ED6A83" w:rsidRDefault="00000000">
            <w:pPr>
              <w:jc w:val="center"/>
            </w:pPr>
            <w:r>
              <w:t>1.71</w:t>
            </w:r>
          </w:p>
        </w:tc>
      </w:tr>
      <w:tr w:rsidR="00ED6A83" w14:paraId="13FFC32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EBBE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C3448" w14:textId="77777777" w:rsidR="00ED6A83" w:rsidRDefault="00000000">
            <w:pPr>
              <w:jc w:val="center"/>
            </w:pPr>
            <w:r>
              <w:t>1</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2FEAF69" w14:textId="77777777" w:rsidR="00ED6A83" w:rsidRDefault="00000000">
            <w:pPr>
              <w:jc w:val="center"/>
            </w:pPr>
            <w:r>
              <w:t>1.00</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9C0F5C" w14:textId="77777777" w:rsidR="00ED6A83" w:rsidRDefault="00000000">
            <w:pPr>
              <w:jc w:val="center"/>
            </w:pPr>
            <w:r>
              <w:t>1.42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1060973" w14:textId="77777777" w:rsidR="00ED6A83" w:rsidRDefault="00000000">
            <w:pPr>
              <w:jc w:val="center"/>
            </w:pPr>
            <w:r>
              <w:t>1.09</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FA55020" w14:textId="77777777" w:rsidR="00ED6A83" w:rsidRDefault="00000000">
            <w:pPr>
              <w:jc w:val="center"/>
            </w:pPr>
            <w:r>
              <w:t>1.50</w:t>
            </w:r>
          </w:p>
        </w:tc>
      </w:tr>
      <w:tr w:rsidR="00ED6A83" w14:paraId="5B57A248"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F703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1944C" w14:textId="77777777" w:rsidR="00ED6A83" w:rsidRDefault="00000000">
            <w:pPr>
              <w:jc w:val="center"/>
            </w:pPr>
            <w:r>
              <w:t>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0931409"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5744A61" w14:textId="77777777" w:rsidR="00ED6A83" w:rsidRDefault="00000000">
            <w:pPr>
              <w:jc w:val="center"/>
            </w:pPr>
            <w:r>
              <w:t>1.54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562C0D" w14:textId="77777777" w:rsidR="00ED6A83" w:rsidRDefault="00000000">
            <w:pPr>
              <w:jc w:val="center"/>
            </w:pPr>
            <w:r>
              <w:t>1.38</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9E4D8A1" w14:textId="77777777" w:rsidR="00ED6A83" w:rsidRDefault="00000000">
            <w:pPr>
              <w:jc w:val="center"/>
            </w:pPr>
            <w:r>
              <w:t>1.92</w:t>
            </w:r>
          </w:p>
        </w:tc>
      </w:tr>
      <w:tr w:rsidR="00ED6A83" w14:paraId="14A9893D"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F97F7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CEEB9" w14:textId="77777777" w:rsidR="00ED6A83" w:rsidRDefault="00000000">
            <w:pPr>
              <w:jc w:val="center"/>
            </w:pPr>
            <w:r>
              <w:t>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87F02E7" w14:textId="77777777" w:rsidR="00ED6A83" w:rsidRDefault="00000000">
            <w:pPr>
              <w:jc w:val="center"/>
            </w:pPr>
            <w:r>
              <w:t>1.34</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B9F2DA3" w14:textId="77777777" w:rsidR="00ED6A83" w:rsidRDefault="00000000">
            <w:pPr>
              <w:jc w:val="center"/>
            </w:pPr>
            <w:r>
              <w:t>1.94</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34A69843" w14:textId="77777777" w:rsidR="00ED6A83" w:rsidRDefault="00000000">
            <w:pPr>
              <w:jc w:val="center"/>
            </w:pPr>
            <w:r>
              <w:t>1.56</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762C1834" w14:textId="77777777" w:rsidR="00ED6A83" w:rsidRDefault="00000000">
            <w:pPr>
              <w:jc w:val="center"/>
            </w:pPr>
            <w:r>
              <w:t>2.44</w:t>
            </w:r>
          </w:p>
        </w:tc>
      </w:tr>
      <w:tr w:rsidR="00ED6A83" w14:paraId="45667A39"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2B6DC"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DFD9F" w14:textId="77777777" w:rsidR="00ED6A83" w:rsidRDefault="00000000">
            <w:pPr>
              <w:jc w:val="center"/>
            </w:pPr>
            <w:r>
              <w:t>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567A596" w14:textId="77777777" w:rsidR="00ED6A83" w:rsidRDefault="00000000">
            <w:pPr>
              <w:jc w:val="center"/>
            </w:pPr>
            <w:r>
              <w:t>1.28</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4849C2" w14:textId="77777777" w:rsidR="00ED6A83" w:rsidRDefault="00000000">
            <w:pPr>
              <w:jc w:val="center"/>
            </w:pPr>
            <w:r>
              <w:t>1.86</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44237EB" w14:textId="77777777" w:rsidR="00ED6A83" w:rsidRDefault="00000000">
            <w:pPr>
              <w:jc w:val="center"/>
            </w:pPr>
            <w:r>
              <w:t>1.61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5B682529" w14:textId="77777777" w:rsidR="00ED6A83" w:rsidRDefault="00000000">
            <w:pPr>
              <w:jc w:val="center"/>
            </w:pPr>
            <w:r>
              <w:t>2.53</w:t>
            </w:r>
          </w:p>
        </w:tc>
      </w:tr>
      <w:tr w:rsidR="00ED6A83" w14:paraId="1CAB56F5"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BBED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5FC2D" w14:textId="77777777" w:rsidR="00ED6A83" w:rsidRDefault="00000000">
            <w:pPr>
              <w:jc w:val="center"/>
            </w:pPr>
            <w:r>
              <w:t>10</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E2826A8" w14:textId="77777777" w:rsidR="00ED6A83" w:rsidRDefault="00000000">
            <w:pPr>
              <w:jc w:val="center"/>
            </w:pPr>
            <w:r>
              <w:t>1.17</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55FF2D8" w14:textId="77777777" w:rsidR="00ED6A83" w:rsidRDefault="00000000">
            <w:pPr>
              <w:jc w:val="center"/>
            </w:pPr>
            <w:r>
              <w:t>1.49</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CF40D08" w14:textId="77777777" w:rsidR="00ED6A83" w:rsidRDefault="00000000">
            <w:pPr>
              <w:jc w:val="center"/>
            </w:pPr>
            <w:r>
              <w:t>1.32</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9A4A719" w14:textId="77777777" w:rsidR="00ED6A83" w:rsidRDefault="00000000">
            <w:pPr>
              <w:jc w:val="center"/>
            </w:pPr>
            <w:r>
              <w:t>1.82</w:t>
            </w:r>
          </w:p>
        </w:tc>
      </w:tr>
      <w:tr w:rsidR="00ED6A83" w14:paraId="536D4DCE"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3A58E" w14:textId="77777777" w:rsidR="00ED6A83" w:rsidRDefault="00000000">
            <w:pPr>
              <w:jc w:val="center"/>
            </w:pPr>
            <w:r>
              <w:t>Nivolumab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32D65" w14:textId="77777777" w:rsidR="00ED6A83" w:rsidRDefault="00000000">
            <w:pPr>
              <w:jc w:val="center"/>
            </w:pPr>
            <w:r>
              <w:t>20</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3D182CB" w14:textId="77777777" w:rsidR="00ED6A83" w:rsidRDefault="00000000">
            <w:pPr>
              <w:jc w:val="center"/>
            </w:pPr>
            <w:r>
              <w:t>2.39</w:t>
            </w:r>
          </w:p>
        </w:tc>
        <w:tc>
          <w:tcPr>
            <w:tcW w:w="1614"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1793460B" w14:textId="77777777" w:rsidR="00ED6A83" w:rsidRDefault="00000000">
            <w:pPr>
              <w:jc w:val="center"/>
            </w:pPr>
            <w:r>
              <w:t>3.46</w:t>
            </w:r>
          </w:p>
        </w:tc>
        <w:tc>
          <w:tcPr>
            <w:tcW w:w="1613"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7F2D27D" w14:textId="77777777" w:rsidR="00ED6A83" w:rsidRDefault="00000000">
            <w:pPr>
              <w:jc w:val="center"/>
            </w:pPr>
            <w:r>
              <w:t>2.11</w:t>
            </w:r>
          </w:p>
        </w:tc>
        <w:tc>
          <w:tcPr>
            <w:tcW w:w="1615"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0981CB9F" w14:textId="77777777" w:rsidR="00ED6A83" w:rsidRDefault="00000000">
            <w:pPr>
              <w:jc w:val="center"/>
            </w:pPr>
            <w:r>
              <w:t>3.37</w:t>
            </w:r>
          </w:p>
        </w:tc>
      </w:tr>
      <w:tr w:rsidR="00ED6A83" w14:paraId="6B45DC83" w14:textId="77777777">
        <w:trPr>
          <w:trHeight w:val="497"/>
        </w:trPr>
        <w:tc>
          <w:tcPr>
            <w:tcW w:w="21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EB6C6"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682BA" w14:textId="77777777" w:rsidR="00ED6A83" w:rsidRDefault="00000000">
            <w:pPr>
              <w:pStyle w:val="TableContents"/>
              <w:jc w:val="center"/>
              <w:rPr>
                <w:rFonts w:ascii="Arial" w:hAnsi="Arial"/>
                <w:sz w:val="20"/>
              </w:rPr>
            </w:pPr>
            <w:r>
              <w:rPr>
                <w:rFonts w:ascii="Arial" w:hAnsi="Arial"/>
                <w:sz w:val="20"/>
              </w:rPr>
              <w:t>2</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391E745" w14:textId="77777777" w:rsidR="00ED6A83" w:rsidRDefault="00000000">
            <w:pPr>
              <w:pStyle w:val="TableContents"/>
              <w:jc w:val="center"/>
              <w:rPr>
                <w:rFonts w:ascii="Arial" w:hAnsi="Arial"/>
                <w:sz w:val="20"/>
              </w:rPr>
            </w:pPr>
            <w:r>
              <w:rPr>
                <w:rFonts w:ascii="Arial" w:hAnsi="Arial"/>
                <w:sz w:val="20"/>
              </w:rPr>
              <w:t>1.03</w:t>
            </w:r>
          </w:p>
        </w:tc>
        <w:tc>
          <w:tcPr>
            <w:tcW w:w="16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F6229C4" w14:textId="77777777" w:rsidR="00ED6A83" w:rsidRDefault="00000000">
            <w:pPr>
              <w:pStyle w:val="TableContents"/>
              <w:jc w:val="center"/>
              <w:rPr>
                <w:rFonts w:ascii="Arial" w:hAnsi="Arial"/>
                <w:sz w:val="20"/>
              </w:rPr>
            </w:pPr>
            <w:r>
              <w:rPr>
                <w:rFonts w:ascii="Arial" w:hAnsi="Arial"/>
                <w:sz w:val="20"/>
              </w:rPr>
              <w:t>1.13</w:t>
            </w:r>
          </w:p>
        </w:tc>
        <w:tc>
          <w:tcPr>
            <w:tcW w:w="1613"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23E92D08" w14:textId="77777777" w:rsidR="00ED6A83" w:rsidRDefault="00000000">
            <w:pPr>
              <w:pStyle w:val="TableContents"/>
              <w:jc w:val="center"/>
              <w:rPr>
                <w:rFonts w:ascii="Arial" w:hAnsi="Arial"/>
                <w:sz w:val="20"/>
              </w:rPr>
            </w:pPr>
            <w:r>
              <w:rPr>
                <w:rFonts w:ascii="Arial" w:hAnsi="Arial"/>
                <w:sz w:val="20"/>
              </w:rPr>
              <w:t>1.27</w:t>
            </w:r>
          </w:p>
        </w:tc>
        <w:tc>
          <w:tcPr>
            <w:tcW w:w="1615"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37143E1" w14:textId="77777777" w:rsidR="00ED6A83" w:rsidRDefault="00000000">
            <w:pPr>
              <w:pStyle w:val="TableContents"/>
              <w:jc w:val="center"/>
              <w:rPr>
                <w:rFonts w:ascii="Arial" w:hAnsi="Arial"/>
                <w:sz w:val="20"/>
              </w:rPr>
            </w:pPr>
            <w:r>
              <w:rPr>
                <w:rFonts w:ascii="Arial" w:hAnsi="Arial"/>
                <w:sz w:val="20"/>
              </w:rPr>
              <w:t>0.99</w:t>
            </w:r>
          </w:p>
        </w:tc>
      </w:tr>
      <w:tr w:rsidR="00ED6A83" w14:paraId="519D4734"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72297C42" w14:textId="77777777" w:rsidR="00ED6A83" w:rsidRDefault="00000000">
            <w:pPr>
              <w:pStyle w:val="TableContents"/>
              <w:jc w:val="center"/>
              <w:rPr>
                <w:rFonts w:ascii="Arial" w:hAnsi="Arial"/>
                <w:sz w:val="20"/>
              </w:rPr>
            </w:pPr>
            <w:r>
              <w:rPr>
                <w:rFonts w:ascii="Arial" w:hAnsi="Arial"/>
                <w:sz w:val="20"/>
              </w:rPr>
              <w:t>Pembrolizumab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3C90D4C1" w14:textId="77777777" w:rsidR="00ED6A83" w:rsidRDefault="00000000">
            <w:pPr>
              <w:pStyle w:val="TableContents"/>
              <w:jc w:val="center"/>
              <w:rPr>
                <w:rFonts w:ascii="Arial" w:hAnsi="Arial"/>
                <w:sz w:val="20"/>
              </w:rPr>
            </w:pPr>
            <w:r>
              <w:rPr>
                <w:rFonts w:ascii="Arial" w:hAnsi="Arial"/>
                <w:sz w:val="20"/>
              </w:rPr>
              <w:t>10</w:t>
            </w:r>
          </w:p>
        </w:tc>
        <w:tc>
          <w:tcPr>
            <w:tcW w:w="1613" w:type="dxa"/>
            <w:tcBorders>
              <w:left w:val="single" w:sz="4" w:space="0" w:color="000000"/>
              <w:bottom w:val="single" w:sz="4" w:space="0" w:color="000000"/>
              <w:right w:val="single" w:sz="4" w:space="0" w:color="000000"/>
            </w:tcBorders>
            <w:shd w:val="clear" w:color="auto" w:fill="E2F0D9"/>
            <w:vAlign w:val="center"/>
          </w:tcPr>
          <w:p w14:paraId="1B3ED5CB" w14:textId="77777777" w:rsidR="00ED6A83" w:rsidRDefault="00000000">
            <w:pPr>
              <w:pStyle w:val="TableContents"/>
              <w:jc w:val="center"/>
              <w:rPr>
                <w:rFonts w:ascii="Arial" w:hAnsi="Arial"/>
                <w:sz w:val="20"/>
              </w:rPr>
            </w:pPr>
            <w:r>
              <w:rPr>
                <w:rFonts w:ascii="Arial" w:hAnsi="Arial"/>
                <w:sz w:val="20"/>
              </w:rPr>
              <w:t>1.02</w:t>
            </w:r>
          </w:p>
        </w:tc>
        <w:tc>
          <w:tcPr>
            <w:tcW w:w="1614" w:type="dxa"/>
            <w:tcBorders>
              <w:left w:val="single" w:sz="4" w:space="0" w:color="000000"/>
              <w:bottom w:val="single" w:sz="4" w:space="0" w:color="000000"/>
              <w:right w:val="single" w:sz="4" w:space="0" w:color="000000"/>
            </w:tcBorders>
            <w:shd w:val="clear" w:color="auto" w:fill="E2F0D9"/>
            <w:vAlign w:val="center"/>
          </w:tcPr>
          <w:p w14:paraId="549C92E1" w14:textId="77777777" w:rsidR="00ED6A83" w:rsidRDefault="00000000">
            <w:pPr>
              <w:pStyle w:val="TableContents"/>
              <w:jc w:val="center"/>
              <w:rPr>
                <w:rFonts w:ascii="Arial" w:hAnsi="Arial"/>
                <w:sz w:val="20"/>
              </w:rPr>
            </w:pPr>
            <w:r>
              <w:rPr>
                <w:rFonts w:ascii="Arial" w:hAnsi="Arial"/>
                <w:sz w:val="20"/>
              </w:rPr>
              <w:t>1.11</w:t>
            </w:r>
          </w:p>
        </w:tc>
        <w:tc>
          <w:tcPr>
            <w:tcW w:w="1613" w:type="dxa"/>
            <w:tcBorders>
              <w:left w:val="single" w:sz="4" w:space="0" w:color="000000"/>
              <w:bottom w:val="single" w:sz="4" w:space="0" w:color="000000"/>
              <w:right w:val="single" w:sz="4" w:space="0" w:color="000000"/>
            </w:tcBorders>
            <w:shd w:val="clear" w:color="auto" w:fill="E2F0D9"/>
            <w:vAlign w:val="center"/>
          </w:tcPr>
          <w:p w14:paraId="15BB9C2E" w14:textId="77777777" w:rsidR="00ED6A83" w:rsidRDefault="00000000">
            <w:pPr>
              <w:pStyle w:val="TableContents"/>
              <w:jc w:val="center"/>
              <w:rPr>
                <w:rFonts w:ascii="Arial" w:hAnsi="Arial"/>
                <w:sz w:val="20"/>
              </w:rPr>
            </w:pPr>
            <w:r>
              <w:rPr>
                <w:rFonts w:ascii="Arial" w:hAnsi="Arial"/>
                <w:sz w:val="20"/>
              </w:rPr>
              <w:t>1.41</w:t>
            </w:r>
          </w:p>
        </w:tc>
        <w:tc>
          <w:tcPr>
            <w:tcW w:w="1615" w:type="dxa"/>
            <w:tcBorders>
              <w:left w:val="single" w:sz="4" w:space="0" w:color="000000"/>
              <w:bottom w:val="single" w:sz="4" w:space="0" w:color="000000"/>
              <w:right w:val="single" w:sz="4" w:space="0" w:color="000000"/>
            </w:tcBorders>
            <w:shd w:val="clear" w:color="auto" w:fill="E2F0D9"/>
            <w:vAlign w:val="center"/>
          </w:tcPr>
          <w:p w14:paraId="59634D67" w14:textId="77777777" w:rsidR="00ED6A83" w:rsidRDefault="00000000">
            <w:pPr>
              <w:pStyle w:val="TableContents"/>
              <w:jc w:val="center"/>
              <w:rPr>
                <w:rFonts w:ascii="Arial" w:hAnsi="Arial"/>
                <w:sz w:val="20"/>
              </w:rPr>
            </w:pPr>
            <w:r>
              <w:rPr>
                <w:rFonts w:ascii="Arial" w:hAnsi="Arial"/>
                <w:sz w:val="20"/>
              </w:rPr>
              <w:t>1.10</w:t>
            </w:r>
          </w:p>
        </w:tc>
      </w:tr>
      <w:tr w:rsidR="00ED6A83" w14:paraId="20538FBF" w14:textId="77777777">
        <w:trPr>
          <w:trHeight w:val="497"/>
        </w:trPr>
        <w:tc>
          <w:tcPr>
            <w:tcW w:w="2173" w:type="dxa"/>
            <w:tcBorders>
              <w:left w:val="single" w:sz="4" w:space="0" w:color="000000"/>
              <w:bottom w:val="single" w:sz="4" w:space="0" w:color="000000"/>
              <w:right w:val="single" w:sz="4" w:space="0" w:color="000000"/>
            </w:tcBorders>
            <w:shd w:val="clear" w:color="auto" w:fill="FFFFFF"/>
            <w:vAlign w:val="center"/>
          </w:tcPr>
          <w:p w14:paraId="19C1671E" w14:textId="77777777" w:rsidR="00ED6A83" w:rsidRDefault="00000000">
            <w:pPr>
              <w:jc w:val="center"/>
            </w:pPr>
            <w:r>
              <w:t>Tocilizumab</w:t>
            </w:r>
          </w:p>
        </w:tc>
        <w:tc>
          <w:tcPr>
            <w:tcW w:w="1529" w:type="dxa"/>
            <w:tcBorders>
              <w:left w:val="single" w:sz="4" w:space="0" w:color="000000"/>
              <w:bottom w:val="single" w:sz="4" w:space="0" w:color="000000"/>
              <w:right w:val="single" w:sz="4" w:space="0" w:color="000000"/>
            </w:tcBorders>
            <w:shd w:val="clear" w:color="auto" w:fill="FFFFFF"/>
            <w:vAlign w:val="center"/>
          </w:tcPr>
          <w:p w14:paraId="2B9D997B" w14:textId="77777777" w:rsidR="00ED6A83" w:rsidRDefault="00000000">
            <w:pPr>
              <w:jc w:val="center"/>
            </w:pPr>
            <w:r>
              <w:t>8</w:t>
            </w:r>
          </w:p>
        </w:tc>
        <w:tc>
          <w:tcPr>
            <w:tcW w:w="1613" w:type="dxa"/>
            <w:tcBorders>
              <w:left w:val="single" w:sz="4" w:space="0" w:color="000000"/>
              <w:bottom w:val="single" w:sz="4" w:space="0" w:color="000000"/>
              <w:right w:val="single" w:sz="4" w:space="0" w:color="000000"/>
            </w:tcBorders>
            <w:shd w:val="clear" w:color="auto" w:fill="E2F0D9"/>
            <w:vAlign w:val="center"/>
          </w:tcPr>
          <w:p w14:paraId="5815C445" w14:textId="77777777" w:rsidR="00ED6A83" w:rsidRDefault="00000000">
            <w:pPr>
              <w:jc w:val="center"/>
            </w:pPr>
            <w:r>
              <w:t>0.51</w:t>
            </w:r>
          </w:p>
        </w:tc>
        <w:tc>
          <w:tcPr>
            <w:tcW w:w="1614" w:type="dxa"/>
            <w:tcBorders>
              <w:left w:val="single" w:sz="4" w:space="0" w:color="000000"/>
              <w:bottom w:val="single" w:sz="4" w:space="0" w:color="000000"/>
              <w:right w:val="single" w:sz="4" w:space="0" w:color="000000"/>
            </w:tcBorders>
            <w:shd w:val="clear" w:color="auto" w:fill="E2F0D9"/>
            <w:vAlign w:val="center"/>
          </w:tcPr>
          <w:p w14:paraId="56177AEF" w14:textId="77777777" w:rsidR="00ED6A83" w:rsidRDefault="00000000">
            <w:pPr>
              <w:jc w:val="center"/>
            </w:pPr>
            <w:r>
              <w:t>0.61</w:t>
            </w:r>
          </w:p>
        </w:tc>
        <w:tc>
          <w:tcPr>
            <w:tcW w:w="1613" w:type="dxa"/>
            <w:tcBorders>
              <w:left w:val="single" w:sz="4" w:space="0" w:color="000000"/>
              <w:bottom w:val="single" w:sz="4" w:space="0" w:color="000000"/>
              <w:right w:val="single" w:sz="4" w:space="0" w:color="000000"/>
            </w:tcBorders>
            <w:shd w:val="clear" w:color="auto" w:fill="E2F0D9"/>
            <w:vAlign w:val="center"/>
          </w:tcPr>
          <w:p w14:paraId="5DD403EE" w14:textId="77777777" w:rsidR="00ED6A83" w:rsidRDefault="00000000">
            <w:pPr>
              <w:jc w:val="center"/>
            </w:pPr>
            <w:r>
              <w:t>0.71</w:t>
            </w:r>
          </w:p>
        </w:tc>
        <w:tc>
          <w:tcPr>
            <w:tcW w:w="1615" w:type="dxa"/>
            <w:tcBorders>
              <w:left w:val="single" w:sz="4" w:space="0" w:color="000000"/>
              <w:bottom w:val="single" w:sz="4" w:space="0" w:color="000000"/>
              <w:right w:val="single" w:sz="4" w:space="0" w:color="000000"/>
            </w:tcBorders>
            <w:shd w:val="clear" w:color="auto" w:fill="E2F0D9"/>
            <w:vAlign w:val="center"/>
          </w:tcPr>
          <w:p w14:paraId="29A7AAE3" w14:textId="77777777" w:rsidR="00ED6A83" w:rsidRDefault="00000000">
            <w:pPr>
              <w:jc w:val="center"/>
            </w:pPr>
            <w:r>
              <w:t>0.57</w:t>
            </w:r>
          </w:p>
        </w:tc>
      </w:tr>
    </w:tbl>
    <w:p w14:paraId="40BE5E97" w14:textId="77777777" w:rsidR="00ED6A83" w:rsidRDefault="00ED6A83"/>
    <w:p w14:paraId="623F9647" w14:textId="77777777" w:rsidR="00ED6A83" w:rsidRDefault="00ED6A83">
      <w:pPr>
        <w:spacing w:after="0" w:line="240" w:lineRule="auto"/>
        <w:jc w:val="left"/>
        <w:rPr>
          <w:rFonts w:asciiTheme="majorHAnsi" w:eastAsiaTheme="majorEastAsia" w:hAnsiTheme="majorHAnsi" w:cstheme="majorBidi"/>
          <w:b/>
          <w:sz w:val="40"/>
          <w:szCs w:val="40"/>
        </w:rPr>
      </w:pPr>
    </w:p>
    <w:p w14:paraId="3C751050" w14:textId="77777777" w:rsidR="00ED6A83" w:rsidRDefault="00000000">
      <w:pPr>
        <w:spacing w:after="0" w:line="240" w:lineRule="auto"/>
        <w:jc w:val="left"/>
        <w:rPr>
          <w:rFonts w:asciiTheme="majorHAnsi" w:eastAsiaTheme="majorEastAsia" w:hAnsiTheme="majorHAnsi" w:cstheme="majorBidi"/>
          <w:b/>
          <w:sz w:val="40"/>
          <w:szCs w:val="40"/>
        </w:rPr>
      </w:pPr>
      <w:r>
        <w:br w:type="page"/>
      </w:r>
    </w:p>
    <w:p w14:paraId="71FFA3D4" w14:textId="3D48C05C" w:rsidR="00ED6A83" w:rsidRDefault="00000000">
      <w:pPr>
        <w:pStyle w:val="Heading1"/>
        <w:spacing w:before="0"/>
      </w:pPr>
      <w:r>
        <w:lastRenderedPageBreak/>
        <w:t>Supplementary Materials</w:t>
      </w:r>
    </w:p>
    <w:p w14:paraId="75D92DCD" w14:textId="4755D8AC" w:rsidR="00ED6A83" w:rsidRDefault="00000000">
      <w:r>
        <w:t xml:space="preserve">Supplementary Material 1. </w:t>
      </w:r>
      <w:proofErr w:type="spellStart"/>
      <w:r>
        <w:t>Github</w:t>
      </w:r>
      <w:proofErr w:type="spellEnd"/>
      <w:r>
        <w:t xml:space="preserve"> link to full project</w:t>
      </w:r>
      <w:r w:rsidR="00B12073">
        <w:t xml:space="preserve">: </w:t>
      </w:r>
      <w:hyperlink r:id="rId12" w:history="1">
        <w:r w:rsidR="00A960CF" w:rsidRPr="00F77B18">
          <w:rPr>
            <w:rStyle w:val="Hyperlink"/>
          </w:rPr>
          <w:t>https://github.com/namlink-org/APriori_PBPK_mAb</w:t>
        </w:r>
      </w:hyperlink>
    </w:p>
    <w:p w14:paraId="6EE9BE24" w14:textId="77777777" w:rsidR="00A960CF" w:rsidRPr="00A960CF" w:rsidRDefault="00A960CF" w:rsidP="00A960CF">
      <w:pPr>
        <w:jc w:val="left"/>
      </w:pPr>
      <w:r w:rsidRPr="00A960CF">
        <w:rPr>
          <w:rStyle w:val="Heading1Char"/>
        </w:rPr>
        <w:t>Use of Artificial Intelligence</w:t>
      </w:r>
      <w:r w:rsidRPr="00A960CF">
        <w:rPr>
          <w:rStyle w:val="Heading1Char"/>
        </w:rPr>
        <w:br/>
      </w:r>
      <w:r w:rsidRPr="00A960CF">
        <w:t>OpenAI ChatGPT/GPT-5.5 was used to assist with language editing, manuscript organization, and generation/refinement of Figure 1.</w:t>
      </w:r>
      <w:r>
        <w:t xml:space="preserve"> Codex/GPT-5.5 was used as a coding assistant, especially to write codes for figures and tables generation.</w:t>
      </w:r>
      <w:r w:rsidRPr="00A960CF">
        <w:t xml:space="preserve"> The authors reviewed and edited all AI-assisted content and </w:t>
      </w:r>
      <w:proofErr w:type="gramStart"/>
      <w:r w:rsidRPr="00A960CF">
        <w:t>take</w:t>
      </w:r>
      <w:proofErr w:type="gramEnd"/>
      <w:r w:rsidRPr="00A960CF">
        <w:t xml:space="preserve"> full responsibility for the accuracy, integrity, and final content of the manuscript.</w:t>
      </w:r>
    </w:p>
    <w:sectPr w:rsidR="00A960CF" w:rsidRPr="00A960C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2617" w14:textId="77777777" w:rsidR="008C0BEA" w:rsidRDefault="008C0BEA" w:rsidP="00AF5181">
      <w:pPr>
        <w:spacing w:after="0" w:line="240" w:lineRule="auto"/>
      </w:pPr>
      <w:r>
        <w:separator/>
      </w:r>
    </w:p>
  </w:endnote>
  <w:endnote w:type="continuationSeparator" w:id="0">
    <w:p w14:paraId="2E68649C" w14:textId="77777777" w:rsidR="008C0BEA" w:rsidRDefault="008C0BEA" w:rsidP="00AF5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F6A" w14:textId="77777777" w:rsidR="00AF5181" w:rsidRDefault="00AF5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E2F4" w14:textId="77777777" w:rsidR="00AF5181" w:rsidRDefault="00AF51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8B29" w14:textId="77777777" w:rsidR="00AF5181" w:rsidRDefault="00AF5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07D1" w14:textId="77777777" w:rsidR="008C0BEA" w:rsidRDefault="008C0BEA" w:rsidP="00AF5181">
      <w:pPr>
        <w:spacing w:after="0" w:line="240" w:lineRule="auto"/>
      </w:pPr>
      <w:r>
        <w:separator/>
      </w:r>
    </w:p>
  </w:footnote>
  <w:footnote w:type="continuationSeparator" w:id="0">
    <w:p w14:paraId="6614A7F6" w14:textId="77777777" w:rsidR="008C0BEA" w:rsidRDefault="008C0BEA" w:rsidP="00AF5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51C4" w14:textId="77777777" w:rsidR="00AF5181" w:rsidRDefault="00AF51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8443" w14:textId="77777777" w:rsidR="00AF5181" w:rsidRDefault="00AF51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323B" w14:textId="77777777" w:rsidR="00AF5181" w:rsidRDefault="00AF51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83"/>
    <w:rsid w:val="002E5B4D"/>
    <w:rsid w:val="00325C53"/>
    <w:rsid w:val="00385DB0"/>
    <w:rsid w:val="00415714"/>
    <w:rsid w:val="005145D8"/>
    <w:rsid w:val="005359CD"/>
    <w:rsid w:val="00580E0F"/>
    <w:rsid w:val="00626125"/>
    <w:rsid w:val="00656911"/>
    <w:rsid w:val="007A610D"/>
    <w:rsid w:val="008212BA"/>
    <w:rsid w:val="008C0BEA"/>
    <w:rsid w:val="008D4340"/>
    <w:rsid w:val="00940FC2"/>
    <w:rsid w:val="00A960CF"/>
    <w:rsid w:val="00A96216"/>
    <w:rsid w:val="00AA3ADA"/>
    <w:rsid w:val="00AB0F92"/>
    <w:rsid w:val="00AF5181"/>
    <w:rsid w:val="00B01B14"/>
    <w:rsid w:val="00B12073"/>
    <w:rsid w:val="00B439ED"/>
    <w:rsid w:val="00C37431"/>
    <w:rsid w:val="00CC5D84"/>
    <w:rsid w:val="00CF02BB"/>
    <w:rsid w:val="00D4233D"/>
    <w:rsid w:val="00DB362F"/>
    <w:rsid w:val="00E1688E"/>
    <w:rsid w:val="00E219CE"/>
    <w:rsid w:val="00E900D1"/>
    <w:rsid w:val="00EA3ACE"/>
    <w:rsid w:val="00EB5664"/>
    <w:rsid w:val="00EC02FB"/>
    <w:rsid w:val="00ED6A83"/>
    <w:rsid w:val="00EE38FB"/>
    <w:rsid w:val="00EF0827"/>
    <w:rsid w:val="00F203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B06C"/>
  <w15:docId w15:val="{A159A3A9-3D36-4C1E-811C-D31249944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Grid1"/>
    <w:uiPriority w:val="39"/>
    <w:rsid w:val="00484E1C"/>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AF51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181"/>
  </w:style>
  <w:style w:type="paragraph" w:styleId="Footer">
    <w:name w:val="footer"/>
    <w:basedOn w:val="Normal"/>
    <w:link w:val="FooterChar"/>
    <w:uiPriority w:val="99"/>
    <w:unhideWhenUsed/>
    <w:rsid w:val="00AF51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github.com/namlink-org/APriori_PBPK_mAb" TargetMode="External"/><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C39404-45CD-479F-9F04-92C627A8EBC7}">
  <we:reference id="WA200010453" version="1.0.0.1" store="Omex" storeType="OMEX"/>
  <we:alternateReferences>
    <we:reference id="WA200010453" version="1.0.0.1" store="WA200010453" storeType="OMEX"/>
  </we:alternateReferences>
  <we:properties>
    <we:property name="claude.fileId" value="&quot;952a49af-42be-4166-a5ce-35b17b16c3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2525</TotalTime>
  <Pages>18</Pages>
  <Words>4030</Words>
  <Characters>24710</Characters>
  <Application>Microsoft Office Word</Application>
  <DocSecurity>0</DocSecurity>
  <Lines>667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174</cp:revision>
  <dcterms:created xsi:type="dcterms:W3CDTF">2026-01-06T17:11:00Z</dcterms:created>
  <dcterms:modified xsi:type="dcterms:W3CDTF">2026-07-03T16:07:00Z</dcterms:modified>
  <dc:language>en-US</dc:language>
</cp:coreProperties>
</file>